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758A89">
      <w:pPr>
        <w:tabs>
          <w:tab w:val="left" w:pos="720"/>
        </w:tabs>
        <w:jc w:val="center"/>
        <w:outlineLvl w:val="9"/>
        <w:rPr>
          <w:rFonts w:hint="eastAsia" w:ascii="仿宋" w:hAnsi="仿宋" w:eastAsia="仿宋" w:cs="仿宋"/>
          <w:b/>
          <w:bCs/>
          <w:color w:val="auto"/>
          <w:kern w:val="0"/>
          <w:sz w:val="36"/>
          <w:szCs w:val="36"/>
          <w:highlight w:val="none"/>
          <w:shd w:val="clear" w:color="auto" w:fill="auto"/>
          <w:lang w:eastAsia="zh-CN"/>
        </w:rPr>
      </w:pPr>
    </w:p>
    <w:p w14:paraId="5CF53B4B">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3E3E1BF4">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54F11387">
      <w:pPr>
        <w:adjustRightInd w:val="0"/>
        <w:snapToGrid w:val="0"/>
        <w:rPr>
          <w:rFonts w:ascii="宋体" w:hAnsi="宋体"/>
          <w:b/>
          <w:bCs/>
          <w:color w:val="auto"/>
          <w:sz w:val="32"/>
          <w:szCs w:val="32"/>
          <w:highlight w:val="none"/>
        </w:rPr>
      </w:pPr>
    </w:p>
    <w:p w14:paraId="2AE672E2">
      <w:pP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65ED9CE1">
      <w:pPr>
        <w:pStyle w:val="20"/>
        <w:rPr>
          <w:rFonts w:hint="default"/>
          <w:color w:val="auto"/>
          <w:highlight w:val="none"/>
          <w:lang w:val="en-US" w:eastAsia="zh-CN"/>
        </w:rPr>
      </w:pPr>
      <w:r>
        <w:rPr>
          <w:rFonts w:hint="eastAsia"/>
          <w:color w:val="auto"/>
          <w:highlight w:val="none"/>
          <w:lang w:val="en-US" w:eastAsia="zh-CN"/>
        </w:rPr>
        <w:t xml:space="preserve"> </w:t>
      </w:r>
    </w:p>
    <w:p w14:paraId="177D0333">
      <w:pPr>
        <w:pStyle w:val="20"/>
        <w:rPr>
          <w:rFonts w:hint="eastAsia"/>
          <w:color w:val="auto"/>
          <w:highlight w:val="none"/>
          <w:lang w:eastAsia="zh-CN"/>
        </w:rPr>
      </w:pPr>
    </w:p>
    <w:p w14:paraId="4CD2BD38">
      <w:pPr>
        <w:adjustRightInd w:val="0"/>
        <w:snapToGrid w:val="0"/>
        <w:spacing w:line="360" w:lineRule="auto"/>
        <w:ind w:left="1520" w:leftChars="135" w:hanging="1237" w:hangingChars="440"/>
        <w:rPr>
          <w:rFonts w:ascii="宋体" w:hAnsi="宋体"/>
          <w:b/>
          <w:bCs/>
          <w:color w:val="auto"/>
          <w:sz w:val="28"/>
          <w:szCs w:val="28"/>
          <w:highlight w:val="none"/>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临海市江南街道社区卫生服务中心迁建工程（家具采购）</w:t>
      </w:r>
      <w:r>
        <w:rPr>
          <w:rFonts w:hint="eastAsia" w:ascii="宋体" w:hAnsi="宋体"/>
          <w:b/>
          <w:bCs/>
          <w:color w:val="auto"/>
          <w:sz w:val="28"/>
          <w:szCs w:val="28"/>
          <w:highlight w:val="none"/>
        </w:rPr>
        <w:t xml:space="preserve"> </w:t>
      </w:r>
    </w:p>
    <w:p w14:paraId="1D7AD73F">
      <w:pPr>
        <w:adjustRightInd w:val="0"/>
        <w:snapToGrid w:val="0"/>
        <w:spacing w:line="360" w:lineRule="auto"/>
        <w:ind w:left="1520" w:leftChars="135" w:hanging="1237" w:hangingChars="440"/>
        <w:rPr>
          <w:rFonts w:hint="default" w:ascii="宋体" w:hAnsi="宋体" w:eastAsia="宋体" w:cs="Arial"/>
          <w:bCs/>
          <w:color w:val="auto"/>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val="en-US" w:eastAsia="zh-CN"/>
        </w:rPr>
        <w:t>ZJGT-LH2026050</w:t>
      </w:r>
    </w:p>
    <w:p w14:paraId="6BDABA7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eastAsia="宋体" w:cs="宋体"/>
          <w:color w:val="auto"/>
          <w:kern w:val="0"/>
          <w:sz w:val="30"/>
          <w:szCs w:val="30"/>
          <w:highlight w:val="none"/>
          <w:shd w:val="clear" w:color="auto" w:fill="auto"/>
        </w:rPr>
      </w:pPr>
    </w:p>
    <w:p w14:paraId="03F68A51">
      <w:pPr>
        <w:pStyle w:val="20"/>
        <w:rPr>
          <w:rFonts w:hint="eastAsia" w:ascii="仿宋" w:hAnsi="仿宋" w:eastAsia="仿宋" w:cs="仿宋"/>
          <w:color w:val="auto"/>
          <w:kern w:val="0"/>
          <w:sz w:val="28"/>
          <w:szCs w:val="28"/>
          <w:highlight w:val="none"/>
          <w:shd w:val="clear" w:color="auto" w:fill="auto"/>
        </w:rPr>
      </w:pPr>
    </w:p>
    <w:p w14:paraId="0C36D1D3">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0B09EBE5">
      <w:pPr>
        <w:spacing w:line="480" w:lineRule="auto"/>
        <w:ind w:firstLine="281" w:firstLineChars="100"/>
        <w:rPr>
          <w:rFonts w:hint="eastAsia" w:ascii="宋体" w:hAnsi="宋体"/>
          <w:b/>
          <w:bCs w:val="0"/>
          <w:color w:val="auto"/>
          <w:sz w:val="28"/>
          <w:highlight w:val="none"/>
          <w:u w:val="none"/>
        </w:rPr>
      </w:pPr>
      <w:r>
        <w:rPr>
          <w:rFonts w:hint="eastAsia" w:ascii="宋体" w:hAnsi="宋体" w:cs="宋体"/>
          <w:b/>
          <w:color w:val="auto"/>
          <w:sz w:val="28"/>
          <w:highlight w:val="none"/>
          <w:lang w:val="en-US" w:eastAsia="zh-CN"/>
        </w:rPr>
        <w:t>采购单位：</w:t>
      </w:r>
      <w:r>
        <w:rPr>
          <w:rFonts w:hint="eastAsia" w:ascii="宋体" w:hAnsi="宋体"/>
          <w:b/>
          <w:bCs w:val="0"/>
          <w:color w:val="auto"/>
          <w:sz w:val="28"/>
          <w:highlight w:val="none"/>
          <w:u w:val="none"/>
        </w:rPr>
        <w:t>临海市中医院医疗卫生服务共同体（盖章）</w:t>
      </w:r>
    </w:p>
    <w:p w14:paraId="18AEC6C5">
      <w:pPr>
        <w:spacing w:line="480" w:lineRule="auto"/>
        <w:ind w:left="1676" w:leftChars="798" w:firstLine="0" w:firstLineChars="0"/>
        <w:rPr>
          <w:rFonts w:hint="eastAsia" w:ascii="宋体" w:hAnsi="宋体"/>
          <w:b/>
          <w:bCs w:val="0"/>
          <w:color w:val="auto"/>
          <w:sz w:val="28"/>
          <w:highlight w:val="none"/>
          <w:u w:val="none"/>
        </w:rPr>
      </w:pPr>
      <w:r>
        <w:rPr>
          <w:rFonts w:hint="eastAsia" w:ascii="宋体" w:hAnsi="宋体"/>
          <w:b/>
          <w:bCs w:val="0"/>
          <w:color w:val="auto"/>
          <w:sz w:val="28"/>
          <w:highlight w:val="none"/>
          <w:u w:val="none"/>
        </w:rPr>
        <w:t>临海市江南街道社区卫生服务中心（盖章）</w:t>
      </w:r>
    </w:p>
    <w:p w14:paraId="4D682B39">
      <w:pPr>
        <w:pStyle w:val="63"/>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 xml:space="preserve">卢女士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0576-89368814</w:t>
      </w:r>
    </w:p>
    <w:p w14:paraId="2D73D89D">
      <w:pPr>
        <w:pStyle w:val="63"/>
        <w:rPr>
          <w:rFonts w:hint="eastAsia" w:ascii="宋体" w:hAnsi="宋体" w:cs="宋体"/>
          <w:b/>
          <w:color w:val="auto"/>
          <w:sz w:val="28"/>
          <w:highlight w:val="none"/>
          <w:lang w:val="en-US" w:eastAsia="zh-CN"/>
        </w:rPr>
      </w:pPr>
    </w:p>
    <w:p w14:paraId="6754ED12">
      <w:pPr>
        <w:spacing w:line="480" w:lineRule="auto"/>
        <w:ind w:firstLine="281" w:firstLineChars="100"/>
        <w:rPr>
          <w:rFonts w:hint="eastAsia" w:ascii="宋体" w:hAnsi="宋体" w:cs="宋体"/>
          <w:b/>
          <w:color w:val="auto"/>
          <w:sz w:val="28"/>
          <w:highlight w:val="none"/>
        </w:rPr>
      </w:pPr>
    </w:p>
    <w:p w14:paraId="548FF6C3">
      <w:pPr>
        <w:spacing w:line="480" w:lineRule="auto"/>
        <w:ind w:firstLine="281" w:firstLineChars="100"/>
        <w:rPr>
          <w:rFonts w:hint="eastAsia" w:ascii="宋体" w:hAnsi="宋体"/>
          <w:b/>
          <w:bCs/>
          <w:color w:val="auto"/>
          <w:sz w:val="28"/>
          <w:szCs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浙江广通工程咨询有限公司</w:t>
      </w:r>
      <w:r>
        <w:rPr>
          <w:rFonts w:hint="eastAsia" w:ascii="宋体" w:hAnsi="宋体"/>
          <w:b/>
          <w:bCs w:val="0"/>
          <w:color w:val="auto"/>
          <w:sz w:val="28"/>
          <w:highlight w:val="none"/>
          <w:u w:val="none"/>
        </w:rPr>
        <w:t>（盖章）</w:t>
      </w:r>
    </w:p>
    <w:p w14:paraId="3D72C38C">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顾世通</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13819675833</w:t>
      </w:r>
    </w:p>
    <w:p w14:paraId="78918AA2">
      <w:pPr>
        <w:spacing w:line="500" w:lineRule="atLeast"/>
        <w:jc w:val="center"/>
        <w:rPr>
          <w:rFonts w:ascii="宋体" w:hAnsi="宋体"/>
          <w:b/>
          <w:bCs/>
          <w:color w:val="auto"/>
          <w:sz w:val="30"/>
          <w:highlight w:val="none"/>
        </w:rPr>
      </w:pPr>
    </w:p>
    <w:p w14:paraId="30C3C9FF">
      <w:pPr>
        <w:spacing w:line="500" w:lineRule="atLeast"/>
        <w:rPr>
          <w:rFonts w:hint="eastAsia" w:ascii="宋体" w:hAnsi="宋体"/>
          <w:b/>
          <w:bCs/>
          <w:color w:val="auto"/>
          <w:sz w:val="30"/>
          <w:highlight w:val="none"/>
        </w:rPr>
      </w:pPr>
    </w:p>
    <w:p w14:paraId="56B03B46">
      <w:pPr>
        <w:spacing w:line="500" w:lineRule="atLeast"/>
        <w:ind w:firstLine="3204" w:firstLineChars="1140"/>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五</w:t>
      </w:r>
      <w:r>
        <w:rPr>
          <w:rFonts w:hint="eastAsia" w:ascii="宋体" w:hAnsi="宋体"/>
          <w:b/>
          <w:bCs/>
          <w:color w:val="auto"/>
          <w:sz w:val="28"/>
          <w:szCs w:val="28"/>
          <w:highlight w:val="none"/>
        </w:rPr>
        <w:t xml:space="preserve">月 </w:t>
      </w:r>
    </w:p>
    <w:p w14:paraId="1127B6E9">
      <w:pPr>
        <w:rPr>
          <w:rFonts w:hint="eastAsia"/>
          <w:color w:val="auto"/>
          <w:highlight w:val="none"/>
        </w:rPr>
        <w:sectPr>
          <w:headerReference r:id="rId3" w:type="default"/>
          <w:footerReference r:id="rId4"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65E3C8A2">
      <w:pPr>
        <w:pStyle w:val="31"/>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53563D7C">
      <w:pPr>
        <w:pStyle w:val="38"/>
        <w:tabs>
          <w:tab w:val="left" w:pos="6120"/>
        </w:tabs>
        <w:spacing w:line="480" w:lineRule="auto"/>
        <w:rPr>
          <w:rFonts w:hint="eastAsia" w:ascii="宋体" w:hAnsi="宋体" w:eastAsia="宋体" w:cs="宋体"/>
          <w:b/>
          <w:color w:val="auto"/>
          <w:sz w:val="28"/>
          <w:szCs w:val="28"/>
          <w:highlight w:val="none"/>
          <w:shd w:val="clear" w:color="auto" w:fill="auto"/>
        </w:rPr>
      </w:pPr>
    </w:p>
    <w:p w14:paraId="0042CD43">
      <w:pPr>
        <w:pStyle w:val="38"/>
        <w:keepNext w:val="0"/>
        <w:keepLines w:val="0"/>
        <w:pageBreakBefore w:val="0"/>
        <w:widowControl w:val="0"/>
        <w:tabs>
          <w:tab w:val="left" w:pos="6120"/>
        </w:tabs>
        <w:kinsoku/>
        <w:wordWrap/>
        <w:overflowPunct/>
        <w:topLinePunct w:val="0"/>
        <w:autoSpaceDE/>
        <w:autoSpaceDN/>
        <w:bidi w:val="0"/>
        <w:adjustRightInd/>
        <w:snapToGrid/>
        <w:spacing w:line="500" w:lineRule="exact"/>
        <w:textAlignment w:val="auto"/>
        <w:rPr>
          <w:rFonts w:hint="eastAsia" w:ascii="宋体" w:hAnsi="宋体" w:eastAsia="宋体" w:cs="宋体"/>
          <w:b w:val="0"/>
          <w:bCs/>
          <w:color w:val="auto"/>
          <w:sz w:val="30"/>
          <w:szCs w:val="30"/>
          <w:highlight w:val="none"/>
          <w:shd w:val="clear" w:color="auto" w:fill="auto"/>
        </w:rPr>
      </w:pPr>
      <w:r>
        <w:rPr>
          <w:rFonts w:hint="eastAsia" w:ascii="宋体" w:hAnsi="宋体" w:eastAsia="宋体" w:cs="宋体"/>
          <w:b w:val="0"/>
          <w:bCs/>
          <w:color w:val="auto"/>
          <w:sz w:val="30"/>
          <w:szCs w:val="30"/>
          <w:highlight w:val="none"/>
          <w:shd w:val="clear" w:color="auto" w:fill="auto"/>
        </w:rPr>
        <w:tab/>
      </w:r>
    </w:p>
    <w:p w14:paraId="49D5C2BE">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TOC \o "1-3" \h \z \u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_Toc20175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第一章  投标邀请</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_Toc20175 \h </w:instrText>
      </w:r>
      <w:r>
        <w:rPr>
          <w:b w:val="0"/>
          <w:bCs/>
          <w:color w:val="auto"/>
          <w:sz w:val="30"/>
          <w:szCs w:val="30"/>
          <w:highlight w:val="none"/>
        </w:rPr>
        <w:fldChar w:fldCharType="separate"/>
      </w:r>
      <w:r>
        <w:rPr>
          <w:b w:val="0"/>
          <w:bCs/>
          <w:color w:val="auto"/>
          <w:sz w:val="30"/>
          <w:szCs w:val="30"/>
          <w:highlight w:val="none"/>
        </w:rPr>
        <w:t>1</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13B8FAB8">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_Toc8405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fill="auto"/>
        </w:rPr>
        <w:t xml:space="preserve">第二章 </w:t>
      </w:r>
      <w:r>
        <w:rPr>
          <w:rFonts w:hint="eastAsia" w:ascii="宋体" w:hAnsi="宋体" w:cs="宋体"/>
          <w:b w:val="0"/>
          <w:bCs/>
          <w:color w:val="auto"/>
          <w:sz w:val="30"/>
          <w:szCs w:val="30"/>
          <w:highlight w:val="none"/>
          <w:shd w:val="clear" w:fill="auto"/>
          <w:lang w:val="en-US" w:eastAsia="zh-CN"/>
        </w:rPr>
        <w:t xml:space="preserve"> </w:t>
      </w:r>
      <w:r>
        <w:rPr>
          <w:rFonts w:hint="eastAsia" w:ascii="宋体" w:hAnsi="宋体" w:eastAsia="宋体" w:cs="宋体"/>
          <w:b w:val="0"/>
          <w:bCs/>
          <w:color w:val="auto"/>
          <w:sz w:val="30"/>
          <w:szCs w:val="30"/>
          <w:highlight w:val="none"/>
          <w:shd w:val="clear" w:color="auto" w:fill="auto"/>
        </w:rPr>
        <w:t>招标需求</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_Toc8405 \h </w:instrText>
      </w:r>
      <w:r>
        <w:rPr>
          <w:b w:val="0"/>
          <w:bCs/>
          <w:color w:val="auto"/>
          <w:sz w:val="30"/>
          <w:szCs w:val="30"/>
          <w:highlight w:val="none"/>
        </w:rPr>
        <w:fldChar w:fldCharType="separate"/>
      </w:r>
      <w:r>
        <w:rPr>
          <w:b w:val="0"/>
          <w:bCs/>
          <w:color w:val="auto"/>
          <w:sz w:val="30"/>
          <w:szCs w:val="30"/>
          <w:highlight w:val="none"/>
        </w:rPr>
        <w:t>4</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127B42E0">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_Toc592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第三章  投标人须知</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_Toc592 \h </w:instrText>
      </w:r>
      <w:r>
        <w:rPr>
          <w:b w:val="0"/>
          <w:bCs/>
          <w:color w:val="auto"/>
          <w:sz w:val="30"/>
          <w:szCs w:val="30"/>
          <w:highlight w:val="none"/>
        </w:rPr>
        <w:fldChar w:fldCharType="separate"/>
      </w:r>
      <w:r>
        <w:rPr>
          <w:b w:val="0"/>
          <w:bCs/>
          <w:color w:val="auto"/>
          <w:sz w:val="30"/>
          <w:szCs w:val="30"/>
          <w:highlight w:val="none"/>
        </w:rPr>
        <w:t>13</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0368E402">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_Toc19241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第四章</w:t>
      </w:r>
      <w:r>
        <w:rPr>
          <w:rFonts w:hint="eastAsia" w:ascii="宋体" w:hAnsi="宋体" w:eastAsia="宋体" w:cs="宋体"/>
          <w:b w:val="0"/>
          <w:bCs/>
          <w:color w:val="auto"/>
          <w:sz w:val="30"/>
          <w:szCs w:val="30"/>
          <w:highlight w:val="none"/>
          <w:shd w:val="clear" w:color="auto" w:fill="auto"/>
          <w:lang w:val="en-US" w:eastAsia="zh-CN"/>
        </w:rPr>
        <w:t xml:space="preserve">  </w:t>
      </w:r>
      <w:r>
        <w:rPr>
          <w:rFonts w:hint="eastAsia" w:ascii="宋体" w:hAnsi="宋体" w:eastAsia="宋体" w:cs="宋体"/>
          <w:b w:val="0"/>
          <w:bCs/>
          <w:color w:val="auto"/>
          <w:sz w:val="30"/>
          <w:szCs w:val="30"/>
          <w:highlight w:val="none"/>
          <w:shd w:val="clear" w:color="auto" w:fill="auto"/>
        </w:rPr>
        <w:t>评标办法及评分标准</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_Toc19241 \h </w:instrText>
      </w:r>
      <w:r>
        <w:rPr>
          <w:b w:val="0"/>
          <w:bCs/>
          <w:color w:val="auto"/>
          <w:sz w:val="30"/>
          <w:szCs w:val="30"/>
          <w:highlight w:val="none"/>
        </w:rPr>
        <w:fldChar w:fldCharType="separate"/>
      </w:r>
      <w:r>
        <w:rPr>
          <w:b w:val="0"/>
          <w:bCs/>
          <w:color w:val="auto"/>
          <w:sz w:val="30"/>
          <w:szCs w:val="30"/>
          <w:highlight w:val="none"/>
        </w:rPr>
        <w:t>29</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272AE02C">
      <w:pPr>
        <w:pStyle w:val="38"/>
        <w:keepNext w:val="0"/>
        <w:keepLines w:val="0"/>
        <w:pageBreakBefore w:val="0"/>
        <w:widowControl w:val="0"/>
        <w:tabs>
          <w:tab w:val="right" w:leader="dot" w:pos="8730"/>
        </w:tabs>
        <w:kinsoku/>
        <w:wordWrap/>
        <w:overflowPunct/>
        <w:topLinePunct w:val="0"/>
        <w:autoSpaceDE/>
        <w:autoSpaceDN/>
        <w:bidi w:val="0"/>
        <w:adjustRightInd/>
        <w:snapToGrid/>
        <w:spacing w:line="500" w:lineRule="exact"/>
        <w:textAlignment w:val="auto"/>
        <w:rPr>
          <w:b w:val="0"/>
          <w:bCs/>
          <w:color w:val="auto"/>
          <w:sz w:val="30"/>
          <w:szCs w:val="30"/>
          <w:highlight w:val="none"/>
        </w:rPr>
      </w:pPr>
      <w:r>
        <w:rPr>
          <w:rFonts w:hint="eastAsia" w:ascii="宋体" w:hAnsi="宋体" w:eastAsia="宋体" w:cs="宋体"/>
          <w:b w:val="0"/>
          <w:bCs/>
          <w:color w:val="auto"/>
          <w:sz w:val="30"/>
          <w:szCs w:val="30"/>
          <w:highlight w:val="none"/>
          <w:shd w:val="clear" w:color="auto" w:fill="auto"/>
        </w:rPr>
        <w:fldChar w:fldCharType="begin"/>
      </w:r>
      <w:r>
        <w:rPr>
          <w:rFonts w:hint="eastAsia" w:ascii="宋体" w:hAnsi="宋体" w:eastAsia="宋体" w:cs="宋体"/>
          <w:b w:val="0"/>
          <w:bCs/>
          <w:color w:val="auto"/>
          <w:sz w:val="30"/>
          <w:szCs w:val="30"/>
          <w:highlight w:val="none"/>
          <w:shd w:val="clear" w:color="auto" w:fill="auto"/>
        </w:rPr>
        <w:instrText xml:space="preserve"> HYPERLINK \l _Toc3308 </w:instrText>
      </w:r>
      <w:r>
        <w:rPr>
          <w:rFonts w:hint="eastAsia" w:ascii="宋体" w:hAnsi="宋体" w:eastAsia="宋体" w:cs="宋体"/>
          <w:b w:val="0"/>
          <w:bCs/>
          <w:color w:val="auto"/>
          <w:sz w:val="30"/>
          <w:szCs w:val="30"/>
          <w:highlight w:val="none"/>
          <w:shd w:val="clear" w:color="auto" w:fill="auto"/>
        </w:rPr>
        <w:fldChar w:fldCharType="separate"/>
      </w:r>
      <w:r>
        <w:rPr>
          <w:rFonts w:hint="eastAsia" w:ascii="宋体" w:hAnsi="宋体" w:eastAsia="宋体" w:cs="宋体"/>
          <w:b w:val="0"/>
          <w:bCs/>
          <w:color w:val="auto"/>
          <w:sz w:val="30"/>
          <w:szCs w:val="30"/>
          <w:highlight w:val="none"/>
          <w:shd w:val="clear" w:color="auto" w:fill="auto"/>
        </w:rPr>
        <w:t>第五章  合同主要条款</w:t>
      </w:r>
      <w:r>
        <w:rPr>
          <w:b w:val="0"/>
          <w:bCs/>
          <w:color w:val="auto"/>
          <w:sz w:val="30"/>
          <w:szCs w:val="30"/>
          <w:highlight w:val="none"/>
        </w:rPr>
        <w:tab/>
      </w:r>
      <w:r>
        <w:rPr>
          <w:b w:val="0"/>
          <w:bCs/>
          <w:color w:val="auto"/>
          <w:sz w:val="30"/>
          <w:szCs w:val="30"/>
          <w:highlight w:val="none"/>
        </w:rPr>
        <w:fldChar w:fldCharType="begin"/>
      </w:r>
      <w:r>
        <w:rPr>
          <w:b w:val="0"/>
          <w:bCs/>
          <w:color w:val="auto"/>
          <w:sz w:val="30"/>
          <w:szCs w:val="30"/>
          <w:highlight w:val="none"/>
        </w:rPr>
        <w:instrText xml:space="preserve"> PAGEREF _Toc3308 \h </w:instrText>
      </w:r>
      <w:r>
        <w:rPr>
          <w:b w:val="0"/>
          <w:bCs/>
          <w:color w:val="auto"/>
          <w:sz w:val="30"/>
          <w:szCs w:val="30"/>
          <w:highlight w:val="none"/>
        </w:rPr>
        <w:fldChar w:fldCharType="separate"/>
      </w:r>
      <w:r>
        <w:rPr>
          <w:b w:val="0"/>
          <w:bCs/>
          <w:color w:val="auto"/>
          <w:sz w:val="30"/>
          <w:szCs w:val="30"/>
          <w:highlight w:val="none"/>
        </w:rPr>
        <w:t>37</w:t>
      </w:r>
      <w:r>
        <w:rPr>
          <w:b w:val="0"/>
          <w:bCs/>
          <w:color w:val="auto"/>
          <w:sz w:val="30"/>
          <w:szCs w:val="30"/>
          <w:highlight w:val="none"/>
        </w:rPr>
        <w:fldChar w:fldCharType="end"/>
      </w:r>
      <w:r>
        <w:rPr>
          <w:rFonts w:hint="eastAsia" w:ascii="宋体" w:hAnsi="宋体" w:eastAsia="宋体" w:cs="宋体"/>
          <w:b w:val="0"/>
          <w:bCs/>
          <w:color w:val="auto"/>
          <w:sz w:val="30"/>
          <w:szCs w:val="30"/>
          <w:highlight w:val="none"/>
          <w:shd w:val="clear" w:color="auto" w:fill="auto"/>
        </w:rPr>
        <w:fldChar w:fldCharType="end"/>
      </w:r>
    </w:p>
    <w:p w14:paraId="4B8CF171">
      <w:pPr>
        <w:pStyle w:val="3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val="0"/>
          <w:bCs/>
          <w:color w:val="auto"/>
          <w:sz w:val="30"/>
          <w:szCs w:val="30"/>
          <w:highlight w:val="none"/>
          <w:shd w:val="clear" w:color="auto" w:fill="auto"/>
        </w:rPr>
        <w:fldChar w:fldCharType="end"/>
      </w:r>
    </w:p>
    <w:p w14:paraId="4DB005B0">
      <w:pPr>
        <w:pStyle w:val="31"/>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13F39F4A">
      <w:pPr>
        <w:pStyle w:val="31"/>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pPr>
      <w:bookmarkStart w:id="2" w:name="_Toc20175"/>
      <w:r>
        <w:rPr>
          <w:rFonts w:hint="eastAsia" w:ascii="宋体" w:hAnsi="宋体" w:eastAsia="宋体" w:cs="宋体"/>
          <w:b/>
          <w:color w:val="auto"/>
          <w:sz w:val="30"/>
          <w:szCs w:val="30"/>
          <w:highlight w:val="none"/>
          <w:shd w:val="clear" w:color="auto" w:fill="auto"/>
        </w:rPr>
        <w:t>第一章  投标邀请</w:t>
      </w:r>
      <w:bookmarkEnd w:id="0"/>
      <w:bookmarkEnd w:id="1"/>
      <w:bookmarkEnd w:id="2"/>
    </w:p>
    <w:p w14:paraId="72814FE6">
      <w:pPr>
        <w:spacing w:line="400" w:lineRule="exact"/>
        <w:ind w:firstLine="496" w:firstLineChars="200"/>
        <w:rPr>
          <w:rFonts w:hint="eastAsia" w:ascii="宋体" w:hAnsi="宋体" w:eastAsia="宋体" w:cs="宋体"/>
          <w:color w:val="auto"/>
          <w:spacing w:val="4"/>
          <w:sz w:val="24"/>
          <w:highlight w:val="none"/>
          <w:shd w:val="clear" w:color="auto" w:fill="auto"/>
        </w:rPr>
      </w:pPr>
      <w:r>
        <w:rPr>
          <w:rFonts w:hint="eastAsia" w:ascii="宋体" w:hAnsi="宋体" w:eastAsia="宋体" w:cs="宋体"/>
          <w:color w:val="auto"/>
          <w:spacing w:val="4"/>
          <w:sz w:val="24"/>
          <w:highlight w:val="none"/>
          <w:shd w:val="clear" w:color="auto" w:fill="auto"/>
        </w:rPr>
        <w:t>本项目为非政府采购项目，根据招标投标有关法律法规及招标人单位内控制度，受</w:t>
      </w:r>
      <w:r>
        <w:rPr>
          <w:rFonts w:hint="eastAsia" w:ascii="宋体" w:hAnsi="宋体" w:eastAsia="宋体" w:cs="宋体"/>
          <w:b/>
          <w:bCs/>
          <w:color w:val="auto"/>
          <w:spacing w:val="4"/>
          <w:sz w:val="24"/>
          <w:highlight w:val="none"/>
          <w:u w:val="single"/>
          <w:shd w:val="clear" w:color="auto" w:fill="auto"/>
        </w:rPr>
        <w:t>临海市中医院医疗卫生服务共同体</w:t>
      </w:r>
      <w:r>
        <w:rPr>
          <w:rFonts w:hint="eastAsia" w:ascii="宋体" w:hAnsi="宋体" w:cs="宋体"/>
          <w:b/>
          <w:bCs/>
          <w:color w:val="auto"/>
          <w:spacing w:val="4"/>
          <w:sz w:val="24"/>
          <w:highlight w:val="none"/>
          <w:u w:val="single"/>
          <w:shd w:val="clear" w:color="auto" w:fill="auto"/>
          <w:lang w:eastAsia="zh-CN"/>
        </w:rPr>
        <w:t>、</w:t>
      </w:r>
      <w:r>
        <w:rPr>
          <w:rFonts w:hint="eastAsia" w:ascii="宋体" w:hAnsi="宋体" w:eastAsia="宋体" w:cs="Arial"/>
          <w:b/>
          <w:bCs/>
          <w:color w:val="auto"/>
          <w:sz w:val="24"/>
          <w:highlight w:val="none"/>
          <w:u w:val="single"/>
          <w:lang w:eastAsia="zh-CN"/>
        </w:rPr>
        <w:t>临海市江南街道社区卫生服务中心</w:t>
      </w:r>
      <w:r>
        <w:rPr>
          <w:rFonts w:hint="eastAsia" w:ascii="宋体" w:hAnsi="宋体" w:eastAsia="宋体" w:cs="宋体"/>
          <w:color w:val="auto"/>
          <w:spacing w:val="4"/>
          <w:sz w:val="24"/>
          <w:highlight w:val="none"/>
          <w:shd w:val="clear" w:color="auto" w:fill="auto"/>
        </w:rPr>
        <w:t>委托，参照采购有关流程，现就</w:t>
      </w:r>
      <w:r>
        <w:rPr>
          <w:rFonts w:hint="eastAsia" w:ascii="宋体" w:hAnsi="宋体" w:cs="宋体"/>
          <w:b/>
          <w:bCs/>
          <w:color w:val="auto"/>
          <w:spacing w:val="4"/>
          <w:sz w:val="24"/>
          <w:highlight w:val="none"/>
          <w:u w:val="single"/>
          <w:shd w:val="clear" w:color="auto" w:fill="auto"/>
          <w:lang w:eastAsia="zh-CN"/>
        </w:rPr>
        <w:t>临海市江南街道社区卫生服务中心迁建工程（家具采购）</w:t>
      </w:r>
      <w:r>
        <w:rPr>
          <w:rFonts w:hint="eastAsia" w:ascii="宋体" w:hAnsi="宋体" w:eastAsia="宋体" w:cs="宋体"/>
          <w:color w:val="auto"/>
          <w:spacing w:val="4"/>
          <w:sz w:val="24"/>
          <w:highlight w:val="none"/>
          <w:shd w:val="clear" w:color="auto" w:fill="auto"/>
        </w:rPr>
        <w:t>进行公开招标，欢迎具备本项目投标人的资格要求且能够及时提供相关货物及服务的投标人前来投标。</w:t>
      </w:r>
    </w:p>
    <w:p w14:paraId="2933B4F2">
      <w:pPr>
        <w:pStyle w:val="46"/>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1</w:t>
      </w:r>
      <w:r>
        <w:rPr>
          <w:rFonts w:hint="eastAsia" w:ascii="宋体" w:hAnsi="宋体" w:eastAsia="宋体" w:cs="宋体"/>
          <w:color w:val="auto"/>
          <w:highlight w:val="none"/>
          <w:shd w:val="clear" w:color="auto" w:fill="auto"/>
        </w:rPr>
        <w:t>.</w:t>
      </w:r>
      <w:r>
        <w:rPr>
          <w:rFonts w:hint="eastAsia" w:ascii="宋体" w:hAnsi="宋体" w:eastAsia="宋体" w:cs="宋体"/>
          <w:b/>
          <w:bCs/>
          <w:color w:val="auto"/>
          <w:highlight w:val="none"/>
          <w:shd w:val="clear" w:color="auto" w:fill="auto"/>
        </w:rPr>
        <w:t>项目概况</w:t>
      </w:r>
    </w:p>
    <w:p w14:paraId="446AF9DD">
      <w:pPr>
        <w:pStyle w:val="46"/>
        <w:spacing w:before="0" w:beforeAutospacing="0" w:after="0" w:afterAutospacing="0" w:line="400" w:lineRule="exac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项目名称：</w:t>
      </w:r>
      <w:r>
        <w:rPr>
          <w:rFonts w:hint="eastAsia" w:cs="宋体"/>
          <w:color w:val="auto"/>
          <w:highlight w:val="none"/>
          <w:shd w:val="clear" w:color="auto" w:fill="auto"/>
          <w:lang w:eastAsia="zh-CN"/>
        </w:rPr>
        <w:t>临海市江南街道社区卫生服务中心迁建工程（家具采购）</w:t>
      </w:r>
    </w:p>
    <w:p w14:paraId="2ED0BC35">
      <w:pPr>
        <w:pStyle w:val="46"/>
        <w:spacing w:before="0" w:beforeAutospacing="0" w:after="0" w:afterAutospacing="0" w:line="400" w:lineRule="exact"/>
        <w:rPr>
          <w:rFonts w:hint="eastAsia" w:ascii="宋体" w:hAnsi="宋体" w:eastAsia="宋体" w:cs="Arial"/>
          <w:color w:val="auto"/>
          <w:highlight w:val="none"/>
          <w:lang w:eastAsia="zh-CN"/>
        </w:rPr>
      </w:pPr>
      <w:r>
        <w:rPr>
          <w:rFonts w:hint="eastAsia" w:ascii="宋体" w:hAnsi="宋体" w:eastAsia="宋体" w:cs="宋体"/>
          <w:color w:val="auto"/>
          <w:highlight w:val="none"/>
          <w:shd w:val="clear" w:color="auto" w:fill="auto"/>
        </w:rPr>
        <w:t>招标人：临海市中医院医疗卫生服务共同体</w:t>
      </w:r>
      <w:r>
        <w:rPr>
          <w:rFonts w:hint="eastAsia" w:cs="宋体"/>
          <w:color w:val="auto"/>
          <w:highlight w:val="none"/>
          <w:shd w:val="clear" w:color="auto" w:fill="auto"/>
          <w:lang w:eastAsia="zh-CN"/>
        </w:rPr>
        <w:t>、</w:t>
      </w:r>
      <w:r>
        <w:rPr>
          <w:rFonts w:hint="eastAsia" w:ascii="宋体" w:hAnsi="宋体" w:eastAsia="宋体" w:cs="Arial"/>
          <w:color w:val="auto"/>
          <w:highlight w:val="none"/>
          <w:lang w:eastAsia="zh-CN"/>
        </w:rPr>
        <w:t>临海市江南街道社区卫生服务中心</w:t>
      </w:r>
    </w:p>
    <w:p w14:paraId="37BBADDC">
      <w:pPr>
        <w:pStyle w:val="46"/>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采购规模及内容概述：</w:t>
      </w:r>
      <w:r>
        <w:rPr>
          <w:rFonts w:hint="eastAsia" w:cs="Arial"/>
          <w:color w:val="auto"/>
          <w:highlight w:val="none"/>
          <w:lang w:eastAsia="zh-CN"/>
        </w:rPr>
        <w:t>临海市江南街道社区卫生服务中心迁建工程（家具采购）。</w:t>
      </w:r>
      <w:r>
        <w:rPr>
          <w:rFonts w:hint="eastAsia" w:ascii="宋体"/>
          <w:color w:val="auto"/>
          <w:sz w:val="24"/>
          <w:highlight w:val="none"/>
          <w:lang w:val="zh-CN"/>
        </w:rPr>
        <w:t>(具体内容详见招标文件第二章招标需求)</w:t>
      </w:r>
    </w:p>
    <w:p w14:paraId="3BF44E65">
      <w:pPr>
        <w:spacing w:line="400" w:lineRule="exact"/>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采购预算：</w:t>
      </w:r>
      <w:r>
        <w:rPr>
          <w:rFonts w:hint="eastAsia" w:ascii="宋体" w:hAnsi="宋体" w:cs="宋体"/>
          <w:color w:val="auto"/>
          <w:kern w:val="0"/>
          <w:sz w:val="24"/>
          <w:szCs w:val="24"/>
          <w:highlight w:val="none"/>
          <w:shd w:val="clear" w:color="auto" w:fill="auto"/>
          <w:lang w:val="en-US" w:eastAsia="zh-CN" w:bidi="ar-SA"/>
        </w:rPr>
        <w:t>190310</w:t>
      </w:r>
      <w:r>
        <w:rPr>
          <w:rFonts w:hint="eastAsia" w:ascii="宋体" w:hAnsi="宋体" w:eastAsia="宋体" w:cs="宋体"/>
          <w:color w:val="auto"/>
          <w:kern w:val="0"/>
          <w:sz w:val="24"/>
          <w:szCs w:val="24"/>
          <w:highlight w:val="none"/>
          <w:shd w:val="clear" w:color="auto" w:fill="auto"/>
          <w:lang w:val="en-US" w:eastAsia="zh-CN" w:bidi="ar-SA"/>
        </w:rPr>
        <w:t>元</w:t>
      </w:r>
      <w:bookmarkStart w:id="73" w:name="_GoBack"/>
      <w:bookmarkEnd w:id="73"/>
    </w:p>
    <w:p w14:paraId="405FB24D">
      <w:pPr>
        <w:pStyle w:val="46"/>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采购标段数：1</w:t>
      </w:r>
    </w:p>
    <w:p w14:paraId="11291AD0">
      <w:pPr>
        <w:pStyle w:val="46"/>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采购方式：公开招标</w:t>
      </w:r>
    </w:p>
    <w:p w14:paraId="03189EFA">
      <w:pPr>
        <w:pStyle w:val="46"/>
        <w:spacing w:before="0" w:beforeAutospacing="0" w:after="0" w:afterAutospacing="0" w:line="400" w:lineRule="exact"/>
        <w:rPr>
          <w:rFonts w:hint="eastAsia"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供货期</w:t>
      </w:r>
      <w:r>
        <w:rPr>
          <w:rFonts w:hint="eastAsia" w:ascii="宋体" w:hAnsi="宋体" w:eastAsia="宋体" w:cs="宋体"/>
          <w:color w:val="auto"/>
          <w:highlight w:val="none"/>
          <w:shd w:val="clear" w:color="auto" w:fill="auto"/>
        </w:rPr>
        <w:t>：</w:t>
      </w:r>
      <w:r>
        <w:rPr>
          <w:rFonts w:hint="eastAsia"/>
          <w:sz w:val="24"/>
          <w:highlight w:val="none"/>
          <w:lang w:val="en-US" w:eastAsia="zh-CN"/>
        </w:rPr>
        <w:t>合同签订后，接到甲方供货通知后25天内完成供货及安装。</w:t>
      </w:r>
    </w:p>
    <w:p w14:paraId="1AD11230">
      <w:pPr>
        <w:pStyle w:val="46"/>
        <w:spacing w:before="0" w:beforeAutospacing="0" w:after="0" w:afterAutospacing="0" w:line="400" w:lineRule="exact"/>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color w:val="auto"/>
          <w:highlight w:val="none"/>
          <w:shd w:val="clear" w:color="auto" w:fill="auto"/>
        </w:rPr>
        <w:t>采购文件公告期限：</w:t>
      </w:r>
      <w:r>
        <w:rPr>
          <w:rFonts w:hint="eastAsia" w:cs="宋体"/>
          <w:b/>
          <w:color w:val="auto"/>
          <w:highlight w:val="none"/>
          <w:shd w:val="clear" w:color="auto" w:fill="auto"/>
          <w:lang w:val="en-US" w:eastAsia="zh-CN"/>
        </w:rPr>
        <w:t>3</w:t>
      </w:r>
      <w:r>
        <w:rPr>
          <w:rFonts w:hint="eastAsia" w:ascii="宋体" w:hAnsi="宋体" w:eastAsia="宋体" w:cs="宋体"/>
          <w:b/>
          <w:color w:val="auto"/>
          <w:highlight w:val="none"/>
          <w:shd w:val="clear" w:color="auto" w:fill="auto"/>
        </w:rPr>
        <w:t>个工作</w:t>
      </w:r>
      <w:r>
        <w:rPr>
          <w:rFonts w:hint="eastAsia" w:cs="宋体"/>
          <w:b/>
          <w:color w:val="auto"/>
          <w:highlight w:val="none"/>
          <w:shd w:val="clear" w:color="auto" w:fill="auto"/>
          <w:lang w:val="en-US" w:eastAsia="zh-CN"/>
        </w:rPr>
        <w:t>日</w:t>
      </w:r>
    </w:p>
    <w:p w14:paraId="3755B4DD">
      <w:pPr>
        <w:pStyle w:val="46"/>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该项目已具备条件，现对该项目进行公开招标。</w:t>
      </w:r>
    </w:p>
    <w:p w14:paraId="1E803235">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2.投标人资格要求</w:t>
      </w:r>
    </w:p>
    <w:p w14:paraId="2B7BC8B6">
      <w:pPr>
        <w:spacing w:line="400" w:lineRule="exact"/>
        <w:rPr>
          <w:rFonts w:hint="eastAsia" w:ascii="宋体" w:hAnsi="宋体" w:eastAsia="宋体" w:cs="宋体"/>
          <w:color w:val="auto"/>
          <w:kern w:val="0"/>
          <w:sz w:val="24"/>
          <w:highlight w:val="none"/>
          <w:shd w:val="clear" w:color="auto" w:fill="auto"/>
        </w:rPr>
      </w:pPr>
      <w:bookmarkStart w:id="3" w:name="_Toc466534748"/>
      <w:bookmarkStart w:id="4" w:name="_Toc467749357"/>
      <w:r>
        <w:rPr>
          <w:rFonts w:hint="eastAsia" w:ascii="宋体" w:hAnsi="宋体" w:eastAsia="宋体" w:cs="宋体"/>
          <w:color w:val="auto"/>
          <w:kern w:val="0"/>
          <w:sz w:val="24"/>
          <w:highlight w:val="none"/>
          <w:shd w:val="clear" w:color="auto" w:fill="auto"/>
        </w:rPr>
        <w:t>（1）未被“信用中国”（www.creditchina.gov.cn)、中国政府采购网（www.ccgp.gov.cn）列入失信被执行人、税收违法黑名单、政府采购严重违法失信行为记录名单。</w:t>
      </w:r>
    </w:p>
    <w:p w14:paraId="7C530C5D">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（2）具有与本采购项目相适应的商品经营或服务能力的投标人；</w:t>
      </w:r>
    </w:p>
    <w:p w14:paraId="1CC7DF89">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eastAsia="宋体" w:cs="宋体"/>
          <w:color w:val="auto"/>
          <w:kern w:val="0"/>
          <w:sz w:val="24"/>
          <w:highlight w:val="none"/>
          <w:shd w:val="clear" w:color="auto" w:fill="auto"/>
        </w:rPr>
        <w:t>）本项目不接受联合体投标。</w:t>
      </w:r>
      <w:r>
        <w:rPr>
          <w:rFonts w:hint="eastAsia" w:ascii="宋体" w:hAnsi="宋体" w:eastAsia="宋体" w:cs="宋体"/>
          <w:color w:val="auto"/>
          <w:kern w:val="0"/>
          <w:sz w:val="24"/>
          <w:highlight w:val="none"/>
          <w:shd w:val="clear" w:color="auto" w:fill="auto"/>
        </w:rPr>
        <w:br w:type="textWrapping"/>
      </w:r>
      <w:r>
        <w:rPr>
          <w:rFonts w:hint="eastAsia" w:ascii="宋体" w:hAnsi="宋体" w:eastAsia="宋体" w:cs="宋体"/>
          <w:b/>
          <w:bCs/>
          <w:color w:val="auto"/>
          <w:kern w:val="0"/>
          <w:sz w:val="24"/>
          <w:highlight w:val="none"/>
          <w:shd w:val="clear" w:color="auto" w:fill="auto"/>
        </w:rPr>
        <w:t>3.报名</w:t>
      </w:r>
    </w:p>
    <w:p w14:paraId="22F44F76">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本项目无需报名，</w:t>
      </w:r>
      <w:bookmarkStart w:id="5" w:name="_Hlk59307647"/>
      <w:r>
        <w:rPr>
          <w:rFonts w:hint="eastAsia" w:ascii="宋体" w:hAnsi="宋体" w:eastAsia="宋体" w:cs="宋体"/>
          <w:b/>
          <w:bCs/>
          <w:color w:val="auto"/>
          <w:kern w:val="0"/>
          <w:sz w:val="24"/>
          <w:highlight w:val="none"/>
          <w:u w:val="single"/>
          <w:shd w:val="clear" w:color="auto" w:fill="auto"/>
        </w:rPr>
        <w:t>投标人须到临海市限额以下公共资源交易区域平台</w:t>
      </w:r>
    </w:p>
    <w:p w14:paraId="7AE50A32">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（https://www.lhcqjy.com.cn/home）注册</w:t>
      </w:r>
      <w:bookmarkEnd w:id="5"/>
      <w:r>
        <w:rPr>
          <w:rFonts w:hint="eastAsia" w:ascii="宋体" w:hAnsi="宋体" w:eastAsia="宋体" w:cs="宋体"/>
          <w:b/>
          <w:bCs/>
          <w:color w:val="auto"/>
          <w:kern w:val="0"/>
          <w:sz w:val="24"/>
          <w:highlight w:val="none"/>
          <w:u w:val="single"/>
          <w:shd w:val="clear" w:color="auto" w:fill="auto"/>
        </w:rPr>
        <w:t>、提交审核通过后可参加投标，注册咨询联系人：梁工，联系电话：0576-85407095；</w:t>
      </w:r>
    </w:p>
    <w:p w14:paraId="2DE8DD70">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4.招标文件的获取</w:t>
      </w:r>
    </w:p>
    <w:p w14:paraId="2E43B916">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采购文件售价：免费</w:t>
      </w:r>
    </w:p>
    <w:p w14:paraId="6A81037A">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获取方式：凡有意参加投标者，在202</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年</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月</w:t>
      </w:r>
      <w:r>
        <w:rPr>
          <w:rFonts w:hint="eastAsia" w:ascii="宋体" w:hAnsi="宋体" w:cs="宋体"/>
          <w:bCs/>
          <w:color w:val="auto"/>
          <w:sz w:val="24"/>
          <w:highlight w:val="none"/>
          <w:shd w:val="clear" w:color="auto" w:fill="auto"/>
          <w:lang w:val="en-US" w:eastAsia="zh-CN"/>
        </w:rPr>
        <w:t>4</w:t>
      </w:r>
      <w:r>
        <w:rPr>
          <w:rFonts w:hint="eastAsia" w:ascii="宋体" w:hAnsi="宋体" w:eastAsia="宋体" w:cs="宋体"/>
          <w:bCs/>
          <w:color w:val="auto"/>
          <w:sz w:val="24"/>
          <w:highlight w:val="none"/>
          <w:shd w:val="clear" w:color="auto" w:fill="auto"/>
        </w:rPr>
        <w:t>日</w:t>
      </w:r>
      <w:r>
        <w:rPr>
          <w:rFonts w:hint="eastAsia" w:ascii="宋体" w:hAnsi="宋体" w:cs="宋体"/>
          <w:bCs/>
          <w:color w:val="auto"/>
          <w:sz w:val="24"/>
          <w:highlight w:val="none"/>
          <w:shd w:val="clear" w:color="auto" w:fill="auto"/>
          <w:lang w:val="en-US" w:eastAsia="zh-CN"/>
        </w:rPr>
        <w:t>08</w:t>
      </w:r>
      <w:r>
        <w:rPr>
          <w:rFonts w:hint="eastAsia" w:ascii="宋体" w:hAnsi="宋体" w:eastAsia="宋体" w:cs="宋体"/>
          <w:bCs/>
          <w:color w:val="auto"/>
          <w:sz w:val="24"/>
          <w:highlight w:val="none"/>
          <w:shd w:val="clear" w:color="auto" w:fill="auto"/>
          <w:lang w:val="en-US" w:eastAsia="zh-CN"/>
        </w:rPr>
        <w:t>时</w:t>
      </w:r>
      <w:r>
        <w:rPr>
          <w:rFonts w:hint="eastAsia" w:ascii="宋体" w:hAnsi="宋体" w:cs="宋体"/>
          <w:bCs/>
          <w:color w:val="auto"/>
          <w:sz w:val="24"/>
          <w:highlight w:val="none"/>
          <w:shd w:val="clear" w:color="auto" w:fill="auto"/>
          <w:lang w:val="en-US" w:eastAsia="zh-CN"/>
        </w:rPr>
        <w:t>30</w:t>
      </w:r>
      <w:r>
        <w:rPr>
          <w:rFonts w:hint="eastAsia" w:ascii="宋体" w:hAnsi="宋体" w:eastAsia="宋体" w:cs="宋体"/>
          <w:bCs/>
          <w:color w:val="auto"/>
          <w:sz w:val="24"/>
          <w:highlight w:val="none"/>
          <w:shd w:val="clear" w:color="auto" w:fill="auto"/>
          <w:lang w:val="en-US" w:eastAsia="zh-CN"/>
        </w:rPr>
        <w:t>分00秒</w:t>
      </w:r>
      <w:r>
        <w:rPr>
          <w:rFonts w:hint="eastAsia" w:ascii="宋体" w:hAnsi="宋体" w:eastAsia="宋体" w:cs="宋体"/>
          <w:bCs/>
          <w:color w:val="auto"/>
          <w:sz w:val="24"/>
          <w:highlight w:val="none"/>
          <w:shd w:val="clear" w:color="auto" w:fill="auto"/>
        </w:rPr>
        <w:t>前，到临海市限额以下公共资源交易区域平台可自行下载采购文件。</w:t>
      </w:r>
    </w:p>
    <w:p w14:paraId="4E0B2D91">
      <w:pPr>
        <w:pStyle w:val="46"/>
        <w:spacing w:before="0" w:beforeAutospacing="0" w:after="0" w:afterAutospacing="0" w:line="400" w:lineRule="exac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招标文件答疑：</w:t>
      </w:r>
      <w:r>
        <w:rPr>
          <w:rFonts w:hint="eastAsia" w:cs="宋体"/>
          <w:b/>
          <w:color w:val="auto"/>
          <w:highlight w:val="none"/>
          <w:shd w:val="clear" w:color="auto" w:fill="auto"/>
          <w:lang w:eastAsia="zh-CN"/>
        </w:rPr>
        <w:t>投标人对采购文件提出质疑的，应在投标截止前1天提出问题及要求澄清招标文件，否则被质疑人可不予接受。</w:t>
      </w:r>
    </w:p>
    <w:p w14:paraId="3585A11E">
      <w:pPr>
        <w:pStyle w:val="46"/>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5.投标保证金</w:t>
      </w:r>
    </w:p>
    <w:p w14:paraId="19B2B0A0">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本项目不收取投标保证金。</w:t>
      </w:r>
    </w:p>
    <w:p w14:paraId="410C8077">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6</w:t>
      </w:r>
      <w:r>
        <w:rPr>
          <w:rFonts w:hint="eastAsia" w:ascii="宋体" w:hAnsi="宋体" w:eastAsia="宋体" w:cs="宋体"/>
          <w:b/>
          <w:bCs/>
          <w:color w:val="auto"/>
          <w:kern w:val="0"/>
          <w:sz w:val="24"/>
          <w:highlight w:val="none"/>
          <w:shd w:val="clear" w:color="auto" w:fill="auto"/>
        </w:rPr>
        <w:t>.投标说明</w:t>
      </w:r>
    </w:p>
    <w:p w14:paraId="71AF1DE2">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（1）本项目实行电子投标，投标人应按照本项目招标文件求编制、加密并递交投标文件。投标人在使用系统进行投标的过程中遇到涉及平台使用的任何问题，可致电平台技术支持联系方式：15267291759。</w:t>
      </w:r>
    </w:p>
    <w:p w14:paraId="51CF19C6">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264A1552">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（3）投标人应在开标前完成CA数字证书办理。（办理流程详见临海市限额以下公共资源交易区域平台-办事指南的操作说明）。</w:t>
      </w:r>
    </w:p>
    <w:p w14:paraId="363BA8DF">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4"/>
          <w:highlight w:val="none"/>
          <w:shd w:val="clear" w:color="auto" w:fill="auto"/>
        </w:rPr>
        <w:t>投标截止时间后传输、递交的投标文件，将被拒收。</w:t>
      </w:r>
    </w:p>
    <w:p w14:paraId="73A1A54F">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（5）本招标文件中关于电子招投标内容、流程如与</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bCs/>
          <w:color w:val="auto"/>
          <w:kern w:val="0"/>
          <w:sz w:val="24"/>
          <w:highlight w:val="none"/>
          <w:shd w:val="clear" w:color="auto" w:fill="auto"/>
        </w:rPr>
        <w:t>中最新的内容、操作不一致的，以平台中的要求为准。</w:t>
      </w:r>
    </w:p>
    <w:p w14:paraId="1F26A83B">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7</w:t>
      </w:r>
      <w:r>
        <w:rPr>
          <w:rFonts w:hint="eastAsia" w:ascii="宋体" w:hAnsi="宋体" w:eastAsia="宋体" w:cs="宋体"/>
          <w:b/>
          <w:color w:val="auto"/>
          <w:kern w:val="0"/>
          <w:sz w:val="24"/>
          <w:highlight w:val="none"/>
          <w:shd w:val="clear" w:color="auto" w:fill="auto"/>
        </w:rPr>
        <w:t>.</w:t>
      </w:r>
      <w:r>
        <w:rPr>
          <w:rFonts w:hint="eastAsia" w:ascii="宋体" w:hAnsi="宋体" w:eastAsia="宋体" w:cs="宋体"/>
          <w:b/>
          <w:color w:val="auto"/>
          <w:sz w:val="24"/>
          <w:highlight w:val="none"/>
          <w:shd w:val="clear" w:color="auto" w:fill="auto"/>
        </w:rPr>
        <w:t>投标文件的组成、效力</w:t>
      </w:r>
    </w:p>
    <w:p w14:paraId="00841FCC">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（1）本项目实行电子投标，投标人应准备电子投标文件，本项目线下无需提供任何备份投标文件。电子投标文件应按本招标文件要求编制。</w:t>
      </w:r>
    </w:p>
    <w:p w14:paraId="703E3C99">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传输递交电子投标文件的，投标无效。</w:t>
      </w:r>
    </w:p>
    <w:p w14:paraId="5FB39BF4">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8.投标截止时间及电子投标文件的递交</w:t>
      </w:r>
    </w:p>
    <w:p w14:paraId="3737C49B">
      <w:pPr>
        <w:spacing w:line="400" w:lineRule="exact"/>
        <w:rPr>
          <w:rFonts w:hint="eastAsia" w:ascii="宋体" w:hAnsi="宋体" w:eastAsia="宋体" w:cs="宋体"/>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电子投标文件</w:t>
      </w:r>
      <w:r>
        <w:rPr>
          <w:rFonts w:hint="eastAsia" w:ascii="宋体" w:hAnsi="宋体" w:eastAsia="宋体" w:cs="宋体"/>
          <w:b/>
          <w:color w:val="auto"/>
          <w:sz w:val="24"/>
          <w:highlight w:val="none"/>
          <w:shd w:val="clear" w:color="auto" w:fill="auto"/>
        </w:rPr>
        <w:t>投标截止时间：</w:t>
      </w:r>
      <w:r>
        <w:rPr>
          <w:rFonts w:hint="eastAsia" w:ascii="宋体" w:hAnsi="宋体" w:eastAsia="宋体" w:cs="宋体"/>
          <w:bCs/>
          <w:color w:val="auto"/>
          <w:sz w:val="24"/>
          <w:highlight w:val="none"/>
          <w:shd w:val="clear" w:color="auto" w:fill="auto"/>
        </w:rPr>
        <w:t>在202</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年</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月</w:t>
      </w:r>
      <w:r>
        <w:rPr>
          <w:rFonts w:hint="eastAsia" w:ascii="宋体" w:hAnsi="宋体" w:cs="宋体"/>
          <w:bCs/>
          <w:color w:val="auto"/>
          <w:sz w:val="24"/>
          <w:highlight w:val="none"/>
          <w:shd w:val="clear" w:color="auto" w:fill="auto"/>
          <w:lang w:val="en-US" w:eastAsia="zh-CN"/>
        </w:rPr>
        <w:t>4</w:t>
      </w:r>
      <w:r>
        <w:rPr>
          <w:rFonts w:hint="eastAsia" w:ascii="宋体" w:hAnsi="宋体" w:eastAsia="宋体" w:cs="宋体"/>
          <w:bCs/>
          <w:color w:val="auto"/>
          <w:sz w:val="24"/>
          <w:highlight w:val="none"/>
          <w:shd w:val="clear" w:color="auto" w:fill="auto"/>
        </w:rPr>
        <w:t>日</w:t>
      </w:r>
      <w:r>
        <w:rPr>
          <w:rFonts w:hint="eastAsia" w:ascii="宋体" w:hAnsi="宋体" w:cs="宋体"/>
          <w:bCs/>
          <w:color w:val="auto"/>
          <w:sz w:val="24"/>
          <w:highlight w:val="none"/>
          <w:shd w:val="clear" w:color="auto" w:fill="auto"/>
          <w:lang w:val="en-US" w:eastAsia="zh-CN"/>
        </w:rPr>
        <w:t>08</w:t>
      </w:r>
      <w:r>
        <w:rPr>
          <w:rFonts w:hint="eastAsia" w:ascii="宋体" w:hAnsi="宋体" w:eastAsia="宋体" w:cs="宋体"/>
          <w:bCs/>
          <w:color w:val="auto"/>
          <w:sz w:val="24"/>
          <w:highlight w:val="none"/>
          <w:shd w:val="clear" w:color="auto" w:fill="auto"/>
          <w:lang w:val="en-US" w:eastAsia="zh-CN"/>
        </w:rPr>
        <w:t>时</w:t>
      </w:r>
      <w:r>
        <w:rPr>
          <w:rFonts w:hint="eastAsia" w:ascii="宋体" w:hAnsi="宋体" w:cs="宋体"/>
          <w:bCs/>
          <w:color w:val="auto"/>
          <w:sz w:val="24"/>
          <w:highlight w:val="none"/>
          <w:shd w:val="clear" w:color="auto" w:fill="auto"/>
          <w:lang w:val="en-US" w:eastAsia="zh-CN"/>
        </w:rPr>
        <w:t>30</w:t>
      </w:r>
      <w:r>
        <w:rPr>
          <w:rFonts w:hint="eastAsia" w:ascii="宋体" w:hAnsi="宋体" w:eastAsia="宋体" w:cs="宋体"/>
          <w:bCs/>
          <w:color w:val="auto"/>
          <w:sz w:val="24"/>
          <w:highlight w:val="none"/>
          <w:shd w:val="clear" w:color="auto" w:fill="auto"/>
          <w:lang w:val="en-US" w:eastAsia="zh-CN"/>
        </w:rPr>
        <w:t>分00秒</w:t>
      </w: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kern w:val="0"/>
          <w:sz w:val="24"/>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4"/>
          <w:highlight w:val="none"/>
          <w:shd w:val="clear" w:color="auto" w:fill="auto"/>
        </w:rPr>
        <w:t>，投标无效。</w:t>
      </w:r>
    </w:p>
    <w:p w14:paraId="6A9B6735">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9.</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color w:val="auto"/>
          <w:sz w:val="24"/>
          <w:highlight w:val="none"/>
          <w:shd w:val="clear" w:color="auto" w:fill="auto"/>
        </w:rPr>
        <w:t xml:space="preserve">及开评标期间出现网络故障或停电时的应急处理措施：      </w:t>
      </w:r>
    </w:p>
    <w:p w14:paraId="5AEE62F6">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1C68EF8D">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5428E621">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10.开标</w:t>
      </w:r>
    </w:p>
    <w:p w14:paraId="4ED38925">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开标时间：</w:t>
      </w:r>
      <w:r>
        <w:rPr>
          <w:rFonts w:hint="eastAsia" w:ascii="宋体" w:hAnsi="宋体" w:eastAsia="宋体" w:cs="宋体"/>
          <w:bCs/>
          <w:color w:val="auto"/>
          <w:sz w:val="24"/>
          <w:highlight w:val="none"/>
          <w:shd w:val="clear" w:color="auto" w:fill="auto"/>
        </w:rPr>
        <w:t>202</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年</w:t>
      </w:r>
      <w:r>
        <w:rPr>
          <w:rFonts w:hint="eastAsia" w:ascii="宋体" w:hAnsi="宋体" w:cs="宋体"/>
          <w:bCs/>
          <w:color w:val="auto"/>
          <w:sz w:val="24"/>
          <w:highlight w:val="none"/>
          <w:shd w:val="clear" w:color="auto" w:fill="auto"/>
          <w:lang w:val="en-US" w:eastAsia="zh-CN"/>
        </w:rPr>
        <w:t>6</w:t>
      </w:r>
      <w:r>
        <w:rPr>
          <w:rFonts w:hint="eastAsia" w:ascii="宋体" w:hAnsi="宋体" w:eastAsia="宋体" w:cs="宋体"/>
          <w:bCs/>
          <w:color w:val="auto"/>
          <w:sz w:val="24"/>
          <w:highlight w:val="none"/>
          <w:shd w:val="clear" w:color="auto" w:fill="auto"/>
        </w:rPr>
        <w:t>月</w:t>
      </w:r>
      <w:r>
        <w:rPr>
          <w:rFonts w:hint="eastAsia" w:ascii="宋体" w:hAnsi="宋体" w:cs="宋体"/>
          <w:bCs/>
          <w:color w:val="auto"/>
          <w:sz w:val="24"/>
          <w:highlight w:val="none"/>
          <w:shd w:val="clear" w:color="auto" w:fill="auto"/>
          <w:lang w:val="en-US" w:eastAsia="zh-CN"/>
        </w:rPr>
        <w:t>4</w:t>
      </w:r>
      <w:r>
        <w:rPr>
          <w:rFonts w:hint="eastAsia" w:ascii="宋体" w:hAnsi="宋体" w:eastAsia="宋体" w:cs="宋体"/>
          <w:bCs/>
          <w:color w:val="auto"/>
          <w:sz w:val="24"/>
          <w:highlight w:val="none"/>
          <w:shd w:val="clear" w:color="auto" w:fill="auto"/>
        </w:rPr>
        <w:t>日</w:t>
      </w:r>
      <w:r>
        <w:rPr>
          <w:rFonts w:hint="eastAsia" w:ascii="宋体" w:hAnsi="宋体" w:cs="宋体"/>
          <w:bCs/>
          <w:color w:val="auto"/>
          <w:sz w:val="24"/>
          <w:highlight w:val="none"/>
          <w:shd w:val="clear" w:color="auto" w:fill="auto"/>
          <w:lang w:val="en-US" w:eastAsia="zh-CN"/>
        </w:rPr>
        <w:t>08</w:t>
      </w:r>
      <w:r>
        <w:rPr>
          <w:rFonts w:hint="eastAsia" w:ascii="宋体" w:hAnsi="宋体" w:eastAsia="宋体" w:cs="宋体"/>
          <w:bCs/>
          <w:color w:val="auto"/>
          <w:sz w:val="24"/>
          <w:highlight w:val="none"/>
          <w:shd w:val="clear" w:color="auto" w:fill="auto"/>
          <w:lang w:val="en-US" w:eastAsia="zh-CN"/>
        </w:rPr>
        <w:t>时</w:t>
      </w:r>
      <w:r>
        <w:rPr>
          <w:rFonts w:hint="eastAsia" w:ascii="宋体" w:hAnsi="宋体" w:cs="宋体"/>
          <w:bCs/>
          <w:color w:val="auto"/>
          <w:sz w:val="24"/>
          <w:highlight w:val="none"/>
          <w:shd w:val="clear" w:color="auto" w:fill="auto"/>
          <w:lang w:val="en-US" w:eastAsia="zh-CN"/>
        </w:rPr>
        <w:t>30</w:t>
      </w:r>
      <w:r>
        <w:rPr>
          <w:rFonts w:hint="eastAsia" w:ascii="宋体" w:hAnsi="宋体" w:eastAsia="宋体" w:cs="宋体"/>
          <w:bCs/>
          <w:color w:val="auto"/>
          <w:sz w:val="24"/>
          <w:highlight w:val="none"/>
          <w:shd w:val="clear" w:color="auto" w:fill="auto"/>
          <w:lang w:val="en-US" w:eastAsia="zh-CN"/>
        </w:rPr>
        <w:t>分00秒</w:t>
      </w:r>
      <w:r>
        <w:rPr>
          <w:rFonts w:hint="eastAsia" w:ascii="宋体" w:hAnsi="宋体" w:eastAsia="宋体" w:cs="宋体"/>
          <w:color w:val="auto"/>
          <w:sz w:val="24"/>
          <w:highlight w:val="none"/>
          <w:shd w:val="clear" w:color="auto" w:fill="auto"/>
        </w:rPr>
        <w:t>。</w:t>
      </w:r>
    </w:p>
    <w:p w14:paraId="31D6647E">
      <w:pPr>
        <w:spacing w:line="400" w:lineRule="exact"/>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开标地点：江南街道春和路下岙余村新办公楼二楼开标室</w:t>
      </w:r>
      <w:r>
        <w:rPr>
          <w:rFonts w:hint="eastAsia" w:ascii="宋体" w:hAnsi="宋体" w:cs="宋体"/>
          <w:color w:val="auto"/>
          <w:sz w:val="24"/>
          <w:highlight w:val="none"/>
          <w:shd w:val="clear" w:color="auto" w:fill="auto"/>
          <w:lang w:val="en-US" w:eastAsia="zh-CN"/>
        </w:rPr>
        <w:t>2</w:t>
      </w:r>
    </w:p>
    <w:p w14:paraId="11591BEE">
      <w:pPr>
        <w:spacing w:line="400" w:lineRule="exact"/>
        <w:rPr>
          <w:rFonts w:hint="eastAsia" w:ascii="宋体" w:hAnsi="宋体" w:eastAsia="宋体" w:cs="宋体"/>
          <w:b/>
          <w:color w:val="auto"/>
          <w:sz w:val="24"/>
          <w:highlight w:val="none"/>
          <w:shd w:val="clear" w:color="auto" w:fill="auto"/>
          <w:lang w:eastAsia="zh-CN"/>
        </w:rPr>
      </w:pPr>
      <w:r>
        <w:rPr>
          <w:rFonts w:hint="eastAsia" w:ascii="宋体" w:hAnsi="宋体" w:eastAsia="宋体" w:cs="宋体"/>
          <w:b/>
          <w:color w:val="auto"/>
          <w:sz w:val="24"/>
          <w:highlight w:val="none"/>
          <w:shd w:val="clear" w:color="auto" w:fill="auto"/>
        </w:rPr>
        <w:t>11.发布公告的媒介</w:t>
      </w:r>
    </w:p>
    <w:p w14:paraId="52BCAE1D">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本次招标公告在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上发布。</w:t>
      </w:r>
    </w:p>
    <w:p w14:paraId="717A01AB">
      <w:pPr>
        <w:spacing w:line="40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12、其他事项</w:t>
      </w:r>
    </w:p>
    <w:p w14:paraId="586EDFD1">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接标截止时间以平台服务器时间为准，请准时提交投标文件。</w:t>
      </w:r>
    </w:p>
    <w:p w14:paraId="571145F7">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13、联系方式</w:t>
      </w:r>
    </w:p>
    <w:p w14:paraId="19E3346F">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（1）招标人信息</w:t>
      </w:r>
    </w:p>
    <w:p w14:paraId="07F3436B">
      <w:pPr>
        <w:spacing w:line="400" w:lineRule="exact"/>
        <w:rPr>
          <w:rFonts w:hint="eastAsia" w:ascii="宋体" w:hAnsi="宋体" w:eastAsia="宋体"/>
          <w:bCs/>
          <w:color w:val="auto"/>
          <w:sz w:val="24"/>
          <w:highlight w:val="none"/>
          <w:lang w:eastAsia="zh-CN"/>
        </w:rPr>
      </w:pPr>
      <w:r>
        <w:rPr>
          <w:rFonts w:hint="eastAsia" w:ascii="宋体" w:hAnsi="宋体" w:eastAsia="宋体" w:cs="宋体"/>
          <w:bCs/>
          <w:color w:val="auto"/>
          <w:sz w:val="24"/>
          <w:highlight w:val="none"/>
          <w:shd w:val="clear" w:color="auto" w:fill="auto"/>
          <w:lang w:val="en-US" w:eastAsia="zh-CN"/>
        </w:rPr>
        <w:t>招标人：</w:t>
      </w:r>
      <w:r>
        <w:rPr>
          <w:rFonts w:hint="eastAsia" w:ascii="宋体" w:hAnsi="宋体"/>
          <w:bCs/>
          <w:color w:val="auto"/>
          <w:sz w:val="24"/>
          <w:highlight w:val="none"/>
          <w:lang w:eastAsia="zh-CN"/>
        </w:rPr>
        <w:t>临海市中医院医疗卫生服务共同体</w:t>
      </w:r>
    </w:p>
    <w:p w14:paraId="31A13412">
      <w:pPr>
        <w:spacing w:line="400" w:lineRule="exact"/>
        <w:ind w:firstLine="960" w:firstLineChars="400"/>
        <w:rPr>
          <w:rFonts w:hint="eastAsia" w:ascii="宋体" w:hAnsi="宋体"/>
          <w:bCs/>
          <w:color w:val="auto"/>
          <w:sz w:val="24"/>
          <w:highlight w:val="none"/>
        </w:rPr>
      </w:pPr>
      <w:r>
        <w:rPr>
          <w:rFonts w:hint="eastAsia" w:ascii="宋体" w:hAnsi="宋体"/>
          <w:bCs/>
          <w:color w:val="auto"/>
          <w:sz w:val="24"/>
          <w:highlight w:val="none"/>
        </w:rPr>
        <w:t>临海市江南街道社区卫生服务中心</w:t>
      </w:r>
    </w:p>
    <w:p w14:paraId="47B34073">
      <w:pPr>
        <w:spacing w:line="400" w:lineRule="exact"/>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lang w:val="en-US" w:eastAsia="zh-CN"/>
        </w:rPr>
        <w:t>地址：台州市临海市江南街道小溪村5-60号</w:t>
      </w:r>
    </w:p>
    <w:p w14:paraId="0666A332">
      <w:pPr>
        <w:spacing w:line="400" w:lineRule="exact"/>
        <w:rPr>
          <w:rFonts w:hint="default"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项目联系人：</w:t>
      </w:r>
      <w:r>
        <w:rPr>
          <w:rFonts w:hint="eastAsia" w:ascii="宋体" w:hAnsi="宋体" w:cs="宋体"/>
          <w:bCs/>
          <w:color w:val="auto"/>
          <w:sz w:val="24"/>
          <w:highlight w:val="none"/>
          <w:shd w:val="clear" w:color="auto" w:fill="auto"/>
          <w:lang w:val="en-US" w:eastAsia="zh-CN"/>
        </w:rPr>
        <w:t>卢女士</w:t>
      </w:r>
      <w:r>
        <w:rPr>
          <w:rFonts w:hint="eastAsia" w:ascii="宋体" w:hAnsi="宋体" w:eastAsia="宋体" w:cs="宋体"/>
          <w:bCs/>
          <w:color w:val="auto"/>
          <w:sz w:val="24"/>
          <w:highlight w:val="none"/>
          <w:shd w:val="clear" w:color="auto" w:fill="auto"/>
          <w:lang w:val="en-US" w:eastAsia="zh-CN"/>
        </w:rPr>
        <w:t xml:space="preserve">   </w:t>
      </w:r>
    </w:p>
    <w:p w14:paraId="638B8B43">
      <w:pPr>
        <w:spacing w:line="400" w:lineRule="exact"/>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项目联系方式：</w:t>
      </w:r>
      <w:r>
        <w:rPr>
          <w:rFonts w:hint="eastAsia" w:ascii="宋体" w:hAnsi="宋体" w:eastAsia="宋体" w:cs="宋体"/>
          <w:bCs/>
          <w:color w:val="auto"/>
          <w:sz w:val="24"/>
          <w:highlight w:val="none"/>
          <w:shd w:val="clear" w:color="auto" w:fill="auto"/>
          <w:lang w:val="en-US" w:eastAsia="zh-CN"/>
        </w:rPr>
        <w:t>0576-89368814</w:t>
      </w:r>
    </w:p>
    <w:p w14:paraId="088D48BB">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（2）代理机构信息</w:t>
      </w:r>
    </w:p>
    <w:p w14:paraId="0BD9B8BC">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名 称：</w:t>
      </w:r>
      <w:bookmarkStart w:id="6" w:name="OLE_LINK19"/>
      <w:r>
        <w:rPr>
          <w:rFonts w:hint="eastAsia" w:ascii="宋体" w:hAnsi="宋体" w:cs="宋体"/>
          <w:bCs/>
          <w:color w:val="auto"/>
          <w:sz w:val="24"/>
          <w:highlight w:val="none"/>
          <w:shd w:val="clear" w:color="auto" w:fill="auto"/>
          <w:lang w:val="en-US" w:eastAsia="zh-CN"/>
        </w:rPr>
        <w:t>浙江广通工程咨询有限公司</w:t>
      </w:r>
      <w:bookmarkEnd w:id="6"/>
    </w:p>
    <w:p w14:paraId="446880F5">
      <w:pPr>
        <w:spacing w:line="400" w:lineRule="exact"/>
        <w:rPr>
          <w:rFonts w:hint="eastAsia" w:ascii="宋体" w:hAnsi="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 xml:space="preserve">地址: </w:t>
      </w:r>
      <w:r>
        <w:rPr>
          <w:rFonts w:hint="eastAsia" w:ascii="宋体" w:hAnsi="宋体" w:cs="宋体"/>
          <w:bCs/>
          <w:color w:val="auto"/>
          <w:sz w:val="24"/>
          <w:highlight w:val="none"/>
          <w:shd w:val="clear" w:color="auto" w:fill="auto"/>
          <w:lang w:val="en-US" w:eastAsia="zh-CN"/>
        </w:rPr>
        <w:t>浙江省台州市椒江区中心大道133号中环世纪6幢</w:t>
      </w:r>
    </w:p>
    <w:p w14:paraId="4803A629">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项目联系人：</w:t>
      </w:r>
      <w:r>
        <w:rPr>
          <w:rFonts w:hint="eastAsia" w:ascii="宋体" w:hAnsi="宋体" w:cs="宋体"/>
          <w:bCs/>
          <w:color w:val="auto"/>
          <w:sz w:val="24"/>
          <w:highlight w:val="none"/>
          <w:shd w:val="clear" w:color="auto" w:fill="auto"/>
          <w:lang w:val="en-US" w:eastAsia="zh-CN"/>
        </w:rPr>
        <w:t>顾先生</w:t>
      </w:r>
    </w:p>
    <w:p w14:paraId="6D800F87">
      <w:pPr>
        <w:spacing w:line="400" w:lineRule="exact"/>
        <w:rPr>
          <w:rFonts w:hint="eastAsia" w:ascii="宋体" w:hAnsi="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项目联系方式：</w:t>
      </w:r>
      <w:r>
        <w:rPr>
          <w:rFonts w:hint="eastAsia" w:ascii="宋体" w:hAnsi="宋体" w:cs="宋体"/>
          <w:bCs/>
          <w:color w:val="auto"/>
          <w:sz w:val="24"/>
          <w:highlight w:val="none"/>
          <w:shd w:val="clear" w:color="auto" w:fill="auto"/>
          <w:lang w:val="en-US" w:eastAsia="zh-CN"/>
        </w:rPr>
        <w:t>13819675833</w:t>
      </w:r>
    </w:p>
    <w:p w14:paraId="6D5581BE">
      <w:pPr>
        <w:spacing w:line="400" w:lineRule="exact"/>
        <w:rPr>
          <w:rFonts w:hint="eastAsia" w:ascii="宋体" w:hAnsi="宋体" w:eastAsia="宋体"/>
          <w:bCs/>
          <w:color w:val="auto"/>
          <w:sz w:val="24"/>
          <w:highlight w:val="none"/>
          <w:shd w:val="clear" w:color="auto" w:fill="auto"/>
          <w:lang w:eastAsia="zh-CN"/>
        </w:rPr>
      </w:pPr>
      <w:r>
        <w:rPr>
          <w:rFonts w:hint="eastAsia" w:ascii="宋体" w:hAnsi="宋体"/>
          <w:bCs/>
          <w:color w:val="auto"/>
          <w:sz w:val="24"/>
          <w:highlight w:val="none"/>
          <w:shd w:val="clear" w:color="auto" w:fill="auto"/>
        </w:rPr>
        <w:t>质疑联系人：</w:t>
      </w:r>
      <w:r>
        <w:rPr>
          <w:rFonts w:hint="eastAsia" w:ascii="宋体" w:hAnsi="宋体"/>
          <w:bCs/>
          <w:color w:val="auto"/>
          <w:sz w:val="24"/>
          <w:highlight w:val="none"/>
          <w:shd w:val="clear" w:color="auto" w:fill="auto"/>
          <w:lang w:val="en-US" w:eastAsia="zh-CN"/>
        </w:rPr>
        <w:t>蒋女士</w:t>
      </w:r>
    </w:p>
    <w:p w14:paraId="4806D1B1">
      <w:pPr>
        <w:spacing w:line="400" w:lineRule="exact"/>
        <w:rPr>
          <w:rFonts w:hint="default" w:ascii="宋体" w:hAnsi="宋体"/>
          <w:bCs/>
          <w:color w:val="auto"/>
          <w:sz w:val="24"/>
          <w:highlight w:val="none"/>
          <w:shd w:val="clear" w:color="auto" w:fill="auto"/>
          <w:lang w:val="en-US" w:eastAsia="zh-CN"/>
        </w:rPr>
      </w:pPr>
      <w:r>
        <w:rPr>
          <w:rFonts w:hint="eastAsia" w:ascii="宋体" w:hAnsi="宋体"/>
          <w:bCs/>
          <w:color w:val="auto"/>
          <w:sz w:val="24"/>
          <w:highlight w:val="none"/>
          <w:shd w:val="clear" w:color="auto" w:fill="auto"/>
        </w:rPr>
        <w:t>质疑联系方式：</w:t>
      </w:r>
      <w:r>
        <w:rPr>
          <w:rFonts w:hint="eastAsia" w:ascii="宋体" w:hAnsi="宋体"/>
          <w:bCs/>
          <w:color w:val="auto"/>
          <w:sz w:val="24"/>
          <w:highlight w:val="none"/>
          <w:shd w:val="clear" w:color="auto" w:fill="auto"/>
          <w:lang w:val="en-US" w:eastAsia="zh-CN"/>
        </w:rPr>
        <w:t>13758649572</w:t>
      </w:r>
    </w:p>
    <w:p w14:paraId="264E330C">
      <w:pPr>
        <w:pStyle w:val="50"/>
        <w:rPr>
          <w:rFonts w:hint="eastAsia"/>
          <w:highlight w:val="none"/>
          <w:lang w:val="en-US" w:eastAsia="zh-CN"/>
        </w:rPr>
      </w:pPr>
    </w:p>
    <w:p w14:paraId="0FB7FDBD">
      <w:pPr>
        <w:pStyle w:val="50"/>
        <w:rPr>
          <w:rFonts w:hint="default"/>
          <w:highlight w:val="none"/>
          <w:lang w:val="en-US" w:eastAsia="zh-CN"/>
        </w:rPr>
      </w:pPr>
    </w:p>
    <w:p w14:paraId="75BBAD08">
      <w:pPr>
        <w:rPr>
          <w:rFonts w:hint="default"/>
          <w:color w:val="auto"/>
          <w:highlight w:val="none"/>
          <w:lang w:val="en-US" w:eastAsia="zh-CN"/>
        </w:rPr>
        <w:sectPr>
          <w:footerReference r:id="rId8" w:type="default"/>
          <w:pgSz w:w="11906" w:h="16838"/>
          <w:pgMar w:top="1021" w:right="1588" w:bottom="851" w:left="1588" w:header="851" w:footer="851" w:gutter="0"/>
          <w:pgBorders>
            <w:top w:val="none" w:sz="0" w:space="0"/>
            <w:left w:val="none" w:sz="0" w:space="0"/>
            <w:bottom w:val="none" w:sz="0" w:space="0"/>
            <w:right w:val="none" w:sz="0" w:space="0"/>
          </w:pgBorders>
          <w:pgNumType w:fmt="decimal" w:start="1"/>
          <w:cols w:space="720" w:num="1"/>
        </w:sectPr>
      </w:pPr>
    </w:p>
    <w:p w14:paraId="291566B6">
      <w:pPr>
        <w:numPr>
          <w:ilvl w:val="0"/>
          <w:numId w:val="4"/>
        </w:numPr>
        <w:spacing w:line="400" w:lineRule="exact"/>
        <w:jc w:val="center"/>
        <w:outlineLvl w:val="0"/>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t xml:space="preserve">  </w:t>
      </w:r>
      <w:bookmarkStart w:id="7" w:name="_Toc8405"/>
      <w:r>
        <w:rPr>
          <w:rFonts w:hint="eastAsia" w:ascii="宋体" w:hAnsi="宋体" w:eastAsia="宋体" w:cs="宋体"/>
          <w:b/>
          <w:color w:val="auto"/>
          <w:sz w:val="36"/>
          <w:szCs w:val="36"/>
          <w:highlight w:val="none"/>
          <w:shd w:val="clear" w:color="auto" w:fill="auto"/>
        </w:rPr>
        <w:t>招标需求</w:t>
      </w:r>
      <w:bookmarkEnd w:id="7"/>
    </w:p>
    <w:bookmarkEnd w:id="3"/>
    <w:bookmarkEnd w:id="4"/>
    <w:p w14:paraId="61DE67D3">
      <w:pPr>
        <w:snapToGrid w:val="0"/>
        <w:spacing w:before="120" w:beforeLines="50" w:after="120" w:afterLines="50" w:line="300" w:lineRule="exact"/>
        <w:rPr>
          <w:rFonts w:hint="eastAsia" w:ascii="宋体" w:hAnsi="宋体"/>
          <w:b/>
          <w:sz w:val="24"/>
          <w:highlight w:val="none"/>
          <w:lang w:val="en-US" w:eastAsia="zh-CN"/>
        </w:rPr>
      </w:pPr>
      <w:bookmarkStart w:id="8" w:name="_Toc466534749"/>
      <w:r>
        <w:rPr>
          <w:rFonts w:hint="eastAsia" w:ascii="宋体" w:hAnsi="宋体"/>
          <w:b/>
          <w:sz w:val="24"/>
          <w:highlight w:val="none"/>
        </w:rPr>
        <w:t>一、</w:t>
      </w:r>
      <w:r>
        <w:rPr>
          <w:rFonts w:hint="eastAsia" w:ascii="宋体" w:hAnsi="宋体"/>
          <w:b/>
          <w:sz w:val="24"/>
          <w:highlight w:val="none"/>
          <w:lang w:val="en-US" w:eastAsia="zh-CN"/>
        </w:rPr>
        <w:t>采购内容及清单</w:t>
      </w:r>
      <w:r>
        <w:rPr>
          <w:rFonts w:hint="eastAsia" w:ascii="宋体" w:hAnsi="宋体"/>
          <w:b/>
          <w:sz w:val="24"/>
          <w:highlight w:val="none"/>
        </w:rPr>
        <w:t>：</w:t>
      </w:r>
    </w:p>
    <w:tbl>
      <w:tblPr>
        <w:tblStyle w:val="51"/>
        <w:tblW w:w="470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4"/>
        <w:gridCol w:w="1919"/>
        <w:gridCol w:w="1768"/>
        <w:gridCol w:w="2640"/>
        <w:gridCol w:w="4757"/>
        <w:gridCol w:w="767"/>
        <w:gridCol w:w="835"/>
        <w:gridCol w:w="742"/>
      </w:tblGrid>
      <w:tr w14:paraId="77F37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2B1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752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名称</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BBF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规格</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30D2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图片</w:t>
            </w:r>
          </w:p>
        </w:tc>
        <w:tc>
          <w:tcPr>
            <w:tcW w:w="16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A897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技术参数</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4351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单位</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190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A5B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备注</w:t>
            </w:r>
          </w:p>
        </w:tc>
      </w:tr>
      <w:tr w14:paraId="7DEB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65F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7C0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办公椅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B8F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E5A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447040</wp:posOffset>
                  </wp:positionH>
                  <wp:positionV relativeFrom="paragraph">
                    <wp:posOffset>144145</wp:posOffset>
                  </wp:positionV>
                  <wp:extent cx="649605" cy="908685"/>
                  <wp:effectExtent l="0" t="0" r="17145" b="5715"/>
                  <wp:wrapNone/>
                  <wp:docPr id="40" name="图片_91"/>
                  <wp:cNvGraphicFramePr/>
                  <a:graphic xmlns:a="http://schemas.openxmlformats.org/drawingml/2006/main">
                    <a:graphicData uri="http://schemas.openxmlformats.org/drawingml/2006/picture">
                      <pic:pic xmlns:pic="http://schemas.openxmlformats.org/drawingml/2006/picture">
                        <pic:nvPicPr>
                          <pic:cNvPr id="40" name="图片_91"/>
                          <pic:cNvPicPr/>
                        </pic:nvPicPr>
                        <pic:blipFill>
                          <a:blip r:embed="rId15"/>
                          <a:stretch>
                            <a:fillRect/>
                          </a:stretch>
                        </pic:blipFill>
                        <pic:spPr>
                          <a:xfrm>
                            <a:off x="0" y="0"/>
                            <a:ext cx="649605" cy="90868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41E9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1.背框：采用黑色全新环保PP+纤塑料一次注塑成型。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2. 网布：采用优质加厚条纹网，透气抗拉力强面料，耐磨性强、透气性好，耐干耐湿测试。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3.坐垫：采用环保胶合板，经高频热压一次弯曲成型。加衬加厚高密度海绵，75%压缩永久变形≤5.0%，回弹率≥50%，拉伸强度≥153kpa,甲醛释放量未检出，TVOC未检出，回弹性能达A级，阻燃等级至少达II级。   </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20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90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D316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458F9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AC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08B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就诊椅（病人就诊时坐的椅子）</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69A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34*24*45cm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5D9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306705</wp:posOffset>
                  </wp:positionH>
                  <wp:positionV relativeFrom="paragraph">
                    <wp:posOffset>197485</wp:posOffset>
                  </wp:positionV>
                  <wp:extent cx="1071245" cy="847090"/>
                  <wp:effectExtent l="0" t="0" r="14605" b="10160"/>
                  <wp:wrapNone/>
                  <wp:docPr id="41" name="图片_60"/>
                  <wp:cNvGraphicFramePr/>
                  <a:graphic xmlns:a="http://schemas.openxmlformats.org/drawingml/2006/main">
                    <a:graphicData uri="http://schemas.openxmlformats.org/drawingml/2006/picture">
                      <pic:pic xmlns:pic="http://schemas.openxmlformats.org/drawingml/2006/picture">
                        <pic:nvPicPr>
                          <pic:cNvPr id="41" name="图片_60"/>
                          <pic:cNvPicPr/>
                        </pic:nvPicPr>
                        <pic:blipFill>
                          <a:blip r:embed="rId16"/>
                          <a:stretch>
                            <a:fillRect/>
                          </a:stretch>
                        </pic:blipFill>
                        <pic:spPr>
                          <a:xfrm>
                            <a:off x="0" y="0"/>
                            <a:ext cx="1071245" cy="84709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3534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1.脚架：钢制脚架，经酸洗磷化后表面静电粉末喷涂,100h乙酸盐雾试验后，涂层的耐蚀等级：10级，涂层对基体的保护等级：10级。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2.坐面：优质PU覆面。</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F3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A0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05FC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74D01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A9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6E3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办公椅（带轮）</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5F4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627E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476250</wp:posOffset>
                  </wp:positionH>
                  <wp:positionV relativeFrom="paragraph">
                    <wp:posOffset>258445</wp:posOffset>
                  </wp:positionV>
                  <wp:extent cx="713740" cy="883920"/>
                  <wp:effectExtent l="0" t="0" r="10160" b="11430"/>
                  <wp:wrapNone/>
                  <wp:docPr id="45" name="图片_7"/>
                  <wp:cNvGraphicFramePr/>
                  <a:graphic xmlns:a="http://schemas.openxmlformats.org/drawingml/2006/main">
                    <a:graphicData uri="http://schemas.openxmlformats.org/drawingml/2006/picture">
                      <pic:pic xmlns:pic="http://schemas.openxmlformats.org/drawingml/2006/picture">
                        <pic:nvPicPr>
                          <pic:cNvPr id="45" name="图片_7"/>
                          <pic:cNvPicPr/>
                        </pic:nvPicPr>
                        <pic:blipFill>
                          <a:blip r:embed="rId17"/>
                          <a:stretch>
                            <a:fillRect/>
                          </a:stretch>
                        </pic:blipFill>
                        <pic:spPr>
                          <a:xfrm>
                            <a:off x="0" y="0"/>
                            <a:ext cx="713740" cy="88392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4E98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1.背框：采用黑色全新环保PP+纤塑料一次注塑成型。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2. 网布：采用优质加厚条纹网，透气抗拉力强面料，耐磨性强、透气性好，耐干耐湿测试。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3.坐垫：采用环保胶合板，经高频热压一次弯曲成型。加衬加厚高密度海绵，75%压缩永久变形≤5.0%，回弹率≥50%，拉伸强度≥153kpa,甲醛释放量未检出，TVOC未检出，回弹性能达A级，阻燃等级至少达II级。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4. 底盘：采用中班蝴蝶底盘，可升降。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5.气杆：二级电镀气杆，经SGS检测测试。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6.五星脚：五星尼龙脚，活动自如，。符合QB/T 2280-2016《办公家具 办公椅》标准要求。</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08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58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27</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FB3B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211F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BE9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C49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儿童爬行垫</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C0BC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1.8*3米*2.0cm厚</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40CE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430530</wp:posOffset>
                  </wp:positionH>
                  <wp:positionV relativeFrom="paragraph">
                    <wp:posOffset>130175</wp:posOffset>
                  </wp:positionV>
                  <wp:extent cx="825500" cy="1122680"/>
                  <wp:effectExtent l="0" t="0" r="12700" b="1270"/>
                  <wp:wrapNone/>
                  <wp:docPr id="46" name="图片_13"/>
                  <wp:cNvGraphicFramePr/>
                  <a:graphic xmlns:a="http://schemas.openxmlformats.org/drawingml/2006/main">
                    <a:graphicData uri="http://schemas.openxmlformats.org/drawingml/2006/picture">
                      <pic:pic xmlns:pic="http://schemas.openxmlformats.org/drawingml/2006/picture">
                        <pic:nvPicPr>
                          <pic:cNvPr id="46" name="图片_13"/>
                          <pic:cNvPicPr/>
                        </pic:nvPicPr>
                        <pic:blipFill>
                          <a:blip r:embed="rId18"/>
                          <a:stretch>
                            <a:fillRect/>
                          </a:stretch>
                        </pic:blipFill>
                        <pic:spPr>
                          <a:xfrm>
                            <a:off x="0" y="0"/>
                            <a:ext cx="825500" cy="112268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E3D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XPE材质</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57E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0A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3AE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CB6F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BA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AD1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候诊排椅（三人座椅）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4685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180*83cm高</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235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213360</wp:posOffset>
                  </wp:positionH>
                  <wp:positionV relativeFrom="paragraph">
                    <wp:posOffset>210185</wp:posOffset>
                  </wp:positionV>
                  <wp:extent cx="1295400" cy="962660"/>
                  <wp:effectExtent l="0" t="0" r="0" b="8890"/>
                  <wp:wrapNone/>
                  <wp:docPr id="42" name="图片_5"/>
                  <wp:cNvGraphicFramePr/>
                  <a:graphic xmlns:a="http://schemas.openxmlformats.org/drawingml/2006/main">
                    <a:graphicData uri="http://schemas.openxmlformats.org/drawingml/2006/picture">
                      <pic:pic xmlns:pic="http://schemas.openxmlformats.org/drawingml/2006/picture">
                        <pic:nvPicPr>
                          <pic:cNvPr id="42" name="图片_5"/>
                          <pic:cNvPicPr/>
                        </pic:nvPicPr>
                        <pic:blipFill>
                          <a:blip r:embed="rId19"/>
                          <a:stretch>
                            <a:fillRect/>
                          </a:stretch>
                        </pic:blipFill>
                        <pic:spPr>
                          <a:xfrm>
                            <a:off x="0" y="0"/>
                            <a:ext cx="1295400" cy="96266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EC33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1、椅座材料：内钢外PU,内材选用优质壁厚≥1.5mm冷扎钢板，表面外包PU由环保AB聚醚一体发泡成型；</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2、座底支承横管：选用壁厚≥1.5mm方型冷扎钢管加工标准尺寸安装定位孔，扶手脚安装卡位定型冲压；表面粉末喷涂工艺；</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3、椅脚：选用带螺杆胶脚垫，可便于调节座椅整体的水平稳定性；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4、扶手：扶手采用≥1.2mm厚冷轧钢板，表面静电喷粉处理；</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A1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B4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0C04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6444D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EA4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30C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候诊排椅（三人座椅）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CC7F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木质  150*40*40</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1499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309245</wp:posOffset>
                  </wp:positionH>
                  <wp:positionV relativeFrom="paragraph">
                    <wp:posOffset>6350</wp:posOffset>
                  </wp:positionV>
                  <wp:extent cx="998220" cy="1336040"/>
                  <wp:effectExtent l="0" t="0" r="11430" b="16510"/>
                  <wp:wrapNone/>
                  <wp:docPr id="43" name="图片_12"/>
                  <wp:cNvGraphicFramePr/>
                  <a:graphic xmlns:a="http://schemas.openxmlformats.org/drawingml/2006/main">
                    <a:graphicData uri="http://schemas.openxmlformats.org/drawingml/2006/picture">
                      <pic:pic xmlns:pic="http://schemas.openxmlformats.org/drawingml/2006/picture">
                        <pic:nvPicPr>
                          <pic:cNvPr id="43" name="图片_12"/>
                          <pic:cNvPicPr/>
                        </pic:nvPicPr>
                        <pic:blipFill>
                          <a:blip r:embed="rId20"/>
                          <a:stretch>
                            <a:fillRect/>
                          </a:stretch>
                        </pic:blipFill>
                        <pic:spPr>
                          <a:xfrm>
                            <a:off x="0" y="0"/>
                            <a:ext cx="998220" cy="133604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4718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1.基材：实木，经防虫防腐干燥处理。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F27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00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83E3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2F09A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78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4FF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诊查床</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CE84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180*60*65cm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1FAA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177165</wp:posOffset>
                  </wp:positionH>
                  <wp:positionV relativeFrom="paragraph">
                    <wp:posOffset>231775</wp:posOffset>
                  </wp:positionV>
                  <wp:extent cx="1250950" cy="905510"/>
                  <wp:effectExtent l="0" t="0" r="6350" b="8890"/>
                  <wp:wrapNone/>
                  <wp:docPr id="44" name="图片_5_SpCnt_1"/>
                  <wp:cNvGraphicFramePr/>
                  <a:graphic xmlns:a="http://schemas.openxmlformats.org/drawingml/2006/main">
                    <a:graphicData uri="http://schemas.openxmlformats.org/drawingml/2006/picture">
                      <pic:pic xmlns:pic="http://schemas.openxmlformats.org/drawingml/2006/picture">
                        <pic:nvPicPr>
                          <pic:cNvPr id="44" name="图片_5_SpCnt_1"/>
                          <pic:cNvPicPr/>
                        </pic:nvPicPr>
                        <pic:blipFill>
                          <a:blip r:embed="rId21"/>
                          <a:stretch>
                            <a:fillRect/>
                          </a:stretch>
                        </pic:blipFill>
                        <pic:spPr>
                          <a:xfrm>
                            <a:off x="0" y="0"/>
                            <a:ext cx="1250950" cy="90551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8FEF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1.床架采用钢制材料制作，经酸洗磷化后表面静电粉末喷涂,100h乙酸盐雾试验后，涂层的耐蚀等级：10级，涂层对基体的保护等级：10级。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2.床面西皮覆面，内部加衬加厚高密度海绵，75%压缩永久变形≤5.0%，回弹率≥50%，拉伸强度≥153kpa,甲醛释放量未检出。</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78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39A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CF7B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34380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2E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8F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成人靠背木椅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D5A4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142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249555</wp:posOffset>
                  </wp:positionH>
                  <wp:positionV relativeFrom="paragraph">
                    <wp:posOffset>182880</wp:posOffset>
                  </wp:positionV>
                  <wp:extent cx="655955" cy="1080135"/>
                  <wp:effectExtent l="0" t="0" r="10795" b="5715"/>
                  <wp:wrapNone/>
                  <wp:docPr id="47" name="图片_5_SpCnt_2"/>
                  <wp:cNvGraphicFramePr/>
                  <a:graphic xmlns:a="http://schemas.openxmlformats.org/drawingml/2006/main">
                    <a:graphicData uri="http://schemas.openxmlformats.org/drawingml/2006/picture">
                      <pic:pic xmlns:pic="http://schemas.openxmlformats.org/drawingml/2006/picture">
                        <pic:nvPicPr>
                          <pic:cNvPr id="47" name="图片_5_SpCnt_2"/>
                          <pic:cNvPicPr/>
                        </pic:nvPicPr>
                        <pic:blipFill>
                          <a:blip r:embed="rId22"/>
                          <a:stretch>
                            <a:fillRect/>
                          </a:stretch>
                        </pic:blipFill>
                        <pic:spPr>
                          <a:xfrm>
                            <a:off x="0" y="0"/>
                            <a:ext cx="655955" cy="108013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1A7D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1.基材：采用优质橡胶木。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2.油漆：采用优质木器环保聚酯漆；五底三面工艺，表面光滑，保证良好的耐磨性。</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E0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6CC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7DC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30915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65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A02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儿童靠背木椅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344A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658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313690</wp:posOffset>
                  </wp:positionH>
                  <wp:positionV relativeFrom="paragraph">
                    <wp:posOffset>207645</wp:posOffset>
                  </wp:positionV>
                  <wp:extent cx="764540" cy="1025525"/>
                  <wp:effectExtent l="0" t="0" r="16510" b="3175"/>
                  <wp:wrapNone/>
                  <wp:docPr id="48" name="图片_6"/>
                  <wp:cNvGraphicFramePr/>
                  <a:graphic xmlns:a="http://schemas.openxmlformats.org/drawingml/2006/main">
                    <a:graphicData uri="http://schemas.openxmlformats.org/drawingml/2006/picture">
                      <pic:pic xmlns:pic="http://schemas.openxmlformats.org/drawingml/2006/picture">
                        <pic:nvPicPr>
                          <pic:cNvPr id="48" name="图片_6"/>
                          <pic:cNvPicPr/>
                        </pic:nvPicPr>
                        <pic:blipFill>
                          <a:blip r:embed="rId23"/>
                          <a:stretch>
                            <a:fillRect/>
                          </a:stretch>
                        </pic:blipFill>
                        <pic:spPr>
                          <a:xfrm>
                            <a:off x="0" y="0"/>
                            <a:ext cx="764540" cy="102552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B6F0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1.基材：采用优质橡胶木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2.油漆：采用优质木器环保聚酯漆；五底三面工艺，表面光滑，保证良好的耐磨性。</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85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3E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C3C9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81BD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8E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B2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轨道+输液架（1轨2架）</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A57A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轨道3米（尺寸按现场实际定制）</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C477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328295</wp:posOffset>
                  </wp:positionH>
                  <wp:positionV relativeFrom="paragraph">
                    <wp:posOffset>158115</wp:posOffset>
                  </wp:positionV>
                  <wp:extent cx="848360" cy="996950"/>
                  <wp:effectExtent l="0" t="0" r="8890" b="12700"/>
                  <wp:wrapNone/>
                  <wp:docPr id="62" name="图片_31"/>
                  <wp:cNvGraphicFramePr/>
                  <a:graphic xmlns:a="http://schemas.openxmlformats.org/drawingml/2006/main">
                    <a:graphicData uri="http://schemas.openxmlformats.org/drawingml/2006/picture">
                      <pic:pic xmlns:pic="http://schemas.openxmlformats.org/drawingml/2006/picture">
                        <pic:nvPicPr>
                          <pic:cNvPr id="62" name="图片_31"/>
                          <pic:cNvPicPr/>
                        </pic:nvPicPr>
                        <pic:blipFill>
                          <a:blip r:embed="rId24"/>
                          <a:stretch>
                            <a:fillRect/>
                          </a:stretch>
                        </pic:blipFill>
                        <pic:spPr>
                          <a:xfrm>
                            <a:off x="0" y="0"/>
                            <a:ext cx="848360" cy="99695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054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铝合金轨道，不锈钢吊杆</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AE5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EC0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E90B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27514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76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2C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可伸缩凳子</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7F28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72C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311150</wp:posOffset>
                  </wp:positionH>
                  <wp:positionV relativeFrom="paragraph">
                    <wp:posOffset>327025</wp:posOffset>
                  </wp:positionV>
                  <wp:extent cx="774700" cy="703580"/>
                  <wp:effectExtent l="0" t="0" r="6350" b="1270"/>
                  <wp:wrapNone/>
                  <wp:docPr id="71" name="图片_14"/>
                  <wp:cNvGraphicFramePr/>
                  <a:graphic xmlns:a="http://schemas.openxmlformats.org/drawingml/2006/main">
                    <a:graphicData uri="http://schemas.openxmlformats.org/drawingml/2006/picture">
                      <pic:pic xmlns:pic="http://schemas.openxmlformats.org/drawingml/2006/picture">
                        <pic:nvPicPr>
                          <pic:cNvPr id="71" name="图片_14"/>
                          <pic:cNvPicPr/>
                        </pic:nvPicPr>
                        <pic:blipFill>
                          <a:blip r:embed="rId25"/>
                          <a:stretch>
                            <a:fillRect/>
                          </a:stretch>
                        </pic:blipFill>
                        <pic:spPr>
                          <a:xfrm>
                            <a:off x="0" y="0"/>
                            <a:ext cx="774700" cy="70358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8750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PU坐垫，五星金属脚，活动自如。符合QB/T 2280-2016《办公家具 办公椅》标准要求。</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BB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A8E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03F1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60CA0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12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BFA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会议折叠条桌</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6072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120*40*75cm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699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254635</wp:posOffset>
                  </wp:positionV>
                  <wp:extent cx="1114425" cy="858520"/>
                  <wp:effectExtent l="0" t="0" r="9525" b="17780"/>
                  <wp:wrapNone/>
                  <wp:docPr id="69" name="图片_9"/>
                  <wp:cNvGraphicFramePr/>
                  <a:graphic xmlns:a="http://schemas.openxmlformats.org/drawingml/2006/main">
                    <a:graphicData uri="http://schemas.openxmlformats.org/drawingml/2006/picture">
                      <pic:pic xmlns:pic="http://schemas.openxmlformats.org/drawingml/2006/picture">
                        <pic:nvPicPr>
                          <pic:cNvPr id="69" name="图片_9"/>
                          <pic:cNvPicPr/>
                        </pic:nvPicPr>
                        <pic:blipFill>
                          <a:blip r:embed="rId26"/>
                          <a:stretch>
                            <a:fillRect/>
                          </a:stretch>
                        </pic:blipFill>
                        <pic:spPr>
                          <a:xfrm>
                            <a:off x="0" y="0"/>
                            <a:ext cx="1114425" cy="85852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C2B4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1.基材：采用优质E0级多层板，台面厚度25mm；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2.封边：同色PVC封边条，有害物质限量符合QB/T 4463-2013《家具用封边条技术要求》。</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3.脚架：钢制脚架，经酸洗磷化后表面静电粉末喷涂,100h乙酸盐雾试验后，涂层的耐蚀等级：10级，涂层对基体的保护等级：10级。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4.挡板：木制挡板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5.下架：桌架为优质钢制产品，符合GB/T3325-2017，其中抗盐雾符合要求；表面为喷塑白色；可折叠。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6.脚轮：采用50RMM尼龙轮，正常使用，可在平滑硬面来回10万次而不失去任何功能，符合QB/T2280-2016、GB28481-2012标准。</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0B5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DD2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B49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38250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862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87D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会议椅子</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1629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C39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513715</wp:posOffset>
                  </wp:positionH>
                  <wp:positionV relativeFrom="paragraph">
                    <wp:posOffset>173355</wp:posOffset>
                  </wp:positionV>
                  <wp:extent cx="724535" cy="854710"/>
                  <wp:effectExtent l="0" t="0" r="18415" b="2540"/>
                  <wp:wrapNone/>
                  <wp:docPr id="63" name="图片_37"/>
                  <wp:cNvGraphicFramePr/>
                  <a:graphic xmlns:a="http://schemas.openxmlformats.org/drawingml/2006/main">
                    <a:graphicData uri="http://schemas.openxmlformats.org/drawingml/2006/picture">
                      <pic:pic xmlns:pic="http://schemas.openxmlformats.org/drawingml/2006/picture">
                        <pic:nvPicPr>
                          <pic:cNvPr id="63" name="图片_37"/>
                          <pic:cNvPicPr/>
                        </pic:nvPicPr>
                        <pic:blipFill>
                          <a:blip r:embed="rId27"/>
                          <a:stretch>
                            <a:fillRect/>
                          </a:stretch>
                        </pic:blipFill>
                        <pic:spPr>
                          <a:xfrm>
                            <a:off x="0" y="0"/>
                            <a:ext cx="724535" cy="85471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D16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1.材质：全 PP 塑料一体成型，耐磨易清洁，环保无异味；</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2.设计：可叠放结构，节省空间；靠背弧度符合人体工学，坐感舒适；</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3.承重：≥120kg，稳固耐用；</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78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69B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60</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6E84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32CC4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039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7E4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主席椅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173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161C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291465</wp:posOffset>
                  </wp:positionH>
                  <wp:positionV relativeFrom="paragraph">
                    <wp:posOffset>140970</wp:posOffset>
                  </wp:positionV>
                  <wp:extent cx="1054100" cy="1104900"/>
                  <wp:effectExtent l="0" t="0" r="12700" b="0"/>
                  <wp:wrapNone/>
                  <wp:docPr id="61" name="ID_9871F086E5EB41CC830B707EEE2B9112"/>
                  <wp:cNvGraphicFramePr/>
                  <a:graphic xmlns:a="http://schemas.openxmlformats.org/drawingml/2006/main">
                    <a:graphicData uri="http://schemas.openxmlformats.org/drawingml/2006/picture">
                      <pic:pic xmlns:pic="http://schemas.openxmlformats.org/drawingml/2006/picture">
                        <pic:nvPicPr>
                          <pic:cNvPr id="61" name="ID_9871F086E5EB41CC830B707EEE2B9112"/>
                          <pic:cNvPicPr/>
                        </pic:nvPicPr>
                        <pic:blipFill>
                          <a:blip r:embed="rId28"/>
                          <a:stretch>
                            <a:fillRect/>
                          </a:stretch>
                        </pic:blipFill>
                        <pic:spPr>
                          <a:xfrm>
                            <a:off x="0" y="0"/>
                            <a:ext cx="1054100" cy="110490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7A23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1.面料：优质西皮面料。</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坐垫：采用环保胶合板，经高频热压一次弯曲成型，加衬优质高弹阻燃海绵回弹性高，耐用度高，防碎，防氧化。75%压缩永久变形≤5.0%，回弹率≥50%，拉伸强度≥153kpa,甲醛释放量未检出，TVOC未检出，回弹性能达A级，阻燃等级至少达II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3.椅架：采用优质橡胶木。</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BA9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F5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4FD3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7F18F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8C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3DA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主席台</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57D5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200*60*76cm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46A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285115</wp:posOffset>
                  </wp:positionH>
                  <wp:positionV relativeFrom="paragraph">
                    <wp:posOffset>290830</wp:posOffset>
                  </wp:positionV>
                  <wp:extent cx="1134110" cy="827405"/>
                  <wp:effectExtent l="0" t="0" r="8890" b="10795"/>
                  <wp:wrapNone/>
                  <wp:docPr id="50" name="图片_35"/>
                  <wp:cNvGraphicFramePr/>
                  <a:graphic xmlns:a="http://schemas.openxmlformats.org/drawingml/2006/main">
                    <a:graphicData uri="http://schemas.openxmlformats.org/drawingml/2006/picture">
                      <pic:pic xmlns:pic="http://schemas.openxmlformats.org/drawingml/2006/picture">
                        <pic:nvPicPr>
                          <pic:cNvPr id="50" name="图片_35"/>
                          <pic:cNvPicPr/>
                        </pic:nvPicPr>
                        <pic:blipFill>
                          <a:blip r:embed="rId29"/>
                          <a:stretch>
                            <a:fillRect/>
                          </a:stretch>
                        </pic:blipFill>
                        <pic:spPr>
                          <a:xfrm>
                            <a:off x="0" y="0"/>
                            <a:ext cx="1134110" cy="82740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58F0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1.基材：采用优质E0级多层板。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2.封边：同色PVC封边条，有害物质限量符合QB/T 4463-2013《家具用封边条技术要求》。</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3.五金配件：三合一连接件，符合GB/T 3325-2024《金属家具通用技术条件》。</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7E3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6B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6301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56BB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632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33C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发言台</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FB54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58*44*117cm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082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343535</wp:posOffset>
                  </wp:positionH>
                  <wp:positionV relativeFrom="paragraph">
                    <wp:posOffset>187960</wp:posOffset>
                  </wp:positionV>
                  <wp:extent cx="892810" cy="1027430"/>
                  <wp:effectExtent l="0" t="0" r="2540" b="1270"/>
                  <wp:wrapNone/>
                  <wp:docPr id="55" name="图片_115"/>
                  <wp:cNvGraphicFramePr/>
                  <a:graphic xmlns:a="http://schemas.openxmlformats.org/drawingml/2006/main">
                    <a:graphicData uri="http://schemas.openxmlformats.org/drawingml/2006/picture">
                      <pic:pic xmlns:pic="http://schemas.openxmlformats.org/drawingml/2006/picture">
                        <pic:nvPicPr>
                          <pic:cNvPr id="55" name="图片_115"/>
                          <pic:cNvPicPr/>
                        </pic:nvPicPr>
                        <pic:blipFill>
                          <a:blip r:embed="rId30"/>
                          <a:stretch>
                            <a:fillRect/>
                          </a:stretch>
                        </pic:blipFill>
                        <pic:spPr>
                          <a:xfrm>
                            <a:off x="0" y="0"/>
                            <a:ext cx="892810" cy="102743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3A68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1.基材：采用优质E0级多层板。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2.封边：同色PVC封边条，有害物质限量符合QB/T 4463-2013《家具用封边条技术要求》。</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3.五金配件符合GB/T 3325-2024《金属家具通用技术条件》。</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35F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50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F9A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33F19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2ED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0FC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离心机底座</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6AAE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  60*60*60cm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0FB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160655</wp:posOffset>
                  </wp:positionH>
                  <wp:positionV relativeFrom="paragraph">
                    <wp:posOffset>212090</wp:posOffset>
                  </wp:positionV>
                  <wp:extent cx="1263650" cy="1003935"/>
                  <wp:effectExtent l="0" t="0" r="12700" b="5715"/>
                  <wp:wrapNone/>
                  <wp:docPr id="56" name="图片_26"/>
                  <wp:cNvGraphicFramePr/>
                  <a:graphic xmlns:a="http://schemas.openxmlformats.org/drawingml/2006/main">
                    <a:graphicData uri="http://schemas.openxmlformats.org/drawingml/2006/picture">
                      <pic:pic xmlns:pic="http://schemas.openxmlformats.org/drawingml/2006/picture">
                        <pic:nvPicPr>
                          <pic:cNvPr id="56" name="图片_26"/>
                          <pic:cNvPicPr/>
                        </pic:nvPicPr>
                        <pic:blipFill>
                          <a:blip r:embed="rId31"/>
                          <a:stretch>
                            <a:fillRect/>
                          </a:stretch>
                        </pic:blipFill>
                        <pic:spPr>
                          <a:xfrm>
                            <a:off x="0" y="0"/>
                            <a:ext cx="1263650" cy="100393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9A80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1.基材：采用优质E0级多层板。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2.封边：同色PVC封边条，有害物质限量符合QB/T 4463-2013《家具用封边条技术要求》。</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66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239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B19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56593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D6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0AE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可插床头不锈钢输液架</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687A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根据房间长度安装</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564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379095</wp:posOffset>
                  </wp:positionH>
                  <wp:positionV relativeFrom="paragraph">
                    <wp:posOffset>158750</wp:posOffset>
                  </wp:positionV>
                  <wp:extent cx="652780" cy="1107440"/>
                  <wp:effectExtent l="0" t="0" r="13970" b="16510"/>
                  <wp:wrapNone/>
                  <wp:docPr id="65" name="图片_8"/>
                  <wp:cNvGraphicFramePr/>
                  <a:graphic xmlns:a="http://schemas.openxmlformats.org/drawingml/2006/main">
                    <a:graphicData uri="http://schemas.openxmlformats.org/drawingml/2006/picture">
                      <pic:pic xmlns:pic="http://schemas.openxmlformats.org/drawingml/2006/picture">
                        <pic:nvPicPr>
                          <pic:cNvPr id="65" name="图片_8"/>
                          <pic:cNvPicPr/>
                        </pic:nvPicPr>
                        <pic:blipFill>
                          <a:blip r:embed="rId32"/>
                          <a:stretch>
                            <a:fillRect/>
                          </a:stretch>
                        </pic:blipFill>
                        <pic:spPr>
                          <a:xfrm>
                            <a:off x="0" y="0"/>
                            <a:ext cx="652780" cy="110744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94B9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不锈钢</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96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CBA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B4A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2A4A6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DD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9AB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输液椅3人位</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9DBE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椅后带输液架</w:t>
            </w:r>
          </w:p>
        </w:tc>
        <w:tc>
          <w:tcPr>
            <w:tcW w:w="923" w:type="pct"/>
            <w:tcBorders>
              <w:top w:val="nil"/>
              <w:left w:val="nil"/>
              <w:bottom w:val="nil"/>
              <w:right w:val="nil"/>
            </w:tcBorders>
            <w:shd w:val="clear" w:color="auto" w:fill="auto"/>
            <w:noWrap/>
            <w:vAlign w:val="center"/>
          </w:tcPr>
          <w:p w14:paraId="4FA2858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anchor distT="0" distB="0" distL="114300" distR="114300" simplePos="0" relativeHeight="251659264" behindDoc="0" locked="0" layoutInCell="1" allowOverlap="1">
                  <wp:simplePos x="0" y="0"/>
                  <wp:positionH relativeFrom="column">
                    <wp:posOffset>220345</wp:posOffset>
                  </wp:positionH>
                  <wp:positionV relativeFrom="paragraph">
                    <wp:posOffset>260985</wp:posOffset>
                  </wp:positionV>
                  <wp:extent cx="1067435" cy="866775"/>
                  <wp:effectExtent l="0" t="0" r="18415" b="9525"/>
                  <wp:wrapNone/>
                  <wp:docPr id="66" name="图片_30"/>
                  <wp:cNvGraphicFramePr/>
                  <a:graphic xmlns:a="http://schemas.openxmlformats.org/drawingml/2006/main">
                    <a:graphicData uri="http://schemas.openxmlformats.org/drawingml/2006/picture">
                      <pic:pic xmlns:pic="http://schemas.openxmlformats.org/drawingml/2006/picture">
                        <pic:nvPicPr>
                          <pic:cNvPr id="66" name="图片_30"/>
                          <pic:cNvPicPr/>
                        </pic:nvPicPr>
                        <pic:blipFill>
                          <a:blip r:embed="rId33"/>
                          <a:stretch>
                            <a:fillRect/>
                          </a:stretch>
                        </pic:blipFill>
                        <pic:spPr>
                          <a:xfrm>
                            <a:off x="0" y="0"/>
                            <a:ext cx="1067435" cy="86677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D32E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1、椅座材料：内钢外PU,内材选用优质壁厚≥1.5mm冷扎钢板，表面外包PU由环保AB聚醚一体发泡成型；</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2、座底支承横管：选用壁厚≥1.5mm方型冷扎钢管加工标准尺寸安装定位孔，扶手脚安装卡位定型冲压；表面粉末喷涂工艺；</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3、椅脚：选用带螺杆胶脚垫，可便于调节座椅整体的水平稳定性；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4、扶手：扶手采用≥1.2mm厚冷轧钢板，表面静电喷粉处理；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5、每位配置一个不锈钢输液架</w:t>
            </w:r>
            <w:r>
              <w:rPr>
                <w:rFonts w:hint="eastAsia" w:ascii="宋体" w:hAnsi="宋体" w:cs="宋体"/>
                <w:i w:val="0"/>
                <w:iCs w:val="0"/>
                <w:color w:val="000000"/>
                <w:kern w:val="0"/>
                <w:sz w:val="22"/>
                <w:szCs w:val="22"/>
                <w:highlight w:val="none"/>
                <w:u w:val="none"/>
                <w:lang w:val="en-US" w:eastAsia="zh-CN" w:bidi="ar"/>
              </w:rPr>
              <w:t>。</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1C8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797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9A7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4E37C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5D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617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雾化桌2人位</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745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160*50*110cm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29C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211455</wp:posOffset>
                  </wp:positionH>
                  <wp:positionV relativeFrom="paragraph">
                    <wp:posOffset>327025</wp:posOffset>
                  </wp:positionV>
                  <wp:extent cx="1134110" cy="839470"/>
                  <wp:effectExtent l="0" t="0" r="8890" b="17780"/>
                  <wp:wrapNone/>
                  <wp:docPr id="70" name="图片_3"/>
                  <wp:cNvGraphicFramePr/>
                  <a:graphic xmlns:a="http://schemas.openxmlformats.org/drawingml/2006/main">
                    <a:graphicData uri="http://schemas.openxmlformats.org/drawingml/2006/picture">
                      <pic:pic xmlns:pic="http://schemas.openxmlformats.org/drawingml/2006/picture">
                        <pic:nvPicPr>
                          <pic:cNvPr id="70" name="图片_3"/>
                          <pic:cNvPicPr/>
                        </pic:nvPicPr>
                        <pic:blipFill>
                          <a:blip r:embed="rId34"/>
                          <a:stretch>
                            <a:fillRect/>
                          </a:stretch>
                        </pic:blipFill>
                        <pic:spPr>
                          <a:xfrm>
                            <a:off x="0" y="0"/>
                            <a:ext cx="1134110" cy="83947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ED92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1.基材：采用优质E0级多层板，台面厚度25mm；其余柜体厚度18mm。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2.封边：同色PVC封边条，有害物质限量符合QB/T 4463-2013《家具用封边条技术要求》。</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31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994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399C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7D7C9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01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97B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治疗车</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953C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50*40*86cm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7F70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174625</wp:posOffset>
                  </wp:positionH>
                  <wp:positionV relativeFrom="paragraph">
                    <wp:posOffset>105410</wp:posOffset>
                  </wp:positionV>
                  <wp:extent cx="1170305" cy="1179195"/>
                  <wp:effectExtent l="0" t="0" r="10795" b="1905"/>
                  <wp:wrapNone/>
                  <wp:docPr id="49" name="图片_25"/>
                  <wp:cNvGraphicFramePr/>
                  <a:graphic xmlns:a="http://schemas.openxmlformats.org/drawingml/2006/main">
                    <a:graphicData uri="http://schemas.openxmlformats.org/drawingml/2006/picture">
                      <pic:pic xmlns:pic="http://schemas.openxmlformats.org/drawingml/2006/picture">
                        <pic:nvPicPr>
                          <pic:cNvPr id="49" name="图片_25"/>
                          <pic:cNvPicPr/>
                        </pic:nvPicPr>
                        <pic:blipFill>
                          <a:blip r:embed="rId35"/>
                          <a:stretch>
                            <a:fillRect/>
                          </a:stretch>
                        </pic:blipFill>
                        <pic:spPr>
                          <a:xfrm>
                            <a:off x="0" y="0"/>
                            <a:ext cx="1170305" cy="117919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D1DE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不锈钢材质，配备单抽屉一个，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PU车轮</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9DA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只</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DF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1DC6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08BB9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A16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E3C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医疗废物桌</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6419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188*65*80cm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662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238125</wp:posOffset>
                  </wp:positionV>
                  <wp:extent cx="1164590" cy="916305"/>
                  <wp:effectExtent l="0" t="0" r="16510" b="17145"/>
                  <wp:wrapNone/>
                  <wp:docPr id="58" name="图片_29"/>
                  <wp:cNvGraphicFramePr/>
                  <a:graphic xmlns:a="http://schemas.openxmlformats.org/drawingml/2006/main">
                    <a:graphicData uri="http://schemas.openxmlformats.org/drawingml/2006/picture">
                      <pic:pic xmlns:pic="http://schemas.openxmlformats.org/drawingml/2006/picture">
                        <pic:nvPicPr>
                          <pic:cNvPr id="58" name="图片_29"/>
                          <pic:cNvPicPr/>
                        </pic:nvPicPr>
                        <pic:blipFill>
                          <a:blip r:embed="rId36"/>
                          <a:stretch>
                            <a:fillRect/>
                          </a:stretch>
                        </pic:blipFill>
                        <pic:spPr>
                          <a:xfrm>
                            <a:off x="0" y="0"/>
                            <a:ext cx="1164590" cy="91630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DD0F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1.柜体采用优质E0级多层板制作</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2.台面人造石覆面，防污耐磨。</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AD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组</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FDE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B32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680B3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86E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547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注射椅</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439D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75高（定制）</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DDC0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224790</wp:posOffset>
                  </wp:positionH>
                  <wp:positionV relativeFrom="paragraph">
                    <wp:posOffset>161925</wp:posOffset>
                  </wp:positionV>
                  <wp:extent cx="1057275" cy="1082675"/>
                  <wp:effectExtent l="0" t="0" r="9525" b="3175"/>
                  <wp:wrapNone/>
                  <wp:docPr id="59" name="图片_42"/>
                  <wp:cNvGraphicFramePr/>
                  <a:graphic xmlns:a="http://schemas.openxmlformats.org/drawingml/2006/main">
                    <a:graphicData uri="http://schemas.openxmlformats.org/drawingml/2006/picture">
                      <pic:pic xmlns:pic="http://schemas.openxmlformats.org/drawingml/2006/picture">
                        <pic:nvPicPr>
                          <pic:cNvPr id="59" name="图片_42"/>
                          <pic:cNvPicPr/>
                        </pic:nvPicPr>
                        <pic:blipFill>
                          <a:blip r:embed="rId37"/>
                          <a:stretch>
                            <a:fillRect/>
                          </a:stretch>
                        </pic:blipFill>
                        <pic:spPr>
                          <a:xfrm>
                            <a:off x="0" y="0"/>
                            <a:ext cx="1057275" cy="108267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9B70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实木制作，前面可趴，后面可坐。</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E62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AAB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CA02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249BE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87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C8F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床头铁架</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0D275">
            <w:pPr>
              <w:rPr>
                <w:rFonts w:hint="eastAsia" w:ascii="宋体" w:hAnsi="宋体" w:eastAsia="宋体" w:cs="宋体"/>
                <w:i w:val="0"/>
                <w:iCs w:val="0"/>
                <w:color w:val="000000"/>
                <w:sz w:val="22"/>
                <w:szCs w:val="22"/>
                <w:highlight w:val="none"/>
                <w:u w:val="none"/>
              </w:rPr>
            </w:pP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F66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234315</wp:posOffset>
                  </wp:positionH>
                  <wp:positionV relativeFrom="paragraph">
                    <wp:posOffset>139065</wp:posOffset>
                  </wp:positionV>
                  <wp:extent cx="1054735" cy="1076960"/>
                  <wp:effectExtent l="0" t="0" r="12065" b="8890"/>
                  <wp:wrapNone/>
                  <wp:docPr id="64" name="图片_38"/>
                  <wp:cNvGraphicFramePr/>
                  <a:graphic xmlns:a="http://schemas.openxmlformats.org/drawingml/2006/main">
                    <a:graphicData uri="http://schemas.openxmlformats.org/drawingml/2006/picture">
                      <pic:pic xmlns:pic="http://schemas.openxmlformats.org/drawingml/2006/picture">
                        <pic:nvPicPr>
                          <pic:cNvPr id="64" name="图片_38"/>
                          <pic:cNvPicPr/>
                        </pic:nvPicPr>
                        <pic:blipFill>
                          <a:blip r:embed="rId38"/>
                          <a:stretch>
                            <a:fillRect/>
                          </a:stretch>
                        </pic:blipFill>
                        <pic:spPr>
                          <a:xfrm>
                            <a:off x="0" y="0"/>
                            <a:ext cx="1054735" cy="107696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DD0E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铁制，经酸洗经酸洗磷化后表面静电</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粉末喷涂而成</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56A4">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套</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65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A856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0BC45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F9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F04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值班叠床</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5EC0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100*200cm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2712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262890</wp:posOffset>
                  </wp:positionH>
                  <wp:positionV relativeFrom="paragraph">
                    <wp:posOffset>262255</wp:posOffset>
                  </wp:positionV>
                  <wp:extent cx="998220" cy="793115"/>
                  <wp:effectExtent l="0" t="0" r="11430" b="6985"/>
                  <wp:wrapNone/>
                  <wp:docPr id="60" name="图片_18"/>
                  <wp:cNvGraphicFramePr/>
                  <a:graphic xmlns:a="http://schemas.openxmlformats.org/drawingml/2006/main">
                    <a:graphicData uri="http://schemas.openxmlformats.org/drawingml/2006/picture">
                      <pic:pic xmlns:pic="http://schemas.openxmlformats.org/drawingml/2006/picture">
                        <pic:nvPicPr>
                          <pic:cNvPr id="60" name="图片_18"/>
                          <pic:cNvPicPr/>
                        </pic:nvPicPr>
                        <pic:blipFill>
                          <a:blip r:embed="rId39"/>
                          <a:stretch>
                            <a:fillRect/>
                          </a:stretch>
                        </pic:blipFill>
                        <pic:spPr>
                          <a:xfrm>
                            <a:off x="0" y="0"/>
                            <a:ext cx="998220" cy="79311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314F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1.整体采用全松木实木制作，经防虫防腐干燥处理。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3.松木床板1.5cm厚。</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4.配2张5公分棕垫</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7E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36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DAB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BDC7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D7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26</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181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值班床</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EF34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90*195cm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CC61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271780</wp:posOffset>
                  </wp:positionH>
                  <wp:positionV relativeFrom="paragraph">
                    <wp:posOffset>378460</wp:posOffset>
                  </wp:positionV>
                  <wp:extent cx="998220" cy="793115"/>
                  <wp:effectExtent l="0" t="0" r="11430" b="6985"/>
                  <wp:wrapNone/>
                  <wp:docPr id="67" name="图片_18_SpCnt_1"/>
                  <wp:cNvGraphicFramePr/>
                  <a:graphic xmlns:a="http://schemas.openxmlformats.org/drawingml/2006/main">
                    <a:graphicData uri="http://schemas.openxmlformats.org/drawingml/2006/picture">
                      <pic:pic xmlns:pic="http://schemas.openxmlformats.org/drawingml/2006/picture">
                        <pic:nvPicPr>
                          <pic:cNvPr id="67" name="图片_18_SpCnt_1"/>
                          <pic:cNvPicPr/>
                        </pic:nvPicPr>
                        <pic:blipFill>
                          <a:blip r:embed="rId40"/>
                          <a:stretch>
                            <a:fillRect/>
                          </a:stretch>
                        </pic:blipFill>
                        <pic:spPr>
                          <a:xfrm>
                            <a:off x="0" y="0"/>
                            <a:ext cx="998220" cy="79311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0E4F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1.整体采用全松木实木制作，经防虫防腐干燥处理。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3.松木床板1.5cm厚。</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4.配2张5公分棕垫</w:t>
            </w:r>
            <w:r>
              <w:rPr>
                <w:rFonts w:hint="eastAsia" w:ascii="宋体" w:hAnsi="宋体" w:cs="宋体"/>
                <w:i w:val="0"/>
                <w:iCs w:val="0"/>
                <w:color w:val="000000"/>
                <w:kern w:val="0"/>
                <w:sz w:val="22"/>
                <w:szCs w:val="22"/>
                <w:highlight w:val="none"/>
                <w:u w:val="none"/>
                <w:lang w:val="en-US" w:eastAsia="zh-CN" w:bidi="ar"/>
              </w:rPr>
              <w:t>。</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781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A0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1DC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F425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3C2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r>
              <w:rPr>
                <w:rFonts w:hint="eastAsia" w:ascii="宋体" w:hAnsi="宋体" w:cs="宋体"/>
                <w:i w:val="0"/>
                <w:iCs w:val="0"/>
                <w:color w:val="000000"/>
                <w:kern w:val="0"/>
                <w:sz w:val="22"/>
                <w:szCs w:val="22"/>
                <w:highlight w:val="none"/>
                <w:u w:val="none"/>
                <w:lang w:val="en-US" w:eastAsia="zh-CN" w:bidi="ar"/>
              </w:rPr>
              <w:t>7</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327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药品柜</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8A7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100*46*200cm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8C58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281940</wp:posOffset>
                  </wp:positionH>
                  <wp:positionV relativeFrom="paragraph">
                    <wp:posOffset>127000</wp:posOffset>
                  </wp:positionV>
                  <wp:extent cx="946785" cy="1181735"/>
                  <wp:effectExtent l="0" t="0" r="5715" b="18415"/>
                  <wp:wrapNone/>
                  <wp:docPr id="51" name="图片_27"/>
                  <wp:cNvGraphicFramePr/>
                  <a:graphic xmlns:a="http://schemas.openxmlformats.org/drawingml/2006/main">
                    <a:graphicData uri="http://schemas.openxmlformats.org/drawingml/2006/picture">
                      <pic:pic xmlns:pic="http://schemas.openxmlformats.org/drawingml/2006/picture">
                        <pic:nvPicPr>
                          <pic:cNvPr id="51" name="图片_27"/>
                          <pic:cNvPicPr/>
                        </pic:nvPicPr>
                        <pic:blipFill>
                          <a:blip r:embed="rId41"/>
                          <a:stretch>
                            <a:fillRect/>
                          </a:stretch>
                        </pic:blipFill>
                        <pic:spPr>
                          <a:xfrm>
                            <a:off x="0" y="0"/>
                            <a:ext cx="946785" cy="118173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FE0A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1.优质冷轧钢板，坚固耐用，绿色环保，经酸洗磷化后表面静电粉末喷涂,100h乙酸盐雾试验后，涂层的耐蚀等级：10级，涂层对基体的保护等级：10级。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2.层板可调。</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3.每层配有标签条。</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4.整体符合GB/T3325-2024《金属家具通用技术条件》标准。</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38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494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DF5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73B41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07F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r>
              <w:rPr>
                <w:rFonts w:hint="eastAsia" w:ascii="宋体" w:hAnsi="宋体" w:cs="宋体"/>
                <w:i w:val="0"/>
                <w:iCs w:val="0"/>
                <w:color w:val="000000"/>
                <w:kern w:val="0"/>
                <w:sz w:val="22"/>
                <w:szCs w:val="22"/>
                <w:highlight w:val="none"/>
                <w:u w:val="none"/>
                <w:lang w:val="en-US" w:eastAsia="zh-CN" w:bidi="ar"/>
              </w:rPr>
              <w:t>8</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E92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防潮垫高台</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A611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100*40*20cm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974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227965</wp:posOffset>
                  </wp:positionH>
                  <wp:positionV relativeFrom="paragraph">
                    <wp:posOffset>224790</wp:posOffset>
                  </wp:positionV>
                  <wp:extent cx="1138555" cy="959485"/>
                  <wp:effectExtent l="0" t="0" r="4445" b="12065"/>
                  <wp:wrapNone/>
                  <wp:docPr id="68" name="图片_23"/>
                  <wp:cNvGraphicFramePr/>
                  <a:graphic xmlns:a="http://schemas.openxmlformats.org/drawingml/2006/main">
                    <a:graphicData uri="http://schemas.openxmlformats.org/drawingml/2006/picture">
                      <pic:pic xmlns:pic="http://schemas.openxmlformats.org/drawingml/2006/picture">
                        <pic:nvPicPr>
                          <pic:cNvPr id="68" name="图片_23"/>
                          <pic:cNvPicPr/>
                        </pic:nvPicPr>
                        <pic:blipFill>
                          <a:blip r:embed="rId42"/>
                          <a:stretch>
                            <a:fillRect/>
                          </a:stretch>
                        </pic:blipFill>
                        <pic:spPr>
                          <a:xfrm>
                            <a:off x="0" y="0"/>
                            <a:ext cx="1138555" cy="95948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F65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冷轧钢管，坚固耐用，绿色环保，经酸洗磷化后表面静电粉末喷涂,100h乙酸盐雾试验后，涂层的耐蚀等级：10级，涂层对基体的保护等级：10级。</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83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36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DF72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0C37D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2787">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29</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27F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中药柜（矮）</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614A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150*40*90cm（格数为6*5=30个）</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053C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315595</wp:posOffset>
                  </wp:positionH>
                  <wp:positionV relativeFrom="paragraph">
                    <wp:posOffset>135255</wp:posOffset>
                  </wp:positionV>
                  <wp:extent cx="1053465" cy="748030"/>
                  <wp:effectExtent l="0" t="0" r="13335" b="13970"/>
                  <wp:wrapNone/>
                  <wp:docPr id="53" name="图片_22"/>
                  <wp:cNvGraphicFramePr/>
                  <a:graphic xmlns:a="http://schemas.openxmlformats.org/drawingml/2006/main">
                    <a:graphicData uri="http://schemas.openxmlformats.org/drawingml/2006/picture">
                      <pic:pic xmlns:pic="http://schemas.openxmlformats.org/drawingml/2006/picture">
                        <pic:nvPicPr>
                          <pic:cNvPr id="53" name="图片_22"/>
                          <pic:cNvPicPr/>
                        </pic:nvPicPr>
                        <pic:blipFill>
                          <a:blip r:embed="rId43"/>
                          <a:stretch>
                            <a:fillRect/>
                          </a:stretch>
                        </pic:blipFill>
                        <pic:spPr>
                          <a:xfrm>
                            <a:off x="0" y="0"/>
                            <a:ext cx="1053465" cy="74803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0C42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1.基材：实木，经防虫防腐干燥处理。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3.台面上人造石覆面，防污耐水。</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EC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组</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7D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6FD2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22818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0B55">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30</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058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双面中药矮柜</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A8FF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160*118*90cm</w:t>
            </w:r>
          </w:p>
        </w:tc>
        <w:tc>
          <w:tcPr>
            <w:tcW w:w="9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F228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244475</wp:posOffset>
                  </wp:positionH>
                  <wp:positionV relativeFrom="paragraph">
                    <wp:posOffset>78740</wp:posOffset>
                  </wp:positionV>
                  <wp:extent cx="1053465" cy="748030"/>
                  <wp:effectExtent l="0" t="0" r="13335" b="13970"/>
                  <wp:wrapNone/>
                  <wp:docPr id="57" name="图片_28"/>
                  <wp:cNvGraphicFramePr/>
                  <a:graphic xmlns:a="http://schemas.openxmlformats.org/drawingml/2006/main">
                    <a:graphicData uri="http://schemas.openxmlformats.org/drawingml/2006/picture">
                      <pic:pic xmlns:pic="http://schemas.openxmlformats.org/drawingml/2006/picture">
                        <pic:nvPicPr>
                          <pic:cNvPr id="57" name="图片_28"/>
                          <pic:cNvPicPr/>
                        </pic:nvPicPr>
                        <pic:blipFill>
                          <a:blip r:embed="rId44"/>
                          <a:stretch>
                            <a:fillRect/>
                          </a:stretch>
                        </pic:blipFill>
                        <pic:spPr>
                          <a:xfrm>
                            <a:off x="0" y="0"/>
                            <a:ext cx="1053465" cy="748030"/>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F81C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1.基材：实木，经防虫防腐干燥处理。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3.台面上人造石覆面，防污耐水。</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31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组</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D5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D9F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157CA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63FA">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31</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0E9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中药柜</w:t>
            </w:r>
          </w:p>
        </w:tc>
        <w:tc>
          <w:tcPr>
            <w:tcW w:w="618" w:type="pct"/>
            <w:tcBorders>
              <w:top w:val="single" w:color="000000" w:sz="4" w:space="0"/>
              <w:left w:val="single" w:color="000000" w:sz="4" w:space="0"/>
              <w:bottom w:val="single" w:color="auto" w:sz="4" w:space="0"/>
              <w:right w:val="single" w:color="000000" w:sz="4" w:space="0"/>
            </w:tcBorders>
            <w:shd w:val="clear" w:color="auto" w:fill="auto"/>
            <w:vAlign w:val="center"/>
          </w:tcPr>
          <w:p w14:paraId="65EB4E7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150*60*2150cm</w:t>
            </w:r>
          </w:p>
        </w:tc>
        <w:tc>
          <w:tcPr>
            <w:tcW w:w="92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19B66E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393700</wp:posOffset>
                  </wp:positionH>
                  <wp:positionV relativeFrom="paragraph">
                    <wp:posOffset>128905</wp:posOffset>
                  </wp:positionV>
                  <wp:extent cx="825500" cy="1165225"/>
                  <wp:effectExtent l="0" t="0" r="12700" b="15875"/>
                  <wp:wrapNone/>
                  <wp:docPr id="52" name="图片_21"/>
                  <wp:cNvGraphicFramePr/>
                  <a:graphic xmlns:a="http://schemas.openxmlformats.org/drawingml/2006/main">
                    <a:graphicData uri="http://schemas.openxmlformats.org/drawingml/2006/picture">
                      <pic:pic xmlns:pic="http://schemas.openxmlformats.org/drawingml/2006/picture">
                        <pic:nvPicPr>
                          <pic:cNvPr id="52" name="图片_21"/>
                          <pic:cNvPicPr/>
                        </pic:nvPicPr>
                        <pic:blipFill>
                          <a:blip r:embed="rId45"/>
                          <a:stretch>
                            <a:fillRect/>
                          </a:stretch>
                        </pic:blipFill>
                        <pic:spPr>
                          <a:xfrm>
                            <a:off x="0" y="0"/>
                            <a:ext cx="825500" cy="1165225"/>
                          </a:xfrm>
                          <a:prstGeom prst="rect">
                            <a:avLst/>
                          </a:prstGeom>
                          <a:noFill/>
                          <a:ln>
                            <a:noFill/>
                          </a:ln>
                        </pic:spPr>
                      </pic:pic>
                    </a:graphicData>
                  </a:graphic>
                </wp:anchor>
              </w:drawing>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5D79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1.基材：实木，经防虫防腐干燥处理。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DC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组</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E1A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590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r>
      <w:tr w14:paraId="36FE6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DDEC">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32</w:t>
            </w:r>
          </w:p>
        </w:tc>
        <w:tc>
          <w:tcPr>
            <w:tcW w:w="671" w:type="pct"/>
            <w:tcBorders>
              <w:top w:val="single" w:color="000000" w:sz="4" w:space="0"/>
              <w:left w:val="single" w:color="000000" w:sz="4" w:space="0"/>
              <w:bottom w:val="single" w:color="000000" w:sz="4" w:space="0"/>
              <w:right w:val="single" w:color="auto" w:sz="4" w:space="0"/>
            </w:tcBorders>
            <w:shd w:val="clear" w:color="auto" w:fill="auto"/>
            <w:vAlign w:val="center"/>
          </w:tcPr>
          <w:p w14:paraId="156D63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圆桌</w:t>
            </w:r>
          </w:p>
        </w:tc>
        <w:tc>
          <w:tcPr>
            <w:tcW w:w="618" w:type="pct"/>
            <w:tcBorders>
              <w:top w:val="single" w:color="auto" w:sz="4" w:space="0"/>
              <w:left w:val="single" w:color="auto" w:sz="4" w:space="0"/>
              <w:bottom w:val="single" w:color="auto" w:sz="4" w:space="0"/>
              <w:right w:val="single" w:color="auto" w:sz="4" w:space="0"/>
            </w:tcBorders>
            <w:shd w:val="clear" w:color="auto" w:fill="auto"/>
            <w:vAlign w:val="center"/>
          </w:tcPr>
          <w:p w14:paraId="0029B61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60*60*72cm</w:t>
            </w:r>
          </w:p>
        </w:tc>
        <w:tc>
          <w:tcPr>
            <w:tcW w:w="92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014AC2">
            <w:pPr>
              <w:keepNext w:val="0"/>
              <w:keepLines w:val="0"/>
              <w:widowControl/>
              <w:suppressLineNumbers w:val="0"/>
              <w:jc w:val="left"/>
              <w:textAlignment w:val="center"/>
              <w:rPr>
                <w:rFonts w:hint="eastAsia" w:ascii="宋体" w:hAnsi="宋体" w:eastAsia="宋体" w:cs="宋体"/>
                <w:i w:val="0"/>
                <w:iCs w:val="0"/>
                <w:color w:val="0000FF"/>
                <w:sz w:val="22"/>
                <w:szCs w:val="22"/>
                <w:highlight w:val="none"/>
                <w:u w:val="single"/>
              </w:rPr>
            </w:pPr>
            <w:r>
              <w:rPr>
                <w:rFonts w:hint="eastAsia" w:ascii="宋体" w:hAnsi="宋体" w:eastAsia="宋体" w:cs="宋体"/>
                <w:i w:val="0"/>
                <w:iCs w:val="0"/>
                <w:color w:val="0000FF"/>
                <w:kern w:val="0"/>
                <w:sz w:val="22"/>
                <w:szCs w:val="22"/>
                <w:highlight w:val="none"/>
                <w:u w:val="single"/>
                <w:lang w:val="en-US" w:eastAsia="zh-CN" w:bidi="ar"/>
              </w:rPr>
              <w:drawing>
                <wp:anchor distT="0" distB="0" distL="114300" distR="114300" simplePos="0" relativeHeight="251659264" behindDoc="0" locked="0" layoutInCell="1" allowOverlap="1">
                  <wp:simplePos x="0" y="0"/>
                  <wp:positionH relativeFrom="column">
                    <wp:posOffset>308610</wp:posOffset>
                  </wp:positionH>
                  <wp:positionV relativeFrom="paragraph">
                    <wp:posOffset>6350</wp:posOffset>
                  </wp:positionV>
                  <wp:extent cx="1112520" cy="1242060"/>
                  <wp:effectExtent l="0" t="0" r="11430" b="15240"/>
                  <wp:wrapNone/>
                  <wp:docPr id="54" name="图片_10"/>
                  <wp:cNvGraphicFramePr/>
                  <a:graphic xmlns:a="http://schemas.openxmlformats.org/drawingml/2006/main">
                    <a:graphicData uri="http://schemas.openxmlformats.org/drawingml/2006/picture">
                      <pic:pic xmlns:pic="http://schemas.openxmlformats.org/drawingml/2006/picture">
                        <pic:nvPicPr>
                          <pic:cNvPr id="54" name="图片_10"/>
                          <pic:cNvPicPr/>
                        </pic:nvPicPr>
                        <pic:blipFill>
                          <a:blip r:embed="rId46"/>
                          <a:stretch>
                            <a:fillRect/>
                          </a:stretch>
                        </pic:blipFill>
                        <pic:spPr>
                          <a:xfrm>
                            <a:off x="0" y="0"/>
                            <a:ext cx="1112520" cy="1242060"/>
                          </a:xfrm>
                          <a:prstGeom prst="rect">
                            <a:avLst/>
                          </a:prstGeom>
                          <a:noFill/>
                          <a:ln>
                            <a:noFill/>
                          </a:ln>
                        </pic:spPr>
                      </pic:pic>
                    </a:graphicData>
                  </a:graphic>
                </wp:anchor>
              </w:drawing>
            </w:r>
          </w:p>
        </w:tc>
        <w:tc>
          <w:tcPr>
            <w:tcW w:w="1663" w:type="pct"/>
            <w:tcBorders>
              <w:top w:val="single" w:color="000000" w:sz="4" w:space="0"/>
              <w:left w:val="single" w:color="auto" w:sz="4" w:space="0"/>
              <w:bottom w:val="single" w:color="000000" w:sz="4" w:space="0"/>
              <w:right w:val="single" w:color="000000" w:sz="4" w:space="0"/>
            </w:tcBorders>
            <w:shd w:val="clear" w:color="auto" w:fill="auto"/>
            <w:vAlign w:val="center"/>
          </w:tcPr>
          <w:p w14:paraId="51CAC89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1.基材：实木，经防虫防腐干燥处理。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2.采用优质木器环保聚酯漆；五底三面工艺，表面光滑，保证良好的耐磨性。</w:t>
            </w:r>
          </w:p>
        </w:tc>
        <w:tc>
          <w:tcPr>
            <w:tcW w:w="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E8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66A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AE7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bl>
    <w:p w14:paraId="33732FF6">
      <w:pPr>
        <w:pStyle w:val="46"/>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80" w:lineRule="exact"/>
        <w:ind w:right="0" w:rightChars="0" w:firstLine="482" w:firstLineChars="200"/>
        <w:jc w:val="left"/>
        <w:textAlignment w:val="auto"/>
        <w:rPr>
          <w:rFonts w:hint="eastAsia" w:ascii="宋体" w:hAnsi="宋体" w:eastAsia="宋体" w:cs="宋体"/>
          <w:b/>
          <w:bCs/>
          <w:color w:val="auto"/>
          <w:sz w:val="24"/>
          <w:highlight w:val="none"/>
          <w:lang w:val="en-US" w:eastAsia="zh-CN"/>
        </w:rPr>
        <w:sectPr>
          <w:pgSz w:w="16838" w:h="11906" w:orient="landscape"/>
          <w:pgMar w:top="1588" w:right="1021" w:bottom="1588" w:left="851" w:header="851" w:footer="851" w:gutter="0"/>
          <w:pgBorders>
            <w:top w:val="none" w:sz="0" w:space="0"/>
            <w:left w:val="none" w:sz="0" w:space="0"/>
            <w:bottom w:val="none" w:sz="0" w:space="0"/>
            <w:right w:val="none" w:sz="0" w:space="0"/>
          </w:pgBorders>
          <w:pgNumType w:fmt="decimal"/>
          <w:cols w:space="720" w:num="1"/>
        </w:sectPr>
      </w:pPr>
    </w:p>
    <w:p w14:paraId="68CBD20C">
      <w:pPr>
        <w:keepNext w:val="0"/>
        <w:keepLines w:val="0"/>
        <w:pageBreakBefore w:val="0"/>
        <w:widowControl w:val="0"/>
        <w:kinsoku/>
        <w:wordWrap/>
        <w:overflowPunct/>
        <w:topLinePunct w:val="0"/>
        <w:bidi w:val="0"/>
        <w:adjustRightInd/>
        <w:spacing w:line="312" w:lineRule="auto"/>
        <w:textAlignment w:val="auto"/>
        <w:rPr>
          <w:rFonts w:hint="eastAsia"/>
          <w:bCs/>
          <w:color w:val="auto"/>
          <w:sz w:val="24"/>
          <w:highlight w:val="none"/>
        </w:rPr>
      </w:pPr>
      <w:bookmarkStart w:id="9" w:name="_Toc592"/>
      <w:r>
        <w:rPr>
          <w:rFonts w:hint="eastAsia"/>
          <w:bCs/>
          <w:color w:val="auto"/>
          <w:sz w:val="24"/>
          <w:highlight w:val="none"/>
        </w:rPr>
        <w:t>注：</w:t>
      </w:r>
    </w:p>
    <w:p w14:paraId="0E021881">
      <w:pPr>
        <w:keepNext w:val="0"/>
        <w:keepLines w:val="0"/>
        <w:pageBreakBefore w:val="0"/>
        <w:widowControl w:val="0"/>
        <w:kinsoku/>
        <w:wordWrap/>
        <w:overflowPunct/>
        <w:topLinePunct w:val="0"/>
        <w:bidi w:val="0"/>
        <w:adjustRightInd/>
        <w:spacing w:line="312" w:lineRule="auto"/>
        <w:textAlignment w:val="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1</w:t>
      </w:r>
      <w:r>
        <w:rPr>
          <w:rFonts w:hint="eastAsia" w:ascii="宋体" w:hAnsi="宋体"/>
          <w:color w:val="auto"/>
          <w:sz w:val="24"/>
          <w:highlight w:val="none"/>
        </w:rPr>
        <w:t>、所有</w:t>
      </w:r>
      <w:r>
        <w:rPr>
          <w:rFonts w:hint="eastAsia" w:ascii="宋体" w:hAnsi="宋体"/>
          <w:color w:val="auto"/>
          <w:sz w:val="24"/>
          <w:highlight w:val="none"/>
          <w:lang w:val="en-US" w:eastAsia="zh-CN"/>
        </w:rPr>
        <w:t>货物</w:t>
      </w:r>
      <w:r>
        <w:rPr>
          <w:rFonts w:hint="eastAsia" w:ascii="宋体" w:hAnsi="宋体"/>
          <w:color w:val="auto"/>
          <w:sz w:val="24"/>
          <w:highlight w:val="none"/>
        </w:rPr>
        <w:t>均</w:t>
      </w:r>
      <w:r>
        <w:rPr>
          <w:rFonts w:hint="eastAsia" w:ascii="宋体" w:hAnsi="宋体"/>
          <w:color w:val="auto"/>
          <w:sz w:val="24"/>
          <w:highlight w:val="none"/>
          <w:lang w:val="en-US" w:eastAsia="zh-CN"/>
        </w:rPr>
        <w:t>需符合</w:t>
      </w:r>
      <w:r>
        <w:rPr>
          <w:rFonts w:hint="eastAsia" w:ascii="宋体" w:hAnsi="宋体"/>
          <w:color w:val="auto"/>
          <w:sz w:val="24"/>
          <w:highlight w:val="none"/>
        </w:rPr>
        <w:t>国家相关标准、行业标准、地方标准或者其他标准、规范</w:t>
      </w:r>
      <w:r>
        <w:rPr>
          <w:rFonts w:hint="eastAsia" w:ascii="宋体" w:hAnsi="宋体"/>
          <w:color w:val="auto"/>
          <w:sz w:val="24"/>
          <w:highlight w:val="none"/>
          <w:lang w:eastAsia="zh-CN"/>
        </w:rPr>
        <w:t>。</w:t>
      </w:r>
    </w:p>
    <w:p w14:paraId="32B7BC26">
      <w:pPr>
        <w:keepNext w:val="0"/>
        <w:keepLines w:val="0"/>
        <w:pageBreakBefore w:val="0"/>
        <w:widowControl w:val="0"/>
        <w:kinsoku/>
        <w:wordWrap/>
        <w:overflowPunct/>
        <w:topLinePunct w:val="0"/>
        <w:bidi w:val="0"/>
        <w:adjustRightInd/>
        <w:spacing w:line="312" w:lineRule="auto"/>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2、上述技术需求如出现某类品牌型号特有的技术指标或性能，则供投标人参考,不作为实质性响应条款。招标文件如有提供的图片为参考式样和颜色，投标人请提供所投产品的图片。</w:t>
      </w:r>
    </w:p>
    <w:p w14:paraId="4239ABE1">
      <w:pPr>
        <w:keepNext w:val="0"/>
        <w:keepLines w:val="0"/>
        <w:pageBreakBefore w:val="0"/>
        <w:widowControl w:val="0"/>
        <w:kinsoku/>
        <w:wordWrap/>
        <w:overflowPunct/>
        <w:topLinePunct w:val="0"/>
        <w:bidi w:val="0"/>
        <w:adjustRightInd/>
        <w:spacing w:line="312" w:lineRule="auto"/>
        <w:textAlignment w:val="auto"/>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、供应商必须按照本部分的数量、规格等要求进行全部报价，不得漏报、少报，但最终供货数量以采购人的供货通知为准，结算单价以中标人的投标单价为准。</w:t>
      </w:r>
      <w:r>
        <w:rPr>
          <w:rFonts w:hint="eastAsia" w:ascii="宋体" w:hAnsi="宋体" w:eastAsia="宋体" w:cs="宋体"/>
          <w:color w:val="auto"/>
          <w:sz w:val="24"/>
          <w:highlight w:val="none"/>
        </w:rPr>
        <w:t>如遇数量增加或减少，中标人不得以任何理由要求调整单价。结算时按实际使用量乘以中标单价进行计算。</w:t>
      </w:r>
    </w:p>
    <w:p w14:paraId="05A70AC8">
      <w:pPr>
        <w:keepNext w:val="0"/>
        <w:keepLines w:val="0"/>
        <w:pageBreakBefore w:val="0"/>
        <w:widowControl w:val="0"/>
        <w:numPr>
          <w:ilvl w:val="0"/>
          <w:numId w:val="0"/>
        </w:numPr>
        <w:kinsoku/>
        <w:wordWrap/>
        <w:overflowPunct/>
        <w:topLinePunct w:val="0"/>
        <w:autoSpaceDE w:val="0"/>
        <w:autoSpaceDN w:val="0"/>
        <w:bidi w:val="0"/>
        <w:adjustRightInd/>
        <w:snapToGrid w:val="0"/>
        <w:spacing w:line="312" w:lineRule="auto"/>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rPr>
        <w:t>本项目采用综合单价报价，按实结算，综合单价中应包括货款、标准附件、备品备件、专用工具、包装、运输、装卸、保险、货到就位以及安装、保修、</w:t>
      </w:r>
      <w:r>
        <w:rPr>
          <w:rFonts w:hint="eastAsia" w:ascii="宋体" w:hAnsi="宋体" w:cs="宋体"/>
          <w:color w:val="auto"/>
          <w:sz w:val="24"/>
          <w:highlight w:val="none"/>
          <w:lang w:val="en-US" w:eastAsia="zh-CN"/>
        </w:rPr>
        <w:t>企业管理费、利润、规费、税金</w:t>
      </w:r>
      <w:r>
        <w:rPr>
          <w:rFonts w:hint="eastAsia" w:ascii="宋体" w:hAnsi="宋体" w:cs="宋体"/>
          <w:color w:val="auto"/>
          <w:sz w:val="24"/>
          <w:highlight w:val="none"/>
          <w:lang w:val="zh-CN"/>
        </w:rPr>
        <w:t>等一切费用。</w:t>
      </w:r>
    </w:p>
    <w:p w14:paraId="45C439AE">
      <w:pPr>
        <w:spacing w:line="440" w:lineRule="exact"/>
        <w:rPr>
          <w:rFonts w:ascii="宋体" w:hAnsi="宋体"/>
          <w:b/>
          <w:color w:val="auto"/>
          <w:sz w:val="24"/>
          <w:highlight w:val="none"/>
        </w:rPr>
      </w:pPr>
      <w:r>
        <w:rPr>
          <w:rFonts w:hint="eastAsia" w:ascii="宋体" w:hAnsi="宋体"/>
          <w:b/>
          <w:color w:val="auto"/>
          <w:sz w:val="24"/>
          <w:highlight w:val="none"/>
          <w:lang w:val="en-US" w:eastAsia="zh-CN"/>
        </w:rPr>
        <w:t>二</w:t>
      </w:r>
      <w:r>
        <w:rPr>
          <w:rFonts w:hint="eastAsia" w:ascii="宋体" w:hAnsi="宋体"/>
          <w:b/>
          <w:color w:val="auto"/>
          <w:sz w:val="24"/>
          <w:highlight w:val="none"/>
        </w:rPr>
        <w:t>、工作范围</w:t>
      </w:r>
    </w:p>
    <w:p w14:paraId="0392D659">
      <w:pPr>
        <w:spacing w:line="440" w:lineRule="exact"/>
        <w:rPr>
          <w:rFonts w:ascii="宋体" w:hAnsi="宋体"/>
          <w:color w:val="auto"/>
          <w:sz w:val="24"/>
          <w:highlight w:val="none"/>
        </w:rPr>
      </w:pPr>
      <w:r>
        <w:rPr>
          <w:rFonts w:hint="eastAsia" w:ascii="宋体" w:hAnsi="宋体"/>
          <w:color w:val="auto"/>
          <w:sz w:val="24"/>
          <w:highlight w:val="none"/>
        </w:rPr>
        <w:t>根据招标文件，投标人须按国家有关标准及规范完成下列工作：</w:t>
      </w:r>
    </w:p>
    <w:p w14:paraId="143511D9">
      <w:pPr>
        <w:spacing w:line="440" w:lineRule="exact"/>
        <w:rPr>
          <w:rFonts w:ascii="宋体" w:hAnsi="宋体"/>
          <w:color w:val="auto"/>
          <w:sz w:val="24"/>
          <w:highlight w:val="none"/>
        </w:rPr>
      </w:pPr>
      <w:r>
        <w:rPr>
          <w:rFonts w:hint="eastAsia" w:ascii="宋体" w:hAnsi="宋体"/>
          <w:color w:val="auto"/>
          <w:sz w:val="24"/>
          <w:highlight w:val="none"/>
        </w:rPr>
        <w:t>（1）本项目属交钥匙项目；</w:t>
      </w:r>
    </w:p>
    <w:p w14:paraId="54BA50F1">
      <w:pPr>
        <w:spacing w:line="440" w:lineRule="exact"/>
        <w:rPr>
          <w:rFonts w:ascii="宋体" w:hAnsi="宋体"/>
          <w:color w:val="auto"/>
          <w:sz w:val="24"/>
          <w:highlight w:val="none"/>
        </w:rPr>
      </w:pPr>
      <w:r>
        <w:rPr>
          <w:rFonts w:hint="eastAsia" w:ascii="宋体" w:hAnsi="宋体"/>
          <w:color w:val="auto"/>
          <w:sz w:val="24"/>
          <w:highlight w:val="none"/>
        </w:rPr>
        <w:t>（2）材料及相关附件的提供、运输、安装、检验、通过验收；</w:t>
      </w:r>
    </w:p>
    <w:p w14:paraId="2DC90920">
      <w:pPr>
        <w:spacing w:line="440" w:lineRule="exact"/>
        <w:rPr>
          <w:rFonts w:ascii="宋体" w:hAnsi="宋体"/>
          <w:color w:val="auto"/>
          <w:sz w:val="24"/>
          <w:highlight w:val="none"/>
        </w:rPr>
      </w:pPr>
      <w:r>
        <w:rPr>
          <w:rFonts w:hint="eastAsia" w:ascii="宋体" w:hAnsi="宋体"/>
          <w:color w:val="auto"/>
          <w:sz w:val="24"/>
          <w:highlight w:val="none"/>
        </w:rPr>
        <w:t>（3）中标单位在供货前须出具原厂商合格证及售后服务措施及承诺。</w:t>
      </w:r>
    </w:p>
    <w:p w14:paraId="51BEDEAC">
      <w:pPr>
        <w:spacing w:line="440" w:lineRule="exact"/>
        <w:rPr>
          <w:rFonts w:ascii="宋体" w:hAnsi="宋体"/>
          <w:b/>
          <w:color w:val="auto"/>
          <w:sz w:val="24"/>
          <w:highlight w:val="none"/>
        </w:rPr>
      </w:pPr>
      <w:r>
        <w:rPr>
          <w:rFonts w:hint="eastAsia" w:ascii="宋体" w:hAnsi="宋体"/>
          <w:b/>
          <w:color w:val="auto"/>
          <w:sz w:val="24"/>
          <w:highlight w:val="none"/>
          <w:lang w:val="en-US" w:eastAsia="zh-CN"/>
        </w:rPr>
        <w:t>三</w:t>
      </w:r>
      <w:r>
        <w:rPr>
          <w:rFonts w:hint="eastAsia" w:ascii="宋体" w:hAnsi="宋体"/>
          <w:b/>
          <w:color w:val="auto"/>
          <w:sz w:val="24"/>
          <w:highlight w:val="none"/>
        </w:rPr>
        <w:t>、中标人的工作内容</w:t>
      </w:r>
    </w:p>
    <w:p w14:paraId="1FC218C7">
      <w:pPr>
        <w:spacing w:line="440" w:lineRule="exact"/>
        <w:rPr>
          <w:rFonts w:ascii="宋体" w:hAnsi="宋体"/>
          <w:color w:val="auto"/>
          <w:sz w:val="24"/>
          <w:highlight w:val="none"/>
        </w:rPr>
      </w:pPr>
      <w:r>
        <w:rPr>
          <w:rFonts w:hint="eastAsia" w:ascii="宋体" w:hAnsi="宋体"/>
          <w:color w:val="auto"/>
          <w:sz w:val="24"/>
          <w:highlight w:val="none"/>
        </w:rPr>
        <w:t>中标人的工作内容需包含但不局限于以下内容：</w:t>
      </w:r>
    </w:p>
    <w:p w14:paraId="3FB005F2">
      <w:pPr>
        <w:spacing w:line="440" w:lineRule="exac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设备的制造与供货及提供相关资料；</w:t>
      </w:r>
    </w:p>
    <w:p w14:paraId="337735CC">
      <w:pPr>
        <w:spacing w:line="440" w:lineRule="exac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设备及部件的检查、检验及测试（该费用计入总价）；</w:t>
      </w:r>
    </w:p>
    <w:p w14:paraId="52C518C0">
      <w:pPr>
        <w:spacing w:line="440" w:lineRule="exac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rPr>
        <w:tab/>
      </w:r>
      <w:r>
        <w:rPr>
          <w:rFonts w:hint="eastAsia" w:ascii="宋体" w:hAnsi="宋体"/>
          <w:color w:val="auto"/>
          <w:sz w:val="24"/>
          <w:highlight w:val="none"/>
        </w:rPr>
        <w:t>设备的安装及部件的就位和固定；</w:t>
      </w:r>
    </w:p>
    <w:p w14:paraId="51716BA9">
      <w:pPr>
        <w:spacing w:line="440" w:lineRule="exac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rPr>
        <w:tab/>
      </w:r>
      <w:r>
        <w:rPr>
          <w:rFonts w:hint="eastAsia" w:ascii="宋体" w:hAnsi="宋体"/>
          <w:color w:val="auto"/>
          <w:sz w:val="24"/>
          <w:highlight w:val="none"/>
        </w:rPr>
        <w:t>设备及部件的连接和检查；</w:t>
      </w:r>
    </w:p>
    <w:p w14:paraId="7BFF245F">
      <w:pPr>
        <w:spacing w:line="440" w:lineRule="exact"/>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rPr>
        <w:tab/>
      </w:r>
      <w:r>
        <w:rPr>
          <w:rFonts w:hint="eastAsia" w:ascii="宋体" w:hAnsi="宋体"/>
          <w:color w:val="auto"/>
          <w:sz w:val="24"/>
          <w:highlight w:val="none"/>
        </w:rPr>
        <w:t>验收（包括负责通过相关部门的整体验收，资料整理交接）；</w:t>
      </w:r>
    </w:p>
    <w:p w14:paraId="0E7B3D8A">
      <w:pPr>
        <w:spacing w:line="440" w:lineRule="exact"/>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rPr>
        <w:tab/>
      </w:r>
      <w:r>
        <w:rPr>
          <w:rFonts w:hint="eastAsia" w:ascii="宋体" w:hAnsi="宋体"/>
          <w:color w:val="auto"/>
          <w:sz w:val="24"/>
          <w:highlight w:val="none"/>
        </w:rPr>
        <w:t>售后服务。</w:t>
      </w:r>
    </w:p>
    <w:p w14:paraId="3023FAB6">
      <w:pPr>
        <w:spacing w:line="440" w:lineRule="exact"/>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四、质量保证</w:t>
      </w:r>
    </w:p>
    <w:p w14:paraId="7E427759">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1、质量要求</w:t>
      </w:r>
    </w:p>
    <w:p w14:paraId="1C8EC75B">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（1）合格及以上，符合国家规定的质量要求。</w:t>
      </w:r>
    </w:p>
    <w:p w14:paraId="2CF05ECF">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（2）货物验收过程中，由于质量不合格或运输等原因所造成的一切费用均由投标人负责。</w:t>
      </w:r>
    </w:p>
    <w:p w14:paraId="6F4F3738">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（3）中标供应商须对因投标货物使用期内本身的固有缺陷和瑕疵承担责任。</w:t>
      </w:r>
    </w:p>
    <w:p w14:paraId="3934DBF5">
      <w:pPr>
        <w:spacing w:line="440" w:lineRule="exact"/>
        <w:rPr>
          <w:rFonts w:hint="eastAsia" w:ascii="宋体" w:hAnsi="宋体" w:eastAsia="宋体" w:cs="Times New Roman"/>
          <w:b/>
          <w:bCs/>
          <w:color w:val="auto"/>
          <w:sz w:val="24"/>
          <w:highlight w:val="none"/>
          <w:u w:val="single"/>
          <w:shd w:val="clear" w:color="FFFFFF" w:fill="D9D9D9"/>
        </w:rPr>
      </w:pPr>
      <w:r>
        <w:rPr>
          <w:rFonts w:hint="eastAsia" w:ascii="宋体" w:hAnsi="宋体" w:eastAsia="宋体" w:cs="Times New Roman"/>
          <w:b/>
          <w:bCs/>
          <w:color w:val="auto"/>
          <w:sz w:val="24"/>
          <w:highlight w:val="none"/>
          <w:u w:val="single"/>
          <w:shd w:val="clear" w:color="FFFFFF" w:fill="D9D9D9"/>
        </w:rPr>
        <w:t>▲2、质保期：所有</w:t>
      </w:r>
      <w:r>
        <w:rPr>
          <w:rFonts w:hint="eastAsia" w:ascii="宋体" w:hAnsi="宋体" w:eastAsia="宋体" w:cs="Times New Roman"/>
          <w:b/>
          <w:bCs/>
          <w:color w:val="auto"/>
          <w:sz w:val="24"/>
          <w:highlight w:val="none"/>
          <w:u w:val="single"/>
          <w:shd w:val="clear" w:color="FFFFFF" w:fill="D9D9D9"/>
          <w:lang w:val="en-US" w:eastAsia="zh-CN"/>
        </w:rPr>
        <w:t>货物</w:t>
      </w:r>
      <w:r>
        <w:rPr>
          <w:rFonts w:hint="eastAsia" w:ascii="宋体" w:hAnsi="宋体" w:eastAsia="宋体" w:cs="Times New Roman"/>
          <w:b/>
          <w:bCs/>
          <w:color w:val="auto"/>
          <w:sz w:val="24"/>
          <w:highlight w:val="none"/>
          <w:u w:val="single"/>
          <w:shd w:val="clear" w:color="FFFFFF" w:fill="D9D9D9"/>
        </w:rPr>
        <w:t>不少于</w:t>
      </w:r>
      <w:r>
        <w:rPr>
          <w:rFonts w:hint="eastAsia" w:ascii="宋体" w:hAnsi="宋体" w:eastAsia="宋体" w:cs="Times New Roman"/>
          <w:b/>
          <w:bCs/>
          <w:color w:val="auto"/>
          <w:sz w:val="24"/>
          <w:highlight w:val="none"/>
          <w:u w:val="single"/>
          <w:shd w:val="clear" w:color="FFFFFF" w:fill="D9D9D9"/>
          <w:lang w:val="en-US" w:eastAsia="zh-CN"/>
        </w:rPr>
        <w:t>3</w:t>
      </w:r>
      <w:r>
        <w:rPr>
          <w:rFonts w:hint="eastAsia" w:ascii="宋体" w:hAnsi="宋体" w:eastAsia="宋体" w:cs="Times New Roman"/>
          <w:b/>
          <w:bCs/>
          <w:color w:val="auto"/>
          <w:sz w:val="24"/>
          <w:highlight w:val="none"/>
          <w:u w:val="single"/>
          <w:shd w:val="clear" w:color="FFFFFF" w:fill="D9D9D9"/>
        </w:rPr>
        <w:t>年免费保修期（投标人可提供更优惠的保修期）。</w:t>
      </w:r>
    </w:p>
    <w:p w14:paraId="5793013E">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（1）保修期内，如因修理货物或更换部件，而非人为因素出现故障而造成短期停用时，则保修期和免费维修期相应顺延。如停用时间累计超过20天，则货物保修期重新计算。</w:t>
      </w:r>
    </w:p>
    <w:p w14:paraId="216BEFB0">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（2）保修期内，采购人无须自行付费，中标供应商负责修理和替换任何由于货物自身的质量问题造成的损坏及故障。</w:t>
      </w:r>
    </w:p>
    <w:p w14:paraId="6E46B972">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（3）保修期内，须指定一名技术工程师专门负责本项目的售后服务工作；如有更换，须采购人同意。</w:t>
      </w:r>
    </w:p>
    <w:p w14:paraId="532647E6">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（4）中标供应商在保修期内安装（更换）的任何零配件，必须是货物制造商原产的或是经采购人认可的。</w:t>
      </w:r>
    </w:p>
    <w:p w14:paraId="5424E2B3">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（5）所有的替代零配件必须是新的未使用和未经修复的,除非最终用户提供书面许可，否则不可使用此范围外的其他（非新的）配件。</w:t>
      </w:r>
    </w:p>
    <w:p w14:paraId="5F74BA31">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保修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02A749EE">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（7）中标供应商或原厂家的承诺的保修期不符的，以最高标准为准，除非供应商事前正式声明，否则均视为认同，并将在合同中载明。</w:t>
      </w:r>
    </w:p>
    <w:p w14:paraId="4343588E">
      <w:pPr>
        <w:spacing w:line="440" w:lineRule="exact"/>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五、售后服务要求</w:t>
      </w:r>
    </w:p>
    <w:p w14:paraId="1DD5D981">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797F9EED">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2、中标人服务维修人员均经过良好的系统技术培训，并有丰富的现场维修经验。</w:t>
      </w:r>
    </w:p>
    <w:p w14:paraId="205BF8BB">
      <w:pPr>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3、若中标人未能满足上述售后服务要求中的任何一条，采购单位有权委托第三方单位提供售后服务，由此产生的一切费用由中标人承担。</w:t>
      </w:r>
    </w:p>
    <w:p w14:paraId="693AB412">
      <w:pPr>
        <w:spacing w:line="440" w:lineRule="exact"/>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六、其他要求</w:t>
      </w:r>
    </w:p>
    <w:p w14:paraId="2BFA63B5">
      <w:pPr>
        <w:spacing w:line="440" w:lineRule="exact"/>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招标文件所提供的产品颜色仅供参考，实际供货颜色最终由招标人确定。</w:t>
      </w:r>
    </w:p>
    <w:p w14:paraId="6735E2CB">
      <w:pPr>
        <w:spacing w:line="440" w:lineRule="exact"/>
        <w:rPr>
          <w:rFonts w:hint="eastAsia" w:ascii="宋体" w:hAnsi="宋体"/>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2、</w:t>
      </w:r>
      <w:r>
        <w:rPr>
          <w:rFonts w:hint="eastAsia" w:ascii="宋体" w:hAnsi="宋体"/>
          <w:b w:val="0"/>
          <w:bCs w:val="0"/>
          <w:color w:val="auto"/>
          <w:sz w:val="24"/>
          <w:highlight w:val="none"/>
          <w:lang w:val="en-US" w:eastAsia="zh-CN"/>
        </w:rPr>
        <w:t>中标人需在政采云电子卖场上架采购清单中的商品，采购人在电子卖场下单，如因中标人不能完成政采云电子卖场上架的，采购人取消中标人中标资格。</w:t>
      </w:r>
    </w:p>
    <w:p w14:paraId="30319C05">
      <w:pPr>
        <w:spacing w:line="440" w:lineRule="exact"/>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3、由临海市江南街道社区卫生服务中心向中标单位进行支付，发票应随付款进度及时提供给临海市江南街道社区卫生服务中心。</w:t>
      </w:r>
    </w:p>
    <w:p w14:paraId="67260A5C">
      <w:pPr>
        <w:spacing w:line="44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七、商务要求</w:t>
      </w:r>
    </w:p>
    <w:p w14:paraId="79E05BFC">
      <w:pPr>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1、供货期：</w:t>
      </w:r>
      <w:r>
        <w:rPr>
          <w:rFonts w:hint="eastAsia" w:ascii="宋体" w:hAnsi="宋体" w:eastAsia="宋体" w:cs="Times New Roman"/>
          <w:color w:val="auto"/>
          <w:sz w:val="24"/>
          <w:highlight w:val="none"/>
          <w:lang w:val="zh-CN" w:eastAsia="zh-CN"/>
        </w:rPr>
        <w:t>合同签订后，接到甲方供货通知后25天内完成供货及安装。</w:t>
      </w:r>
    </w:p>
    <w:p w14:paraId="746A67AC">
      <w:pPr>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2、交货地点：采购人指定地点。</w:t>
      </w:r>
    </w:p>
    <w:p w14:paraId="4DE16A34">
      <w:pPr>
        <w:spacing w:line="44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八、按以下要求提供样品：</w:t>
      </w:r>
    </w:p>
    <w:p w14:paraId="7B5C7B82">
      <w:pPr>
        <w:spacing w:line="440" w:lineRule="exact"/>
        <w:rPr>
          <w:rFonts w:hint="eastAsia" w:ascii="宋体" w:hAnsi="宋体" w:eastAsia="宋体" w:cs="Times New Roman"/>
          <w:b/>
          <w:bCs/>
          <w:color w:val="auto"/>
          <w:sz w:val="24"/>
          <w:highlight w:val="none"/>
          <w:lang w:val="en-US" w:eastAsia="zh-CN"/>
        </w:rPr>
      </w:pPr>
    </w:p>
    <w:tbl>
      <w:tblPr>
        <w:tblStyle w:val="5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00"/>
        <w:gridCol w:w="3910"/>
        <w:gridCol w:w="1867"/>
        <w:gridCol w:w="1867"/>
      </w:tblGrid>
      <w:tr w14:paraId="16865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27" w:type="pct"/>
            <w:vAlign w:val="center"/>
          </w:tcPr>
          <w:p w14:paraId="15A903DD">
            <w:pPr>
              <w:jc w:val="center"/>
              <w:rPr>
                <w:rFonts w:hint="eastAsia" w:ascii="宋体" w:eastAsia="宋体" w:cs="Arial"/>
                <w:b/>
                <w:color w:val="auto"/>
                <w:sz w:val="24"/>
                <w:szCs w:val="24"/>
                <w:highlight w:val="none"/>
                <w:lang w:eastAsia="zh-CN"/>
              </w:rPr>
            </w:pPr>
            <w:r>
              <w:rPr>
                <w:rFonts w:hint="eastAsia" w:ascii="宋体" w:cs="Arial"/>
                <w:b/>
                <w:color w:val="auto"/>
                <w:sz w:val="24"/>
                <w:szCs w:val="24"/>
                <w:highlight w:val="none"/>
                <w:lang w:val="en-US" w:eastAsia="zh-CN"/>
              </w:rPr>
              <w:t>序号</w:t>
            </w:r>
          </w:p>
        </w:tc>
        <w:tc>
          <w:tcPr>
            <w:tcW w:w="2185" w:type="pct"/>
            <w:tcBorders>
              <w:right w:val="single" w:color="auto" w:sz="4" w:space="0"/>
            </w:tcBorders>
            <w:vAlign w:val="center"/>
          </w:tcPr>
          <w:p w14:paraId="306BF95F">
            <w:pPr>
              <w:jc w:val="center"/>
              <w:rPr>
                <w:rFonts w:ascii="宋体" w:cs="Arial"/>
                <w:b/>
                <w:color w:val="auto"/>
                <w:sz w:val="24"/>
                <w:szCs w:val="24"/>
                <w:highlight w:val="none"/>
              </w:rPr>
            </w:pPr>
            <w:r>
              <w:rPr>
                <w:rFonts w:hint="eastAsia" w:ascii="宋体" w:hAnsi="宋体" w:cs="Arial"/>
                <w:b/>
                <w:color w:val="auto"/>
                <w:sz w:val="24"/>
                <w:szCs w:val="24"/>
                <w:highlight w:val="none"/>
              </w:rPr>
              <w:t>样品</w:t>
            </w:r>
          </w:p>
        </w:tc>
        <w:tc>
          <w:tcPr>
            <w:tcW w:w="1043" w:type="pct"/>
            <w:tcBorders>
              <w:left w:val="single" w:color="auto" w:sz="4" w:space="0"/>
              <w:right w:val="single" w:color="auto" w:sz="4" w:space="0"/>
            </w:tcBorders>
            <w:vAlign w:val="center"/>
          </w:tcPr>
          <w:p w14:paraId="38DADE98">
            <w:pPr>
              <w:jc w:val="center"/>
              <w:rPr>
                <w:rFonts w:ascii="宋体" w:cs="Arial"/>
                <w:b/>
                <w:color w:val="auto"/>
                <w:sz w:val="24"/>
                <w:szCs w:val="24"/>
                <w:highlight w:val="none"/>
              </w:rPr>
            </w:pPr>
            <w:r>
              <w:rPr>
                <w:rFonts w:hint="eastAsia" w:ascii="宋体" w:hAnsi="宋体" w:cs="Arial"/>
                <w:b/>
                <w:color w:val="auto"/>
                <w:sz w:val="24"/>
                <w:szCs w:val="24"/>
                <w:highlight w:val="none"/>
              </w:rPr>
              <w:t>数量</w:t>
            </w:r>
          </w:p>
        </w:tc>
        <w:tc>
          <w:tcPr>
            <w:tcW w:w="1043" w:type="pct"/>
            <w:tcBorders>
              <w:left w:val="single" w:color="auto" w:sz="4" w:space="0"/>
              <w:right w:val="single" w:color="auto" w:sz="4" w:space="0"/>
            </w:tcBorders>
            <w:vAlign w:val="center"/>
          </w:tcPr>
          <w:p w14:paraId="4F577776">
            <w:pPr>
              <w:jc w:val="center"/>
              <w:rPr>
                <w:rFonts w:hint="eastAsia" w:ascii="宋体" w:hAnsi="宋体" w:eastAsia="宋体" w:cs="Arial"/>
                <w:b/>
                <w:color w:val="auto"/>
                <w:sz w:val="24"/>
                <w:szCs w:val="24"/>
                <w:highlight w:val="none"/>
                <w:lang w:val="en-US" w:eastAsia="zh-CN"/>
              </w:rPr>
            </w:pPr>
            <w:r>
              <w:rPr>
                <w:rFonts w:hint="eastAsia" w:ascii="宋体" w:hAnsi="宋体" w:cs="Arial"/>
                <w:b/>
                <w:color w:val="auto"/>
                <w:sz w:val="24"/>
                <w:szCs w:val="24"/>
                <w:highlight w:val="none"/>
                <w:lang w:val="en-US" w:eastAsia="zh-CN"/>
              </w:rPr>
              <w:t>单位</w:t>
            </w:r>
          </w:p>
        </w:tc>
      </w:tr>
      <w:tr w14:paraId="72EF7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27" w:type="pct"/>
            <w:vAlign w:val="center"/>
          </w:tcPr>
          <w:p w14:paraId="70940557">
            <w:pPr>
              <w:pStyle w:val="60"/>
              <w:jc w:val="center"/>
              <w:rPr>
                <w:rFonts w:cs="Arial"/>
                <w:color w:val="auto"/>
                <w:sz w:val="24"/>
                <w:szCs w:val="24"/>
                <w:highlight w:val="none"/>
              </w:rPr>
            </w:pPr>
            <w:r>
              <w:rPr>
                <w:rFonts w:hint="eastAsia" w:hAnsi="宋体"/>
                <w:color w:val="auto"/>
                <w:sz w:val="24"/>
                <w:szCs w:val="24"/>
                <w:highlight w:val="none"/>
              </w:rPr>
              <w:t>1</w:t>
            </w:r>
          </w:p>
        </w:tc>
        <w:tc>
          <w:tcPr>
            <w:tcW w:w="2185" w:type="pct"/>
            <w:tcBorders>
              <w:right w:val="single" w:color="auto" w:sz="4" w:space="0"/>
            </w:tcBorders>
            <w:vAlign w:val="center"/>
          </w:tcPr>
          <w:p w14:paraId="0DC21EE6">
            <w:pPr>
              <w:pStyle w:val="60"/>
              <w:jc w:val="center"/>
              <w:rPr>
                <w:rFonts w:cs="Arial"/>
                <w:color w:val="auto"/>
                <w:sz w:val="24"/>
                <w:szCs w:val="24"/>
                <w:highlight w:val="none"/>
              </w:rPr>
            </w:pPr>
            <w:r>
              <w:rPr>
                <w:rFonts w:hint="eastAsia" w:cs="Arial"/>
                <w:color w:val="auto"/>
                <w:sz w:val="24"/>
                <w:szCs w:val="24"/>
                <w:highlight w:val="none"/>
              </w:rPr>
              <w:t>办公椅（带轮）</w:t>
            </w:r>
          </w:p>
        </w:tc>
        <w:tc>
          <w:tcPr>
            <w:tcW w:w="1043" w:type="pct"/>
            <w:tcBorders>
              <w:left w:val="single" w:color="auto" w:sz="4" w:space="0"/>
              <w:right w:val="single" w:color="auto" w:sz="4" w:space="0"/>
            </w:tcBorders>
            <w:vAlign w:val="center"/>
          </w:tcPr>
          <w:p w14:paraId="2969BD8B">
            <w:pPr>
              <w:pStyle w:val="60"/>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w:t>
            </w:r>
          </w:p>
        </w:tc>
        <w:tc>
          <w:tcPr>
            <w:tcW w:w="1043" w:type="pct"/>
            <w:tcBorders>
              <w:left w:val="single" w:color="auto" w:sz="4" w:space="0"/>
              <w:right w:val="single" w:color="auto" w:sz="4" w:space="0"/>
            </w:tcBorders>
            <w:vAlign w:val="center"/>
          </w:tcPr>
          <w:p w14:paraId="573B153B">
            <w:pPr>
              <w:pStyle w:val="60"/>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张</w:t>
            </w:r>
          </w:p>
        </w:tc>
      </w:tr>
    </w:tbl>
    <w:p w14:paraId="3A6F26B5">
      <w:pPr>
        <w:spacing w:line="4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注：所有样品禁止使用快速成型、不能形成批量生产的方法制作部件（如3D打印）</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尺寸允许偏差</w:t>
      </w:r>
      <w:r>
        <w:rPr>
          <w:rFonts w:hint="eastAsia" w:ascii="宋体" w:hAnsi="宋体" w:cs="宋体"/>
          <w:b/>
          <w:color w:val="auto"/>
          <w:sz w:val="24"/>
          <w:highlight w:val="none"/>
        </w:rPr>
        <w:t>。</w:t>
      </w:r>
    </w:p>
    <w:p w14:paraId="7B795E42">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1、样品递交时间：投标样品在开标截止时间前（202</w:t>
      </w:r>
      <w:r>
        <w:rPr>
          <w:rFonts w:hint="eastAsia" w:ascii="宋体" w:hAnsi="宋体"/>
          <w:bCs/>
          <w:color w:val="auto"/>
          <w:sz w:val="24"/>
          <w:highlight w:val="none"/>
          <w:lang w:val="en-US" w:eastAsia="zh-CN"/>
        </w:rPr>
        <w:t>6</w:t>
      </w:r>
      <w:r>
        <w:rPr>
          <w:rFonts w:hint="eastAsia" w:ascii="宋体" w:hAnsi="宋体"/>
          <w:bCs/>
          <w:color w:val="auto"/>
          <w:sz w:val="24"/>
          <w:highlight w:val="none"/>
        </w:rPr>
        <w:t>年</w:t>
      </w:r>
      <w:r>
        <w:rPr>
          <w:rFonts w:hint="eastAsia" w:ascii="宋体" w:hAnsi="宋体"/>
          <w:bCs/>
          <w:color w:val="auto"/>
          <w:sz w:val="24"/>
          <w:highlight w:val="none"/>
          <w:lang w:val="en-US" w:eastAsia="zh-CN"/>
        </w:rPr>
        <w:t>6</w:t>
      </w:r>
      <w:r>
        <w:rPr>
          <w:rFonts w:hint="eastAsia" w:ascii="宋体" w:hAnsi="宋体"/>
          <w:bCs/>
          <w:color w:val="auto"/>
          <w:sz w:val="24"/>
          <w:highlight w:val="none"/>
        </w:rPr>
        <w:t>月</w:t>
      </w:r>
      <w:r>
        <w:rPr>
          <w:rFonts w:hint="eastAsia" w:ascii="宋体" w:hAnsi="宋体"/>
          <w:bCs/>
          <w:color w:val="auto"/>
          <w:sz w:val="24"/>
          <w:highlight w:val="none"/>
          <w:lang w:val="en-US" w:eastAsia="zh-CN"/>
        </w:rPr>
        <w:t>4</w:t>
      </w:r>
      <w:r>
        <w:rPr>
          <w:rFonts w:hint="eastAsia" w:ascii="宋体" w:hAnsi="宋体"/>
          <w:bCs/>
          <w:color w:val="auto"/>
          <w:sz w:val="24"/>
          <w:highlight w:val="none"/>
        </w:rPr>
        <w:t>日</w:t>
      </w:r>
      <w:r>
        <w:rPr>
          <w:rFonts w:hint="eastAsia" w:ascii="宋体" w:hAnsi="宋体"/>
          <w:bCs/>
          <w:color w:val="auto"/>
          <w:sz w:val="24"/>
          <w:highlight w:val="none"/>
          <w:lang w:val="en-US" w:eastAsia="zh-CN"/>
        </w:rPr>
        <w:t>08</w:t>
      </w:r>
      <w:r>
        <w:rPr>
          <w:rFonts w:hint="eastAsia" w:ascii="宋体" w:hAnsi="宋体"/>
          <w:bCs/>
          <w:color w:val="auto"/>
          <w:sz w:val="24"/>
          <w:highlight w:val="none"/>
        </w:rPr>
        <w:t>:</w:t>
      </w:r>
      <w:r>
        <w:rPr>
          <w:rFonts w:hint="eastAsia" w:ascii="宋体" w:hAnsi="宋体"/>
          <w:bCs/>
          <w:color w:val="auto"/>
          <w:sz w:val="24"/>
          <w:highlight w:val="none"/>
          <w:lang w:val="en-US" w:eastAsia="zh-CN"/>
        </w:rPr>
        <w:t>0</w:t>
      </w:r>
      <w:r>
        <w:rPr>
          <w:rFonts w:hint="eastAsia" w:ascii="宋体" w:hAnsi="宋体"/>
          <w:bCs/>
          <w:color w:val="auto"/>
          <w:sz w:val="24"/>
          <w:highlight w:val="none"/>
        </w:rPr>
        <w:t>0-</w:t>
      </w:r>
      <w:r>
        <w:rPr>
          <w:rFonts w:hint="eastAsia" w:ascii="宋体" w:hAnsi="宋体"/>
          <w:bCs/>
          <w:color w:val="auto"/>
          <w:sz w:val="24"/>
          <w:highlight w:val="none"/>
          <w:lang w:val="en-US" w:eastAsia="zh-CN"/>
        </w:rPr>
        <w:t xml:space="preserve"> 08:30</w:t>
      </w:r>
      <w:r>
        <w:rPr>
          <w:rFonts w:hint="eastAsia" w:ascii="宋体" w:hAnsi="宋体"/>
          <w:bCs/>
          <w:color w:val="auto"/>
          <w:sz w:val="24"/>
          <w:highlight w:val="none"/>
        </w:rPr>
        <w:t>），将样品送至招标文件规定的开标地点（临海市限额以下公共资源交易区域平台（</w:t>
      </w:r>
      <w:r>
        <w:rPr>
          <w:rFonts w:hint="eastAsia" w:ascii="宋体" w:hAnsi="宋体"/>
          <w:bCs/>
          <w:color w:val="auto"/>
          <w:sz w:val="24"/>
          <w:highlight w:val="none"/>
          <w:lang w:val="en-US" w:eastAsia="zh-CN"/>
        </w:rPr>
        <w:t>南</w:t>
      </w:r>
      <w:r>
        <w:rPr>
          <w:rFonts w:hint="eastAsia" w:ascii="宋体" w:hAnsi="宋体"/>
          <w:bCs/>
          <w:color w:val="auto"/>
          <w:sz w:val="24"/>
          <w:highlight w:val="none"/>
        </w:rPr>
        <w:t>部），江南街道春和路下岙余村新办公楼二楼开标室（不见面开标大厅））交给采购代理工作人员，供应商超过时间送达的样品将被拒绝受理。</w:t>
      </w:r>
    </w:p>
    <w:p w14:paraId="6D5D77F4">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2、样品退还安排：中标供应商样品须交由招标人封存保留作为验收样本，未中标的投标样品在开标结束后由投标人自行带回</w:t>
      </w:r>
      <w:r>
        <w:rPr>
          <w:rFonts w:hint="eastAsia" w:ascii="宋体" w:hAnsi="宋体"/>
          <w:bCs/>
          <w:color w:val="auto"/>
          <w:sz w:val="24"/>
          <w:highlight w:val="none"/>
          <w:lang w:eastAsia="zh-CN"/>
        </w:rPr>
        <w:t>。</w:t>
      </w:r>
      <w:r>
        <w:rPr>
          <w:rFonts w:hint="eastAsia" w:ascii="宋体" w:hAnsi="宋体"/>
          <w:bCs/>
          <w:color w:val="auto"/>
          <w:sz w:val="24"/>
          <w:highlight w:val="none"/>
        </w:rPr>
        <w:t xml:space="preserve"> </w:t>
      </w:r>
    </w:p>
    <w:p w14:paraId="08C04C39">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3、采购单位将根据招标文件、中标人投标文件及投标人提供的样品，对所送货物进行对比验收，验收时如发现所送货物质量低于招标文件、中标人投标文件及样品的，一律退货。退货三次以后合同自动终止。</w:t>
      </w:r>
    </w:p>
    <w:p w14:paraId="5DBD096D">
      <w:pPr>
        <w:spacing w:line="440" w:lineRule="exact"/>
        <w:rPr>
          <w:rFonts w:hint="eastAsia" w:ascii="宋体" w:hAnsi="宋体" w:eastAsia="宋体" w:cs="Times New Roman"/>
          <w:color w:val="auto"/>
          <w:sz w:val="24"/>
          <w:highlight w:val="none"/>
          <w:lang w:val="en-US" w:eastAsia="zh-CN"/>
        </w:rPr>
      </w:pPr>
    </w:p>
    <w:p w14:paraId="0F7ED40C">
      <w:pPr>
        <w:spacing w:line="460" w:lineRule="exact"/>
        <w:rPr>
          <w:rFonts w:hint="default" w:ascii="宋体" w:hAnsi="宋体"/>
          <w:bCs/>
          <w:color w:val="auto"/>
          <w:sz w:val="24"/>
          <w:highlight w:val="none"/>
          <w:lang w:val="en-US" w:eastAsia="zh-CN"/>
        </w:rPr>
        <w:sectPr>
          <w:pgSz w:w="11906" w:h="16838"/>
          <w:pgMar w:top="1020" w:right="1587" w:bottom="850" w:left="1587" w:header="567" w:footer="454" w:gutter="0"/>
          <w:pgNumType w:fmt="decimal"/>
          <w:cols w:space="0" w:num="1"/>
          <w:docGrid w:linePitch="286" w:charSpace="0"/>
        </w:sectPr>
      </w:pPr>
    </w:p>
    <w:p w14:paraId="2160F6CD">
      <w:pPr>
        <w:spacing w:line="360" w:lineRule="auto"/>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8"/>
      <w:bookmarkEnd w:id="9"/>
    </w:p>
    <w:p w14:paraId="0161FC03">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6558C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5E80D20A">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6E10E102">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内容、要求</w:t>
            </w:r>
          </w:p>
        </w:tc>
      </w:tr>
      <w:tr w14:paraId="45E14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27959CC1">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6BEC96AD">
            <w:pPr>
              <w:pStyle w:val="46"/>
              <w:spacing w:before="0" w:beforeAutospacing="0" w:after="0" w:afterAutospacing="0" w:line="400" w:lineRule="exact"/>
              <w:rPr>
                <w:rFonts w:hint="eastAsia" w:ascii="宋体" w:hAnsi="宋体" w:eastAsia="宋体" w:cs="宋体"/>
                <w:color w:val="auto"/>
                <w:kern w:val="2"/>
                <w:highlight w:val="none"/>
                <w:shd w:val="clear" w:color="auto" w:fill="auto"/>
                <w:lang w:eastAsia="zh-CN"/>
              </w:rPr>
            </w:pPr>
            <w:r>
              <w:rPr>
                <w:rFonts w:hint="eastAsia" w:ascii="宋体" w:hAnsi="宋体" w:eastAsia="宋体" w:cs="宋体"/>
                <w:color w:val="auto"/>
                <w:kern w:val="2"/>
                <w:highlight w:val="none"/>
                <w:shd w:val="clear" w:color="auto" w:fill="auto"/>
              </w:rPr>
              <w:t>项目名称：</w:t>
            </w:r>
            <w:r>
              <w:rPr>
                <w:rFonts w:hint="eastAsia" w:cs="宋体"/>
                <w:color w:val="auto"/>
                <w:kern w:val="2"/>
                <w:highlight w:val="none"/>
                <w:shd w:val="clear" w:color="auto" w:fill="auto"/>
                <w:lang w:eastAsia="zh-CN"/>
              </w:rPr>
              <w:t>临海市江南街道社区卫生服务中心迁建工程（家具采购）</w:t>
            </w:r>
          </w:p>
        </w:tc>
      </w:tr>
      <w:tr w14:paraId="0CC63F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A3A3CC3">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2570B0E2">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采购内容及数量：详见“第二章 招标需求”</w:t>
            </w:r>
          </w:p>
        </w:tc>
      </w:tr>
      <w:tr w14:paraId="4DDC5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4" w:hRule="atLeast"/>
        </w:trPr>
        <w:tc>
          <w:tcPr>
            <w:tcW w:w="787" w:type="dxa"/>
            <w:tcBorders>
              <w:top w:val="single" w:color="auto" w:sz="4" w:space="0"/>
              <w:left w:val="single" w:color="auto" w:sz="4" w:space="0"/>
              <w:bottom w:val="single" w:color="auto" w:sz="4" w:space="0"/>
              <w:right w:val="single" w:color="auto" w:sz="4" w:space="0"/>
            </w:tcBorders>
            <w:vAlign w:val="center"/>
          </w:tcPr>
          <w:p w14:paraId="310CF9F1">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5CBAEFDA">
            <w:pPr>
              <w:snapToGrid w:val="0"/>
              <w:spacing w:line="400" w:lineRule="exact"/>
              <w:rPr>
                <w:rFonts w:hint="eastAsia" w:eastAsia="宋体"/>
                <w:highlight w:val="none"/>
                <w:lang w:val="en-US" w:eastAsia="zh-CN"/>
              </w:rPr>
            </w:pPr>
            <w:r>
              <w:rPr>
                <w:rFonts w:hint="eastAsia" w:ascii="宋体" w:hAnsi="宋体" w:cs="宋体"/>
                <w:sz w:val="24"/>
                <w:highlight w:val="none"/>
              </w:rPr>
              <w:t>投标报价及费用：1、本项目投标应以人民币报价；2、不论投标结果如何，投标人均应自行承担所有与投标有关的全部费用；</w:t>
            </w:r>
            <w:r>
              <w:rPr>
                <w:rFonts w:hint="eastAsia" w:ascii="宋体" w:hAnsi="宋体" w:eastAsia="宋体" w:cs="宋体"/>
                <w:color w:val="auto"/>
                <w:sz w:val="24"/>
                <w:highlight w:val="none"/>
                <w:shd w:val="clear" w:color="auto" w:fill="auto"/>
              </w:rPr>
              <w:t>3、</w:t>
            </w:r>
            <w:r>
              <w:rPr>
                <w:rFonts w:hint="eastAsia" w:ascii="宋体" w:hAnsi="宋体"/>
                <w:b w:val="0"/>
                <w:bCs w:val="0"/>
                <w:sz w:val="24"/>
                <w:highlight w:val="none"/>
              </w:rPr>
              <w:t>本项目招标代理服务费</w:t>
            </w:r>
            <w:r>
              <w:rPr>
                <w:rFonts w:hint="eastAsia" w:ascii="宋体" w:hAnsi="宋体"/>
                <w:b w:val="0"/>
                <w:bCs w:val="0"/>
                <w:sz w:val="24"/>
                <w:highlight w:val="none"/>
                <w:lang w:val="en-US" w:eastAsia="zh-CN"/>
              </w:rPr>
              <w:t>6000元，</w:t>
            </w:r>
            <w:r>
              <w:rPr>
                <w:rFonts w:hint="eastAsia" w:ascii="宋体" w:hAnsi="宋体"/>
                <w:b w:val="0"/>
                <w:bCs w:val="0"/>
                <w:sz w:val="24"/>
                <w:highlight w:val="none"/>
              </w:rPr>
              <w:t>由中标人支付给采购代理机构，在采购代理机构发出成交通知书前一次性付清招标代理服务费用</w:t>
            </w:r>
            <w:r>
              <w:rPr>
                <w:rFonts w:hint="eastAsia" w:ascii="宋体" w:hAnsi="宋体"/>
                <w:b w:val="0"/>
                <w:bCs w:val="0"/>
                <w:sz w:val="24"/>
                <w:highlight w:val="none"/>
                <w:lang w:eastAsia="zh-CN"/>
              </w:rPr>
              <w:t>。</w:t>
            </w:r>
          </w:p>
        </w:tc>
      </w:tr>
      <w:tr w14:paraId="0CF6B7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7EA810E">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750A52F6">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现场踏勘</w:t>
            </w:r>
            <w:r>
              <w:rPr>
                <w:rFonts w:hint="eastAsia" w:ascii="宋体" w:hAnsi="宋体" w:eastAsia="宋体" w:cs="宋体"/>
                <w:color w:val="auto"/>
                <w:sz w:val="24"/>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BD153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40AF11B">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589A88D9">
            <w:pPr>
              <w:snapToGrid w:val="0"/>
              <w:spacing w:line="400" w:lineRule="exact"/>
              <w:rPr>
                <w:rFonts w:hint="eastAsia" w:ascii="宋体" w:hAnsi="宋体" w:eastAsia="宋体" w:cs="宋体"/>
                <w:b/>
                <w:color w:val="auto"/>
                <w:sz w:val="24"/>
                <w:highlight w:val="none"/>
                <w:shd w:val="clear" w:color="auto" w:fill="auto"/>
              </w:rPr>
            </w:pPr>
            <w:r>
              <w:rPr>
                <w:rFonts w:hint="eastAsia" w:ascii="宋体" w:hAnsi="宋体" w:cs="宋体"/>
                <w:b/>
                <w:sz w:val="24"/>
                <w:highlight w:val="none"/>
              </w:rPr>
              <w:t>质疑与澄清</w:t>
            </w:r>
            <w:r>
              <w:rPr>
                <w:rFonts w:hint="eastAsia" w:ascii="宋体" w:hAnsi="宋体" w:cs="宋体"/>
                <w:sz w:val="24"/>
                <w:highlight w:val="none"/>
              </w:rPr>
              <w:t>：</w:t>
            </w:r>
            <w:r>
              <w:rPr>
                <w:rFonts w:hint="eastAsia" w:ascii="宋体" w:hAnsi="宋体" w:cs="宋体"/>
                <w:sz w:val="24"/>
                <w:highlight w:val="none"/>
                <w:lang w:eastAsia="zh-CN"/>
              </w:rPr>
              <w:t>潜在投标人已依法获取其可质疑的采购文件的，可以（参照采购质疑函范本）向招标人就该文件提出质疑。对采购文件提出质疑的，应投标人应在投标截止前1天提出问题及要求澄清招标文件，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04AA4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5E8D1BA">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5903670B">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投标截止时间、开标时间及地点：详见“第一章  投标邀请”</w:t>
            </w:r>
          </w:p>
        </w:tc>
      </w:tr>
      <w:tr w14:paraId="45DB1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2216552C">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72FD8992">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评标办法</w:t>
            </w: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sz w:val="24"/>
                <w:highlight w:val="none"/>
                <w:shd w:val="clear" w:color="auto" w:fill="auto"/>
              </w:rPr>
              <w:t>综合评分法</w:t>
            </w:r>
          </w:p>
        </w:tc>
      </w:tr>
      <w:tr w14:paraId="02FDD4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28400CB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3CD112BE">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sz w:val="24"/>
                <w:highlight w:val="none"/>
                <w:shd w:val="clear" w:color="auto" w:fill="auto"/>
              </w:rPr>
              <w:t>投标有效期：自投标截止日起</w:t>
            </w:r>
            <w:r>
              <w:rPr>
                <w:rFonts w:hint="eastAsia" w:ascii="宋体" w:hAnsi="宋体" w:eastAsia="宋体" w:cs="宋体"/>
                <w:color w:val="auto"/>
                <w:sz w:val="24"/>
                <w:highlight w:val="none"/>
                <w:u w:val="single"/>
                <w:shd w:val="clear" w:color="auto" w:fill="auto"/>
              </w:rPr>
              <w:t xml:space="preserve"> 90 </w:t>
            </w:r>
            <w:r>
              <w:rPr>
                <w:rFonts w:hint="eastAsia" w:ascii="宋体" w:hAnsi="宋体" w:eastAsia="宋体" w:cs="宋体"/>
                <w:color w:val="auto"/>
                <w:sz w:val="24"/>
                <w:highlight w:val="none"/>
                <w:shd w:val="clear" w:color="auto" w:fill="auto"/>
              </w:rPr>
              <w:t>天投标文件应保持有效</w:t>
            </w:r>
          </w:p>
        </w:tc>
      </w:tr>
      <w:tr w14:paraId="2959C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129CC50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6B5783EB">
            <w:pPr>
              <w:autoSpaceDE w:val="0"/>
              <w:autoSpaceDN w:val="0"/>
              <w:snapToGrid w:val="0"/>
              <w:spacing w:line="400" w:lineRule="exact"/>
              <w:textAlignment w:val="bottom"/>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u w:val="single"/>
                <w:shd w:val="clear" w:color="auto" w:fill="auto"/>
              </w:rPr>
              <w:t>实质性条款：带▲是实质性条款，投标人不得负偏离或内容缺失，否则为无效标。</w:t>
            </w:r>
          </w:p>
        </w:tc>
      </w:tr>
      <w:tr w14:paraId="35DA29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ABC66F4">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5ED1CCC8">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中标公告</w:t>
            </w:r>
            <w:r>
              <w:rPr>
                <w:rFonts w:hint="eastAsia" w:ascii="宋体" w:hAnsi="宋体" w:cs="宋体"/>
                <w:color w:val="auto"/>
                <w:sz w:val="24"/>
                <w:highlight w:val="none"/>
                <w:shd w:val="clear" w:color="auto" w:fill="auto"/>
                <w:lang w:val="en-US" w:eastAsia="zh-CN"/>
              </w:rPr>
              <w:t>及</w:t>
            </w:r>
            <w:r>
              <w:rPr>
                <w:rFonts w:hint="eastAsia" w:ascii="宋体" w:hAnsi="宋体" w:eastAsia="宋体" w:cs="宋体"/>
                <w:color w:val="auto"/>
                <w:sz w:val="24"/>
                <w:highlight w:val="none"/>
                <w:shd w:val="clear" w:color="auto" w:fill="auto"/>
              </w:rPr>
              <w:t>中标通知书：评标结束后</w:t>
            </w: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rPr>
              <w:t>个工作日内，中标公告发布于采购公告发布的网站（</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w:t>
            </w:r>
          </w:p>
        </w:tc>
      </w:tr>
      <w:tr w14:paraId="049FC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2844BEF4">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74F28C82">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签订合同时间：中标通知书发出后30日内。</w:t>
            </w:r>
          </w:p>
        </w:tc>
      </w:tr>
      <w:tr w14:paraId="57208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39B0F5FF">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6C9479A2">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cs="宋体"/>
                <w:sz w:val="24"/>
                <w:highlight w:val="none"/>
                <w:lang w:val="en-US" w:eastAsia="zh-CN"/>
              </w:rPr>
            </w:pPr>
            <w:r>
              <w:rPr>
                <w:rFonts w:hint="eastAsia" w:ascii="宋体" w:hAnsi="宋体" w:eastAsia="宋体" w:cs="宋体"/>
                <w:b/>
                <w:bCs/>
                <w:color w:val="auto"/>
                <w:kern w:val="2"/>
                <w:sz w:val="24"/>
                <w:szCs w:val="24"/>
                <w:highlight w:val="none"/>
                <w:shd w:val="clear" w:color="auto" w:fill="auto"/>
                <w:lang w:val="en-US" w:eastAsia="zh-CN" w:bidi="ar-SA"/>
              </w:rPr>
              <w:t>▲付款方式：</w:t>
            </w:r>
            <w:r>
              <w:rPr>
                <w:rFonts w:hint="eastAsia" w:ascii="宋体" w:hAnsi="宋体" w:eastAsia="宋体" w:cs="宋体"/>
                <w:sz w:val="24"/>
                <w:highlight w:val="none"/>
                <w:lang w:val="en-US" w:eastAsia="zh-CN"/>
              </w:rPr>
              <w:t>1、合</w:t>
            </w:r>
            <w:r>
              <w:rPr>
                <w:rFonts w:hint="eastAsia" w:ascii="宋体" w:hAnsi="宋体" w:cs="宋体"/>
                <w:sz w:val="24"/>
                <w:highlight w:val="none"/>
                <w:lang w:val="en-US" w:eastAsia="zh-CN"/>
              </w:rPr>
              <w:t>同签订后支付合同价的30%，货物供货安装完成并验收合格后付至合同价的80%，经结算审定后付至结算价的95%，剩余5%作为保修金，保修期满后付清。</w:t>
            </w:r>
            <w:r>
              <w:rPr>
                <w:rFonts w:hint="eastAsia" w:ascii="宋体" w:hAnsi="宋体" w:cs="宋体"/>
                <w:b w:val="0"/>
                <w:bCs/>
                <w:color w:val="auto"/>
                <w:kern w:val="0"/>
                <w:sz w:val="24"/>
                <w:szCs w:val="24"/>
                <w:highlight w:val="none"/>
                <w:shd w:val="clear" w:color="auto" w:fill="auto"/>
                <w:lang w:val="en-US" w:eastAsia="zh-CN" w:bidi="ar-SA"/>
              </w:rPr>
              <w:t>增值税发票</w:t>
            </w:r>
            <w:r>
              <w:rPr>
                <w:rFonts w:hint="eastAsia" w:ascii="宋体" w:hAnsi="宋体" w:cs="宋体"/>
                <w:sz w:val="24"/>
                <w:highlight w:val="none"/>
                <w:lang w:val="en-US" w:eastAsia="zh-CN"/>
              </w:rPr>
              <w:t>应随付款进度及时提供。</w:t>
            </w:r>
          </w:p>
          <w:p w14:paraId="424B881B">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2、甲方可根据实际情况增加或减少供货数量，乙方须无条件服从，并按实际供货数量结算。供货数量不论增减多少，单价不变，乙方不得拒绝。结算时乙方必须根据实际使用量供货及安装，最终结算金额按实际使用量乘以成交单价进行计算。</w:t>
            </w:r>
          </w:p>
        </w:tc>
      </w:tr>
      <w:tr w14:paraId="63F7A8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87" w:type="dxa"/>
            <w:tcBorders>
              <w:top w:val="single" w:color="auto" w:sz="4" w:space="0"/>
              <w:left w:val="single" w:color="auto" w:sz="4" w:space="0"/>
              <w:bottom w:val="single" w:color="auto" w:sz="4" w:space="0"/>
              <w:right w:val="single" w:color="auto" w:sz="4" w:space="0"/>
            </w:tcBorders>
            <w:vAlign w:val="center"/>
          </w:tcPr>
          <w:p w14:paraId="6C9E4082">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53B517AB">
            <w:pPr>
              <w:pStyle w:val="20"/>
              <w:spacing w:after="80" w:line="400" w:lineRule="exact"/>
              <w:jc w:val="left"/>
              <w:rPr>
                <w:rFonts w:ascii="宋体" w:hAnsi="宋体" w:cs="宋体"/>
                <w:sz w:val="24"/>
                <w:highlight w:val="none"/>
              </w:rPr>
            </w:pPr>
            <w:r>
              <w:rPr>
                <w:rFonts w:hint="eastAsia" w:ascii="宋体" w:hAnsi="宋体" w:cs="宋体"/>
                <w:sz w:val="24"/>
                <w:highlight w:val="none"/>
              </w:rPr>
              <w:t>履约保证金的收取及退还: 按中标价的1%收取，领取中标通知书前缴纳至临海市产权交易所有限公司中心账户。验收合格后凭《临海市采购验收单》在系统中向临海市产权交易所有限公司退还。</w:t>
            </w:r>
          </w:p>
          <w:p w14:paraId="23069750">
            <w:pPr>
              <w:pStyle w:val="20"/>
              <w:spacing w:after="80" w:line="400" w:lineRule="exact"/>
              <w:jc w:val="left"/>
              <w:rPr>
                <w:rFonts w:ascii="宋体" w:hAnsi="宋体" w:cs="宋体"/>
                <w:sz w:val="24"/>
                <w:highlight w:val="none"/>
              </w:rPr>
            </w:pPr>
            <w:r>
              <w:rPr>
                <w:rFonts w:hint="eastAsia" w:ascii="宋体" w:hAnsi="宋体" w:cs="宋体"/>
                <w:sz w:val="24"/>
                <w:highlight w:val="none"/>
              </w:rPr>
              <w:t>履约保证金形式：现金（电汇或银行汇票形式）或银行保函或保险机构保证保险保单或融资担保公司保函。</w:t>
            </w:r>
          </w:p>
          <w:p w14:paraId="470DD53F">
            <w:pPr>
              <w:pStyle w:val="20"/>
              <w:spacing w:after="80" w:line="400" w:lineRule="exact"/>
              <w:jc w:val="left"/>
              <w:rPr>
                <w:rFonts w:ascii="宋体" w:hAnsi="宋体" w:cs="宋体"/>
                <w:sz w:val="24"/>
                <w:highlight w:val="none"/>
              </w:rPr>
            </w:pPr>
            <w:r>
              <w:rPr>
                <w:rFonts w:hint="eastAsia" w:ascii="宋体" w:hAnsi="宋体" w:cs="宋体"/>
                <w:sz w:val="24"/>
                <w:highlight w:val="none"/>
              </w:rPr>
              <w:t>若采用银行保函，出具保函的银行级别：国有或股份制商业银行县（区、市）级及以上银行。</w:t>
            </w:r>
          </w:p>
          <w:p w14:paraId="5BE3C6C0">
            <w:pPr>
              <w:pStyle w:val="20"/>
              <w:spacing w:after="80" w:line="400" w:lineRule="exact"/>
              <w:jc w:val="left"/>
              <w:rPr>
                <w:rFonts w:ascii="宋体" w:hAnsi="宋体" w:cs="宋体"/>
                <w:sz w:val="24"/>
                <w:highlight w:val="none"/>
              </w:rPr>
            </w:pPr>
            <w:r>
              <w:rPr>
                <w:rFonts w:hint="eastAsia" w:ascii="宋体" w:hAnsi="宋体" w:cs="宋体"/>
                <w:sz w:val="24"/>
                <w:highlight w:val="none"/>
              </w:rPr>
              <w:t>若采用保险机构保证保险保单，出具保单的保险公司级别：县（区、市）级及以上国有或股份制保险公司。</w:t>
            </w:r>
          </w:p>
          <w:p w14:paraId="496B785C">
            <w:pPr>
              <w:pStyle w:val="20"/>
              <w:spacing w:after="80" w:line="400" w:lineRule="exact"/>
              <w:jc w:val="left"/>
              <w:rPr>
                <w:rFonts w:ascii="宋体" w:hAnsi="宋体" w:cs="宋体"/>
                <w:sz w:val="24"/>
                <w:highlight w:val="none"/>
              </w:rPr>
            </w:pPr>
            <w:r>
              <w:rPr>
                <w:rFonts w:hint="eastAsia" w:ascii="宋体" w:hAnsi="宋体" w:cs="宋体"/>
                <w:sz w:val="24"/>
                <w:highlight w:val="none"/>
              </w:rPr>
              <w:t>若采用融资担保公司保函，出具保函的融资担保公司级别：县（区、市）级及以上国有或股份制融资担保公司。</w:t>
            </w:r>
          </w:p>
          <w:p w14:paraId="0E9BC2EA">
            <w:pPr>
              <w:pStyle w:val="20"/>
              <w:spacing w:after="80" w:line="400" w:lineRule="exact"/>
              <w:jc w:val="left"/>
              <w:rPr>
                <w:rFonts w:ascii="宋体" w:hAnsi="宋体" w:cs="宋体"/>
                <w:sz w:val="24"/>
                <w:highlight w:val="none"/>
              </w:rPr>
            </w:pPr>
            <w:r>
              <w:rPr>
                <w:rFonts w:hint="eastAsia" w:ascii="宋体" w:hAnsi="宋体" w:cs="宋体"/>
                <w:sz w:val="24"/>
                <w:highlight w:val="none"/>
              </w:rPr>
              <w:t>开户名：临海市产权交易所有限公司</w:t>
            </w:r>
          </w:p>
          <w:p w14:paraId="16E04E9B">
            <w:pPr>
              <w:pStyle w:val="20"/>
              <w:spacing w:after="80" w:line="400" w:lineRule="exact"/>
              <w:jc w:val="left"/>
              <w:rPr>
                <w:rFonts w:ascii="宋体" w:hAnsi="宋体" w:cs="宋体"/>
                <w:sz w:val="24"/>
                <w:highlight w:val="none"/>
              </w:rPr>
            </w:pPr>
            <w:r>
              <w:rPr>
                <w:rFonts w:hint="eastAsia" w:ascii="宋体" w:hAnsi="宋体" w:cs="宋体"/>
                <w:sz w:val="24"/>
                <w:highlight w:val="none"/>
              </w:rPr>
              <w:t>开户行：浙江临海农村商业银行股份有限公司科技支行；</w:t>
            </w:r>
          </w:p>
          <w:p w14:paraId="3935D44D">
            <w:pPr>
              <w:pStyle w:val="20"/>
              <w:spacing w:after="80" w:line="400" w:lineRule="exact"/>
              <w:jc w:val="left"/>
              <w:rPr>
                <w:rFonts w:ascii="宋体" w:hAnsi="宋体" w:cs="宋体"/>
                <w:sz w:val="24"/>
                <w:highlight w:val="none"/>
              </w:rPr>
            </w:pPr>
            <w:r>
              <w:rPr>
                <w:rFonts w:hint="eastAsia" w:ascii="宋体" w:hAnsi="宋体" w:cs="宋体"/>
                <w:sz w:val="24"/>
                <w:highlight w:val="none"/>
              </w:rPr>
              <w:t>履约保证金账号：201000105503123000002</w:t>
            </w:r>
          </w:p>
          <w:p w14:paraId="2C911180">
            <w:pPr>
              <w:pStyle w:val="20"/>
              <w:spacing w:after="80" w:line="400" w:lineRule="exact"/>
              <w:jc w:val="left"/>
              <w:rPr>
                <w:rFonts w:hint="eastAsia"/>
                <w:highlight w:val="none"/>
                <w:lang w:eastAsia="zh-CN"/>
              </w:rPr>
            </w:pPr>
            <w:r>
              <w:rPr>
                <w:rFonts w:hint="eastAsia" w:ascii="宋体" w:hAnsi="宋体" w:cs="宋体"/>
                <w:sz w:val="24"/>
                <w:highlight w:val="none"/>
              </w:rPr>
              <w:t>临海市产权交易所有限公司财务咨询电话：0576-85407100。</w:t>
            </w:r>
          </w:p>
        </w:tc>
      </w:tr>
      <w:tr w14:paraId="5CC865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238EDA38">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4A54C120">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电子投标文件的上传：</w:t>
            </w:r>
          </w:p>
          <w:p w14:paraId="45B4572D">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（1）电子投标文件可在投标截止时间前上传，未在投标截止时间前上传的投标文件视为无效标。</w:t>
            </w:r>
          </w:p>
          <w:p w14:paraId="330034DF">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（2）上传加密的电子投标文件，后缀名为（.投标文件）（本项目无需提供纸质投标文件，只要求上传电子投标文件正本一份）</w:t>
            </w:r>
          </w:p>
          <w:p w14:paraId="14A9A7B4">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CA咨询电话：400-0571-337，投标工具咨询电话：15267291759</w:t>
            </w:r>
          </w:p>
          <w:p w14:paraId="37B3C098">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说明：</w:t>
            </w:r>
            <w:r>
              <w:rPr>
                <w:rFonts w:hint="eastAsia" w:ascii="宋体" w:hAnsi="宋体" w:eastAsia="宋体" w:cs="宋体"/>
                <w:color w:val="auto"/>
                <w:kern w:val="0"/>
                <w:sz w:val="24"/>
                <w:highlight w:val="none"/>
                <w:shd w:val="clear" w:color="auto" w:fill="auto"/>
              </w:rPr>
              <w:t>开标时间到达后，在开启解密时间</w:t>
            </w:r>
            <w:r>
              <w:rPr>
                <w:rFonts w:hint="eastAsia" w:ascii="宋体" w:hAnsi="宋体" w:eastAsia="宋体" w:cs="宋体"/>
                <w:color w:val="auto"/>
                <w:kern w:val="0"/>
                <w:sz w:val="24"/>
                <w:highlight w:val="none"/>
                <w:shd w:val="clear" w:color="auto" w:fill="auto"/>
                <w:lang w:val="en-US" w:eastAsia="zh-CN"/>
              </w:rPr>
              <w:t>60</w:t>
            </w:r>
            <w:r>
              <w:rPr>
                <w:rFonts w:hint="eastAsia" w:ascii="宋体" w:hAnsi="宋体" w:eastAsia="宋体" w:cs="宋体"/>
                <w:color w:val="auto"/>
                <w:kern w:val="0"/>
                <w:sz w:val="24"/>
                <w:highlight w:val="none"/>
                <w:shd w:val="clear" w:color="auto" w:fill="auto"/>
              </w:rPr>
              <w:t xml:space="preserve">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1E824D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787" w:type="dxa"/>
            <w:tcBorders>
              <w:top w:val="single" w:color="auto" w:sz="4" w:space="0"/>
              <w:left w:val="single" w:color="auto" w:sz="4" w:space="0"/>
              <w:bottom w:val="single" w:color="auto" w:sz="4" w:space="0"/>
              <w:right w:val="single" w:color="auto" w:sz="4" w:space="0"/>
            </w:tcBorders>
            <w:vAlign w:val="center"/>
          </w:tcPr>
          <w:p w14:paraId="5BB25E95">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4907661C">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投标人平台使用费：</w:t>
            </w:r>
          </w:p>
          <w:p w14:paraId="71C5F761">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项目金额50万元以下收费100元，50万元以上收费150元。</w:t>
            </w:r>
          </w:p>
          <w:p w14:paraId="37F68302">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开户名：临海市产权交易所有限公司</w:t>
            </w:r>
          </w:p>
          <w:p w14:paraId="02C5F2B0">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开户行：浙江临海农村商业银行股份有限公司科技支行；</w:t>
            </w:r>
          </w:p>
          <w:p w14:paraId="794344D6">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平台使用费账号：201000105503123000003</w:t>
            </w:r>
          </w:p>
          <w:p w14:paraId="292C1177">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临海市产权交易所有限公司财务咨询电话：0576-85407100。</w:t>
            </w:r>
          </w:p>
          <w:p w14:paraId="2B6DE81B">
            <w:pPr>
              <w:pStyle w:val="20"/>
              <w:spacing w:after="80" w:line="40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4"/>
                <w:highlight w:val="none"/>
                <w:shd w:val="clear" w:color="auto" w:fill="auto"/>
              </w:rPr>
              <w:t>注意：请提前缴纳相关费用，以防影响正常投标。</w:t>
            </w:r>
          </w:p>
        </w:tc>
      </w:tr>
      <w:tr w14:paraId="54591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6F74A0B7">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6DDD6873">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电子发票申请方式：</w:t>
            </w:r>
          </w:p>
          <w:p w14:paraId="64AE24F3">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CD861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3D72DCD7">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77F9FCAE">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特别事项：</w:t>
            </w:r>
          </w:p>
          <w:p w14:paraId="11EF7CA3">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6B5FC14">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7D6433B">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5B02AD6">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软件技术支持电话：15267291759（同微信）。</w:t>
            </w:r>
          </w:p>
        </w:tc>
      </w:tr>
      <w:tr w14:paraId="4C6D18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419F701D">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18</w:t>
            </w:r>
          </w:p>
        </w:tc>
        <w:tc>
          <w:tcPr>
            <w:tcW w:w="9684" w:type="dxa"/>
            <w:tcBorders>
              <w:top w:val="single" w:color="auto" w:sz="4" w:space="0"/>
              <w:left w:val="single" w:color="auto" w:sz="4" w:space="0"/>
              <w:bottom w:val="single" w:color="auto" w:sz="4" w:space="0"/>
              <w:right w:val="single" w:color="auto" w:sz="4" w:space="0"/>
            </w:tcBorders>
            <w:vAlign w:val="center"/>
          </w:tcPr>
          <w:p w14:paraId="3A51CA7D">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解释：本招标文件的解释权属于招标人。</w:t>
            </w:r>
          </w:p>
        </w:tc>
      </w:tr>
    </w:tbl>
    <w:p w14:paraId="2C303C5A">
      <w:pPr>
        <w:pStyle w:val="31"/>
        <w:snapToGrid w:val="0"/>
        <w:spacing w:beforeLines="0" w:afterLines="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6B2BBE66">
      <w:pPr>
        <w:pStyle w:val="31"/>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 、总  则</w:t>
      </w:r>
    </w:p>
    <w:p w14:paraId="2FB893EA">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（一）适用范围</w:t>
      </w:r>
    </w:p>
    <w:p w14:paraId="1D996207">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本招标文件适用于本项目的招标、投标、评标、定标、验收、合同履约、付款等行为。</w:t>
      </w:r>
    </w:p>
    <w:p w14:paraId="5E45A2C4">
      <w:pPr>
        <w:snapToGrid w:val="0"/>
        <w:spacing w:before="120" w:beforeLines="50" w:line="420" w:lineRule="exact"/>
        <w:ind w:firstLine="354" w:firstLineChars="147"/>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（二）定义</w:t>
      </w:r>
    </w:p>
    <w:p w14:paraId="2D550B9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1.“招标人”系指组织本次招标的</w:t>
      </w:r>
      <w:r>
        <w:rPr>
          <w:rFonts w:hint="eastAsia" w:ascii="宋体" w:hAnsi="宋体" w:eastAsia="宋体" w:cs="宋体"/>
          <w:color w:val="auto"/>
          <w:sz w:val="24"/>
          <w:highlight w:val="none"/>
          <w:u w:val="single"/>
          <w:shd w:val="clear" w:color="auto" w:fill="auto"/>
        </w:rPr>
        <w:t>代理机构</w:t>
      </w:r>
      <w:r>
        <w:rPr>
          <w:rFonts w:hint="eastAsia" w:ascii="宋体" w:hAnsi="宋体" w:eastAsia="宋体" w:cs="宋体"/>
          <w:color w:val="auto"/>
          <w:sz w:val="24"/>
          <w:highlight w:val="none"/>
          <w:shd w:val="clear" w:color="auto" w:fill="auto"/>
        </w:rPr>
        <w:t>和招标人。</w:t>
      </w:r>
    </w:p>
    <w:p w14:paraId="0CAE1313">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2.“投标人”系指向招标人提交投标文件的单位。</w:t>
      </w:r>
    </w:p>
    <w:p w14:paraId="28DFD39D">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3.“产品”系指供方按招标文件规定，须向招标人提供的一切设备、保险、税金、备品备件、工具、手册及其它有关技术资料和材料。</w:t>
      </w:r>
    </w:p>
    <w:p w14:paraId="35D1DB2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4.“服务”系指招标文件规定投标人须承担的安装、调试、技术协助、校准、培训、技术指导以及其他类似的义务。</w:t>
      </w:r>
    </w:p>
    <w:p w14:paraId="2AD0DD7C">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5.“项目”系指投标人按招标文件规定向招标人提供的产品和服务。</w:t>
      </w:r>
    </w:p>
    <w:p w14:paraId="0B7AC34A">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6.“书面形式”包括信函、传真、电报等。</w:t>
      </w:r>
    </w:p>
    <w:p w14:paraId="0A2A2757">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7.“▲”系指实质性要求条款。</w:t>
      </w:r>
    </w:p>
    <w:p w14:paraId="2632D0DA">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（三）招标方式</w:t>
      </w:r>
    </w:p>
    <w:p w14:paraId="6BE508C6">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本次招标采用公开招标方式进行。</w:t>
      </w:r>
    </w:p>
    <w:p w14:paraId="732B05FD">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（四）投标委托</w:t>
      </w:r>
    </w:p>
    <w:p w14:paraId="7D5D03FB">
      <w:pPr>
        <w:pStyle w:val="22"/>
        <w:snapToGrid w:val="0"/>
        <w:spacing w:line="420" w:lineRule="exact"/>
        <w:ind w:firstLine="464"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投标人代表须携带有效身份证件。如投标人代表不是法定代表人，须有法定代表人出具的授权委托书，格式见第六章。</w:t>
      </w:r>
    </w:p>
    <w:p w14:paraId="31F89D40">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（五）投标费用及结算</w:t>
      </w:r>
    </w:p>
    <w:p w14:paraId="6B2E900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1）不论投标结果如何，投标人均应自行承担所有与投标有关的全部费用。</w:t>
      </w:r>
    </w:p>
    <w:p w14:paraId="149B03E4">
      <w:pPr>
        <w:spacing w:line="420" w:lineRule="exact"/>
        <w:ind w:firstLine="480" w:firstLineChars="200"/>
        <w:rPr>
          <w:rFonts w:hint="eastAsia" w:ascii="宋体" w:hAnsi="宋体" w:eastAsia="宋体" w:cs="宋体"/>
          <w:b/>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2）除业主要求或设计变更要求外不签署任何增加费用的联系单，</w:t>
      </w:r>
      <w:r>
        <w:rPr>
          <w:rFonts w:hint="eastAsia" w:ascii="宋体" w:hAnsi="宋体" w:eastAsia="宋体" w:cs="宋体"/>
          <w:bCs/>
          <w:color w:val="auto"/>
          <w:sz w:val="24"/>
          <w:highlight w:val="none"/>
          <w:shd w:val="clear" w:color="auto" w:fill="auto"/>
        </w:rPr>
        <w:t>工程量清单外而要完成本项目所必需的设备、物料、服务等各</w:t>
      </w:r>
      <w:r>
        <w:rPr>
          <w:rFonts w:hint="eastAsia" w:ascii="宋体" w:hAnsi="宋体" w:eastAsia="宋体" w:cs="宋体"/>
          <w:color w:val="auto"/>
          <w:sz w:val="24"/>
          <w:highlight w:val="none"/>
          <w:shd w:val="clear" w:color="auto" w:fill="auto"/>
        </w:rPr>
        <w:t>投标人请自行考虑并计入投标总报价，中标后不予调整。</w:t>
      </w:r>
    </w:p>
    <w:p w14:paraId="274509FA">
      <w:pPr>
        <w:snapToGrid w:val="0"/>
        <w:spacing w:before="120" w:beforeLines="50" w:line="420" w:lineRule="exact"/>
        <w:ind w:firstLine="472" w:firstLineChars="196"/>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（六）</w:t>
      </w:r>
      <w:r>
        <w:rPr>
          <w:rFonts w:hint="eastAsia" w:ascii="宋体" w:hAnsi="宋体" w:eastAsia="宋体" w:cs="宋体"/>
          <w:b/>
          <w:color w:val="auto"/>
          <w:kern w:val="0"/>
          <w:sz w:val="24"/>
          <w:highlight w:val="none"/>
          <w:shd w:val="clear" w:color="auto" w:fill="auto"/>
        </w:rPr>
        <w:t>转包与分包</w:t>
      </w:r>
    </w:p>
    <w:p w14:paraId="7B216037">
      <w:pPr>
        <w:snapToGrid w:val="0"/>
        <w:spacing w:line="420" w:lineRule="exact"/>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本项目不允许转包与违法分包。</w:t>
      </w:r>
    </w:p>
    <w:p w14:paraId="37102AF2">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（七）特别说明</w:t>
      </w:r>
    </w:p>
    <w:p w14:paraId="30642F2C">
      <w:pPr>
        <w:widowControl/>
        <w:spacing w:line="420" w:lineRule="exact"/>
        <w:ind w:firstLine="482"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highlight w:val="none"/>
          <w:shd w:val="clear" w:color="auto" w:fill="auto"/>
        </w:rPr>
        <w:t xml:space="preserve">  </w:t>
      </w:r>
    </w:p>
    <w:p w14:paraId="525ACE00">
      <w:pPr>
        <w:widowControl/>
        <w:spacing w:line="42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DDAF355">
      <w:pPr>
        <w:pStyle w:val="31"/>
        <w:snapToGrid w:val="0"/>
        <w:spacing w:beforeLines="0" w:afterLines="0" w:line="420" w:lineRule="exact"/>
        <w:ind w:left="2" w:leftChars="1" w:firstLine="360" w:firstLineChars="15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2.投标人投标所使用的资格、信誉、荣誉、业绩必须为本法人所拥有。投标人投标所使用的采购项目实施人员须为本法人员工。</w:t>
      </w:r>
    </w:p>
    <w:p w14:paraId="3783F13B">
      <w:pPr>
        <w:pStyle w:val="31"/>
        <w:snapToGrid w:val="0"/>
        <w:spacing w:beforeLines="0" w:afterLines="0" w:line="420" w:lineRule="exact"/>
        <w:ind w:left="2" w:leftChars="1"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3.投标人应仔细阅读招标文件的所有内容，按照招标文件的要求提交投标文件，并对所提供的全部资料的真实性承担法律责任。</w:t>
      </w:r>
    </w:p>
    <w:p w14:paraId="33A9A669">
      <w:pPr>
        <w:pStyle w:val="31"/>
        <w:snapToGrid w:val="0"/>
        <w:spacing w:beforeLines="0" w:afterLines="0" w:line="420" w:lineRule="exact"/>
        <w:ind w:left="2" w:leftChars="1" w:firstLine="480" w:firstLineChars="200"/>
        <w:rPr>
          <w:rFonts w:hint="eastAsia" w:ascii="宋体" w:hAnsi="宋体" w:eastAsia="宋体" w:cs="宋体"/>
          <w:b/>
          <w:color w:val="auto"/>
          <w:highlight w:val="none"/>
          <w:shd w:val="clear" w:color="auto" w:fill="auto"/>
        </w:rPr>
      </w:pPr>
      <w:r>
        <w:rPr>
          <w:rFonts w:hint="eastAsia" w:ascii="宋体" w:hAnsi="宋体" w:eastAsia="宋体" w:cs="宋体"/>
          <w:color w:val="auto"/>
          <w:highlight w:val="none"/>
          <w:shd w:val="clear" w:color="auto" w:fill="auto"/>
        </w:rPr>
        <w:t>4.投标人在投标活动中提供任何虚假材料,其投标无效，并报</w:t>
      </w:r>
      <w:r>
        <w:rPr>
          <w:rFonts w:hint="eastAsia" w:ascii="宋体" w:hAnsi="宋体" w:eastAsia="宋体" w:cs="宋体"/>
          <w:b/>
          <w:color w:val="auto"/>
          <w:highlight w:val="none"/>
          <w:shd w:val="clear" w:color="auto" w:fill="auto"/>
        </w:rPr>
        <w:t>有权受理非政府采购项目的</w:t>
      </w:r>
      <w:r>
        <w:rPr>
          <w:rFonts w:hint="eastAsia" w:ascii="宋体" w:hAnsi="宋体" w:eastAsia="宋体" w:cs="宋体"/>
          <w:color w:val="auto"/>
          <w:highlight w:val="none"/>
          <w:shd w:val="clear" w:color="auto" w:fill="auto"/>
        </w:rPr>
        <w:t>监管部门查处（</w:t>
      </w:r>
      <w:r>
        <w:rPr>
          <w:rFonts w:hint="eastAsia" w:ascii="宋体" w:hAnsi="宋体" w:eastAsia="宋体" w:cs="宋体"/>
          <w:b/>
          <w:color w:val="auto"/>
          <w:highlight w:val="none"/>
          <w:shd w:val="clear" w:color="auto" w:fill="auto"/>
        </w:rPr>
        <w:t>特别说明：临海市财政局非有权受理非政府采购项目的监管部门</w:t>
      </w:r>
      <w:r>
        <w:rPr>
          <w:rFonts w:hint="eastAsia" w:ascii="宋体" w:hAnsi="宋体" w:eastAsia="宋体" w:cs="宋体"/>
          <w:color w:val="auto"/>
          <w:highlight w:val="none"/>
          <w:shd w:val="clear" w:color="auto" w:fill="auto"/>
        </w:rPr>
        <w:t>）。中标后发现的,中标人须依照《中华人民共和国消费者权益保护法》第49条之规定双倍赔偿招标人，且民事赔偿并不免除违法投标人的行政与刑事责任。</w:t>
      </w:r>
    </w:p>
    <w:p w14:paraId="40F43FCE">
      <w:pPr>
        <w:pStyle w:val="31"/>
        <w:snapToGrid w:val="0"/>
        <w:spacing w:before="120" w:after="120" w:line="420" w:lineRule="exact"/>
        <w:ind w:firstLine="472" w:firstLineChars="196"/>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（八）质疑</w:t>
      </w:r>
    </w:p>
    <w:p w14:paraId="6D42659A">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14613DE1">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（1）投标人认为招标文件的内容损害其权益的，应在投标截止前1天提出问题及要求澄清招标文件；</w:t>
      </w:r>
    </w:p>
    <w:p w14:paraId="2FFB06DF">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（2）投标人对采购过程提出质疑的，应在各采购程序环节结束之日起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1</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102B4547">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1</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76ED7D4B">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none"/>
          <w:lang w:val="en-US" w:eastAsia="zh-CN"/>
        </w:rPr>
        <w:t>七</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679451CA">
      <w:pPr>
        <w:widowControl/>
        <w:spacing w:line="420" w:lineRule="exact"/>
        <w:ind w:firstLine="482" w:firstLineChars="200"/>
        <w:jc w:val="lef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875D0E4">
      <w:pPr>
        <w:widowControl/>
        <w:spacing w:line="420" w:lineRule="exact"/>
        <w:ind w:firstLine="482" w:firstLineChars="200"/>
        <w:jc w:val="lef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（九）投诉</w:t>
      </w:r>
    </w:p>
    <w:p w14:paraId="4E600C2D">
      <w:pPr>
        <w:pStyle w:val="31"/>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3427901F">
      <w:pPr>
        <w:pStyle w:val="31"/>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二、招标文件</w:t>
      </w:r>
    </w:p>
    <w:p w14:paraId="3F1DF888">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（一）招标文件的构成</w:t>
      </w:r>
    </w:p>
    <w:p w14:paraId="45BA7E7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1.投标邀请</w:t>
      </w:r>
    </w:p>
    <w:p w14:paraId="3FF15C9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2.招标需求</w:t>
      </w:r>
    </w:p>
    <w:p w14:paraId="2AECEBD6">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3.投标人须知</w:t>
      </w:r>
    </w:p>
    <w:p w14:paraId="5604687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4.评标办法及标准</w:t>
      </w:r>
    </w:p>
    <w:p w14:paraId="52D1EBAA">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5.合同主要条款</w:t>
      </w:r>
    </w:p>
    <w:p w14:paraId="0CCE8A22">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6.投标文件格式</w:t>
      </w:r>
    </w:p>
    <w:p w14:paraId="5B2A7C3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7.本项目招标文件的澄清、答复、修改、补充的内容（如有）</w:t>
      </w:r>
    </w:p>
    <w:p w14:paraId="689E1501">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（二）投标人的风险</w:t>
      </w:r>
    </w:p>
    <w:p w14:paraId="2E6E090D">
      <w:pPr>
        <w:pStyle w:val="41"/>
        <w:spacing w:line="42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投标人没有按照招标文件要求提供全部资料，或者投标人没有对招标文件在各方面作出实质性响应是投标人的风险，并可能导致其投标被拒绝。</w:t>
      </w:r>
    </w:p>
    <w:p w14:paraId="7B832310">
      <w:pPr>
        <w:pStyle w:val="12"/>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（三）招标文件的澄清与修改 </w:t>
      </w:r>
    </w:p>
    <w:p w14:paraId="48AF9E84">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w:t>
      </w:r>
      <w:r>
        <w:rPr>
          <w:rFonts w:hint="eastAsia" w:ascii="宋体" w:hAnsi="宋体" w:eastAsia="宋体" w:cs="宋体"/>
          <w:bCs/>
          <w:color w:val="auto"/>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highlight w:val="none"/>
          <w:shd w:val="clear" w:color="auto" w:fill="auto"/>
        </w:rPr>
        <w:t>。招标人对已发出的招标文件进行必要澄清、答复、修改或补充的，应当在招标文件要求提交投标文件截止时间前，以采购公告发布的网站予以发布。</w:t>
      </w:r>
    </w:p>
    <w:p w14:paraId="154DF8F8">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6884D7EF">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3.招标文件的澄清、答复、修改或补充都应该通过招标人以法定形式发布，招标人没有通过招标人，不得擅自澄清、答复、修改或补充招标文件。</w:t>
      </w:r>
    </w:p>
    <w:p w14:paraId="26BE9CA4">
      <w:pPr>
        <w:pStyle w:val="31"/>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三、投标文件的编制</w:t>
      </w:r>
    </w:p>
    <w:p w14:paraId="65FA904C">
      <w:pPr>
        <w:snapToGrid w:val="0"/>
        <w:spacing w:line="420" w:lineRule="exact"/>
        <w:ind w:firstLine="470" w:firstLineChars="196"/>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本项目实行电子投标，投标人应准备电子投标文件，本项目线下无需提供任何备份投标文件。电子投标文件，按及本招标文件要求编制。</w:t>
      </w:r>
    </w:p>
    <w:p w14:paraId="6C0B8A99">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（一）投标文件的组成</w:t>
      </w:r>
    </w:p>
    <w:p w14:paraId="4F8361C5">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投标文件由资格响应文件、商务技术文件、报价文件三部份组成。</w:t>
      </w:r>
      <w:r>
        <w:rPr>
          <w:rFonts w:hint="eastAsia" w:ascii="宋体" w:hAnsi="宋体" w:eastAsia="宋体" w:cs="宋体"/>
          <w:color w:val="auto"/>
          <w:sz w:val="24"/>
          <w:highlight w:val="none"/>
          <w:shd w:val="clear" w:color="auto" w:fill="auto"/>
        </w:rPr>
        <w:t>相关格式见附件，其余格式自拟。</w:t>
      </w:r>
    </w:p>
    <w:p w14:paraId="2BF8766A">
      <w:pPr>
        <w:snapToGrid w:val="0"/>
        <w:spacing w:line="420" w:lineRule="exact"/>
        <w:ind w:firstLine="482" w:firstLineChars="200"/>
        <w:jc w:val="left"/>
        <w:rPr>
          <w:rFonts w:hint="eastAsia" w:ascii="宋体" w:hAnsi="宋体" w:eastAsia="宋体" w:cs="宋体"/>
          <w:b/>
          <w:color w:val="auto"/>
          <w:sz w:val="24"/>
          <w:highlight w:val="none"/>
          <w:shd w:val="clear" w:color="auto" w:fill="auto"/>
        </w:rPr>
      </w:pPr>
      <w:bookmarkStart w:id="10" w:name="_Hlk72672250"/>
      <w:r>
        <w:rPr>
          <w:rFonts w:hint="eastAsia" w:ascii="宋体" w:hAnsi="宋体" w:eastAsia="宋体" w:cs="宋体"/>
          <w:b/>
          <w:color w:val="auto"/>
          <w:sz w:val="24"/>
          <w:highlight w:val="none"/>
          <w:shd w:val="clear" w:color="auto" w:fill="auto"/>
        </w:rPr>
        <w:t>1.资格响应文件</w:t>
      </w:r>
    </w:p>
    <w:bookmarkEnd w:id="10"/>
    <w:p w14:paraId="4BB395B9">
      <w:pPr>
        <w:snapToGrid w:val="0"/>
        <w:spacing w:line="420" w:lineRule="exact"/>
        <w:ind w:firstLine="480" w:firstLineChars="200"/>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（1）营业执照</w:t>
      </w:r>
      <w:r>
        <w:rPr>
          <w:rFonts w:hint="eastAsia" w:ascii="宋体" w:hAnsi="宋体" w:eastAsia="宋体" w:cs="宋体"/>
          <w:b/>
          <w:color w:val="auto"/>
          <w:sz w:val="24"/>
          <w:highlight w:val="none"/>
          <w:shd w:val="clear" w:color="auto" w:fill="auto"/>
        </w:rPr>
        <w:t>（推荐使用电子营业执照）</w:t>
      </w:r>
      <w:r>
        <w:rPr>
          <w:rFonts w:hint="eastAsia" w:ascii="宋体" w:hAnsi="宋体" w:eastAsia="宋体" w:cs="宋体"/>
          <w:bCs/>
          <w:color w:val="auto"/>
          <w:sz w:val="24"/>
          <w:highlight w:val="none"/>
          <w:shd w:val="clear" w:color="auto" w:fill="auto"/>
        </w:rPr>
        <w:t>或事业法人登记证或其他工商等登记证明材料原件扫描件或复印件；</w:t>
      </w:r>
    </w:p>
    <w:p w14:paraId="6525E787">
      <w:pPr>
        <w:snapToGrid w:val="0"/>
        <w:spacing w:line="420" w:lineRule="exact"/>
        <w:ind w:firstLine="480" w:firstLineChars="200"/>
        <w:jc w:val="left"/>
        <w:rPr>
          <w:rFonts w:hint="default" w:ascii="宋体" w:hAnsi="宋体" w:eastAsia="宋体" w:cs="宋体"/>
          <w:bCs/>
          <w:color w:val="auto"/>
          <w:kern w:val="2"/>
          <w:sz w:val="24"/>
          <w:szCs w:val="24"/>
          <w:highlight w:val="none"/>
          <w:shd w:val="clear" w:color="auto" w:fill="auto"/>
          <w:lang w:val="en-US" w:eastAsia="zh-CN" w:bidi="ar-SA"/>
        </w:rPr>
      </w:pPr>
      <w:bookmarkStart w:id="11" w:name="_Hlk68075338"/>
      <w:r>
        <w:rPr>
          <w:rFonts w:hint="eastAsia" w:ascii="宋体" w:hAnsi="宋体" w:eastAsia="宋体" w:cs="宋体"/>
          <w:bCs/>
          <w:color w:val="auto"/>
          <w:sz w:val="24"/>
          <w:highlight w:val="none"/>
          <w:shd w:val="clear" w:color="auto" w:fill="auto"/>
        </w:rPr>
        <w:t>（</w:t>
      </w:r>
      <w:r>
        <w:rPr>
          <w:rFonts w:hint="eastAsia" w:ascii="宋体" w:hAnsi="宋体" w:cs="宋体"/>
          <w:bCs/>
          <w:color w:val="auto"/>
          <w:sz w:val="24"/>
          <w:highlight w:val="none"/>
          <w:shd w:val="clear" w:color="auto" w:fill="auto"/>
          <w:lang w:val="en-US" w:eastAsia="zh-CN"/>
        </w:rPr>
        <w:t>2</w:t>
      </w:r>
      <w:r>
        <w:rPr>
          <w:rFonts w:hint="eastAsia" w:ascii="宋体" w:hAnsi="宋体" w:eastAsia="宋体" w:cs="宋体"/>
          <w:bCs/>
          <w:color w:val="auto"/>
          <w:sz w:val="24"/>
          <w:highlight w:val="none"/>
          <w:shd w:val="clear" w:color="auto" w:fill="auto"/>
        </w:rPr>
        <w:t>）</w:t>
      </w:r>
      <w:bookmarkEnd w:id="11"/>
      <w:r>
        <w:rPr>
          <w:rFonts w:hint="eastAsia" w:ascii="宋体" w:hAnsi="宋体" w:eastAsia="宋体" w:cs="宋体"/>
          <w:bCs/>
          <w:color w:val="auto"/>
          <w:sz w:val="24"/>
          <w:highlight w:val="none"/>
          <w:shd w:val="clear" w:color="auto" w:fill="auto"/>
        </w:rPr>
        <w:t>没有重大违法记录的承诺函</w:t>
      </w:r>
      <w:bookmarkStart w:id="12" w:name="_Hlk69365455"/>
      <w:r>
        <w:rPr>
          <w:rFonts w:hint="eastAsia" w:ascii="宋体" w:hAnsi="宋体" w:eastAsia="宋体" w:cs="宋体"/>
          <w:b/>
          <w:color w:val="auto"/>
          <w:sz w:val="24"/>
          <w:highlight w:val="none"/>
          <w:u w:val="single"/>
          <w:shd w:val="clear" w:color="auto" w:fill="auto"/>
        </w:rPr>
        <w:t>（请投标人在资格响应文件中勿遗漏该表格）</w:t>
      </w:r>
      <w:r>
        <w:rPr>
          <w:rFonts w:hint="eastAsia" w:ascii="宋体" w:hAnsi="宋体" w:eastAsia="宋体" w:cs="宋体"/>
          <w:bCs/>
          <w:color w:val="auto"/>
          <w:sz w:val="24"/>
          <w:highlight w:val="none"/>
          <w:shd w:val="clear" w:color="auto" w:fill="auto"/>
        </w:rPr>
        <w:t>；</w:t>
      </w:r>
    </w:p>
    <w:bookmarkEnd w:id="12"/>
    <w:p w14:paraId="042E0E08">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bookmarkStart w:id="13" w:name="_Hlk72672204"/>
      <w:r>
        <w:rPr>
          <w:rFonts w:hint="eastAsia" w:ascii="宋体" w:hAnsi="宋体" w:eastAsia="宋体" w:cs="宋体"/>
          <w:b/>
          <w:color w:val="auto"/>
          <w:sz w:val="24"/>
          <w:highlight w:val="none"/>
          <w:shd w:val="clear" w:color="auto" w:fill="auto"/>
        </w:rPr>
        <w:t>2.</w:t>
      </w:r>
      <w:bookmarkEnd w:id="13"/>
      <w:bookmarkStart w:id="14" w:name="_Hlk534200662"/>
      <w:r>
        <w:rPr>
          <w:rFonts w:hint="eastAsia" w:ascii="宋体" w:hAnsi="宋体" w:eastAsia="宋体" w:cs="宋体"/>
          <w:b/>
          <w:color w:val="auto"/>
          <w:sz w:val="24"/>
          <w:highlight w:val="none"/>
          <w:shd w:val="clear" w:color="auto" w:fill="auto"/>
        </w:rPr>
        <w:t>商务</w:t>
      </w:r>
      <w:r>
        <w:rPr>
          <w:rFonts w:hint="eastAsia" w:ascii="宋体" w:hAnsi="宋体" w:eastAsia="宋体" w:cs="宋体"/>
          <w:b/>
          <w:bCs/>
          <w:color w:val="auto"/>
          <w:sz w:val="24"/>
          <w:highlight w:val="none"/>
          <w:shd w:val="clear" w:color="auto" w:fill="auto"/>
        </w:rPr>
        <w:t>技术</w:t>
      </w:r>
      <w:r>
        <w:rPr>
          <w:rFonts w:hint="eastAsia" w:ascii="宋体" w:hAnsi="宋体" w:eastAsia="宋体" w:cs="宋体"/>
          <w:b/>
          <w:color w:val="auto"/>
          <w:sz w:val="24"/>
          <w:highlight w:val="none"/>
          <w:shd w:val="clear" w:color="auto" w:fill="auto"/>
        </w:rPr>
        <w:t>文件</w:t>
      </w:r>
      <w:bookmarkEnd w:id="14"/>
    </w:p>
    <w:p w14:paraId="6F36A149">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（1）投标函；</w:t>
      </w:r>
    </w:p>
    <w:p w14:paraId="4386A8E5">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bookmarkStart w:id="15" w:name="_Hlk534200539"/>
      <w:r>
        <w:rPr>
          <w:rFonts w:hint="eastAsia" w:ascii="宋体" w:hAnsi="宋体" w:eastAsia="宋体" w:cs="宋体"/>
          <w:color w:val="auto"/>
          <w:sz w:val="24"/>
          <w:highlight w:val="none"/>
          <w:shd w:val="clear" w:color="auto" w:fill="auto"/>
        </w:rPr>
        <w:t>法定代表人授权委托书</w:t>
      </w:r>
      <w:bookmarkEnd w:id="15"/>
      <w:r>
        <w:rPr>
          <w:rFonts w:hint="eastAsia" w:ascii="宋体" w:hAnsi="宋体" w:cs="宋体"/>
          <w:color w:val="auto"/>
          <w:sz w:val="24"/>
          <w:highlight w:val="none"/>
          <w:lang w:val="en-US" w:eastAsia="zh-CN"/>
        </w:rPr>
        <w:t>（或法定代表人身份证明）</w:t>
      </w:r>
      <w:r>
        <w:rPr>
          <w:rFonts w:hint="eastAsia" w:ascii="宋体" w:hAnsi="宋体" w:eastAsia="宋体" w:cs="宋体"/>
          <w:color w:val="auto"/>
          <w:sz w:val="24"/>
          <w:highlight w:val="none"/>
          <w:shd w:val="clear" w:color="auto" w:fill="auto"/>
        </w:rPr>
        <w:t>；</w:t>
      </w:r>
    </w:p>
    <w:p w14:paraId="4031BB66">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（3）投标人按照评分标准要求提供的相应资料；</w:t>
      </w:r>
    </w:p>
    <w:p w14:paraId="00CA5E75">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（4）货物说明表（均不含报价）；</w:t>
      </w:r>
    </w:p>
    <w:p w14:paraId="7F32C103">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（5）项目负责人简历表；</w:t>
      </w:r>
    </w:p>
    <w:p w14:paraId="59935A4B">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（6）项目实施人员一览表； </w:t>
      </w:r>
    </w:p>
    <w:p w14:paraId="06090FE0">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（7）投标人类似成功案例一览表；</w:t>
      </w:r>
    </w:p>
    <w:p w14:paraId="2257B6F8">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（8）售后服务网点情况表；</w:t>
      </w:r>
    </w:p>
    <w:p w14:paraId="5569E330">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（9）商务技术响应表；</w:t>
      </w:r>
    </w:p>
    <w:p w14:paraId="17769B4E">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（10）投标人认为需要提供的其他资料。</w:t>
      </w:r>
    </w:p>
    <w:p w14:paraId="41D41C76">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3.报价文件</w:t>
      </w:r>
    </w:p>
    <w:p w14:paraId="224AE49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（1）开标一览表；</w:t>
      </w:r>
    </w:p>
    <w:p w14:paraId="5E76F4B0">
      <w:pPr>
        <w:pStyle w:val="33"/>
        <w:snapToGrid w:val="0"/>
        <w:spacing w:line="420" w:lineRule="exact"/>
        <w:ind w:left="0" w:leftChars="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3B5385E5">
      <w:pPr>
        <w:snapToGrid w:val="0"/>
        <w:spacing w:line="420" w:lineRule="exact"/>
        <w:ind w:firstLine="482" w:firstLineChars="200"/>
        <w:jc w:val="left"/>
        <w:rPr>
          <w:rFonts w:hint="eastAsia" w:ascii="宋体" w:hAnsi="宋体" w:eastAsia="宋体" w:cs="宋体"/>
          <w:b/>
          <w:color w:val="auto"/>
          <w:spacing w:val="-4"/>
          <w:sz w:val="24"/>
          <w:highlight w:val="none"/>
          <w:shd w:val="clear" w:color="auto" w:fill="auto"/>
        </w:rPr>
      </w:pPr>
      <w:r>
        <w:rPr>
          <w:rFonts w:hint="eastAsia" w:ascii="宋体" w:hAnsi="宋体" w:eastAsia="宋体" w:cs="宋体"/>
          <w:b/>
          <w:color w:val="auto"/>
          <w:sz w:val="24"/>
          <w:highlight w:val="none"/>
          <w:shd w:val="clear" w:color="auto" w:fill="auto"/>
        </w:rPr>
        <w:t>（二）</w:t>
      </w:r>
      <w:r>
        <w:rPr>
          <w:rFonts w:hint="eastAsia" w:ascii="宋体" w:hAnsi="宋体" w:eastAsia="宋体" w:cs="宋体"/>
          <w:b/>
          <w:color w:val="auto"/>
          <w:spacing w:val="-4"/>
          <w:sz w:val="24"/>
          <w:highlight w:val="none"/>
          <w:shd w:val="clear" w:color="auto" w:fill="auto"/>
        </w:rPr>
        <w:t>采购项目评分索引表(该表格仅为方便评标之用，不涉及无效标条款，表格放置在商务技术文件目录的前页，以方便评委进行评审，格式见第四章)</w:t>
      </w:r>
    </w:p>
    <w:p w14:paraId="439F0FC8">
      <w:pPr>
        <w:snapToGrid w:val="0"/>
        <w:spacing w:line="420" w:lineRule="exact"/>
        <w:ind w:firstLine="361" w:firstLineChars="1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（三）投标文件的语言及计量</w:t>
      </w:r>
    </w:p>
    <w:p w14:paraId="2B8DFE0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3D68CD3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5D689812">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（四）投标报价</w:t>
      </w:r>
    </w:p>
    <w:p w14:paraId="00942FD0">
      <w:pPr>
        <w:pStyle w:val="31"/>
        <w:snapToGrid w:val="0"/>
        <w:spacing w:beforeLines="0" w:afterLines="0" w:line="420" w:lineRule="exact"/>
        <w:ind w:firstLine="480" w:firstLineChars="20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1.投标报价应按招标文件中相关附表格式填写。</w:t>
      </w:r>
    </w:p>
    <w:p w14:paraId="0D3BE0FF">
      <w:pPr>
        <w:tabs>
          <w:tab w:val="left" w:pos="525"/>
        </w:tabs>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投标报价是履行合同的最终价格，</w:t>
      </w:r>
      <w:r>
        <w:rPr>
          <w:rFonts w:hint="eastAsia" w:ascii="宋体" w:hAnsi="宋体" w:cs="宋体"/>
          <w:color w:val="auto"/>
          <w:sz w:val="24"/>
          <w:highlight w:val="none"/>
          <w:shd w:val="clear" w:color="auto" w:fill="auto"/>
          <w:lang w:val="en-US" w:eastAsia="zh-CN"/>
        </w:rPr>
        <w:t>包括货款、标准附件、备品备件、专用工具、包装、运输、装卸、保险、货到就位以及安装、保修、企业管理费、利润、规费、税金等一切费用。</w:t>
      </w:r>
    </w:p>
    <w:p w14:paraId="20582BF8">
      <w:pPr>
        <w:tabs>
          <w:tab w:val="left" w:pos="525"/>
        </w:tabs>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▲3.投标文件只允许有一个报价，有选择的或有条件的报价将不予接受。（此项符合性在报价文件中进行审查。）</w:t>
      </w:r>
    </w:p>
    <w:p w14:paraId="6CFFD439">
      <w:pPr>
        <w:pStyle w:val="12"/>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（五）投标有效期</w:t>
      </w:r>
    </w:p>
    <w:p w14:paraId="6969FEFE">
      <w:pPr>
        <w:pStyle w:val="12"/>
        <w:widowControl w:val="0"/>
        <w:tabs>
          <w:tab w:val="left" w:pos="420"/>
        </w:tabs>
        <w:snapToGrid w:val="0"/>
        <w:spacing w:afterLines="0" w:line="420" w:lineRule="exact"/>
        <w:ind w:left="-25" w:leftChars="-12" w:firstLine="360" w:firstLineChars="15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▲1.自投标截止日起</w:t>
      </w:r>
      <w:r>
        <w:rPr>
          <w:rFonts w:hint="eastAsia" w:ascii="宋体" w:hAnsi="宋体" w:eastAsia="宋体" w:cs="宋体"/>
          <w:color w:val="auto"/>
          <w:szCs w:val="24"/>
          <w:highlight w:val="none"/>
          <w:u w:val="single"/>
          <w:shd w:val="clear" w:color="auto" w:fill="auto"/>
        </w:rPr>
        <w:t xml:space="preserve">  90  </w:t>
      </w:r>
      <w:r>
        <w:rPr>
          <w:rFonts w:hint="eastAsia" w:ascii="宋体" w:hAnsi="宋体" w:eastAsia="宋体" w:cs="宋体"/>
          <w:color w:val="auto"/>
          <w:szCs w:val="24"/>
          <w:highlight w:val="none"/>
          <w:shd w:val="clear" w:color="auto" w:fill="auto"/>
        </w:rPr>
        <w:t>天投标文件应保持有效。</w:t>
      </w:r>
    </w:p>
    <w:p w14:paraId="7C6ABFFD">
      <w:pPr>
        <w:pStyle w:val="12"/>
        <w:widowControl w:val="0"/>
        <w:tabs>
          <w:tab w:val="left" w:pos="420"/>
        </w:tabs>
        <w:snapToGrid w:val="0"/>
        <w:spacing w:afterLines="0" w:line="420" w:lineRule="exact"/>
        <w:ind w:left="0" w:firstLine="480" w:firstLineChars="20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2.在特殊情况下，招标人可与投标人协商延长投标文件的有效期，这种要求和答复均以书面形式进行。</w:t>
      </w:r>
    </w:p>
    <w:p w14:paraId="3FF6DEF6">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3.投标人可拒绝接受延期要求，同意延长有效期的投标人不能修改投标文件内容。 </w:t>
      </w:r>
    </w:p>
    <w:p w14:paraId="786FDC64">
      <w:pPr>
        <w:snapToGrid w:val="0"/>
        <w:spacing w:line="420" w:lineRule="exact"/>
        <w:ind w:firstLine="480" w:firstLineChars="200"/>
        <w:jc w:val="lef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4.中标人的投标文件自开标之日起至合同履行完毕止均应保持有效。</w:t>
      </w:r>
    </w:p>
    <w:p w14:paraId="56E32233">
      <w:pPr>
        <w:snapToGrid w:val="0"/>
        <w:spacing w:line="420" w:lineRule="exact"/>
        <w:ind w:firstLine="472" w:firstLineChars="196"/>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5.投标人有下列情形之一的，按有关规定进行处罚：</w:t>
      </w:r>
    </w:p>
    <w:p w14:paraId="5B81E7B8">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（1）投标人在投标有效期内撤回投标文件的；</w:t>
      </w:r>
    </w:p>
    <w:p w14:paraId="0C17ABDA">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（2）未按规定提交履约保证金的；</w:t>
      </w:r>
    </w:p>
    <w:p w14:paraId="79ED3BCE">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（3）投标人在投标过程中弄虚作假，提供虚假材料的；</w:t>
      </w:r>
    </w:p>
    <w:p w14:paraId="0FB6EE8A">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（4）中标人无正当理由不与招标人签订合同的；</w:t>
      </w:r>
    </w:p>
    <w:p w14:paraId="40657717">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r>
        <w:rPr>
          <w:rFonts w:hint="eastAsia" w:ascii="宋体" w:hAnsi="宋体" w:eastAsia="宋体" w:cs="宋体"/>
          <w:bCs/>
          <w:color w:val="auto"/>
          <w:sz w:val="24"/>
          <w:highlight w:val="none"/>
          <w:shd w:val="clear" w:color="auto" w:fill="auto"/>
        </w:rPr>
        <w:t>将中标项目转让给他人或者在投标文件中未说明且未经招标人同意，将中标项目分包给他人的；</w:t>
      </w:r>
    </w:p>
    <w:p w14:paraId="3C1BDE5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（6）拒绝履行合同义务的；</w:t>
      </w:r>
    </w:p>
    <w:p w14:paraId="4C5F9BE8">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（7）其他严重扰乱招投标程序的。</w:t>
      </w:r>
    </w:p>
    <w:p w14:paraId="70EB7D6C">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（六）投标文件的签署</w:t>
      </w:r>
    </w:p>
    <w:p w14:paraId="7D8C729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7C1FD7DE">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b/>
          <w:color w:val="auto"/>
          <w:sz w:val="24"/>
          <w:highlight w:val="none"/>
          <w:shd w:val="clear" w:color="auto" w:fill="auto"/>
        </w:rPr>
        <w:t>电子投标文件中公章采用CA签章</w:t>
      </w:r>
      <w:r>
        <w:rPr>
          <w:rFonts w:hint="eastAsia" w:ascii="宋体" w:hAnsi="宋体" w:eastAsia="宋体" w:cs="宋体"/>
          <w:bCs/>
          <w:color w:val="auto"/>
          <w:sz w:val="24"/>
          <w:highlight w:val="none"/>
          <w:shd w:val="clear" w:color="auto" w:fill="auto"/>
        </w:rPr>
        <w:t>，</w:t>
      </w:r>
      <w:r>
        <w:rPr>
          <w:rFonts w:hint="eastAsia" w:ascii="宋体" w:hAnsi="宋体" w:eastAsia="宋体" w:cs="宋体"/>
          <w:b/>
          <w:color w:val="auto"/>
          <w:sz w:val="24"/>
          <w:highlight w:val="none"/>
          <w:shd w:val="clear" w:color="auto" w:fill="auto"/>
        </w:rPr>
        <w:t>并根据本招标文件规定的格式和顺序编制电子投标文件，</w:t>
      </w:r>
      <w:r>
        <w:rPr>
          <w:rFonts w:hint="eastAsia" w:ascii="宋体" w:hAnsi="宋体" w:eastAsia="宋体" w:cs="宋体"/>
          <w:bCs/>
          <w:color w:val="auto"/>
          <w:sz w:val="24"/>
          <w:highlight w:val="none"/>
          <w:shd w:val="clear" w:color="auto" w:fill="auto"/>
        </w:rPr>
        <w:t>电子投标文件如内容不完整、编排混乱导致投标文件被误读、漏读，或者在按采购文件规定的部位查找不到相关内容的，由投标人自行承担。</w:t>
      </w:r>
    </w:p>
    <w:p w14:paraId="3C7444B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0F0B112A">
      <w:pPr>
        <w:snapToGrid w:val="0"/>
        <w:spacing w:before="120" w:beforeLines="50" w:line="420" w:lineRule="exact"/>
        <w:ind w:firstLine="472" w:firstLineChars="196"/>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（七）投标无效的情形</w:t>
      </w:r>
    </w:p>
    <w:p w14:paraId="1BF484CD">
      <w:pPr>
        <w:snapToGrid w:val="0"/>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B61D57D">
      <w:pPr>
        <w:snapToGrid w:val="0"/>
        <w:spacing w:line="420" w:lineRule="exact"/>
        <w:ind w:firstLine="457" w:firstLineChars="196"/>
        <w:rPr>
          <w:rFonts w:hint="eastAsia" w:ascii="宋体" w:hAnsi="宋体" w:eastAsia="宋体" w:cs="宋体"/>
          <w:b/>
          <w:bCs/>
          <w:color w:val="auto"/>
          <w:spacing w:val="-4"/>
          <w:sz w:val="24"/>
          <w:highlight w:val="none"/>
          <w:shd w:val="clear" w:color="auto" w:fill="auto"/>
        </w:rPr>
      </w:pPr>
      <w:bookmarkStart w:id="16" w:name="_Hlk59462445"/>
      <w:r>
        <w:rPr>
          <w:rFonts w:hint="eastAsia" w:ascii="宋体" w:hAnsi="宋体" w:eastAsia="宋体" w:cs="宋体"/>
          <w:b/>
          <w:bCs/>
          <w:color w:val="auto"/>
          <w:spacing w:val="-4"/>
          <w:sz w:val="24"/>
          <w:highlight w:val="none"/>
          <w:shd w:val="clear" w:color="auto" w:fill="auto"/>
        </w:rPr>
        <w:t>1.</w:t>
      </w:r>
      <w:bookmarkStart w:id="17" w:name="_Hlk534294335"/>
      <w:r>
        <w:rPr>
          <w:rFonts w:hint="eastAsia" w:ascii="宋体" w:hAnsi="宋体" w:eastAsia="宋体" w:cs="宋体"/>
          <w:b/>
          <w:bCs/>
          <w:color w:val="auto"/>
          <w:spacing w:val="-4"/>
          <w:sz w:val="24"/>
          <w:highlight w:val="none"/>
          <w:shd w:val="clear" w:color="auto" w:fill="auto"/>
        </w:rPr>
        <w:t>在符合性审查和商务技术评审时，如发现下列情形之一的，投标文件将被视为无效：</w:t>
      </w:r>
    </w:p>
    <w:bookmarkEnd w:id="17"/>
    <w:p w14:paraId="4C1E269C">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（1）资格响应文件未提供齐全的或者资格响应文件存在过期的或者不符合招标文件标明的资格要求的；</w:t>
      </w:r>
    </w:p>
    <w:p w14:paraId="2A6D17BA">
      <w:pPr>
        <w:snapToGrid w:val="0"/>
        <w:spacing w:line="420" w:lineRule="exact"/>
        <w:ind w:firstLine="472" w:firstLineChars="196"/>
        <w:rPr>
          <w:rFonts w:hint="eastAsia" w:ascii="宋体" w:hAnsi="宋体" w:eastAsia="宋体" w:cs="宋体"/>
          <w:bCs/>
          <w:color w:val="auto"/>
          <w:kern w:val="0"/>
          <w:sz w:val="24"/>
          <w:highlight w:val="none"/>
          <w:shd w:val="clear" w:color="auto" w:fill="auto"/>
        </w:rPr>
      </w:pPr>
      <w:r>
        <w:rPr>
          <w:rFonts w:hint="eastAsia" w:ascii="宋体" w:hAnsi="宋体" w:eastAsia="宋体" w:cs="宋体"/>
          <w:b/>
          <w:bCs/>
          <w:color w:val="auto"/>
          <w:sz w:val="24"/>
          <w:highlight w:val="none"/>
          <w:shd w:val="clear" w:color="auto" w:fill="auto"/>
        </w:rPr>
        <w:t>（2）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eastAsia="宋体" w:cs="宋体"/>
          <w:b/>
          <w:bCs/>
          <w:color w:val="auto"/>
          <w:kern w:val="0"/>
          <w:sz w:val="24"/>
          <w:highlight w:val="none"/>
          <w:shd w:val="clear" w:color="auto" w:fill="auto"/>
        </w:rPr>
        <w:t>；</w:t>
      </w:r>
    </w:p>
    <w:p w14:paraId="0E367DA6">
      <w:pPr>
        <w:pStyle w:val="22"/>
        <w:snapToGrid w:val="0"/>
        <w:spacing w:line="420" w:lineRule="exact"/>
        <w:ind w:firstLine="454"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（3）多项主要服务响应或者主要设备功能响应不满足招标文件要求或</w:t>
      </w:r>
      <w:r>
        <w:rPr>
          <w:rFonts w:hint="eastAsia" w:ascii="宋体" w:hAnsi="宋体" w:eastAsia="宋体" w:cs="宋体"/>
          <w:color w:val="auto"/>
          <w:sz w:val="24"/>
          <w:highlight w:val="none"/>
          <w:shd w:val="clear" w:color="auto" w:fill="auto"/>
        </w:rPr>
        <w:t>缺项的，</w:t>
      </w:r>
      <w:r>
        <w:rPr>
          <w:rFonts w:hint="eastAsia" w:ascii="宋体" w:hAnsi="宋体" w:eastAsia="宋体" w:cs="宋体"/>
          <w:b/>
          <w:bCs/>
          <w:color w:val="auto"/>
          <w:sz w:val="24"/>
          <w:szCs w:val="24"/>
          <w:highlight w:val="none"/>
          <w:shd w:val="clear" w:color="auto" w:fill="auto"/>
        </w:rPr>
        <w:t>主要设备尺寸严重不满足招标文件要求的。</w:t>
      </w:r>
    </w:p>
    <w:p w14:paraId="63B07638">
      <w:pPr>
        <w:pStyle w:val="22"/>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snapToGrid w:val="0"/>
          <w:color w:val="auto"/>
          <w:sz w:val="24"/>
          <w:szCs w:val="24"/>
          <w:highlight w:val="none"/>
          <w:shd w:val="clear" w:color="auto" w:fill="auto"/>
        </w:rPr>
        <w:t>与</w:t>
      </w:r>
      <w:r>
        <w:rPr>
          <w:rFonts w:hint="eastAsia" w:ascii="宋体" w:hAnsi="宋体" w:eastAsia="宋体" w:cs="宋体"/>
          <w:color w:val="auto"/>
          <w:sz w:val="24"/>
          <w:szCs w:val="24"/>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4"/>
          <w:szCs w:val="24"/>
          <w:highlight w:val="none"/>
          <w:shd w:val="clear" w:color="auto" w:fill="auto"/>
        </w:rPr>
        <w:t>或内容缺失</w:t>
      </w:r>
      <w:r>
        <w:rPr>
          <w:rFonts w:hint="eastAsia" w:ascii="宋体" w:hAnsi="宋体" w:eastAsia="宋体" w:cs="宋体"/>
          <w:color w:val="auto"/>
          <w:sz w:val="24"/>
          <w:szCs w:val="24"/>
          <w:highlight w:val="none"/>
          <w:shd w:val="clear" w:color="auto" w:fill="auto"/>
        </w:rPr>
        <w:t>的；</w:t>
      </w:r>
    </w:p>
    <w:p w14:paraId="6019FCE9">
      <w:pPr>
        <w:pStyle w:val="22"/>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（5）未如实提供投标货物的技术参数，或者投标文件标明的响应或偏离存在虚假的；</w:t>
      </w:r>
    </w:p>
    <w:p w14:paraId="6E91A613">
      <w:pPr>
        <w:pStyle w:val="22"/>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4"/>
          <w:szCs w:val="24"/>
          <w:highlight w:val="none"/>
          <w:shd w:val="clear" w:color="auto" w:fill="auto"/>
        </w:rPr>
        <w:t>；</w:t>
      </w:r>
    </w:p>
    <w:bookmarkEnd w:id="16"/>
    <w:p w14:paraId="1EAABBDC">
      <w:pPr>
        <w:pStyle w:val="22"/>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r>
        <w:rPr>
          <w:rFonts w:hint="eastAsia" w:ascii="宋体" w:hAnsi="宋体" w:eastAsia="宋体" w:cs="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4DA623F1">
      <w:pPr>
        <w:pStyle w:val="22"/>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（8）投标文件有招标方不能接受的附加条件的；</w:t>
      </w:r>
    </w:p>
    <w:p w14:paraId="313D6870">
      <w:pPr>
        <w:pStyle w:val="22"/>
        <w:snapToGrid w:val="0"/>
        <w:spacing w:line="420" w:lineRule="exact"/>
        <w:ind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（9）商务技术文件中出现投标总报价的；</w:t>
      </w:r>
    </w:p>
    <w:p w14:paraId="320AE668">
      <w:pPr>
        <w:pStyle w:val="22"/>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（10）不同投标人的投标文件,由同一台电脑编制。</w:t>
      </w:r>
    </w:p>
    <w:p w14:paraId="280ECA63">
      <w:pPr>
        <w:pStyle w:val="22"/>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2.在报价评审时，如发现下列情形之一的，投标文件将被视为无效：</w:t>
      </w:r>
    </w:p>
    <w:p w14:paraId="21D8EF72">
      <w:pPr>
        <w:pStyle w:val="22"/>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（1）未采用人民币报价或者未按照招标文件标明的币种报价的；</w:t>
      </w:r>
    </w:p>
    <w:p w14:paraId="7D147A4F">
      <w:pPr>
        <w:pStyle w:val="22"/>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（2）投标报价具有选择性，或者开标价格与投标文件承诺的优惠（折扣）价格不一致的；</w:t>
      </w:r>
    </w:p>
    <w:p w14:paraId="4212C693">
      <w:pPr>
        <w:pStyle w:val="22"/>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（3）报价超过招标文件中规定的预算金额或者最高限价的；</w:t>
      </w:r>
    </w:p>
    <w:p w14:paraId="36C50456">
      <w:pPr>
        <w:pStyle w:val="22"/>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（4）未填写投标报价的。</w:t>
      </w:r>
    </w:p>
    <w:p w14:paraId="75519D61">
      <w:pPr>
        <w:pStyle w:val="22"/>
        <w:snapToGrid w:val="0"/>
        <w:spacing w:line="420" w:lineRule="exact"/>
        <w:ind w:firstLine="457"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3.被拒绝的投标文件为无效。</w:t>
      </w:r>
    </w:p>
    <w:p w14:paraId="7C744FFB">
      <w:pPr>
        <w:spacing w:line="420" w:lineRule="exact"/>
        <w:ind w:firstLine="354" w:firstLineChars="147"/>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（八）在招标采购中，出现下列情形之一的，应予废标</w:t>
      </w:r>
    </w:p>
    <w:p w14:paraId="587999AB">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1、出现影响采购公正的违法、违规行为的；</w:t>
      </w:r>
    </w:p>
    <w:p w14:paraId="1065364D">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2、因重大变故，采购任务取消的；</w:t>
      </w:r>
    </w:p>
    <w:p w14:paraId="3DF5E374">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3、投标人的报价均超过了采购预算价，招标人不能支付的。</w:t>
      </w:r>
    </w:p>
    <w:p w14:paraId="7DA40D22">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4.其他法律法规规定应予以废标的情形。</w:t>
      </w:r>
    </w:p>
    <w:p w14:paraId="561D7D21">
      <w:pPr>
        <w:pStyle w:val="22"/>
        <w:snapToGrid w:val="0"/>
        <w:spacing w:line="420" w:lineRule="exact"/>
        <w:ind w:firstLine="256" w:firstLineChars="110"/>
        <w:rPr>
          <w:rFonts w:hint="eastAsia" w:ascii="宋体" w:hAnsi="宋体" w:eastAsia="宋体" w:cs="宋体"/>
          <w:b/>
          <w:snapToGrid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四、开标</w:t>
      </w:r>
    </w:p>
    <w:p w14:paraId="51B6E9B3">
      <w:pPr>
        <w:pStyle w:val="31"/>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（一）开标准备</w:t>
      </w:r>
    </w:p>
    <w:p w14:paraId="5A695E7D">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1DC6104">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采购过程中出现以下情形，导致电子交易平台无法正常运行，或者无法保证电子交易的公平、公正和安全时，代理机构可中止电子交易活动：</w:t>
      </w:r>
    </w:p>
    <w:p w14:paraId="36222EB5">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（1）电子交易平台发生故障、停电而无法登录访问的； </w:t>
      </w:r>
    </w:p>
    <w:p w14:paraId="52AAA8D4">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（2）电子交易平台应用或数据库出现错误，不能进行正常操作的；</w:t>
      </w:r>
    </w:p>
    <w:p w14:paraId="020E8757">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（3）电子交易平台发现严重安全漏洞，有潜在泄密危险的；</w:t>
      </w:r>
    </w:p>
    <w:p w14:paraId="30383AB4">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（4）病毒发作导致不能进行正常操作的； </w:t>
      </w:r>
    </w:p>
    <w:p w14:paraId="4F98554D">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（5）其他无法保证电子交易的公平、公正和安全的情况。</w:t>
      </w:r>
    </w:p>
    <w:p w14:paraId="49E9068E">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出现前款规定情形，不影响采购公平、公正性的，代理机构可以待上述情形消除后继续组织电子交易活动，影响或可能影响采购公平、公正性的，应当重新采购。</w:t>
      </w:r>
    </w:p>
    <w:p w14:paraId="7650DA40">
      <w:pPr>
        <w:pStyle w:val="31"/>
        <w:snapToGrid w:val="0"/>
        <w:spacing w:beforeLines="0" w:afterLines="0" w:line="420" w:lineRule="exact"/>
        <w:ind w:firstLine="472" w:firstLineChars="196"/>
        <w:rPr>
          <w:rFonts w:hint="eastAsia" w:ascii="宋体" w:hAnsi="宋体" w:eastAsia="宋体" w:cs="宋体"/>
          <w:bCs/>
          <w:color w:val="auto"/>
          <w:highlight w:val="none"/>
          <w:shd w:val="clear" w:color="auto" w:fill="auto"/>
        </w:rPr>
      </w:pPr>
      <w:r>
        <w:rPr>
          <w:rFonts w:hint="eastAsia" w:ascii="宋体" w:hAnsi="宋体" w:eastAsia="宋体" w:cs="宋体"/>
          <w:b/>
          <w:color w:val="auto"/>
          <w:highlight w:val="none"/>
          <w:shd w:val="clear" w:color="auto" w:fill="auto"/>
        </w:rPr>
        <w:t xml:space="preserve">（二）开标程序    </w:t>
      </w:r>
    </w:p>
    <w:p w14:paraId="6978C551">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1.开标会由招标人主持，</w:t>
      </w:r>
      <w:bookmarkStart w:id="18" w:name="_Hlk59694585"/>
      <w:r>
        <w:rPr>
          <w:rFonts w:hint="eastAsia" w:ascii="宋体" w:hAnsi="宋体" w:eastAsia="宋体" w:cs="宋体"/>
          <w:b/>
          <w:bCs/>
          <w:color w:val="auto"/>
          <w:highlight w:val="none"/>
          <w:u w:val="single"/>
          <w:shd w:val="clear" w:color="auto" w:fill="auto"/>
        </w:rPr>
        <w:t>并通过临海市限额以下公共资源交易区域平台--每日直播平台进行现场直播，各投标人请准时在线参加。</w:t>
      </w:r>
      <w:bookmarkStart w:id="19" w:name="_Hlk59690176"/>
      <w:r>
        <w:rPr>
          <w:rFonts w:hint="eastAsia" w:ascii="宋体" w:hAnsi="宋体" w:eastAsia="宋体" w:cs="宋体"/>
          <w:b/>
          <w:bCs/>
          <w:color w:val="auto"/>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18"/>
      <w:r>
        <w:rPr>
          <w:rFonts w:hint="eastAsia" w:ascii="宋体" w:hAnsi="宋体" w:eastAsia="宋体" w:cs="宋体"/>
          <w:b/>
          <w:bCs/>
          <w:color w:val="auto"/>
          <w:highlight w:val="none"/>
          <w:u w:val="single"/>
          <w:shd w:val="clear" w:color="auto" w:fill="auto"/>
        </w:rPr>
        <w:t>；</w:t>
      </w:r>
    </w:p>
    <w:bookmarkEnd w:id="19"/>
    <w:p w14:paraId="5199EFA3">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 招标人点击临海市限额以下公共资源交易区域平台-不见面开标大厅--【开始解密】按钮，</w:t>
      </w:r>
      <w:bookmarkStart w:id="20" w:name="_Hlk59625783"/>
      <w:r>
        <w:rPr>
          <w:rFonts w:hint="eastAsia" w:ascii="宋体" w:hAnsi="宋体" w:eastAsia="宋体" w:cs="宋体"/>
          <w:color w:val="auto"/>
          <w:highlight w:val="none"/>
          <w:shd w:val="clear" w:color="auto" w:fill="auto"/>
        </w:rPr>
        <w:t>由投标人按招标文件规定的时间及</w:t>
      </w:r>
      <w:bookmarkStart w:id="21" w:name="_Hlk59626264"/>
      <w:r>
        <w:rPr>
          <w:rFonts w:hint="eastAsia" w:ascii="宋体" w:hAnsi="宋体" w:eastAsia="宋体" w:cs="宋体"/>
          <w:color w:val="auto"/>
          <w:highlight w:val="none"/>
          <w:shd w:val="clear" w:color="auto" w:fill="auto"/>
        </w:rPr>
        <w:t>平台</w:t>
      </w:r>
      <w:bookmarkEnd w:id="21"/>
      <w:r>
        <w:rPr>
          <w:rFonts w:hint="eastAsia" w:ascii="宋体" w:hAnsi="宋体" w:eastAsia="宋体" w:cs="宋体"/>
          <w:color w:val="auto"/>
          <w:highlight w:val="none"/>
          <w:shd w:val="clear" w:color="auto" w:fill="auto"/>
        </w:rPr>
        <w:t>显示的时间内自行进行投标文件解密。</w:t>
      </w:r>
      <w:bookmarkEnd w:id="20"/>
      <w:r>
        <w:rPr>
          <w:rFonts w:hint="eastAsia" w:ascii="宋体" w:hAnsi="宋体" w:eastAsia="宋体" w:cs="宋体"/>
          <w:color w:val="auto"/>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2" w:name="_Hlk59805375"/>
      <w:r>
        <w:rPr>
          <w:rFonts w:hint="eastAsia" w:ascii="宋体" w:hAnsi="宋体" w:eastAsia="宋体" w:cs="宋体"/>
          <w:color w:val="auto"/>
          <w:highlight w:val="none"/>
          <w:shd w:val="clear" w:color="auto" w:fill="auto"/>
        </w:rPr>
        <w:t>投标人未按时解密或解密失败的，其投标文件为无效标。</w:t>
      </w:r>
      <w:bookmarkEnd w:id="22"/>
    </w:p>
    <w:p w14:paraId="5068320F">
      <w:pPr>
        <w:pStyle w:val="31"/>
        <w:snapToGrid w:val="0"/>
        <w:spacing w:beforeLines="0" w:afterLines="0" w:line="420" w:lineRule="exact"/>
        <w:rPr>
          <w:rFonts w:hint="eastAsia" w:ascii="宋体" w:hAnsi="宋体" w:eastAsia="宋体" w:cs="宋体"/>
          <w:b/>
          <w:bCs/>
          <w:color w:val="auto"/>
          <w:highlight w:val="none"/>
          <w:u w:val="single"/>
          <w:shd w:val="clear" w:color="auto" w:fill="auto"/>
        </w:rPr>
      </w:pPr>
      <w:r>
        <w:rPr>
          <w:rFonts w:hint="eastAsia" w:ascii="宋体" w:hAnsi="宋体" w:eastAsia="宋体" w:cs="宋体"/>
          <w:b/>
          <w:bCs/>
          <w:color w:val="auto"/>
          <w:highlight w:val="none"/>
          <w:u w:val="single"/>
          <w:shd w:val="clear" w:color="auto" w:fill="auto"/>
        </w:rPr>
        <w:t>该项目投标人数量及各投标人投标文件是否完成解密以平台显示内容为准。</w:t>
      </w:r>
    </w:p>
    <w:p w14:paraId="22086A88">
      <w:pPr>
        <w:pStyle w:val="31"/>
        <w:snapToGrid w:val="0"/>
        <w:spacing w:beforeLines="0" w:afterLines="0" w:line="420" w:lineRule="exact"/>
        <w:ind w:firstLine="480" w:firstLineChars="200"/>
        <w:rPr>
          <w:rFonts w:hint="eastAsia" w:ascii="宋体" w:hAnsi="宋体" w:eastAsia="宋体" w:cs="宋体"/>
          <w:b/>
          <w:bCs/>
          <w:color w:val="auto"/>
          <w:highlight w:val="none"/>
          <w:u w:val="single"/>
          <w:shd w:val="clear" w:color="auto" w:fill="auto"/>
        </w:rPr>
      </w:pPr>
      <w:r>
        <w:rPr>
          <w:rFonts w:hint="eastAsia" w:ascii="宋体" w:hAnsi="宋体" w:eastAsia="宋体" w:cs="宋体"/>
          <w:color w:val="auto"/>
          <w:highlight w:val="none"/>
          <w:shd w:val="clear" w:color="auto" w:fill="auto"/>
        </w:rPr>
        <w:t>3.解密结束后，主持人介绍参加开标会的人员名单，告知应当回避的情形,提请有关人员回避；</w:t>
      </w:r>
    </w:p>
    <w:p w14:paraId="64EDA605">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.代理机构点击【</w:t>
      </w:r>
      <w:bookmarkStart w:id="23" w:name="_Hlk59371589"/>
      <w:r>
        <w:rPr>
          <w:rFonts w:hint="eastAsia" w:ascii="宋体" w:hAnsi="宋体" w:eastAsia="宋体" w:cs="宋体"/>
          <w:color w:val="auto"/>
          <w:highlight w:val="none"/>
          <w:shd w:val="clear" w:color="auto" w:fill="auto"/>
        </w:rPr>
        <w:t>开启标书信息</w:t>
      </w:r>
      <w:bookmarkEnd w:id="23"/>
      <w:r>
        <w:rPr>
          <w:rFonts w:hint="eastAsia" w:ascii="宋体" w:hAnsi="宋体" w:eastAsia="宋体" w:cs="宋体"/>
          <w:color w:val="auto"/>
          <w:highlight w:val="none"/>
          <w:shd w:val="clear" w:color="auto" w:fill="auto"/>
        </w:rPr>
        <w:t>】，开启标书成功后进入评标流程；</w:t>
      </w:r>
    </w:p>
    <w:p w14:paraId="0DDFE049">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w:t>
      </w:r>
      <w:bookmarkStart w:id="24" w:name="_Hlk59392570"/>
      <w:r>
        <w:rPr>
          <w:rFonts w:hint="eastAsia" w:ascii="宋体" w:hAnsi="宋体" w:eastAsia="宋体" w:cs="宋体"/>
          <w:color w:val="auto"/>
          <w:highlight w:val="none"/>
          <w:shd w:val="clear" w:color="auto" w:fill="auto"/>
        </w:rPr>
        <w:t>资格及商务技术文件</w:t>
      </w:r>
      <w:bookmarkEnd w:id="24"/>
      <w:r>
        <w:rPr>
          <w:rFonts w:hint="eastAsia" w:ascii="宋体" w:hAnsi="宋体" w:eastAsia="宋体" w:cs="宋体"/>
          <w:color w:val="auto"/>
          <w:highlight w:val="none"/>
          <w:shd w:val="clear" w:color="auto" w:fill="auto"/>
        </w:rPr>
        <w:t>评审；</w:t>
      </w:r>
    </w:p>
    <w:p w14:paraId="32C3EBC3">
      <w:pPr>
        <w:pStyle w:val="31"/>
        <w:snapToGrid w:val="0"/>
        <w:spacing w:beforeLines="0" w:afterLines="0" w:line="420" w:lineRule="exact"/>
        <w:ind w:firstLine="480" w:firstLineChars="200"/>
        <w:rPr>
          <w:rFonts w:hint="eastAsia" w:ascii="宋体" w:hAnsi="宋体" w:eastAsia="宋体" w:cs="宋体"/>
          <w:b/>
          <w:bCs/>
          <w:color w:val="auto"/>
          <w:highlight w:val="none"/>
          <w:shd w:val="clear" w:color="auto" w:fill="auto"/>
        </w:rPr>
      </w:pPr>
      <w:r>
        <w:rPr>
          <w:rFonts w:hint="eastAsia" w:hAnsi="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highlight w:val="none"/>
          <w:shd w:val="clear" w:color="auto" w:fill="auto"/>
        </w:rPr>
        <w:t>；</w:t>
      </w:r>
    </w:p>
    <w:p w14:paraId="3CF952BF">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7</w:t>
      </w:r>
      <w:r>
        <w:rPr>
          <w:rFonts w:hint="eastAsia" w:ascii="宋体" w:hAnsi="宋体" w:eastAsia="宋体" w:cs="宋体"/>
          <w:color w:val="auto"/>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highlight w:val="none"/>
          <w:u w:val="single"/>
          <w:shd w:val="clear" w:color="auto" w:fill="auto"/>
        </w:rPr>
        <w:t>代理机构在线公布开标一览表有关内容，投标人应在</w:t>
      </w:r>
      <w:r>
        <w:rPr>
          <w:rFonts w:hint="eastAsia" w:hAnsi="宋体" w:cs="宋体"/>
          <w:b/>
          <w:bCs/>
          <w:color w:val="auto"/>
          <w:highlight w:val="none"/>
          <w:u w:val="single"/>
          <w:shd w:val="clear" w:color="auto" w:fill="auto"/>
          <w:lang w:val="en-US" w:eastAsia="zh-CN"/>
        </w:rPr>
        <w:t>5</w:t>
      </w:r>
      <w:r>
        <w:rPr>
          <w:rFonts w:hint="eastAsia" w:ascii="宋体" w:hAnsi="宋体" w:eastAsia="宋体" w:cs="宋体"/>
          <w:b/>
          <w:bCs/>
          <w:color w:val="auto"/>
          <w:highlight w:val="none"/>
          <w:u w:val="single"/>
          <w:shd w:val="clear" w:color="auto" w:fill="auto"/>
        </w:rPr>
        <w:t>分钟内在线签字确认（不予确认或超时确认的应说明原因，否则视为无异议）；</w:t>
      </w:r>
    </w:p>
    <w:p w14:paraId="4962884C">
      <w:pPr>
        <w:pStyle w:val="31"/>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8</w:t>
      </w:r>
      <w:r>
        <w:rPr>
          <w:rFonts w:hint="eastAsia" w:ascii="宋体" w:hAnsi="宋体" w:eastAsia="宋体" w:cs="宋体"/>
          <w:color w:val="auto"/>
          <w:highlight w:val="none"/>
          <w:shd w:val="clear" w:color="auto" w:fill="auto"/>
        </w:rPr>
        <w:t>.报价文件评审；</w:t>
      </w:r>
    </w:p>
    <w:p w14:paraId="2C1AB91B">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9</w:t>
      </w:r>
      <w:r>
        <w:rPr>
          <w:rFonts w:hint="eastAsia" w:ascii="宋体" w:hAnsi="宋体" w:eastAsia="宋体" w:cs="宋体"/>
          <w:color w:val="auto"/>
          <w:highlight w:val="none"/>
          <w:shd w:val="clear" w:color="auto" w:fill="auto"/>
        </w:rPr>
        <w:t>．由主持人公布报价文件无效的投标人名单、投标无效的原因，宣布综合</w:t>
      </w:r>
      <w:bookmarkStart w:id="25" w:name="_Hlk59371720"/>
      <w:r>
        <w:rPr>
          <w:rFonts w:hint="eastAsia" w:ascii="宋体" w:hAnsi="宋体" w:eastAsia="宋体" w:cs="宋体"/>
          <w:color w:val="auto"/>
          <w:highlight w:val="none"/>
          <w:shd w:val="clear" w:color="auto" w:fill="auto"/>
        </w:rPr>
        <w:t>得分结果</w:t>
      </w:r>
      <w:bookmarkEnd w:id="25"/>
      <w:r>
        <w:rPr>
          <w:rFonts w:hint="eastAsia" w:ascii="宋体" w:hAnsi="宋体" w:eastAsia="宋体" w:cs="宋体"/>
          <w:color w:val="auto"/>
          <w:highlight w:val="none"/>
          <w:shd w:val="clear" w:color="auto" w:fill="auto"/>
        </w:rPr>
        <w:t>及中标候选人名单。</w:t>
      </w:r>
      <w:r>
        <w:rPr>
          <w:rFonts w:hint="eastAsia" w:ascii="宋体" w:hAnsi="宋体" w:eastAsia="宋体" w:cs="宋体"/>
          <w:b/>
          <w:bCs/>
          <w:color w:val="auto"/>
          <w:highlight w:val="none"/>
          <w:u w:val="single"/>
          <w:shd w:val="clear" w:color="auto" w:fill="auto"/>
        </w:rPr>
        <w:t>投标人可通过</w:t>
      </w:r>
      <w:bookmarkStart w:id="26" w:name="_Hlk59626287"/>
      <w:r>
        <w:rPr>
          <w:rFonts w:hint="eastAsia" w:ascii="宋体" w:hAnsi="宋体" w:eastAsia="宋体" w:cs="宋体"/>
          <w:b/>
          <w:bCs/>
          <w:color w:val="auto"/>
          <w:highlight w:val="none"/>
          <w:u w:val="single"/>
          <w:shd w:val="clear" w:color="auto" w:fill="auto"/>
        </w:rPr>
        <w:t>临海市限额以下公共资源交易区域平台</w:t>
      </w:r>
      <w:bookmarkEnd w:id="26"/>
      <w:r>
        <w:rPr>
          <w:rFonts w:hint="eastAsia" w:ascii="宋体" w:hAnsi="宋体" w:eastAsia="宋体" w:cs="宋体"/>
          <w:b/>
          <w:bCs/>
          <w:color w:val="auto"/>
          <w:highlight w:val="none"/>
          <w:u w:val="single"/>
          <w:shd w:val="clear" w:color="auto" w:fill="auto"/>
        </w:rPr>
        <w:t>-每日直播平台查看评审结果，请各投标人注意收看；</w:t>
      </w:r>
    </w:p>
    <w:p w14:paraId="0356A298">
      <w:pPr>
        <w:pStyle w:val="31"/>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10</w:t>
      </w:r>
      <w:r>
        <w:rPr>
          <w:rFonts w:hint="eastAsia" w:ascii="宋体" w:hAnsi="宋体" w:eastAsia="宋体" w:cs="宋体"/>
          <w:color w:val="auto"/>
          <w:highlight w:val="none"/>
          <w:shd w:val="clear" w:color="auto" w:fill="auto"/>
        </w:rPr>
        <w:t>．开标会议结束。</w:t>
      </w:r>
    </w:p>
    <w:p w14:paraId="1E36F05D">
      <w:pPr>
        <w:pStyle w:val="31"/>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五、评标</w:t>
      </w:r>
    </w:p>
    <w:p w14:paraId="59AC3396">
      <w:pPr>
        <w:pStyle w:val="31"/>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（一）组建评标委员会</w:t>
      </w:r>
    </w:p>
    <w:p w14:paraId="11E6CC69">
      <w:pPr>
        <w:pStyle w:val="31"/>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（1）本项目评标委员会由招标人依法组建。</w:t>
      </w:r>
    </w:p>
    <w:p w14:paraId="7EC147EC">
      <w:pPr>
        <w:pStyle w:val="31"/>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（2）评标委员会成员与参与投标的投标人有下列情形之一的，应当回避：</w:t>
      </w:r>
    </w:p>
    <w:p w14:paraId="55EF5216">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①参加采购活动前3年内与投标人存在劳动关系；</w:t>
      </w:r>
    </w:p>
    <w:p w14:paraId="12BAF869">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②参加采购活动前3年内担任投标人的董事、监事；</w:t>
      </w:r>
    </w:p>
    <w:p w14:paraId="70303CBE">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③参加采购活动前3年内是投标人的控股股东或者实际控制人；</w:t>
      </w:r>
    </w:p>
    <w:p w14:paraId="3802D1CF">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④与投标人的法定代表人或者负责人有夫妻、直系血亲、三代以内旁系血亲或者近姻亲关系；</w:t>
      </w:r>
    </w:p>
    <w:p w14:paraId="023D2C48">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⑤与投标人有其他可能影响采购活动公平、公正进行的关系。</w:t>
      </w:r>
    </w:p>
    <w:p w14:paraId="5BC021D3">
      <w:pPr>
        <w:pStyle w:val="31"/>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（3）评标委员会负责具体评标事务，并独立履行下列职责：</w:t>
      </w:r>
    </w:p>
    <w:p w14:paraId="4259C2E8">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1.审查、评价投标文件是否符合招标文件的商务、技术等实质性要求；</w:t>
      </w:r>
    </w:p>
    <w:p w14:paraId="0339BDEB">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2.要求投标人对投标文件有关事项作出澄清或者说明；</w:t>
      </w:r>
    </w:p>
    <w:p w14:paraId="3FB10D50">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3.对投标文件进行比较和评价；</w:t>
      </w:r>
    </w:p>
    <w:p w14:paraId="64B35123">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4.确定中标候选人名单，以及根据招标人委托直接确定中标人；</w:t>
      </w:r>
    </w:p>
    <w:p w14:paraId="445AACD8">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5.向招标人、代理机构或者有关部门报告评标中发现的违法行为；</w:t>
      </w:r>
    </w:p>
    <w:p w14:paraId="6DB8475B">
      <w:pPr>
        <w:pStyle w:val="31"/>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6.法律法规规定的其他职责。</w:t>
      </w:r>
    </w:p>
    <w:p w14:paraId="6CD38552">
      <w:pPr>
        <w:pStyle w:val="31"/>
        <w:snapToGrid w:val="0"/>
        <w:spacing w:beforeLines="0" w:afterLines="0" w:line="420" w:lineRule="exact"/>
        <w:ind w:firstLine="482" w:firstLineChars="2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（二）评标的方式</w:t>
      </w:r>
    </w:p>
    <w:p w14:paraId="1776B8B8">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本项目采用不公开方式评标，评标的依据为招标文件和投标文件，本项目采用电子评审方法。</w:t>
      </w:r>
    </w:p>
    <w:p w14:paraId="6CBBE5C9">
      <w:pPr>
        <w:pStyle w:val="31"/>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w:t>
      </w:r>
      <w:r>
        <w:rPr>
          <w:rFonts w:hint="eastAsia" w:ascii="宋体" w:hAnsi="宋体" w:eastAsia="宋体" w:cs="宋体"/>
          <w:b/>
          <w:bCs/>
          <w:color w:val="auto"/>
          <w:highlight w:val="none"/>
          <w:shd w:val="clear" w:color="auto" w:fill="auto"/>
        </w:rPr>
        <w:t>评标程序</w:t>
      </w:r>
    </w:p>
    <w:p w14:paraId="27D45610">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1.资格审查</w:t>
      </w:r>
    </w:p>
    <w:p w14:paraId="05221F1D">
      <w:pPr>
        <w:snapToGrid w:val="0"/>
        <w:spacing w:line="420" w:lineRule="exact"/>
        <w:ind w:firstLine="470"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30466C48">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2.符合性审查</w:t>
      </w:r>
    </w:p>
    <w:p w14:paraId="02635A0E">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0E5C30D">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（四）澄清问题的形式</w:t>
      </w:r>
    </w:p>
    <w:p w14:paraId="6D984044">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对投标文件中含义不明确、同类问题表述不一致或者有明显文字和计算错误的内容，评标委员会可要求投标人作出必要的</w:t>
      </w:r>
      <w:bookmarkStart w:id="27" w:name="_Hlk59372079"/>
      <w:r>
        <w:rPr>
          <w:rFonts w:hint="eastAsia" w:ascii="宋体" w:hAnsi="宋体" w:eastAsia="宋体" w:cs="宋体"/>
          <w:color w:val="auto"/>
          <w:highlight w:val="none"/>
          <w:shd w:val="clear" w:color="auto" w:fill="auto"/>
        </w:rPr>
        <w:t>澄清、说明</w:t>
      </w:r>
      <w:bookmarkEnd w:id="27"/>
      <w:r>
        <w:rPr>
          <w:rFonts w:hint="eastAsia" w:ascii="宋体" w:hAnsi="宋体" w:eastAsia="宋体" w:cs="宋体"/>
          <w:color w:val="auto"/>
          <w:highlight w:val="none"/>
          <w:shd w:val="clear" w:color="auto" w:fill="auto"/>
        </w:rPr>
        <w:t>或者补正。评标委员会的澄清内容及投标人的澄清、说明或者补正均通过</w:t>
      </w:r>
      <w:bookmarkStart w:id="28" w:name="_Hlk59371846"/>
      <w:r>
        <w:rPr>
          <w:rFonts w:hint="eastAsia" w:ascii="宋体" w:hAnsi="宋体" w:eastAsia="宋体" w:cs="宋体"/>
          <w:color w:val="auto"/>
          <w:highlight w:val="none"/>
          <w:shd w:val="clear" w:color="auto" w:fill="auto"/>
        </w:rPr>
        <w:t>电子交易平台交换数据电文。</w:t>
      </w:r>
      <w:bookmarkEnd w:id="28"/>
      <w:bookmarkStart w:id="29" w:name="_Hlk59700505"/>
      <w:r>
        <w:rPr>
          <w:rFonts w:hint="eastAsia" w:ascii="宋体" w:hAnsi="宋体" w:eastAsia="宋体" w:cs="宋体"/>
          <w:color w:val="auto"/>
          <w:highlight w:val="none"/>
          <w:shd w:val="clear" w:color="auto" w:fill="auto"/>
        </w:rPr>
        <w:t>同时代理机构也将通过临海市限额以下公共资源交易区域平台--每日直播平台</w:t>
      </w:r>
      <w:bookmarkStart w:id="30" w:name="_Hlk59371920"/>
      <w:r>
        <w:rPr>
          <w:rFonts w:hint="eastAsia" w:ascii="宋体" w:hAnsi="宋体" w:eastAsia="宋体" w:cs="宋体"/>
          <w:color w:val="auto"/>
          <w:highlight w:val="none"/>
          <w:shd w:val="clear" w:color="auto" w:fill="auto"/>
        </w:rPr>
        <w:t>进行问题澄清。</w:t>
      </w:r>
      <w:bookmarkEnd w:id="29"/>
    </w:p>
    <w:bookmarkEnd w:id="30"/>
    <w:p w14:paraId="0B1C2985">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评标委员会发出澄清内容后，投标人应当在代理机构及平台上</w:t>
      </w:r>
      <w:r>
        <w:rPr>
          <w:rFonts w:hint="eastAsia" w:ascii="宋体" w:hAnsi="宋体" w:eastAsia="宋体" w:cs="宋体"/>
          <w:b/>
          <w:bCs/>
          <w:color w:val="auto"/>
          <w:sz w:val="24"/>
          <w:highlight w:val="none"/>
          <w:u w:val="single"/>
          <w:shd w:val="clear" w:color="auto" w:fill="auto"/>
        </w:rPr>
        <w:t>规定的时间内（</w:t>
      </w:r>
      <w:r>
        <w:rPr>
          <w:rFonts w:hint="eastAsia" w:ascii="宋体" w:hAnsi="宋体" w:cs="宋体"/>
          <w:b/>
          <w:bCs/>
          <w:color w:val="auto"/>
          <w:sz w:val="24"/>
          <w:highlight w:val="none"/>
          <w:u w:val="single"/>
          <w:shd w:val="clear" w:color="auto" w:fill="auto"/>
          <w:lang w:val="en-US" w:eastAsia="zh-CN"/>
        </w:rPr>
        <w:t>3</w:t>
      </w:r>
      <w:r>
        <w:rPr>
          <w:rFonts w:hint="eastAsia" w:ascii="宋体" w:hAnsi="宋体" w:eastAsia="宋体" w:cs="宋体"/>
          <w:b/>
          <w:bCs/>
          <w:color w:val="auto"/>
          <w:sz w:val="24"/>
          <w:highlight w:val="none"/>
          <w:u w:val="single"/>
          <w:shd w:val="clear" w:color="auto" w:fill="auto"/>
          <w:lang w:val="en-US" w:eastAsia="zh-CN"/>
        </w:rPr>
        <w:t>0</w:t>
      </w:r>
      <w:r>
        <w:rPr>
          <w:rFonts w:hint="eastAsia" w:ascii="宋体" w:hAnsi="宋体" w:eastAsia="宋体" w:cs="宋体"/>
          <w:b/>
          <w:bCs/>
          <w:color w:val="auto"/>
          <w:sz w:val="24"/>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25662EFF">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（五）错误修正</w:t>
      </w:r>
    </w:p>
    <w:p w14:paraId="58E7E379">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投标文件报价出现前后不一致的，按照下列规定修正：</w:t>
      </w:r>
    </w:p>
    <w:p w14:paraId="4F1250F9">
      <w:pPr>
        <w:numPr>
          <w:ilvl w:val="0"/>
          <w:numId w:val="5"/>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投标文件中开标一览表（报价表）内容与投标文件中相应内容不一致的，以开标一览表（报价表）为准</w:t>
      </w:r>
    </w:p>
    <w:p w14:paraId="0F03204E">
      <w:pPr>
        <w:numPr>
          <w:ilvl w:val="0"/>
          <w:numId w:val="5"/>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18FB77F8">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（三）单价金额小数点或者百分比有明显错位的，以开标一览表的总价为准，并修改单价；</w:t>
      </w:r>
    </w:p>
    <w:p w14:paraId="31FAB83B">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（四）总价金额与按单价汇总金额不一致的，以单价金额计算结果为准。</w:t>
      </w:r>
    </w:p>
    <w:p w14:paraId="57BBDBD1">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（五）对不同文字文本投标文件的解释发生异议的，以中文文本为准。</w:t>
      </w:r>
    </w:p>
    <w:p w14:paraId="3CCBA62F">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872A20E">
      <w:pPr>
        <w:pStyle w:val="31"/>
        <w:tabs>
          <w:tab w:val="left" w:pos="630"/>
        </w:tabs>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（六）评标原则和评标办法</w:t>
      </w:r>
    </w:p>
    <w:p w14:paraId="251F1FC7">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9720471">
      <w:pPr>
        <w:pStyle w:val="31"/>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2.评标办法。本项目评标办法是</w:t>
      </w:r>
      <w:r>
        <w:rPr>
          <w:rFonts w:hint="eastAsia" w:ascii="宋体" w:hAnsi="宋体" w:eastAsia="宋体" w:cs="宋体"/>
          <w:b/>
          <w:color w:val="auto"/>
          <w:highlight w:val="none"/>
          <w:u w:val="single"/>
          <w:shd w:val="clear" w:color="auto" w:fill="auto"/>
        </w:rPr>
        <w:t>综合评分法</w:t>
      </w:r>
      <w:r>
        <w:rPr>
          <w:rFonts w:hint="eastAsia" w:ascii="宋体" w:hAnsi="宋体" w:eastAsia="宋体" w:cs="宋体"/>
          <w:color w:val="auto"/>
          <w:highlight w:val="none"/>
          <w:shd w:val="clear" w:color="auto" w:fill="auto"/>
        </w:rPr>
        <w:t>，具体评标内容及评分标准等详见《第四章：评标办法及评分标准》。</w:t>
      </w:r>
    </w:p>
    <w:p w14:paraId="551178C8">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六、定标</w:t>
      </w:r>
    </w:p>
    <w:p w14:paraId="124A0DC9">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（一）确定中标人</w:t>
      </w:r>
    </w:p>
    <w:p w14:paraId="42BB8EBE">
      <w:pPr>
        <w:spacing w:line="420" w:lineRule="exact"/>
        <w:ind w:firstLine="480"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Cs/>
          <w:color w:val="auto"/>
          <w:sz w:val="24"/>
          <w:highlight w:val="none"/>
          <w:shd w:val="clear" w:color="auto" w:fill="auto"/>
        </w:rPr>
        <w:t>1.招标人在评标结束后2</w:t>
      </w:r>
      <w:r>
        <w:rPr>
          <w:rFonts w:hint="eastAsia" w:ascii="宋体" w:hAnsi="宋体" w:eastAsia="宋体" w:cs="宋体"/>
          <w:color w:val="auto"/>
          <w:sz w:val="24"/>
          <w:highlight w:val="none"/>
          <w:shd w:val="clear" w:color="auto" w:fill="auto"/>
        </w:rPr>
        <w:t>个工作日内将评标报告交招标人确认</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招标人应在收到评标报告后5个工作日内对评标结果进行确认。如有投标人对评标结果提出质疑的，招标人可在质疑处理完毕后确定中标人。</w:t>
      </w:r>
    </w:p>
    <w:p w14:paraId="1A37BD25">
      <w:pPr>
        <w:snapToGrid w:val="0"/>
        <w:spacing w:line="420" w:lineRule="exact"/>
        <w:ind w:firstLine="480" w:firstLineChars="200"/>
        <w:rPr>
          <w:rFonts w:hint="eastAsia" w:ascii="宋体" w:hAnsi="宋体" w:eastAsia="宋体" w:cs="宋体"/>
          <w:b/>
          <w:bCs/>
          <w:color w:val="auto"/>
          <w:sz w:val="24"/>
          <w:highlight w:val="none"/>
          <w:u w:val="singl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005D594">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4"/>
          <w:highlight w:val="none"/>
          <w:shd w:val="clear" w:color="auto" w:fill="auto"/>
        </w:rPr>
        <w:t>或重新组织招标。</w:t>
      </w:r>
      <w:bookmarkStart w:id="31" w:name="_Hlk59369379"/>
      <w:r>
        <w:rPr>
          <w:rFonts w:hint="eastAsia" w:ascii="宋体" w:hAnsi="宋体" w:eastAsia="宋体" w:cs="宋体"/>
          <w:color w:val="auto"/>
          <w:sz w:val="24"/>
          <w:highlight w:val="none"/>
          <w:shd w:val="clear" w:color="auto" w:fill="auto"/>
        </w:rPr>
        <w:t xml:space="preserve"> </w:t>
      </w:r>
    </w:p>
    <w:p w14:paraId="3E526FA5">
      <w:pPr>
        <w:snapToGrid w:val="0"/>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cs="宋体"/>
          <w:b/>
          <w:color w:val="auto"/>
          <w:sz w:val="24"/>
          <w:highlight w:val="none"/>
          <w:shd w:val="clear" w:color="auto" w:fill="auto"/>
          <w:lang w:val="en-US" w:eastAsia="zh-CN"/>
        </w:rPr>
        <w:t>4</w:t>
      </w:r>
      <w:r>
        <w:rPr>
          <w:rFonts w:hint="eastAsia" w:ascii="宋体" w:hAnsi="宋体" w:eastAsia="宋体" w:cs="宋体"/>
          <w:b/>
          <w:color w:val="auto"/>
          <w:sz w:val="24"/>
          <w:highlight w:val="none"/>
          <w:shd w:val="clear" w:color="auto" w:fill="auto"/>
          <w:lang w:val="en-US" w:eastAsia="zh-CN"/>
        </w:rPr>
        <w:t>.</w:t>
      </w:r>
      <w:r>
        <w:rPr>
          <w:rFonts w:hint="eastAsia" w:ascii="宋体" w:hAnsi="宋体" w:eastAsia="宋体" w:cs="宋体"/>
          <w:color w:val="auto"/>
          <w:highlight w:val="none"/>
          <w:shd w:val="clear" w:color="auto" w:fill="auto"/>
        </w:rPr>
        <w:t xml:space="preserve"> </w:t>
      </w:r>
      <w:r>
        <w:rPr>
          <w:rFonts w:hint="eastAsia" w:ascii="宋体" w:hAnsi="宋体" w:eastAsia="宋体" w:cs="宋体"/>
          <w:b/>
          <w:color w:val="auto"/>
          <w:sz w:val="24"/>
          <w:highlight w:val="none"/>
          <w:shd w:val="clear" w:color="auto" w:fill="auto"/>
        </w:rPr>
        <w:t>本项目为非政府采购项目，如中标通知书发出后，中标人放弃中标项目的，参照《政府采购法》第四十六条之规定，应当依法承担法律责任。</w:t>
      </w:r>
    </w:p>
    <w:p w14:paraId="6D848FDC">
      <w:pPr>
        <w:snapToGrid w:val="0"/>
        <w:spacing w:line="42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F228FA7">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w:t>
      </w:r>
      <w:r>
        <w:rPr>
          <w:rFonts w:hint="eastAsia" w:ascii="宋体" w:hAnsi="宋体" w:eastAsia="宋体" w:cs="宋体"/>
          <w:b/>
          <w:bCs/>
          <w:color w:val="auto"/>
          <w:sz w:val="24"/>
          <w:highlight w:val="none"/>
          <w:u w:val="single"/>
          <w:shd w:val="clear" w:color="auto" w:fill="auto"/>
        </w:rPr>
        <w:t>为营造更优质的营商环境，</w:t>
      </w:r>
      <w:bookmarkStart w:id="32" w:name="_Hlk59708763"/>
      <w:r>
        <w:rPr>
          <w:rFonts w:hint="eastAsia" w:ascii="宋体" w:hAnsi="宋体" w:eastAsia="宋体" w:cs="宋体"/>
          <w:b/>
          <w:bCs/>
          <w:color w:val="auto"/>
          <w:sz w:val="24"/>
          <w:highlight w:val="none"/>
          <w:u w:val="single"/>
          <w:shd w:val="clear" w:color="auto" w:fill="auto"/>
        </w:rPr>
        <w:t>中标人可选择代理机构以邮寄方式向其寄达《中标通知书》（邮寄地址、收件人等信息请在“投标函”中详细写明，邮费可到付）。</w:t>
      </w:r>
      <w:bookmarkEnd w:id="32"/>
      <w:bookmarkStart w:id="33" w:name="_Hlk59708451"/>
      <w:r>
        <w:rPr>
          <w:rFonts w:hint="eastAsia" w:ascii="宋体" w:hAnsi="宋体" w:eastAsia="宋体" w:cs="宋体"/>
          <w:b/>
          <w:bCs/>
          <w:color w:val="auto"/>
          <w:sz w:val="24"/>
          <w:highlight w:val="none"/>
          <w:u w:val="single"/>
          <w:shd w:val="clear" w:color="auto" w:fill="auto"/>
        </w:rPr>
        <w:t>同时中标人应在中标后</w:t>
      </w:r>
      <w:bookmarkStart w:id="34" w:name="_Hlk59521069"/>
      <w:r>
        <w:rPr>
          <w:rFonts w:hint="eastAsia" w:ascii="宋体" w:hAnsi="宋体" w:eastAsia="宋体" w:cs="宋体"/>
          <w:b/>
          <w:bCs/>
          <w:color w:val="auto"/>
          <w:sz w:val="24"/>
          <w:highlight w:val="none"/>
          <w:u w:val="single"/>
          <w:shd w:val="clear" w:color="auto" w:fill="auto"/>
        </w:rPr>
        <w:t>以邮寄</w:t>
      </w:r>
      <w:bookmarkEnd w:id="34"/>
      <w:r>
        <w:rPr>
          <w:rFonts w:hint="eastAsia" w:ascii="宋体" w:hAnsi="宋体" w:eastAsia="宋体" w:cs="宋体"/>
          <w:b/>
          <w:bCs/>
          <w:color w:val="auto"/>
          <w:sz w:val="24"/>
          <w:highlight w:val="none"/>
          <w:u w:val="single"/>
          <w:shd w:val="clear" w:color="auto" w:fill="auto"/>
        </w:rPr>
        <w:t>或其他方式向代理机构提供</w:t>
      </w:r>
      <w:r>
        <w:rPr>
          <w:rFonts w:hint="eastAsia" w:ascii="宋体" w:hAnsi="宋体" w:cs="宋体"/>
          <w:b/>
          <w:bCs/>
          <w:color w:val="auto"/>
          <w:sz w:val="24"/>
          <w:highlight w:val="none"/>
          <w:u w:val="single"/>
          <w:shd w:val="clear" w:color="auto" w:fill="auto"/>
          <w:lang w:val="en-US" w:eastAsia="zh-CN"/>
        </w:rPr>
        <w:t>4</w:t>
      </w:r>
      <w:r>
        <w:rPr>
          <w:rFonts w:hint="eastAsia" w:ascii="宋体" w:hAnsi="宋体" w:eastAsia="宋体" w:cs="宋体"/>
          <w:b/>
          <w:bCs/>
          <w:color w:val="auto"/>
          <w:sz w:val="24"/>
          <w:highlight w:val="none"/>
          <w:u w:val="single"/>
          <w:shd w:val="clear" w:color="auto" w:fill="auto"/>
        </w:rPr>
        <w:t>套与电子版投标文件相同的胶装版本投标文件。</w:t>
      </w:r>
      <w:bookmarkEnd w:id="31"/>
      <w:bookmarkEnd w:id="33"/>
    </w:p>
    <w:p w14:paraId="36AA18C1">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七、合同授予</w:t>
      </w:r>
    </w:p>
    <w:p w14:paraId="1D86903E">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（一）签订合同</w:t>
      </w:r>
    </w:p>
    <w:p w14:paraId="15743524">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1.招标人与中标</w:t>
      </w:r>
      <w:r>
        <w:rPr>
          <w:rFonts w:hint="eastAsia" w:ascii="宋体" w:hAnsi="宋体" w:eastAsia="宋体" w:cs="宋体"/>
          <w:b/>
          <w:color w:val="auto"/>
          <w:sz w:val="24"/>
          <w:highlight w:val="none"/>
          <w:shd w:val="clear" w:color="auto" w:fill="auto"/>
        </w:rPr>
        <w:t>人应当在《中标通知书》发出之日起30日内签订采购合同，</w:t>
      </w:r>
      <w:r>
        <w:rPr>
          <w:rFonts w:hint="eastAsia" w:ascii="宋体" w:hAnsi="宋体" w:eastAsia="宋体" w:cs="宋体"/>
          <w:color w:val="auto"/>
          <w:sz w:val="24"/>
          <w:highlight w:val="none"/>
          <w:shd w:val="clear" w:color="auto" w:fill="auto"/>
        </w:rPr>
        <w:t>并且在同一时间送至代理机构见证盖章（合同一式不少于四份，招标人与中标人各执一份，</w:t>
      </w:r>
      <w:bookmarkStart w:id="35" w:name="_Hlk59626706"/>
      <w:r>
        <w:rPr>
          <w:rFonts w:hint="eastAsia" w:ascii="宋体" w:hAnsi="宋体" w:eastAsia="宋体" w:cs="宋体"/>
          <w:color w:val="auto"/>
          <w:sz w:val="24"/>
          <w:highlight w:val="none"/>
          <w:shd w:val="clear" w:color="auto" w:fill="auto"/>
        </w:rPr>
        <w:t>代理机构</w:t>
      </w:r>
      <w:bookmarkEnd w:id="35"/>
      <w:r>
        <w:rPr>
          <w:rFonts w:hint="eastAsia" w:ascii="宋体" w:hAnsi="宋体" w:eastAsia="宋体" w:cs="宋体"/>
          <w:color w:val="auto"/>
          <w:sz w:val="24"/>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4"/>
          <w:highlight w:val="none"/>
          <w:u w:val="single"/>
          <w:shd w:val="clear" w:color="auto" w:fill="auto"/>
        </w:rPr>
        <w:t>为营造更优质的营商环境，</w:t>
      </w:r>
      <w:bookmarkStart w:id="36" w:name="_Hlk59627623"/>
      <w:r>
        <w:rPr>
          <w:rFonts w:hint="eastAsia" w:ascii="宋体" w:hAnsi="宋体" w:eastAsia="宋体" w:cs="宋体"/>
          <w:b/>
          <w:bCs/>
          <w:color w:val="auto"/>
          <w:sz w:val="24"/>
          <w:highlight w:val="none"/>
          <w:u w:val="single"/>
          <w:shd w:val="clear" w:color="auto" w:fill="auto"/>
        </w:rPr>
        <w:t>中标人可选择代理机构以邮寄方式向其寄达</w:t>
      </w:r>
      <w:bookmarkStart w:id="37" w:name="_Hlk59708805"/>
      <w:r>
        <w:rPr>
          <w:rFonts w:hint="eastAsia" w:ascii="宋体" w:hAnsi="宋体" w:eastAsia="宋体" w:cs="宋体"/>
          <w:b/>
          <w:bCs/>
          <w:color w:val="auto"/>
          <w:sz w:val="24"/>
          <w:highlight w:val="none"/>
          <w:u w:val="single"/>
          <w:shd w:val="clear" w:color="auto" w:fill="auto"/>
        </w:rPr>
        <w:t>《采购合同》</w:t>
      </w:r>
      <w:bookmarkEnd w:id="37"/>
      <w:r>
        <w:rPr>
          <w:rFonts w:hint="eastAsia" w:ascii="宋体" w:hAnsi="宋体" w:eastAsia="宋体" w:cs="宋体"/>
          <w:b/>
          <w:bCs/>
          <w:color w:val="auto"/>
          <w:sz w:val="24"/>
          <w:highlight w:val="none"/>
          <w:u w:val="single"/>
          <w:shd w:val="clear" w:color="auto" w:fill="auto"/>
        </w:rPr>
        <w:t>。</w:t>
      </w:r>
    </w:p>
    <w:bookmarkEnd w:id="36"/>
    <w:p w14:paraId="748738FE">
      <w:pPr>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highlight w:val="none"/>
          <w:shd w:val="clear" w:color="auto" w:fill="auto"/>
        </w:rPr>
        <w:t>以重新开展采购活动。拒绝签订采购合同的成交人不得参加对该项目重新开展的采购活动。</w:t>
      </w:r>
    </w:p>
    <w:p w14:paraId="3095548A">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（二）履约保证金</w:t>
      </w:r>
    </w:p>
    <w:p w14:paraId="42F30ECE">
      <w:pPr>
        <w:spacing w:line="420" w:lineRule="exact"/>
        <w:ind w:firstLine="480" w:firstLineChars="20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1</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签订合同后，如中标人不按双方合同约定履约，则其履约保证金将予以扣罚，履约保证金不足以赔偿损失的，按实际损失赔偿。</w:t>
      </w:r>
      <w:bookmarkStart w:id="38" w:name="_Toc466534750"/>
    </w:p>
    <w:p w14:paraId="0B42908D">
      <w:pPr>
        <w:bidi w:val="0"/>
        <w:rPr>
          <w:rFonts w:hint="eastAsia"/>
          <w:highlight w:val="none"/>
          <w:lang w:eastAsia="zh-CN"/>
        </w:rPr>
      </w:pPr>
    </w:p>
    <w:p w14:paraId="71D3E5B0">
      <w:pPr>
        <w:bidi w:val="0"/>
        <w:rPr>
          <w:rFonts w:hint="eastAsia"/>
          <w:highlight w:val="none"/>
        </w:rPr>
      </w:pPr>
      <w:r>
        <w:rPr>
          <w:rFonts w:hint="eastAsia"/>
          <w:highlight w:val="none"/>
        </w:rPr>
        <w:br w:type="page"/>
      </w:r>
    </w:p>
    <w:p w14:paraId="738BCCE9">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39" w:name="_Toc19241"/>
      <w:bookmarkStart w:id="40" w:name="_Toc10393"/>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38"/>
      <w:bookmarkEnd w:id="39"/>
      <w:bookmarkEnd w:id="40"/>
    </w:p>
    <w:p w14:paraId="5D35A07C">
      <w:pPr>
        <w:spacing w:before="120" w:beforeLines="50" w:after="120" w:afterLines="50" w:line="40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为公正、公平、科学地选择中标人，结合本项目的实际，制定本办法。</w:t>
      </w:r>
    </w:p>
    <w:p w14:paraId="0AD5A8C0">
      <w:pPr>
        <w:spacing w:before="120" w:beforeLines="50" w:after="120" w:afterLines="50" w:line="40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本办法适用于本项目的评标。</w:t>
      </w:r>
    </w:p>
    <w:p w14:paraId="518772E5">
      <w:pPr>
        <w:spacing w:before="120" w:beforeLines="50" w:after="120" w:afterLines="50" w:line="400" w:lineRule="exact"/>
        <w:ind w:firstLine="472" w:firstLineChars="196"/>
        <w:rPr>
          <w:rFonts w:ascii="宋体" w:hAnsi="宋体" w:cs="宋体"/>
          <w:b/>
          <w:sz w:val="24"/>
          <w:highlight w:val="none"/>
        </w:rPr>
      </w:pPr>
      <w:r>
        <w:rPr>
          <w:rFonts w:hint="eastAsia" w:ascii="宋体" w:hAnsi="宋体" w:cs="宋体"/>
          <w:b/>
          <w:sz w:val="24"/>
          <w:highlight w:val="none"/>
        </w:rPr>
        <w:t>一、总则</w:t>
      </w:r>
    </w:p>
    <w:p w14:paraId="1C444AF8">
      <w:pPr>
        <w:spacing w:before="120" w:beforeLines="50" w:after="120" w:afterLines="50" w:line="400" w:lineRule="exact"/>
        <w:ind w:firstLine="480" w:firstLineChars="200"/>
        <w:rPr>
          <w:rFonts w:ascii="宋体" w:hAnsi="宋体" w:cs="宋体"/>
          <w:bCs/>
          <w:sz w:val="24"/>
          <w:highlight w:val="none"/>
        </w:rPr>
      </w:pPr>
      <w:r>
        <w:rPr>
          <w:rFonts w:hint="eastAsia" w:ascii="宋体" w:hAnsi="宋体" w:cs="宋体"/>
          <w:sz w:val="24"/>
          <w:highlight w:val="none"/>
        </w:rPr>
        <w:t>本次评标采用综合评分法，总分为100分，其中</w:t>
      </w:r>
      <w:r>
        <w:rPr>
          <w:rFonts w:hint="eastAsia" w:ascii="宋体" w:hAnsi="宋体" w:cs="宋体"/>
          <w:b/>
          <w:bCs/>
          <w:sz w:val="24"/>
          <w:highlight w:val="none"/>
        </w:rPr>
        <w:t>价格分</w:t>
      </w:r>
      <w:r>
        <w:rPr>
          <w:rFonts w:ascii="宋体" w:hAnsi="宋体" w:cs="宋体"/>
          <w:b/>
          <w:bCs/>
          <w:sz w:val="24"/>
          <w:highlight w:val="none"/>
        </w:rPr>
        <w:t>3</w:t>
      </w:r>
      <w:r>
        <w:rPr>
          <w:rFonts w:hint="eastAsia" w:ascii="宋体" w:hAnsi="宋体" w:cs="宋体"/>
          <w:b/>
          <w:bCs/>
          <w:sz w:val="24"/>
          <w:highlight w:val="none"/>
        </w:rPr>
        <w:t>0分、商务技术分</w:t>
      </w:r>
      <w:r>
        <w:rPr>
          <w:rFonts w:ascii="宋体" w:hAnsi="宋体" w:cs="宋体"/>
          <w:b/>
          <w:bCs/>
          <w:sz w:val="24"/>
          <w:highlight w:val="none"/>
        </w:rPr>
        <w:t>7</w:t>
      </w:r>
      <w:r>
        <w:rPr>
          <w:rFonts w:hint="eastAsia" w:ascii="宋体" w:hAnsi="宋体" w:cs="宋体"/>
          <w:b/>
          <w:bCs/>
          <w:sz w:val="24"/>
          <w:highlight w:val="none"/>
        </w:rPr>
        <w:t>0</w:t>
      </w:r>
      <w:r>
        <w:rPr>
          <w:rFonts w:hint="eastAsia" w:ascii="宋体" w:hAnsi="宋体" w:cs="宋体"/>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highlight w:val="none"/>
        </w:rPr>
        <w:t>评分过程中采用四舍五入法，并保留小数2位。</w:t>
      </w:r>
    </w:p>
    <w:p w14:paraId="626CBCA3">
      <w:pPr>
        <w:spacing w:before="120" w:beforeLines="50" w:after="120" w:afterLines="50" w:line="400" w:lineRule="exact"/>
        <w:ind w:firstLine="480" w:firstLineChars="200"/>
        <w:rPr>
          <w:rFonts w:ascii="宋体" w:hAnsi="宋体" w:cs="宋体"/>
          <w:sz w:val="24"/>
          <w:highlight w:val="none"/>
        </w:rPr>
      </w:pPr>
      <w:r>
        <w:rPr>
          <w:rFonts w:hint="eastAsia" w:ascii="宋体" w:hAnsi="宋体" w:cs="宋体"/>
          <w:sz w:val="24"/>
          <w:highlight w:val="none"/>
        </w:rPr>
        <w:t>投标人评标</w:t>
      </w:r>
      <w:r>
        <w:rPr>
          <w:rFonts w:hint="eastAsia" w:ascii="宋体" w:hAnsi="宋体" w:cs="宋体"/>
          <w:bCs/>
          <w:sz w:val="24"/>
          <w:highlight w:val="none"/>
        </w:rPr>
        <w:t>综合得分=价格分+商务技术分</w:t>
      </w:r>
    </w:p>
    <w:p w14:paraId="4DB8E635">
      <w:pPr>
        <w:spacing w:before="120" w:beforeLines="50" w:after="120" w:afterLines="50" w:line="400" w:lineRule="exact"/>
        <w:ind w:firstLine="482" w:firstLineChars="200"/>
        <w:rPr>
          <w:rFonts w:ascii="宋体" w:hAnsi="宋体" w:cs="宋体"/>
          <w:b/>
          <w:sz w:val="24"/>
          <w:highlight w:val="none"/>
        </w:rPr>
      </w:pPr>
      <w:r>
        <w:rPr>
          <w:rFonts w:hint="eastAsia" w:ascii="宋体" w:hAnsi="宋体" w:cs="宋体"/>
          <w:b/>
          <w:sz w:val="24"/>
          <w:highlight w:val="none"/>
        </w:rPr>
        <w:t>二、评标内容及标准</w:t>
      </w:r>
    </w:p>
    <w:p w14:paraId="5C8D3061">
      <w:pPr>
        <w:pStyle w:val="22"/>
        <w:spacing w:before="120" w:beforeLines="50" w:after="120" w:afterLines="50" w:line="400" w:lineRule="exact"/>
        <w:ind w:firstLine="466" w:firstLineChars="200"/>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rPr>
        <w:t>（一）</w:t>
      </w:r>
      <w:r>
        <w:rPr>
          <w:rFonts w:hint="eastAsia" w:ascii="宋体" w:hAnsi="宋体" w:eastAsia="宋体" w:cs="宋体"/>
          <w:b/>
          <w:bCs/>
          <w:color w:val="000000"/>
          <w:sz w:val="24"/>
          <w:szCs w:val="24"/>
          <w:highlight w:val="none"/>
        </w:rPr>
        <w:t>价格分（</w:t>
      </w:r>
      <w:r>
        <w:rPr>
          <w:rFonts w:hint="eastAsia" w:hAnsi="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lang w:val="en-US" w:eastAsia="zh-CN"/>
        </w:rPr>
        <w:t>0</w:t>
      </w:r>
      <w:r>
        <w:rPr>
          <w:rFonts w:hint="eastAsia" w:ascii="宋体" w:hAnsi="宋体" w:eastAsia="宋体" w:cs="宋体"/>
          <w:b/>
          <w:spacing w:val="0"/>
          <w:sz w:val="24"/>
          <w:szCs w:val="24"/>
          <w:highlight w:val="none"/>
        </w:rPr>
        <w:t>分</w:t>
      </w:r>
      <w:r>
        <w:rPr>
          <w:rFonts w:hint="eastAsia" w:ascii="宋体" w:hAnsi="宋体" w:eastAsia="宋体" w:cs="宋体"/>
          <w:b/>
          <w:bCs/>
          <w:sz w:val="24"/>
          <w:szCs w:val="24"/>
          <w:highlight w:val="none"/>
        </w:rPr>
        <w:t>）</w:t>
      </w:r>
    </w:p>
    <w:p w14:paraId="2742D96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1.价格分采用低价优先法计算，即满足招标文件要求且投标价格最低的投标报价为评标基准价，其他投标人的价格分按照下列公式计算：</w:t>
      </w:r>
    </w:p>
    <w:p w14:paraId="02B3F37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价格分=（评标基准价/投标报价）×</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%×100</w:t>
      </w:r>
    </w:p>
    <w:p w14:paraId="113150C2">
      <w:pPr>
        <w:pStyle w:val="22"/>
        <w:spacing w:line="360" w:lineRule="auto"/>
        <w:ind w:firstLine="466" w:firstLineChars="200"/>
        <w:rPr>
          <w:rFonts w:hint="eastAsia" w:ascii="宋体" w:hAnsi="宋体" w:eastAsia="宋体" w:cs="宋体"/>
          <w:b/>
          <w:bCs/>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F8B5942">
      <w:pPr>
        <w:pStyle w:val="22"/>
        <w:spacing w:line="360" w:lineRule="auto"/>
        <w:ind w:firstLine="466" w:firstLineChars="200"/>
        <w:rPr>
          <w:rFonts w:hint="eastAsia" w:ascii="宋体" w:hAnsi="宋体" w:eastAsia="宋体" w:cs="宋体"/>
          <w:b/>
          <w:bCs/>
          <w:color w:val="FF0000"/>
          <w:sz w:val="24"/>
          <w:szCs w:val="24"/>
          <w:highlight w:val="none"/>
          <w:u w:val="single"/>
          <w:shd w:val="pct10" w:color="auto" w:fill="FFFFFF"/>
        </w:rPr>
      </w:pPr>
      <w:r>
        <w:rPr>
          <w:rFonts w:hint="eastAsia" w:ascii="宋体" w:hAnsi="宋体" w:eastAsia="宋体" w:cs="宋体"/>
          <w:b/>
          <w:bCs/>
          <w:sz w:val="24"/>
          <w:szCs w:val="24"/>
          <w:highlight w:val="none"/>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1" w:name="_Hlk80007663"/>
      <w:r>
        <w:rPr>
          <w:rFonts w:hint="eastAsia" w:ascii="宋体" w:hAnsi="宋体" w:eastAsia="宋体" w:cs="宋体"/>
          <w:b/>
          <w:bCs/>
          <w:sz w:val="24"/>
          <w:szCs w:val="24"/>
          <w:highlight w:val="none"/>
          <w:u w:val="single"/>
          <w:shd w:val="pct10" w:color="auto" w:fill="FFFFFF"/>
        </w:rPr>
        <w:t>包括但不限于：提供包含本次采购设备报价清单的合同、提供包含本次采购设备的购买发票、购销合同等资料；</w:t>
      </w:r>
      <w:bookmarkEnd w:id="41"/>
      <w:r>
        <w:rPr>
          <w:rFonts w:hint="eastAsia" w:ascii="宋体" w:hAnsi="宋体" w:eastAsia="宋体" w:cs="宋体"/>
          <w:b/>
          <w:bCs/>
          <w:sz w:val="24"/>
          <w:szCs w:val="24"/>
          <w:highlight w:val="none"/>
          <w:u w:val="single"/>
          <w:shd w:val="pct10" w:color="auto" w:fill="FFFFFF"/>
        </w:rPr>
        <w:t>服务类：包括但不限于：提供包含</w:t>
      </w:r>
      <w:bookmarkStart w:id="42" w:name="_Hlk80007879"/>
      <w:r>
        <w:rPr>
          <w:rFonts w:hint="eastAsia" w:ascii="宋体" w:hAnsi="宋体" w:eastAsia="宋体" w:cs="宋体"/>
          <w:b/>
          <w:bCs/>
          <w:sz w:val="24"/>
          <w:szCs w:val="24"/>
          <w:highlight w:val="none"/>
          <w:u w:val="single"/>
          <w:shd w:val="pct10" w:color="auto" w:fill="FFFFFF"/>
        </w:rPr>
        <w:t>本次采购服务内容的</w:t>
      </w:r>
      <w:bookmarkEnd w:id="42"/>
      <w:r>
        <w:rPr>
          <w:rFonts w:hint="eastAsia" w:ascii="宋体" w:hAnsi="宋体" w:eastAsia="宋体" w:cs="宋体"/>
          <w:b/>
          <w:bCs/>
          <w:sz w:val="24"/>
          <w:szCs w:val="24"/>
          <w:highlight w:val="none"/>
          <w:u w:val="single"/>
          <w:shd w:val="pct10" w:color="auto" w:fill="FFFFFF"/>
        </w:rPr>
        <w:t>合同、提供本次采购服务内容的报价测算清单等资料）。投标人如不能提供相关证明材料证明其报价合理性的，或未在评标现场合理的时间内提供相关证明材料的，评标委员会应当将其作为无效投标处理。</w:t>
      </w:r>
    </w:p>
    <w:p w14:paraId="602CEFB8">
      <w:pPr>
        <w:spacing w:before="120" w:beforeLines="50" w:after="120" w:afterLines="50" w:line="400" w:lineRule="exact"/>
        <w:rPr>
          <w:rFonts w:hint="eastAsia" w:ascii="宋体" w:hAnsi="宋体" w:eastAsia="宋体" w:cs="宋体"/>
          <w:b/>
          <w:sz w:val="24"/>
          <w:szCs w:val="24"/>
          <w:highlight w:val="none"/>
        </w:r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b/>
          <w:bCs/>
          <w:color w:val="000000"/>
          <w:sz w:val="24"/>
          <w:szCs w:val="24"/>
          <w:highlight w:val="none"/>
        </w:rPr>
        <w:t>（二）商务</w:t>
      </w:r>
      <w:r>
        <w:rPr>
          <w:rFonts w:hint="eastAsia" w:ascii="宋体" w:hAnsi="宋体" w:eastAsia="宋体" w:cs="宋体"/>
          <w:b/>
          <w:color w:val="000000"/>
          <w:sz w:val="24"/>
          <w:szCs w:val="24"/>
          <w:highlight w:val="none"/>
        </w:rPr>
        <w:t>技术分（</w:t>
      </w:r>
      <w:r>
        <w:rPr>
          <w:rFonts w:hint="eastAsia" w:ascii="宋体" w:hAnsi="宋体" w:cs="宋体"/>
          <w:b/>
          <w:color w:val="000000"/>
          <w:sz w:val="24"/>
          <w:szCs w:val="24"/>
          <w:highlight w:val="none"/>
          <w:lang w:val="en-US" w:eastAsia="zh-CN"/>
        </w:rPr>
        <w:t>7</w:t>
      </w:r>
      <w:r>
        <w:rPr>
          <w:rFonts w:hint="eastAsia" w:ascii="宋体" w:hAnsi="宋体" w:eastAsia="宋体" w:cs="宋体"/>
          <w:b/>
          <w:color w:val="000000"/>
          <w:sz w:val="24"/>
          <w:szCs w:val="24"/>
          <w:highlight w:val="none"/>
          <w:lang w:val="en-US" w:eastAsia="zh-CN"/>
        </w:rPr>
        <w:t>0</w:t>
      </w:r>
      <w:r>
        <w:rPr>
          <w:rFonts w:hint="eastAsia" w:ascii="宋体" w:hAnsi="宋体" w:eastAsia="宋体" w:cs="宋体"/>
          <w:b/>
          <w:sz w:val="24"/>
          <w:szCs w:val="24"/>
          <w:highlight w:val="none"/>
        </w:rPr>
        <w:t>分）</w:t>
      </w:r>
    </w:p>
    <w:tbl>
      <w:tblPr>
        <w:tblStyle w:val="52"/>
        <w:tblW w:w="5253" w:type="pct"/>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1228"/>
        <w:gridCol w:w="6742"/>
        <w:gridCol w:w="712"/>
      </w:tblGrid>
      <w:tr w14:paraId="1043A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2DFE81F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序号</w:t>
            </w:r>
          </w:p>
        </w:tc>
        <w:tc>
          <w:tcPr>
            <w:tcW w:w="669" w:type="pct"/>
            <w:vAlign w:val="center"/>
          </w:tcPr>
          <w:p w14:paraId="65C5ABA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评分内容</w:t>
            </w:r>
          </w:p>
        </w:tc>
        <w:tc>
          <w:tcPr>
            <w:tcW w:w="3674" w:type="pct"/>
            <w:vAlign w:val="center"/>
          </w:tcPr>
          <w:p w14:paraId="19CB971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评分细则</w:t>
            </w:r>
          </w:p>
        </w:tc>
        <w:tc>
          <w:tcPr>
            <w:tcW w:w="388" w:type="pct"/>
            <w:vAlign w:val="center"/>
          </w:tcPr>
          <w:p w14:paraId="5247FE6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分值</w:t>
            </w:r>
          </w:p>
        </w:tc>
      </w:tr>
      <w:tr w14:paraId="7C475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798612F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1</w:t>
            </w:r>
          </w:p>
        </w:tc>
        <w:tc>
          <w:tcPr>
            <w:tcW w:w="669" w:type="pct"/>
            <w:vAlign w:val="center"/>
          </w:tcPr>
          <w:p w14:paraId="05EC2CF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综合实力</w:t>
            </w:r>
          </w:p>
        </w:tc>
        <w:tc>
          <w:tcPr>
            <w:tcW w:w="3674" w:type="pct"/>
            <w:vAlign w:val="center"/>
          </w:tcPr>
          <w:p w14:paraId="7AA8612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（1）投标人（或所投产品制造商）具有质量管理体系认证证书的得1分；</w:t>
            </w:r>
          </w:p>
          <w:p w14:paraId="06233E1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（2）投标人（或所投产品制造商）具有环境管理体系认证证书的得1分；</w:t>
            </w:r>
          </w:p>
          <w:p w14:paraId="3A7E503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（3）投标人（或所投产品制造商）具有职业健康安全管理体系认证证书的得1分。</w:t>
            </w:r>
          </w:p>
          <w:p w14:paraId="5A2C5A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（4）投标人（或所投产品制造商）具有中国环保产品认证证书的得1分。</w:t>
            </w:r>
          </w:p>
          <w:p w14:paraId="3F022BF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（5）投标人（或所投产品制造商）具有中国环境标志认证证书的得1分。</w:t>
            </w:r>
          </w:p>
          <w:p w14:paraId="48A0D21C">
            <w:pPr>
              <w:keepNext w:val="0"/>
              <w:keepLines w:val="0"/>
              <w:pageBreakBefore w:val="0"/>
              <w:kinsoku/>
              <w:wordWrap/>
              <w:overflowPunct/>
              <w:topLinePunct w:val="0"/>
              <w:bidi w:val="0"/>
              <w:snapToGrid/>
              <w:spacing w:line="288" w:lineRule="auto"/>
              <w:jc w:val="left"/>
              <w:textAlignment w:val="auto"/>
              <w:rPr>
                <w:rFonts w:hint="eastAsia"/>
                <w:b/>
                <w:sz w:val="24"/>
                <w:highlight w:val="none"/>
                <w:u w:val="single"/>
                <w:shd w:val="pct10" w:color="auto" w:fill="FFFFFF"/>
              </w:rPr>
            </w:pPr>
            <w:r>
              <w:rPr>
                <w:rFonts w:hint="eastAsia"/>
                <w:b/>
                <w:sz w:val="24"/>
                <w:highlight w:val="none"/>
                <w:u w:val="single"/>
                <w:shd w:val="pct10" w:color="auto" w:fill="FFFFFF"/>
              </w:rPr>
              <w:t>备注：</w:t>
            </w:r>
          </w:p>
          <w:p w14:paraId="53E61D0A">
            <w:pPr>
              <w:keepNext w:val="0"/>
              <w:keepLines w:val="0"/>
              <w:pageBreakBefore w:val="0"/>
              <w:kinsoku/>
              <w:wordWrap/>
              <w:overflowPunct/>
              <w:topLinePunct w:val="0"/>
              <w:bidi w:val="0"/>
              <w:snapToGrid/>
              <w:spacing w:line="288" w:lineRule="auto"/>
              <w:jc w:val="left"/>
              <w:textAlignment w:val="auto"/>
              <w:rPr>
                <w:rFonts w:hint="eastAsia"/>
                <w:b/>
                <w:sz w:val="24"/>
                <w:highlight w:val="none"/>
                <w:u w:val="single"/>
                <w:shd w:val="pct10" w:color="auto" w:fill="FFFFFF"/>
              </w:rPr>
            </w:pPr>
            <w:r>
              <w:rPr>
                <w:rFonts w:hint="eastAsia"/>
                <w:b/>
                <w:sz w:val="24"/>
                <w:highlight w:val="none"/>
                <w:u w:val="single"/>
                <w:shd w:val="pct10" w:color="auto" w:fill="FFFFFF"/>
              </w:rPr>
              <w:t>1、上述所有证书必须真实、合规，在有效期内。</w:t>
            </w:r>
          </w:p>
          <w:p w14:paraId="1D9F0E58">
            <w:pPr>
              <w:keepNext w:val="0"/>
              <w:keepLines w:val="0"/>
              <w:pageBreakBefore w:val="0"/>
              <w:kinsoku/>
              <w:wordWrap/>
              <w:overflowPunct/>
              <w:topLinePunct w:val="0"/>
              <w:bidi w:val="0"/>
              <w:snapToGrid/>
              <w:spacing w:line="288" w:lineRule="auto"/>
              <w:jc w:val="left"/>
              <w:textAlignment w:val="auto"/>
              <w:rPr>
                <w:b/>
                <w:sz w:val="24"/>
                <w:highlight w:val="none"/>
                <w:u w:val="single"/>
                <w:shd w:val="pct10" w:color="auto" w:fill="FFFFFF"/>
              </w:rPr>
            </w:pPr>
            <w:r>
              <w:rPr>
                <w:rFonts w:hint="eastAsia"/>
                <w:b/>
                <w:sz w:val="24"/>
                <w:highlight w:val="none"/>
                <w:u w:val="single"/>
                <w:shd w:val="pct10" w:color="auto" w:fill="FFFFFF"/>
              </w:rPr>
              <w:t>2、投标文件中须提供清晰可辨的证书扫描件，同时提供全国认证认可信息公共服务平台证书查询截图，否则不得分。</w:t>
            </w:r>
          </w:p>
          <w:p w14:paraId="3185D6B3">
            <w:pPr>
              <w:pStyle w:val="405"/>
              <w:keepNext w:val="0"/>
              <w:keepLines w:val="0"/>
              <w:pageBreakBefore w:val="0"/>
              <w:kinsoku/>
              <w:wordWrap/>
              <w:overflowPunct/>
              <w:topLinePunct w:val="0"/>
              <w:bidi w:val="0"/>
              <w:snapToGrid/>
              <w:spacing w:line="288" w:lineRule="auto"/>
              <w:ind w:left="0" w:leftChars="0" w:firstLine="0" w:firstLineChars="0"/>
              <w:textAlignment w:val="auto"/>
              <w:rPr>
                <w:rFonts w:hint="eastAsia" w:ascii="宋体" w:hAnsi="宋体" w:cs="宋体"/>
                <w:sz w:val="24"/>
                <w:highlight w:val="none"/>
                <w:lang w:val="en-US" w:eastAsia="zh-CN"/>
              </w:rPr>
            </w:pPr>
            <w:r>
              <w:rPr>
                <w:b/>
                <w:sz w:val="24"/>
                <w:highlight w:val="none"/>
                <w:u w:val="single"/>
                <w:shd w:val="pct10" w:color="auto" w:fill="FFFFFF"/>
              </w:rPr>
              <w:t>3</w:t>
            </w:r>
            <w:r>
              <w:rPr>
                <w:rFonts w:hint="eastAsia"/>
                <w:b/>
                <w:sz w:val="24"/>
                <w:highlight w:val="none"/>
                <w:u w:val="single"/>
                <w:shd w:val="pct10" w:color="auto" w:fill="FFFFFF"/>
              </w:rPr>
              <w:t>、如投标人提供的证书扫描件因模糊不清</w:t>
            </w:r>
            <w:r>
              <w:rPr>
                <w:rFonts w:hint="eastAsia" w:hAnsi="宋体"/>
                <w:b/>
                <w:sz w:val="24"/>
                <w:highlight w:val="none"/>
                <w:u w:val="single"/>
                <w:shd w:val="pct10" w:color="auto" w:fill="FFFFFF"/>
              </w:rPr>
              <w:t>或一些影响评分的重要内容缺失或不够明确</w:t>
            </w:r>
            <w:r>
              <w:rPr>
                <w:rFonts w:hint="eastAsia"/>
                <w:b/>
                <w:sz w:val="24"/>
                <w:highlight w:val="none"/>
                <w:u w:val="single"/>
                <w:shd w:val="pct10" w:color="auto" w:fill="FFFFFF"/>
              </w:rPr>
              <w:t>而造成评标委员会在评审时做出对投标人不利的评审由投标人自行承担。</w:t>
            </w:r>
          </w:p>
        </w:tc>
        <w:tc>
          <w:tcPr>
            <w:tcW w:w="388" w:type="pct"/>
            <w:vAlign w:val="center"/>
          </w:tcPr>
          <w:p w14:paraId="3575C46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5</w:t>
            </w:r>
          </w:p>
        </w:tc>
      </w:tr>
      <w:tr w14:paraId="1B40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3585EC9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669" w:type="pct"/>
            <w:vAlign w:val="center"/>
          </w:tcPr>
          <w:p w14:paraId="24F815A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投标人业绩</w:t>
            </w:r>
          </w:p>
        </w:tc>
        <w:tc>
          <w:tcPr>
            <w:tcW w:w="3674" w:type="pct"/>
            <w:vAlign w:val="center"/>
          </w:tcPr>
          <w:p w14:paraId="106E3CF4">
            <w:pPr>
              <w:keepNext w:val="0"/>
              <w:keepLines w:val="0"/>
              <w:pageBreakBefore w:val="0"/>
              <w:kinsoku/>
              <w:wordWrap/>
              <w:overflowPunct/>
              <w:topLinePunct w:val="0"/>
              <w:bidi w:val="0"/>
              <w:snapToGrid/>
              <w:spacing w:line="288" w:lineRule="auto"/>
              <w:jc w:val="left"/>
              <w:textAlignment w:val="auto"/>
              <w:rPr>
                <w:rFonts w:ascii="宋体" w:hAnsi="宋体"/>
                <w:color w:val="auto"/>
                <w:sz w:val="24"/>
                <w:highlight w:val="none"/>
              </w:rPr>
            </w:pPr>
            <w:r>
              <w:rPr>
                <w:rFonts w:hint="eastAsia" w:ascii="宋体" w:hAnsi="宋体"/>
                <w:color w:val="auto"/>
                <w:sz w:val="24"/>
                <w:highlight w:val="none"/>
              </w:rPr>
              <w:t>提供202</w:t>
            </w:r>
            <w:r>
              <w:rPr>
                <w:rFonts w:hint="eastAsia" w:ascii="宋体" w:hAnsi="宋体"/>
                <w:color w:val="auto"/>
                <w:sz w:val="24"/>
                <w:highlight w:val="none"/>
                <w:lang w:val="en-US" w:eastAsia="zh-CN"/>
              </w:rPr>
              <w:t>3</w:t>
            </w:r>
            <w:r>
              <w:rPr>
                <w:rFonts w:hint="eastAsia" w:ascii="宋体" w:hAnsi="宋体"/>
                <w:color w:val="auto"/>
                <w:sz w:val="24"/>
                <w:highlight w:val="none"/>
              </w:rPr>
              <w:t>年1月1日以来(以合同签订时间为准)类似项目合同业绩，每个得</w:t>
            </w:r>
            <w:r>
              <w:rPr>
                <w:rFonts w:hint="eastAsia" w:ascii="宋体" w:hAnsi="宋体"/>
                <w:color w:val="auto"/>
                <w:sz w:val="24"/>
                <w:highlight w:val="none"/>
                <w:lang w:val="en-US" w:eastAsia="zh-CN"/>
              </w:rPr>
              <w:t>1</w:t>
            </w:r>
            <w:r>
              <w:rPr>
                <w:rFonts w:hint="eastAsia" w:ascii="宋体" w:hAnsi="宋体"/>
                <w:color w:val="auto"/>
                <w:sz w:val="24"/>
                <w:highlight w:val="none"/>
              </w:rPr>
              <w:t>分，最高得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54FF3574">
            <w:pPr>
              <w:keepNext w:val="0"/>
              <w:keepLines w:val="0"/>
              <w:pageBreakBefore w:val="0"/>
              <w:kinsoku/>
              <w:wordWrap/>
              <w:overflowPunct/>
              <w:topLinePunct w:val="0"/>
              <w:bidi w:val="0"/>
              <w:snapToGrid/>
              <w:spacing w:line="288" w:lineRule="auto"/>
              <w:jc w:val="left"/>
              <w:rPr>
                <w:rFonts w:ascii="宋体" w:hAnsi="宋体"/>
                <w:b/>
                <w:bCs/>
                <w:color w:val="000000"/>
                <w:sz w:val="24"/>
                <w:highlight w:val="none"/>
                <w:u w:val="single"/>
                <w:shd w:val="pct10" w:color="auto" w:fill="FFFFFF"/>
              </w:rPr>
            </w:pPr>
            <w:r>
              <w:rPr>
                <w:rFonts w:hint="eastAsia" w:ascii="宋体" w:hAnsi="宋体"/>
                <w:b/>
                <w:bCs/>
                <w:color w:val="000000"/>
                <w:sz w:val="24"/>
                <w:highlight w:val="none"/>
                <w:u w:val="single"/>
                <w:shd w:val="pct10" w:color="auto" w:fill="FFFFFF"/>
              </w:rPr>
              <w:t>备注：</w:t>
            </w:r>
          </w:p>
          <w:p w14:paraId="1165B625">
            <w:pPr>
              <w:keepNext w:val="0"/>
              <w:keepLines w:val="0"/>
              <w:pageBreakBefore w:val="0"/>
              <w:kinsoku/>
              <w:wordWrap/>
              <w:overflowPunct/>
              <w:topLinePunct w:val="0"/>
              <w:bidi w:val="0"/>
              <w:snapToGrid/>
              <w:spacing w:line="288" w:lineRule="auto"/>
              <w:jc w:val="left"/>
              <w:rPr>
                <w:rFonts w:ascii="宋体" w:hAnsi="宋体"/>
                <w:b/>
                <w:bCs/>
                <w:color w:val="000000"/>
                <w:sz w:val="24"/>
                <w:highlight w:val="none"/>
                <w:u w:val="single"/>
                <w:shd w:val="pct10" w:color="auto" w:fill="FFFFFF"/>
              </w:rPr>
            </w:pPr>
            <w:r>
              <w:rPr>
                <w:rFonts w:ascii="宋体" w:hAnsi="宋体"/>
                <w:b/>
                <w:bCs/>
                <w:color w:val="000000"/>
                <w:sz w:val="24"/>
                <w:highlight w:val="none"/>
                <w:u w:val="single"/>
                <w:shd w:val="pct10" w:color="auto" w:fill="FFFFFF"/>
              </w:rPr>
              <w:t>1</w:t>
            </w:r>
            <w:r>
              <w:rPr>
                <w:rFonts w:hint="eastAsia" w:ascii="宋体" w:hAnsi="宋体"/>
                <w:b/>
                <w:bCs/>
                <w:color w:val="000000"/>
                <w:sz w:val="24"/>
                <w:highlight w:val="none"/>
                <w:u w:val="single"/>
                <w:shd w:val="pct10" w:color="auto" w:fill="FFFFFF"/>
              </w:rPr>
              <w:t>、合同业绩须为本次投标人的业绩，投标人的独立法人子公司、参股公司的业绩均不予认可。</w:t>
            </w:r>
          </w:p>
          <w:p w14:paraId="20E0A02F">
            <w:pPr>
              <w:keepNext w:val="0"/>
              <w:keepLines w:val="0"/>
              <w:pageBreakBefore w:val="0"/>
              <w:kinsoku/>
              <w:wordWrap/>
              <w:overflowPunct/>
              <w:topLinePunct w:val="0"/>
              <w:bidi w:val="0"/>
              <w:snapToGrid/>
              <w:spacing w:line="288" w:lineRule="auto"/>
              <w:jc w:val="left"/>
              <w:rPr>
                <w:rFonts w:ascii="宋体" w:hAnsi="宋体"/>
                <w:b/>
                <w:bCs/>
                <w:color w:val="000000"/>
                <w:sz w:val="24"/>
                <w:highlight w:val="none"/>
                <w:u w:val="single"/>
                <w:shd w:val="pct10" w:color="auto" w:fill="FFFFFF"/>
              </w:rPr>
            </w:pPr>
            <w:r>
              <w:rPr>
                <w:rFonts w:ascii="宋体" w:hAnsi="宋体"/>
                <w:b/>
                <w:bCs/>
                <w:color w:val="000000"/>
                <w:sz w:val="24"/>
                <w:highlight w:val="none"/>
                <w:u w:val="single"/>
                <w:shd w:val="pct10" w:color="auto" w:fill="FFFFFF"/>
              </w:rPr>
              <w:t>2</w:t>
            </w:r>
            <w:r>
              <w:rPr>
                <w:rFonts w:hint="eastAsia" w:ascii="宋体" w:hAnsi="宋体"/>
                <w:b/>
                <w:bCs/>
                <w:color w:val="000000"/>
                <w:sz w:val="24"/>
                <w:highlight w:val="none"/>
                <w:u w:val="single"/>
                <w:shd w:val="pct10" w:color="auto" w:fill="FFFFFF"/>
              </w:rPr>
              <w:t>、投标文件中须提供清晰可辨的合同扫描件及每个合同业绩1张发票扫描件，未提供齐全上述资料不得分。</w:t>
            </w:r>
          </w:p>
          <w:p w14:paraId="0D823FFD">
            <w:pPr>
              <w:keepNext w:val="0"/>
              <w:keepLines w:val="0"/>
              <w:pageBreakBefore w:val="0"/>
              <w:kinsoku/>
              <w:wordWrap/>
              <w:overflowPunct/>
              <w:topLinePunct w:val="0"/>
              <w:bidi w:val="0"/>
              <w:snapToGrid/>
              <w:spacing w:line="288" w:lineRule="auto"/>
              <w:jc w:val="left"/>
              <w:rPr>
                <w:rFonts w:ascii="宋体" w:hAnsi="宋体"/>
                <w:b/>
                <w:bCs/>
                <w:color w:val="000000"/>
                <w:sz w:val="24"/>
                <w:highlight w:val="none"/>
                <w:u w:val="single"/>
                <w:shd w:val="pct10" w:color="auto" w:fill="FFFFFF"/>
              </w:rPr>
            </w:pPr>
            <w:r>
              <w:rPr>
                <w:rFonts w:ascii="宋体" w:hAnsi="宋体"/>
                <w:b/>
                <w:bCs/>
                <w:color w:val="000000"/>
                <w:sz w:val="24"/>
                <w:highlight w:val="none"/>
                <w:u w:val="single"/>
                <w:shd w:val="pct10" w:color="auto" w:fill="FFFFFF"/>
              </w:rPr>
              <w:t>3</w:t>
            </w:r>
            <w:r>
              <w:rPr>
                <w:rFonts w:hint="eastAsia" w:ascii="宋体" w:hAnsi="宋体"/>
                <w:b/>
                <w:bCs/>
                <w:color w:val="000000"/>
                <w:sz w:val="24"/>
                <w:highlight w:val="none"/>
                <w:u w:val="single"/>
                <w:shd w:val="pct10" w:color="auto" w:fill="FFFFFF"/>
              </w:rPr>
              <w:t>、如投标人提供的合同扫描件或发票扫描件因模糊不清或一些影响评分的重要内容缺失或不够明确而造成评标委员会在评审时做出对投标人不利的评审由投标人自行承担。</w:t>
            </w:r>
          </w:p>
          <w:p w14:paraId="12636433">
            <w:pPr>
              <w:pStyle w:val="405"/>
              <w:keepNext w:val="0"/>
              <w:keepLines w:val="0"/>
              <w:pageBreakBefore w:val="0"/>
              <w:kinsoku/>
              <w:wordWrap/>
              <w:overflowPunct/>
              <w:topLinePunct w:val="0"/>
              <w:bidi w:val="0"/>
              <w:snapToGrid/>
              <w:spacing w:line="288" w:lineRule="auto"/>
              <w:ind w:left="0" w:leftChars="0" w:firstLine="0" w:firstLineChars="0"/>
              <w:textAlignment w:val="auto"/>
              <w:rPr>
                <w:b/>
                <w:sz w:val="24"/>
                <w:highlight w:val="none"/>
                <w:u w:val="single"/>
                <w:shd w:val="pct10" w:color="auto" w:fill="FFFFFF"/>
              </w:rPr>
            </w:pPr>
            <w:r>
              <w:rPr>
                <w:rFonts w:ascii="宋体" w:hAnsi="宋体"/>
                <w:b/>
                <w:bCs/>
                <w:color w:val="000000"/>
                <w:sz w:val="24"/>
                <w:highlight w:val="none"/>
                <w:u w:val="single"/>
                <w:shd w:val="pct10" w:color="auto" w:fill="FFFFFF"/>
              </w:rPr>
              <w:t>4</w:t>
            </w:r>
            <w:r>
              <w:rPr>
                <w:rFonts w:hint="eastAsia" w:ascii="宋体" w:hAnsi="宋体"/>
                <w:b/>
                <w:bCs/>
                <w:color w:val="000000"/>
                <w:sz w:val="24"/>
                <w:highlight w:val="none"/>
                <w:u w:val="single"/>
                <w:shd w:val="pct10" w:color="auto" w:fill="FFFFFF"/>
              </w:rPr>
              <w:t>、评标过程中如须核实发票网上信息的，投标人需提供配合</w:t>
            </w:r>
            <w:r>
              <w:rPr>
                <w:rFonts w:hint="eastAsia" w:ascii="宋体" w:hAnsi="宋体"/>
                <w:b/>
                <w:bCs/>
                <w:color w:val="auto"/>
                <w:sz w:val="24"/>
                <w:highlight w:val="none"/>
                <w:u w:val="single"/>
                <w:shd w:val="pct10" w:color="auto" w:fill="FFFFFF"/>
              </w:rPr>
              <w:t>。</w:t>
            </w:r>
          </w:p>
        </w:tc>
        <w:tc>
          <w:tcPr>
            <w:tcW w:w="388" w:type="pct"/>
            <w:vAlign w:val="center"/>
          </w:tcPr>
          <w:p w14:paraId="3F6B462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r>
      <w:tr w14:paraId="1E32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atLeast"/>
        </w:trPr>
        <w:tc>
          <w:tcPr>
            <w:tcW w:w="268" w:type="pct"/>
            <w:vAlign w:val="center"/>
          </w:tcPr>
          <w:p w14:paraId="0A8015E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669" w:type="pct"/>
            <w:vAlign w:val="center"/>
          </w:tcPr>
          <w:p w14:paraId="4D9F0C3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成品</w:t>
            </w:r>
          </w:p>
          <w:p w14:paraId="12FDA8D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lang w:val="en-US" w:eastAsia="zh-CN"/>
              </w:rPr>
              <w:t>检测报告</w:t>
            </w:r>
          </w:p>
        </w:tc>
        <w:tc>
          <w:tcPr>
            <w:tcW w:w="3674" w:type="pct"/>
            <w:vAlign w:val="center"/>
          </w:tcPr>
          <w:p w14:paraId="73D8FE01">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提供与采购标的同品类（1.办公椅、2.候诊排椅、3.诊查床、4.条桌、5.主席椅</w:t>
            </w:r>
            <w:r>
              <w:rPr>
                <w:rFonts w:hint="eastAsia" w:ascii="宋体" w:hAnsi="宋体" w:cs="Times New Roman"/>
                <w:color w:val="auto"/>
                <w:sz w:val="24"/>
                <w:highlight w:val="none"/>
                <w:lang w:val="en-US" w:eastAsia="zh-CN"/>
              </w:rPr>
              <w:t>）</w:t>
            </w:r>
            <w:r>
              <w:rPr>
                <w:rFonts w:hint="eastAsia" w:ascii="宋体" w:hAnsi="宋体" w:eastAsia="宋体" w:cs="Times New Roman"/>
                <w:color w:val="auto"/>
                <w:sz w:val="24"/>
                <w:highlight w:val="none"/>
                <w:lang w:val="en-US" w:eastAsia="zh-CN"/>
              </w:rPr>
              <w:t>的成品检测报告。每提供一个完全符合要求的检测报告得</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分，缺项不得分，最高得1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分。每个品类的核心技术指标评分内容如下：</w:t>
            </w:r>
          </w:p>
          <w:p w14:paraId="42AA1289">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（1）办公椅：符合GB/T35607-2024，QB/T2280-2012，GB18580-2017检测标准：其中塑料件外观应无明显缩孔、气泡、杂质、表面应光洁，无划痕，无污渍，无明显色差；座面稳定性合格（静载荷600 N，向前、侧向倾翻力不小于20N，向后倾翻力不小于100N）；椅背往复耐久性12万次合格，倾斜机构30万次合格；座面耐久性：座面回转耐久性、椅座往复冲击次耐久性、座面左右弯曲交替负荷耐久性合格，甲醛释放量≦0.025mg/m³，邻苯二甲酸酯、16种多环芳烃均需未检出。 </w:t>
            </w:r>
          </w:p>
          <w:p w14:paraId="4E461673">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候诊排椅：符合GB/T3325-2017、GB/T35607-2017、GB18580-2017、QB/T3826-1999、QB/T3832-1999检测标准：其中形状和位置公差、金属和外观性能、金属喷漆涂层和理化性能（硬度≧3H、冲击强度、耐腐蚀符合要求、附着力0级）、结构安全、软硬质覆面（耐光色牢度≧4级、表面耐磨性350r应无露底现象）、通过乙酸盐雾试验300h，镀（涂）层对基体的保护等级10级，镀(涂)层本身的耐腐蚀等级10级，中性盐雾试验500h，镀（涂）层对基体的保护等级10级，镀(涂)层本身的耐腐蚀等级10级。椅类任意方向倾翻应无倾翻现象，椅类强度和耐久性（座面及椅背耐久性5万次合格），甲醛释放量≦0.005mg/m3、苯、甲苯、二甲苯未检出、产品寿命合格。</w:t>
            </w:r>
          </w:p>
          <w:p w14:paraId="6E41E70E">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诊查床：符合GB/T3325-2017、GB/T35607-2017、GB18580-2017、QB/T4199-2011、GB8624-2012、QB/T4371-2012检测标准：其中形状和位置公差、金属件外观（焊接件焊接处应无脱焊、虚焊、焊穿、错位；喷涂层涂层应无漏喷、锈蚀和脱色、掉色现象）、结构安全、甲醛释放量≦0.005mg/m3、摩擦色牢度（干擦、湿擦、碱性汗液≥5级）、撕裂力≥150N、含氯苯酚、可分解致癌芳香胺染料、总挥发性有机化合物(TVOC)未检出、可萃取重金属（镉，铅，汞，六价铬，锑，砷，钴、铜、镍）未检出、抗菌性能达99.9%、燃烧性能（氧指数≥52.0%、损毁长度≤80mm、续燃阴燃时间≤5s）达B1级。</w:t>
            </w:r>
          </w:p>
          <w:p w14:paraId="6B53A6B7">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条桌：符合GB/T3324-2024，GB/T35607-2024，GB/T39600-2021，GB18580-2017，GB8624-2012检测标准：其中人造板件外观应无干花、湿花，应无明显划痕、压痕变色。木制件表面理化性能合格，漆膜理化性能合格；桌类垂直和水平加载稳定性（垂直加载200N，水平最小加载稳40N，应无倾翻）；桌类水平静载荷试验、桌面持续垂直静载荷试验合格；甲醛释放量≦0.05mg/m³，可分解出致癌芳香胺的染料未检出。家具组件阻燃B1级合格。</w:t>
            </w:r>
          </w:p>
          <w:p w14:paraId="3D302785">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主席椅：符合GB/T6343-2009，GB/T4371-2012，GB/T1741-2020，QB/T2280-2016，GB/T35607-2017检测标准：其中形状和位置公差，软、硬包件外观（软包件应外形饱满，圆滑一致，对称部位应对称。嵌线圆滑挺直。硬包件应外形平滑，无皱折）、木制件外观（外表用木制件不应有裂纹、钝棱、死节、虫蛀材、轻微腐朽材）合格，漆膜表面耐液性600h、耐干热、耐湿热、耐冷热温差、耐磨性、抗冲击合格，软硬质覆面（耐光色牢度≧4级、耐污染性能不低于3级），抗菌性能达99.9%，耐霉菌性能达0级，甲醛释放量≤1.5mg/L,重金属含量（限色漆）（可溶性铅、可溶性镉、可溶性铬、可溶性汞）未检出 ，邻苯二甲酸酯、多溴联苯、多溴联苯醚未检出，16种多环芳烃(PAH)总量≤10mg/kg。</w:t>
            </w:r>
          </w:p>
          <w:p w14:paraId="5CA26ED1">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b/>
                <w:bCs/>
                <w:color w:val="auto"/>
                <w:sz w:val="24"/>
                <w:highlight w:val="none"/>
                <w:u w:val="single"/>
                <w:shd w:val="clear" w:color="FFFFFF" w:fill="D9D9D9"/>
                <w:lang w:val="en-US" w:eastAsia="zh-CN"/>
              </w:rPr>
            </w:pPr>
            <w:r>
              <w:rPr>
                <w:rFonts w:hint="eastAsia" w:ascii="宋体" w:hAnsi="宋体" w:eastAsia="宋体" w:cs="Times New Roman"/>
                <w:b/>
                <w:bCs/>
                <w:color w:val="auto"/>
                <w:sz w:val="24"/>
                <w:highlight w:val="none"/>
                <w:u w:val="single"/>
                <w:shd w:val="clear" w:color="FFFFFF" w:fill="D9D9D9"/>
                <w:lang w:val="en-US" w:eastAsia="zh-CN"/>
              </w:rPr>
              <w:t>注：</w:t>
            </w:r>
            <w:r>
              <w:rPr>
                <w:rFonts w:hint="eastAsia" w:ascii="宋体" w:hAnsi="宋体" w:cs="Times New Roman"/>
                <w:b/>
                <w:bCs/>
                <w:color w:val="auto"/>
                <w:sz w:val="24"/>
                <w:highlight w:val="none"/>
                <w:u w:val="single"/>
                <w:shd w:val="clear" w:color="FFFFFF" w:fill="D9D9D9"/>
                <w:lang w:val="en-US" w:eastAsia="zh-CN"/>
              </w:rPr>
              <w:t>1、</w:t>
            </w:r>
            <w:r>
              <w:rPr>
                <w:rFonts w:hint="eastAsia" w:ascii="宋体" w:hAnsi="宋体" w:eastAsia="宋体" w:cs="Times New Roman"/>
                <w:b/>
                <w:bCs/>
                <w:color w:val="auto"/>
                <w:sz w:val="24"/>
                <w:highlight w:val="none"/>
                <w:u w:val="single"/>
                <w:shd w:val="clear" w:color="FFFFFF" w:fill="D9D9D9"/>
                <w:lang w:val="en-US" w:eastAsia="zh-CN"/>
              </w:rPr>
              <w:t>所有检测报告需原件扫描件，首页、内容页、结尾页等完整页面，否则不得分。出具的检测报告必须由具备家具成品及其原辅材料检测能力并通过国家计量认证（CMA资质或CNAS资质）的第三方检测机构提供，未提供或提供不全的不得分）</w:t>
            </w:r>
          </w:p>
          <w:p w14:paraId="02B287A7">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b/>
                <w:bCs/>
                <w:color w:val="auto"/>
                <w:sz w:val="24"/>
                <w:highlight w:val="none"/>
                <w:u w:val="single"/>
                <w:shd w:val="clear" w:color="FFFFFF" w:fill="D9D9D9"/>
                <w:lang w:val="en-US" w:eastAsia="zh-CN"/>
              </w:rPr>
            </w:pPr>
            <w:r>
              <w:rPr>
                <w:rFonts w:hint="eastAsia" w:ascii="宋体" w:hAnsi="宋体" w:eastAsia="宋体" w:cs="Times New Roman"/>
                <w:b/>
                <w:bCs/>
                <w:color w:val="auto"/>
                <w:sz w:val="24"/>
                <w:highlight w:val="none"/>
                <w:u w:val="single"/>
                <w:shd w:val="clear" w:color="FFFFFF" w:fill="D9D9D9"/>
                <w:lang w:val="en-US" w:eastAsia="zh-CN"/>
              </w:rPr>
              <w:t>上述所有资料必须真实、合规，在有效期内，否则不得分。请投标人在检测报告扫描件中用红色线条标注出涉及到上述评分内容的检测内容，以方便评委进行更加优质、高效的评审。</w:t>
            </w:r>
          </w:p>
          <w:p w14:paraId="1E0C1F83">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b/>
                <w:bCs/>
                <w:color w:val="auto"/>
                <w:sz w:val="24"/>
                <w:highlight w:val="none"/>
                <w:u w:val="single"/>
                <w:shd w:val="clear" w:color="FFFFFF" w:fill="D9D9D9"/>
                <w:lang w:val="en-US" w:eastAsia="zh-CN"/>
              </w:rPr>
            </w:pPr>
            <w:r>
              <w:rPr>
                <w:rFonts w:hint="eastAsia" w:ascii="宋体" w:hAnsi="宋体" w:eastAsia="宋体" w:cs="Times New Roman"/>
                <w:b/>
                <w:bCs/>
                <w:color w:val="auto"/>
                <w:sz w:val="24"/>
                <w:highlight w:val="none"/>
                <w:u w:val="single"/>
                <w:shd w:val="clear" w:color="FFFFFF" w:fill="D9D9D9"/>
                <w:lang w:val="en-US" w:eastAsia="zh-CN"/>
              </w:rPr>
              <w:t>2、检测报告中如产品名称与上述评分标准中名称不一致的，由评标委员会根据检测报告中相关实质性内容判定后给分（检测报告上的名称与上述评分标准中名称不一致但内容实质相同的视作等同）。</w:t>
            </w:r>
          </w:p>
          <w:p w14:paraId="2265E2C8">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Times New Roman"/>
                <w:b/>
                <w:bCs/>
                <w:color w:val="auto"/>
                <w:sz w:val="24"/>
                <w:highlight w:val="none"/>
                <w:u w:val="single"/>
                <w:shd w:val="clear" w:color="FFFFFF" w:fill="D9D9D9"/>
                <w:lang w:val="en-US" w:eastAsia="zh-CN"/>
              </w:rPr>
            </w:pPr>
            <w:r>
              <w:rPr>
                <w:rFonts w:hint="eastAsia" w:ascii="宋体" w:hAnsi="宋体" w:eastAsia="宋体" w:cs="Times New Roman"/>
                <w:b/>
                <w:bCs/>
                <w:color w:val="auto"/>
                <w:sz w:val="24"/>
                <w:highlight w:val="none"/>
                <w:u w:val="single"/>
                <w:shd w:val="clear" w:color="FFFFFF" w:fill="D9D9D9"/>
                <w:lang w:val="en-US" w:eastAsia="zh-CN"/>
              </w:rPr>
              <w:t>3、如投标人提供的报告扫描件因模糊不清或一些影响评分的重要内容缺失或不够明确而造成评标委员会在评审时做出对投标人不利的评审由投标人自行承担。</w:t>
            </w:r>
          </w:p>
        </w:tc>
        <w:tc>
          <w:tcPr>
            <w:tcW w:w="388" w:type="pct"/>
            <w:vAlign w:val="center"/>
          </w:tcPr>
          <w:p w14:paraId="26123B0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15</w:t>
            </w:r>
          </w:p>
        </w:tc>
      </w:tr>
      <w:tr w14:paraId="7D45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atLeast"/>
        </w:trPr>
        <w:tc>
          <w:tcPr>
            <w:tcW w:w="268" w:type="pct"/>
            <w:vAlign w:val="center"/>
          </w:tcPr>
          <w:p w14:paraId="5A7E813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p>
        </w:tc>
        <w:tc>
          <w:tcPr>
            <w:tcW w:w="669" w:type="pct"/>
            <w:vAlign w:val="center"/>
          </w:tcPr>
          <w:p w14:paraId="3D0D86D9">
            <w:pPr>
              <w:keepNext w:val="0"/>
              <w:keepLines w:val="0"/>
              <w:pageBreakBefore w:val="0"/>
              <w:kinsoku/>
              <w:wordWrap/>
              <w:overflowPunct/>
              <w:topLinePunct w:val="0"/>
              <w:bidi w:val="0"/>
              <w:snapToGrid/>
              <w:spacing w:line="288" w:lineRule="auto"/>
              <w:rPr>
                <w:rFonts w:hint="eastAsia" w:ascii="宋体" w:hAnsi="宋体" w:eastAsia="宋体" w:cs="宋体"/>
                <w:color w:val="auto"/>
                <w:sz w:val="24"/>
                <w:highlight w:val="none"/>
                <w:lang w:val="en-US" w:eastAsia="zh-CN"/>
              </w:rPr>
            </w:pPr>
            <w:r>
              <w:rPr>
                <w:rFonts w:hint="eastAsia"/>
                <w:sz w:val="24"/>
                <w:szCs w:val="24"/>
                <w:highlight w:val="none"/>
                <w:lang w:val="en-US" w:eastAsia="zh-CN"/>
              </w:rPr>
              <w:t>原材料检测报告</w:t>
            </w:r>
          </w:p>
        </w:tc>
        <w:tc>
          <w:tcPr>
            <w:tcW w:w="3674" w:type="pct"/>
            <w:vAlign w:val="center"/>
          </w:tcPr>
          <w:p w14:paraId="16E4ABA7">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ascii="宋体" w:hAnsi="宋体" w:eastAsia="宋体" w:cs="Times New Roman"/>
                <w:color w:val="auto"/>
                <w:sz w:val="24"/>
                <w:highlight w:val="none"/>
                <w:lang w:val="en-US" w:eastAsia="zh-CN"/>
              </w:rPr>
              <w:t>提供与采购标的同品类</w:t>
            </w:r>
            <w:r>
              <w:rPr>
                <w:rFonts w:hint="eastAsia"/>
                <w:sz w:val="24"/>
                <w:szCs w:val="24"/>
                <w:highlight w:val="none"/>
                <w:lang w:val="en-US" w:eastAsia="zh-CN"/>
              </w:rPr>
              <w:t>（1.多层板、2.皮革、3.橡胶木板、4.海绵、5.PVC封边条）原材料检测报告。每提供一个完全符合要求的检测报告得3分，缺项不得分，最高得15分。每个品类的核心技术指标评分内容如下：</w:t>
            </w:r>
          </w:p>
          <w:p w14:paraId="40DF2506">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sz w:val="24"/>
                <w:szCs w:val="24"/>
                <w:highlight w:val="none"/>
                <w:lang w:val="en-US" w:eastAsia="zh-CN"/>
              </w:rPr>
              <w:t>（1）多层板：符合GB18584-2024，GB8624-2012、QB/T4371-2012，GB/T35601-2024，GB18580-2025检测标准：其中静曲强度、弹性模量、内结合强度、2h吸水厚度膨胀率、含水率、表面胶合强度、表面耐划痕、表面耐干热合格，板面握钉力≥1600N,板边握钉力≥1500N，甲醛释放量≦0.02mg/m3；苯、甲苯、二甲苯未检出，总挥发性有机化合物（TVOC）≦10μg/m³，抗冲击性能、防静电性能合格，可溶性重金属、可迁移元素未检出，抗细菌性能测试（测试菌种至少包含白色念珠菌、金黄色葡萄球菌、大肠埃希菌、肺炎克雷伯氏杆菌、宋内志贺氏菌、铜绿假单胞菌、鲍曼不动杆菌等，抗菌率达到99%及以上）；防霉性能测试（测试菌种至少包含黄曲霉、绿色木霉、出芽短梗霉、串珠镰刀菌、土曲霉、赫绿青霉、短柄帚霉、绿粘帚霉，防霉性能达0级）。</w:t>
            </w:r>
          </w:p>
          <w:p w14:paraId="7D27EFA2">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sz w:val="24"/>
                <w:szCs w:val="24"/>
                <w:highlight w:val="none"/>
                <w:lang w:val="en-US" w:eastAsia="zh-CN"/>
              </w:rPr>
              <w:t>（2）皮革：符合GB/T16799-2018、GB/T 22889-2021、GB/T 22930.1-2021、QB/T 4199-2011、QB/T 4341-2012检测标准：其中耐磨性（H-18,500g,200r）产品表面不破，摩擦色牢度-干擦、湿擦、碱性汗液≥5级，耐折牢度5万次无裂纹，撕裂力≥100N，游离甲醛、禁用偶氮染料、可萃取的重金属（镉，铅，汞，六价铬，锑，砷，钴、铜、镍）、含氯苯酚未检出，其中黄色葡萄球菌、白色念珠菌、肺炎克雷伯氏杆菌、铜绿假单胞菌、产气肠杆菌、大肠埃希氏菌、乙型溶血性链球菌等抗菌率达到99%及以上，对黑曲霉、土曲霉、宛氏拟青霉、球毛壳霉、出芽短梗霉、大毛霉、绿色木霉防霉，绳状青霉生长评定等级达到1级；</w:t>
            </w:r>
          </w:p>
          <w:p w14:paraId="383FC4FC">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sz w:val="24"/>
                <w:szCs w:val="24"/>
                <w:highlight w:val="none"/>
                <w:lang w:val="en-US" w:eastAsia="zh-CN"/>
              </w:rPr>
              <w:t>（3）橡胶木板：符合GB/T 3324-2024、GB 18580-2025、GB/T29894-2013、GB 8624- 2012检测标准：其中木材含水率≦16%，气干密度≧0.7g/cm³，指接抗弯强度≧40MPa，侧拼抗剪强度≧10MPa，胶层浸渍剥离合格，静曲强度≧55MPa，弹性模量≧3600Mpa，甲醛释放量符合标准要求，</w:t>
            </w:r>
          </w:p>
          <w:p w14:paraId="3ABAE802">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sz w:val="24"/>
                <w:szCs w:val="24"/>
                <w:highlight w:val="none"/>
                <w:lang w:val="en-US" w:eastAsia="zh-CN"/>
              </w:rPr>
              <w:t>苯未检出，甲苯未检出，二甲苯未检出，总挥发性有机化合物（TVOC）未检出，防火性能达到B1-B级。抗菌性能测试（测试菌种至少包含大肠埃希菌、金黄色葡萄球菌、白色念珠菌、肺炎克雷伯氏杆菌，检测结果抗菌率达到99%及以上）；防霉性能测试（测试菌种至少包含黑曲霉、土曲霉、宛氏拟青霉、绳状青霉，检测结果为0级）。</w:t>
            </w:r>
          </w:p>
          <w:p w14:paraId="16D18361">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sz w:val="24"/>
                <w:szCs w:val="24"/>
                <w:highlight w:val="none"/>
                <w:lang w:val="en-US" w:eastAsia="zh-CN"/>
              </w:rPr>
              <w:t>（4）海绵：符合GB/T10802-2023、QB/T2280-2016、QB/T1952.1-2012、QB/T 4371-2012、GB 17927-2024检测标准：其中泡沫塑料回弹性能达A级，回弹率≧45%，25%压陷硬度达90N,75%压缩永久变形≦5%、撕裂强度合格，防菌率≧90%，燃烧性能（燃烧增长速率指数≦10W/s，氧指数测试、毒性测试合格）</w:t>
            </w:r>
          </w:p>
          <w:p w14:paraId="0367955E">
            <w:pPr>
              <w:keepNext w:val="0"/>
              <w:keepLines w:val="0"/>
              <w:pageBreakBefore w:val="0"/>
              <w:kinsoku/>
              <w:wordWrap/>
              <w:overflowPunct/>
              <w:topLinePunct w:val="0"/>
              <w:bidi w:val="0"/>
              <w:snapToGrid/>
              <w:spacing w:line="288" w:lineRule="auto"/>
              <w:rPr>
                <w:rFonts w:hint="eastAsia"/>
                <w:sz w:val="24"/>
                <w:szCs w:val="24"/>
                <w:highlight w:val="none"/>
                <w:lang w:val="en-US" w:eastAsia="zh-CN"/>
              </w:rPr>
            </w:pPr>
            <w:r>
              <w:rPr>
                <w:rFonts w:hint="eastAsia"/>
                <w:sz w:val="24"/>
                <w:szCs w:val="24"/>
                <w:highlight w:val="none"/>
                <w:lang w:val="en-US" w:eastAsia="zh-CN"/>
              </w:rPr>
              <w:t>（5）PVC封边条：符合QB/T4463-2013、GB 8624-2012、QB/T 4371-2012、GB28481-2012检测标准：其中表面磨耗值≤20mg/100r，表面素色磨350r后无露底现象，理化性能（耐干热性、耐开裂性、耐老化性、耐冷热循环性、耐光色牢度）均检测且符合要求，甲醛释放量≦0.050mg/m³，可溶性重金属：可溶性铅≦90mg/kg、可溶性镉≦75mg/kg、可溶性铬≦60mg/kg、可溶性汞≦60mg/kg、可溶性砷≦25mg/kg、可溶性钡≦1000mg/kg、可溶性锑≦60mg/kg、可溶性硒≦500mg/kg，邻苯二甲酸酯≦0.1%，16种多环芳烃，多溴联苯（PBB)多溴联苯醚(PBDE)，邻苯二甲酸酯(DBP、BBP、DEHP、DNOP、DINP和DIDP的总量)未检出；氯乙烯单体未检出；抗菌性能测试（测试菌种至少包含大肠埃希菌、金黄色葡萄球菌、白色念珠菌、肺炎克雷伯氏杆菌、鲍曼不动杆菌、粘质沙雷伯氏菌检测结果抗菌率达到99%及以上；防霉性能测试（测试菌种至少包含黄曲霉、土曲霉、绿色木霉、短柄帚霉、桔青霉检测结果为0级）。</w:t>
            </w:r>
          </w:p>
          <w:p w14:paraId="43DDC3B8">
            <w:pPr>
              <w:keepNext w:val="0"/>
              <w:keepLines w:val="0"/>
              <w:pageBreakBefore w:val="0"/>
              <w:kinsoku/>
              <w:wordWrap/>
              <w:overflowPunct/>
              <w:topLinePunct w:val="0"/>
              <w:bidi w:val="0"/>
              <w:snapToGrid/>
              <w:spacing w:line="288" w:lineRule="auto"/>
              <w:jc w:val="left"/>
              <w:textAlignment w:val="auto"/>
              <w:rPr>
                <w:rFonts w:hint="eastAsia"/>
                <w:b/>
                <w:bCs/>
                <w:sz w:val="24"/>
                <w:szCs w:val="24"/>
                <w:highlight w:val="none"/>
                <w:u w:val="single"/>
                <w:shd w:val="clear" w:color="FFFFFF" w:fill="D9D9D9"/>
                <w:lang w:val="en-US" w:eastAsia="zh-CN"/>
              </w:rPr>
            </w:pPr>
            <w:r>
              <w:rPr>
                <w:rFonts w:hint="eastAsia"/>
                <w:b/>
                <w:bCs/>
                <w:sz w:val="24"/>
                <w:szCs w:val="24"/>
                <w:highlight w:val="none"/>
                <w:u w:val="single"/>
                <w:shd w:val="clear" w:color="FFFFFF" w:fill="D9D9D9"/>
                <w:lang w:val="en-US" w:eastAsia="zh-CN"/>
              </w:rPr>
              <w:t>注：1、所有检测报告需原件扫描件，首页、内容页、结尾页等完整页面，否则不得分。出具的检测报告必须由具备家具成品及其原辅材料检测能力并通过国家计量认证（CMA资质或CNAS资质）的第三方检测机构提供，未提供或提供不全的不得分）上述所有资料必须真实、合规，在有效期内，否则不得分。请投标人在检测报告扫描件中用红色线条标注出涉及到上述评分内容的检测内容，以方便评委进行更加优质、高效的评审。</w:t>
            </w:r>
          </w:p>
          <w:p w14:paraId="39A30745">
            <w:pPr>
              <w:keepNext w:val="0"/>
              <w:keepLines w:val="0"/>
              <w:pageBreakBefore w:val="0"/>
              <w:kinsoku/>
              <w:wordWrap/>
              <w:overflowPunct/>
              <w:topLinePunct w:val="0"/>
              <w:bidi w:val="0"/>
              <w:snapToGrid/>
              <w:spacing w:line="288" w:lineRule="auto"/>
              <w:jc w:val="left"/>
              <w:textAlignment w:val="auto"/>
              <w:rPr>
                <w:rFonts w:hint="eastAsia"/>
                <w:b/>
                <w:bCs/>
                <w:sz w:val="24"/>
                <w:szCs w:val="24"/>
                <w:highlight w:val="none"/>
                <w:u w:val="single"/>
                <w:shd w:val="clear" w:color="FFFFFF" w:fill="D9D9D9"/>
                <w:lang w:val="en-US" w:eastAsia="zh-CN"/>
              </w:rPr>
            </w:pPr>
            <w:r>
              <w:rPr>
                <w:rFonts w:hint="eastAsia"/>
                <w:b/>
                <w:bCs/>
                <w:sz w:val="24"/>
                <w:szCs w:val="24"/>
                <w:highlight w:val="none"/>
                <w:u w:val="single"/>
                <w:shd w:val="clear" w:color="FFFFFF" w:fill="D9D9D9"/>
                <w:lang w:val="en-US" w:eastAsia="zh-CN"/>
              </w:rPr>
              <w:t>2、检测报告中如产品名称与上述评分标准中名称不一致的，由评标委员会根据检测报告中相关实质性内容判定后给分（检测报告上的名称与上述评分标准中名称不一致但内容实质相同的视作等同）。</w:t>
            </w:r>
          </w:p>
          <w:p w14:paraId="579D6B26">
            <w:pPr>
              <w:keepNext w:val="0"/>
              <w:keepLines w:val="0"/>
              <w:pageBreakBefore w:val="0"/>
              <w:kinsoku/>
              <w:wordWrap/>
              <w:overflowPunct/>
              <w:topLinePunct w:val="0"/>
              <w:bidi w:val="0"/>
              <w:snapToGrid/>
              <w:spacing w:line="288" w:lineRule="auto"/>
              <w:jc w:val="left"/>
              <w:textAlignment w:val="auto"/>
              <w:rPr>
                <w:rFonts w:hint="eastAsia"/>
                <w:b/>
                <w:bCs/>
                <w:sz w:val="24"/>
                <w:szCs w:val="24"/>
                <w:highlight w:val="none"/>
                <w:u w:val="single"/>
                <w:shd w:val="clear" w:color="FFFFFF" w:fill="D9D9D9"/>
                <w:lang w:val="en-US" w:eastAsia="zh-CN"/>
              </w:rPr>
            </w:pPr>
            <w:r>
              <w:rPr>
                <w:rFonts w:hint="eastAsia"/>
                <w:b/>
                <w:bCs/>
                <w:sz w:val="24"/>
                <w:szCs w:val="24"/>
                <w:highlight w:val="none"/>
                <w:u w:val="single"/>
                <w:shd w:val="clear" w:color="FFFFFF" w:fill="D9D9D9"/>
                <w:lang w:val="en-US" w:eastAsia="zh-CN"/>
              </w:rPr>
              <w:t>3、如投标人提供的报告扫描件因模糊不清或一些影响评分的重要内容缺失或不够明确而造成评标委员会在评审时做出对投标人不利的评审由投标人自行承担。</w:t>
            </w:r>
          </w:p>
        </w:tc>
        <w:tc>
          <w:tcPr>
            <w:tcW w:w="388" w:type="pct"/>
            <w:vAlign w:val="center"/>
          </w:tcPr>
          <w:p w14:paraId="7293DAC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15</w:t>
            </w:r>
          </w:p>
        </w:tc>
      </w:tr>
      <w:tr w14:paraId="4D6A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71FEBE2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669" w:type="pct"/>
            <w:vAlign w:val="center"/>
          </w:tcPr>
          <w:p w14:paraId="68D1B8D5">
            <w:pPr>
              <w:keepNext w:val="0"/>
              <w:keepLines w:val="0"/>
              <w:pageBreakBefore w:val="0"/>
              <w:kinsoku/>
              <w:wordWrap/>
              <w:overflowPunct/>
              <w:topLinePunct w:val="0"/>
              <w:bidi w:val="0"/>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整体</w:t>
            </w:r>
            <w:r>
              <w:rPr>
                <w:rFonts w:hint="eastAsia" w:ascii="宋体" w:hAnsi="宋体" w:eastAsia="宋体" w:cs="宋体"/>
                <w:color w:val="auto"/>
                <w:sz w:val="24"/>
                <w:szCs w:val="24"/>
                <w:highlight w:val="none"/>
              </w:rPr>
              <w:t>实施方案</w:t>
            </w:r>
          </w:p>
        </w:tc>
        <w:tc>
          <w:tcPr>
            <w:tcW w:w="3674" w:type="pct"/>
            <w:vAlign w:val="center"/>
          </w:tcPr>
          <w:p w14:paraId="73CD5B7C">
            <w:pPr>
              <w:keepNext w:val="0"/>
              <w:keepLines w:val="0"/>
              <w:pageBreakBefore w:val="0"/>
              <w:kinsoku/>
              <w:wordWrap/>
              <w:overflowPunct/>
              <w:topLinePunct w:val="0"/>
              <w:bidi w:val="0"/>
              <w:snapToGrid/>
              <w:spacing w:line="288"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根据投标人提供的项目整体实施方案，项目分解节点及可跟踪实施等情况进行打分（0-5分）。</w:t>
            </w:r>
          </w:p>
        </w:tc>
        <w:tc>
          <w:tcPr>
            <w:tcW w:w="388" w:type="pct"/>
            <w:vAlign w:val="center"/>
          </w:tcPr>
          <w:p w14:paraId="5C6D46B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r>
      <w:tr w14:paraId="5C2C2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0C2D0BC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669" w:type="pct"/>
            <w:vAlign w:val="center"/>
          </w:tcPr>
          <w:p w14:paraId="070F21B8">
            <w:pPr>
              <w:keepNext w:val="0"/>
              <w:keepLines w:val="0"/>
              <w:pageBreakBefore w:val="0"/>
              <w:kinsoku/>
              <w:wordWrap/>
              <w:overflowPunct/>
              <w:topLinePunct w:val="0"/>
              <w:bidi w:val="0"/>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质量保障方案</w:t>
            </w:r>
          </w:p>
        </w:tc>
        <w:tc>
          <w:tcPr>
            <w:tcW w:w="3674" w:type="pct"/>
            <w:vAlign w:val="center"/>
          </w:tcPr>
          <w:p w14:paraId="3B9F8A44">
            <w:pPr>
              <w:keepNext w:val="0"/>
              <w:keepLines w:val="0"/>
              <w:pageBreakBefore w:val="0"/>
              <w:widowControl/>
              <w:suppressLineNumbers w:val="0"/>
              <w:kinsoku/>
              <w:wordWrap/>
              <w:overflowPunct/>
              <w:topLinePunct w:val="0"/>
              <w:autoSpaceDE/>
              <w:autoSpaceDN/>
              <w:bidi w:val="0"/>
              <w:adjustRightInd w:val="0"/>
              <w:snapToGrid/>
              <w:spacing w:line="288" w:lineRule="auto"/>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根据投标人提供对整体项目的质量保障情况进行打分：</w:t>
            </w:r>
          </w:p>
          <w:p w14:paraId="22E3E5A5">
            <w:pPr>
              <w:keepNext w:val="0"/>
              <w:keepLines w:val="0"/>
              <w:pageBreakBefore w:val="0"/>
              <w:widowControl/>
              <w:numPr>
                <w:ilvl w:val="0"/>
                <w:numId w:val="6"/>
              </w:numPr>
              <w:suppressLineNumbers w:val="0"/>
              <w:kinsoku/>
              <w:wordWrap/>
              <w:overflowPunct/>
              <w:topLinePunct w:val="0"/>
              <w:autoSpaceDE/>
              <w:autoSpaceDN/>
              <w:bidi w:val="0"/>
              <w:adjustRightInd w:val="0"/>
              <w:snapToGrid/>
              <w:spacing w:line="288"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根据投标人提供的本项目产品主要原材料质量保证措施进行打分（0-2分）；</w:t>
            </w:r>
          </w:p>
          <w:p w14:paraId="4DCB8E52">
            <w:pPr>
              <w:keepNext w:val="0"/>
              <w:keepLines w:val="0"/>
              <w:pageBreakBefore w:val="0"/>
              <w:widowControl/>
              <w:numPr>
                <w:ilvl w:val="0"/>
                <w:numId w:val="6"/>
              </w:numPr>
              <w:suppressLineNumbers w:val="0"/>
              <w:kinsoku/>
              <w:wordWrap/>
              <w:overflowPunct/>
              <w:topLinePunct w:val="0"/>
              <w:autoSpaceDE/>
              <w:autoSpaceDN/>
              <w:bidi w:val="0"/>
              <w:adjustRightInd w:val="0"/>
              <w:snapToGrid/>
              <w:spacing w:line="288" w:lineRule="auto"/>
              <w:ind w:left="0" w:leftChars="0" w:firstLine="0" w:firstLineChars="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根据投标人提供的本项目产品制作的加工工艺、流程、技术水平的先进性等情况进行打分（0-2分）；</w:t>
            </w:r>
          </w:p>
          <w:p w14:paraId="447C2D9F">
            <w:pPr>
              <w:keepNext w:val="0"/>
              <w:keepLines w:val="0"/>
              <w:pageBreakBefore w:val="0"/>
              <w:widowControl/>
              <w:numPr>
                <w:ilvl w:val="0"/>
                <w:numId w:val="6"/>
              </w:numPr>
              <w:suppressLineNumbers w:val="0"/>
              <w:kinsoku/>
              <w:wordWrap/>
              <w:overflowPunct/>
              <w:topLinePunct w:val="0"/>
              <w:autoSpaceDE/>
              <w:autoSpaceDN/>
              <w:bidi w:val="0"/>
              <w:adjustRightInd w:val="0"/>
              <w:snapToGrid/>
              <w:spacing w:line="288" w:lineRule="auto"/>
              <w:ind w:left="0" w:leftChars="0" w:firstLine="0" w:firstLineChars="0"/>
              <w:jc w:val="left"/>
              <w:textAlignment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根据投标人提供的本项目产品自检体系的完善程度及生产过程质量保障措施等情况进行打分（0-2分）；</w:t>
            </w:r>
          </w:p>
          <w:p w14:paraId="3DAB5D69">
            <w:pPr>
              <w:keepNext w:val="0"/>
              <w:keepLines w:val="0"/>
              <w:pageBreakBefore w:val="0"/>
              <w:widowControl/>
              <w:numPr>
                <w:ilvl w:val="0"/>
                <w:numId w:val="0"/>
              </w:numPr>
              <w:suppressLineNumbers w:val="0"/>
              <w:kinsoku/>
              <w:wordWrap/>
              <w:overflowPunct/>
              <w:topLinePunct w:val="0"/>
              <w:autoSpaceDE/>
              <w:autoSpaceDN/>
              <w:bidi w:val="0"/>
              <w:adjustRightInd w:val="0"/>
              <w:snapToGrid/>
              <w:spacing w:line="288" w:lineRule="auto"/>
              <w:ind w:left="0" w:leftChars="0" w:firstLine="0" w:firstLineChars="0"/>
              <w:jc w:val="left"/>
              <w:textAlignment w:val="center"/>
              <w:rPr>
                <w:rFonts w:hint="eastAsia" w:ascii="宋体" w:hAnsi="宋体" w:eastAsia="宋体" w:cs="宋体"/>
                <w:sz w:val="24"/>
                <w:szCs w:val="24"/>
                <w:highlight w:val="no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（4）根据投标人提供的关于本项目产品二次深化设计、保管、运输等环节的内部规章制度和其各环节的质量保障措施等情况进行打分（0-2分）。</w:t>
            </w:r>
          </w:p>
        </w:tc>
        <w:tc>
          <w:tcPr>
            <w:tcW w:w="388" w:type="pct"/>
            <w:vAlign w:val="center"/>
          </w:tcPr>
          <w:p w14:paraId="44FBC66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r>
      <w:tr w14:paraId="5D0A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05EC4A5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669" w:type="pct"/>
            <w:vAlign w:val="center"/>
          </w:tcPr>
          <w:p w14:paraId="74FB0568">
            <w:pPr>
              <w:keepNext w:val="0"/>
              <w:keepLines w:val="0"/>
              <w:pageBreakBefore w:val="0"/>
              <w:kinsoku/>
              <w:wordWrap/>
              <w:overflowPunct/>
              <w:topLinePunct w:val="0"/>
              <w:bidi w:val="0"/>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安装服务实施方案</w:t>
            </w:r>
          </w:p>
        </w:tc>
        <w:tc>
          <w:tcPr>
            <w:tcW w:w="3674" w:type="pct"/>
          </w:tcPr>
          <w:p w14:paraId="3C549361">
            <w:pPr>
              <w:keepNext w:val="0"/>
              <w:keepLines w:val="0"/>
              <w:pageBreakBefore w:val="0"/>
              <w:widowControl/>
              <w:numPr>
                <w:ilvl w:val="0"/>
                <w:numId w:val="0"/>
              </w:numPr>
              <w:suppressLineNumbers w:val="0"/>
              <w:kinsoku/>
              <w:wordWrap/>
              <w:overflowPunct/>
              <w:topLinePunct w:val="0"/>
              <w:autoSpaceDE/>
              <w:autoSpaceDN/>
              <w:bidi w:val="0"/>
              <w:adjustRightInd w:val="0"/>
              <w:snapToGrid/>
              <w:spacing w:line="288" w:lineRule="auto"/>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根据投标人的安装服务实施方案进行打分：</w:t>
            </w:r>
          </w:p>
          <w:p w14:paraId="1A17BB8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（1）根据投标人提供的整体安装服务实施方案进行打分（0-3分）；</w:t>
            </w:r>
          </w:p>
          <w:p w14:paraId="3E80A00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（2）根据投标人提供的送货、安装时间节点及人员安排等情况进行打分（0-3分）。</w:t>
            </w:r>
          </w:p>
        </w:tc>
        <w:tc>
          <w:tcPr>
            <w:tcW w:w="388" w:type="pct"/>
            <w:vAlign w:val="center"/>
          </w:tcPr>
          <w:p w14:paraId="1A074F9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r>
      <w:tr w14:paraId="01A7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0DC8381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669" w:type="pct"/>
            <w:shd w:val="clear" w:color="auto" w:fill="auto"/>
            <w:vAlign w:val="center"/>
          </w:tcPr>
          <w:p w14:paraId="32A3378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Times New Roman" w:eastAsia="宋体" w:cs="Times New Roman"/>
                <w:bCs/>
                <w:color w:val="auto"/>
                <w:kern w:val="2"/>
                <w:sz w:val="24"/>
                <w:szCs w:val="24"/>
                <w:highlight w:val="none"/>
                <w:lang w:val="en-US" w:eastAsia="zh-CN" w:bidi="ar-SA"/>
              </w:rPr>
              <w:t>生产设备</w:t>
            </w:r>
          </w:p>
        </w:tc>
        <w:tc>
          <w:tcPr>
            <w:tcW w:w="3674" w:type="pct"/>
            <w:shd w:val="clear" w:color="auto" w:fill="auto"/>
            <w:vAlign w:val="top"/>
          </w:tcPr>
          <w:p w14:paraId="5BD50A4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投标人或生产厂商具有</w:t>
            </w:r>
            <w:r>
              <w:rPr>
                <w:rFonts w:hint="eastAsia" w:ascii="宋体" w:hAnsi="宋体" w:eastAsia="宋体" w:cs="宋体"/>
                <w:sz w:val="24"/>
                <w:szCs w:val="24"/>
                <w:highlight w:val="none"/>
                <w:lang w:val="en-US" w:eastAsia="zh-CN"/>
              </w:rPr>
              <w:t>电子</w:t>
            </w:r>
            <w:r>
              <w:rPr>
                <w:rFonts w:hint="eastAsia" w:ascii="宋体" w:hAnsi="宋体" w:eastAsia="宋体" w:cs="宋体"/>
                <w:sz w:val="24"/>
                <w:szCs w:val="24"/>
                <w:highlight w:val="none"/>
                <w:lang w:eastAsia="zh-CN"/>
              </w:rPr>
              <w:t>锯、</w:t>
            </w:r>
            <w:r>
              <w:rPr>
                <w:rFonts w:hint="eastAsia" w:ascii="宋体" w:hAnsi="宋体" w:eastAsia="宋体" w:cs="宋体"/>
                <w:sz w:val="24"/>
                <w:szCs w:val="24"/>
                <w:highlight w:val="none"/>
                <w:lang w:val="en-US" w:eastAsia="zh-CN"/>
              </w:rPr>
              <w:t>全自动激光直线</w:t>
            </w:r>
            <w:r>
              <w:rPr>
                <w:rFonts w:hint="eastAsia" w:ascii="宋体" w:hAnsi="宋体" w:eastAsia="宋体" w:cs="宋体"/>
                <w:sz w:val="24"/>
                <w:szCs w:val="24"/>
                <w:highlight w:val="none"/>
                <w:lang w:eastAsia="zh-CN"/>
              </w:rPr>
              <w:t>封边机、</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lang w:eastAsia="zh-CN"/>
              </w:rPr>
              <w:t>排钻、冷压机、热压机、</w:t>
            </w:r>
            <w:r>
              <w:rPr>
                <w:rFonts w:hint="eastAsia" w:ascii="宋体" w:hAnsi="宋体" w:eastAsia="宋体" w:cs="宋体"/>
                <w:sz w:val="24"/>
                <w:szCs w:val="24"/>
                <w:highlight w:val="none"/>
                <w:lang w:val="en-US" w:eastAsia="zh-CN"/>
              </w:rPr>
              <w:t>全自动锯片磨齿机、木工</w:t>
            </w:r>
            <w:r>
              <w:rPr>
                <w:rFonts w:hint="eastAsia" w:ascii="宋体" w:hAnsi="宋体" w:eastAsia="宋体" w:cs="宋体"/>
                <w:sz w:val="24"/>
                <w:szCs w:val="24"/>
                <w:highlight w:val="none"/>
                <w:lang w:eastAsia="zh-CN"/>
              </w:rPr>
              <w:t>平刨床、</w:t>
            </w:r>
            <w:r>
              <w:rPr>
                <w:rFonts w:hint="eastAsia" w:ascii="宋体" w:hAnsi="宋体" w:eastAsia="宋体" w:cs="宋体"/>
                <w:sz w:val="24"/>
                <w:szCs w:val="24"/>
                <w:highlight w:val="none"/>
                <w:lang w:val="en-US" w:eastAsia="zh-CN"/>
              </w:rPr>
              <w:t>螺杆机冷干机、电剪刀、工业缝纫机的，每提供1项设备完整依据材料的得0.5分，最高3分。</w:t>
            </w:r>
          </w:p>
          <w:p w14:paraId="0B45432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备注：需提供生产设备现场实景图及生产设备采购发票扫描件作为证明材料，并加盖公章。</w:t>
            </w:r>
          </w:p>
        </w:tc>
        <w:tc>
          <w:tcPr>
            <w:tcW w:w="388" w:type="pct"/>
            <w:shd w:val="clear" w:color="auto" w:fill="auto"/>
            <w:vAlign w:val="center"/>
          </w:tcPr>
          <w:p w14:paraId="4C0CE35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r>
      <w:tr w14:paraId="2DC2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268" w:type="pct"/>
            <w:vAlign w:val="center"/>
          </w:tcPr>
          <w:p w14:paraId="653F18D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669" w:type="pct"/>
            <w:shd w:val="clear" w:color="auto" w:fill="auto"/>
            <w:vAlign w:val="center"/>
          </w:tcPr>
          <w:p w14:paraId="0501649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售后服务</w:t>
            </w:r>
          </w:p>
        </w:tc>
        <w:tc>
          <w:tcPr>
            <w:tcW w:w="3674" w:type="pct"/>
            <w:shd w:val="clear" w:color="auto" w:fill="auto"/>
            <w:vAlign w:val="center"/>
          </w:tcPr>
          <w:p w14:paraId="04BF7E35">
            <w:pPr>
              <w:keepNext w:val="0"/>
              <w:keepLines w:val="0"/>
              <w:pageBreakBefore w:val="0"/>
              <w:numPr>
                <w:ilvl w:val="0"/>
                <w:numId w:val="0"/>
              </w:numPr>
              <w:kinsoku/>
              <w:wordWrap/>
              <w:overflowPunct/>
              <w:topLinePunct w:val="0"/>
              <w:bidi w:val="0"/>
              <w:snapToGrid/>
              <w:spacing w:line="288" w:lineRule="auto"/>
              <w:ind w:left="0" w:leftChars="0" w:firstLine="0" w:firstLineChars="0"/>
              <w:jc w:val="both"/>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1、根据投标人提供详细完整的“三包”措施及售后服务措施和方案（包括服务措施、产品质量保证、回访、技术培训等）进行打分（0-4分）。</w:t>
            </w:r>
          </w:p>
          <w:p w14:paraId="65BB66D6">
            <w:pPr>
              <w:keepNext w:val="0"/>
              <w:keepLines w:val="0"/>
              <w:pageBreakBefore w:val="0"/>
              <w:numPr>
                <w:ilvl w:val="0"/>
                <w:numId w:val="0"/>
              </w:numPr>
              <w:kinsoku/>
              <w:wordWrap/>
              <w:overflowPunct/>
              <w:topLinePunct w:val="0"/>
              <w:bidi w:val="0"/>
              <w:snapToGrid/>
              <w:spacing w:line="288" w:lineRule="auto"/>
              <w:ind w:left="0" w:leftChars="0" w:firstLine="0" w:firstLineChars="0"/>
              <w:jc w:val="both"/>
              <w:rPr>
                <w:rFonts w:hint="eastAsia" w:ascii="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2、在满足招标文件免费质保年限要求的基础上，每延长免费质保期1年加1分，最高得2分</w:t>
            </w:r>
            <w:r>
              <w:rPr>
                <w:rFonts w:hint="eastAsia" w:ascii="宋体" w:cs="Times New Roman"/>
                <w:bCs/>
                <w:color w:val="auto"/>
                <w:sz w:val="24"/>
                <w:szCs w:val="24"/>
                <w:highlight w:val="none"/>
                <w:lang w:val="en-US" w:eastAsia="zh-CN"/>
              </w:rPr>
              <w:t>。</w:t>
            </w:r>
          </w:p>
          <w:p w14:paraId="006F5AF4">
            <w:pPr>
              <w:keepNext w:val="0"/>
              <w:keepLines w:val="0"/>
              <w:pageBreakBefore w:val="0"/>
              <w:numPr>
                <w:ilvl w:val="0"/>
                <w:numId w:val="0"/>
              </w:numPr>
              <w:kinsoku/>
              <w:wordWrap/>
              <w:overflowPunct/>
              <w:topLinePunct w:val="0"/>
              <w:bidi w:val="0"/>
              <w:snapToGrid/>
              <w:spacing w:line="288" w:lineRule="auto"/>
              <w:ind w:left="0" w:leftChars="0" w:firstLine="0" w:firstLineChars="0"/>
              <w:jc w:val="both"/>
              <w:rPr>
                <w:rFonts w:hint="eastAsia"/>
                <w:bCs/>
                <w:color w:val="000000"/>
                <w:sz w:val="24"/>
                <w:highlight w:val="none"/>
                <w:lang w:val="en-US" w:eastAsia="zh-CN"/>
              </w:rPr>
            </w:pPr>
            <w:r>
              <w:rPr>
                <w:rFonts w:hint="eastAsia" w:ascii="宋体" w:hAnsi="宋体" w:cs="宋体"/>
                <w:b w:val="0"/>
                <w:bCs w:val="0"/>
                <w:color w:val="auto"/>
                <w:kern w:val="0"/>
                <w:sz w:val="24"/>
                <w:highlight w:val="none"/>
                <w:lang w:val="en-US" w:eastAsia="zh-CN"/>
              </w:rPr>
              <w:t>3、</w:t>
            </w:r>
            <w:r>
              <w:rPr>
                <w:rFonts w:hint="eastAsia" w:ascii="宋体" w:hAnsi="宋体" w:eastAsia="宋体" w:cs="宋体"/>
                <w:b w:val="0"/>
                <w:bCs w:val="0"/>
                <w:color w:val="auto"/>
                <w:kern w:val="0"/>
                <w:sz w:val="24"/>
                <w:highlight w:val="none"/>
                <w:lang w:val="en-US" w:eastAsia="zh-CN"/>
              </w:rPr>
              <w:t>售后服务</w:t>
            </w:r>
            <w:r>
              <w:rPr>
                <w:rFonts w:hint="eastAsia"/>
                <w:b w:val="0"/>
                <w:bCs w:val="0"/>
                <w:color w:val="000000"/>
                <w:sz w:val="24"/>
                <w:highlight w:val="none"/>
                <w:lang w:val="en-US" w:eastAsia="zh-CN"/>
              </w:rPr>
              <w:t>响应时间：</w:t>
            </w:r>
            <w:r>
              <w:rPr>
                <w:rFonts w:hint="eastAsia"/>
                <w:b w:val="0"/>
                <w:bCs/>
                <w:color w:val="000000"/>
                <w:sz w:val="24"/>
                <w:highlight w:val="none"/>
                <w:lang w:val="en-US" w:eastAsia="zh-CN"/>
              </w:rPr>
              <w:t>根据</w:t>
            </w:r>
            <w:r>
              <w:rPr>
                <w:rFonts w:hint="eastAsia"/>
                <w:bCs/>
                <w:color w:val="000000"/>
                <w:sz w:val="24"/>
                <w:highlight w:val="none"/>
              </w:rPr>
              <w:t>投标人</w:t>
            </w:r>
            <w:r>
              <w:rPr>
                <w:rFonts w:hint="eastAsia"/>
                <w:bCs/>
                <w:color w:val="000000"/>
                <w:sz w:val="24"/>
                <w:highlight w:val="none"/>
                <w:lang w:val="en-US" w:eastAsia="zh-CN"/>
              </w:rPr>
              <w:t>售后服务响应时间进行打分（</w:t>
            </w:r>
            <w:r>
              <w:rPr>
                <w:rFonts w:hint="eastAsia" w:ascii="宋体" w:hAnsi="宋体" w:eastAsia="宋体" w:cs="宋体"/>
                <w:b w:val="0"/>
                <w:bCs w:val="0"/>
                <w:i w:val="0"/>
                <w:iCs w:val="0"/>
                <w:color w:val="auto"/>
                <w:kern w:val="0"/>
                <w:sz w:val="24"/>
                <w:szCs w:val="24"/>
                <w:highlight w:val="none"/>
                <w:u w:val="none"/>
                <w:lang w:val="en-US" w:eastAsia="zh-CN" w:bidi="ar"/>
              </w:rPr>
              <w:t>0-2</w:t>
            </w:r>
            <w:r>
              <w:rPr>
                <w:rFonts w:hint="eastAsia"/>
                <w:bCs/>
                <w:color w:val="000000"/>
                <w:sz w:val="24"/>
                <w:highlight w:val="none"/>
                <w:lang w:val="en-US" w:eastAsia="zh-CN"/>
              </w:rPr>
              <w:t>分）。</w:t>
            </w:r>
          </w:p>
          <w:p w14:paraId="1C8C82D7">
            <w:pPr>
              <w:keepNext w:val="0"/>
              <w:keepLines w:val="0"/>
              <w:pageBreakBefore w:val="0"/>
              <w:numPr>
                <w:ilvl w:val="0"/>
                <w:numId w:val="0"/>
              </w:numPr>
              <w:kinsoku/>
              <w:wordWrap/>
              <w:overflowPunct/>
              <w:topLinePunct w:val="0"/>
              <w:bidi w:val="0"/>
              <w:snapToGrid/>
              <w:spacing w:line="288" w:lineRule="auto"/>
              <w:ind w:left="0" w:leftChars="0" w:firstLine="0" w:firstLineChars="0"/>
              <w:jc w:val="both"/>
              <w:rPr>
                <w:rFonts w:hint="eastAsia"/>
                <w:bCs/>
                <w:color w:val="000000"/>
                <w:sz w:val="24"/>
                <w:highlight w:val="none"/>
                <w:lang w:val="en-US" w:eastAsia="zh-CN"/>
              </w:rPr>
            </w:pPr>
            <w:r>
              <w:rPr>
                <w:rFonts w:hint="eastAsia" w:ascii="宋体" w:hAnsi="宋体" w:cs="宋体"/>
                <w:b w:val="0"/>
                <w:bCs w:val="0"/>
                <w:i w:val="0"/>
                <w:iCs w:val="0"/>
                <w:color w:val="auto"/>
                <w:kern w:val="0"/>
                <w:sz w:val="24"/>
                <w:szCs w:val="24"/>
                <w:highlight w:val="none"/>
                <w:u w:val="none"/>
                <w:lang w:val="en-US" w:eastAsia="zh-CN" w:bidi="ar"/>
              </w:rPr>
              <w:t>4、</w:t>
            </w:r>
            <w:r>
              <w:rPr>
                <w:rFonts w:hint="eastAsia" w:ascii="宋体" w:hAnsi="宋体" w:eastAsia="宋体" w:cs="宋体"/>
                <w:b w:val="0"/>
                <w:bCs w:val="0"/>
                <w:i w:val="0"/>
                <w:iCs w:val="0"/>
                <w:color w:val="auto"/>
                <w:kern w:val="0"/>
                <w:sz w:val="24"/>
                <w:szCs w:val="24"/>
                <w:highlight w:val="none"/>
                <w:u w:val="none"/>
                <w:lang w:val="en-US" w:eastAsia="zh-CN" w:bidi="ar"/>
              </w:rPr>
              <w:t>优惠措施：根据投标文件中提供的售后服务优惠措施及备品备件等情况进行打分（0-2分）。</w:t>
            </w:r>
          </w:p>
        </w:tc>
        <w:tc>
          <w:tcPr>
            <w:tcW w:w="388" w:type="pct"/>
            <w:vAlign w:val="center"/>
          </w:tcPr>
          <w:p w14:paraId="749D92C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bl>
    <w:p w14:paraId="6A54F5AC">
      <w:pPr>
        <w:rPr>
          <w:highlight w:val="none"/>
        </w:rPr>
      </w:pPr>
    </w:p>
    <w:p w14:paraId="2313246F">
      <w:pPr>
        <w:spacing w:line="400" w:lineRule="exact"/>
        <w:rPr>
          <w:rFonts w:ascii="宋体" w:hAnsi="宋体" w:cs="宋体"/>
          <w:b/>
          <w:bCs/>
          <w:sz w:val="24"/>
          <w:highlight w:val="none"/>
        </w:rPr>
      </w:pPr>
      <w:r>
        <w:rPr>
          <w:rFonts w:hint="eastAsia" w:ascii="宋体" w:hAnsi="宋体" w:cs="宋体"/>
          <w:b/>
          <w:bCs/>
          <w:sz w:val="24"/>
          <w:highlight w:val="none"/>
        </w:rPr>
        <w:t>提示：</w:t>
      </w:r>
    </w:p>
    <w:p w14:paraId="6C4480BA">
      <w:pPr>
        <w:spacing w:line="400" w:lineRule="exact"/>
        <w:rPr>
          <w:rFonts w:ascii="宋体" w:hAnsi="宋体" w:cs="宋体"/>
          <w:b/>
          <w:bCs/>
          <w:sz w:val="24"/>
          <w:highlight w:val="none"/>
          <w:u w:val="single"/>
        </w:rPr>
      </w:pPr>
      <w:r>
        <w:rPr>
          <w:rFonts w:hint="eastAsia" w:ascii="宋体" w:hAnsi="宋体" w:cs="宋体"/>
          <w:b/>
          <w:bCs/>
          <w:sz w:val="24"/>
          <w:highlight w:val="none"/>
          <w:u w:val="single"/>
        </w:rPr>
        <w:t>1、投标人提交的所有投标文件、资料（包括所有证书、合同、报告等）都是准确、真实、合规的，如提供虚假资料，投标人需承担一切后果。</w:t>
      </w:r>
    </w:p>
    <w:p w14:paraId="3C86C282">
      <w:pPr>
        <w:spacing w:line="400" w:lineRule="exact"/>
        <w:rPr>
          <w:rFonts w:ascii="宋体" w:hAnsi="宋体" w:cs="宋体"/>
          <w:sz w:val="24"/>
          <w:highlight w:val="none"/>
          <w:lang w:val="zh-CN"/>
        </w:rPr>
      </w:pPr>
      <w:r>
        <w:rPr>
          <w:rFonts w:hint="eastAsia" w:ascii="宋体" w:hAnsi="宋体" w:cs="宋体"/>
          <w:b/>
          <w:bCs/>
          <w:sz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A0AB20D">
      <w:pPr>
        <w:spacing w:before="120" w:beforeLines="50" w:after="120" w:afterLines="50" w:line="400" w:lineRule="exact"/>
        <w:ind w:right="480" w:firstLine="361" w:firstLineChars="150"/>
        <w:rPr>
          <w:rFonts w:ascii="宋体" w:hAnsi="宋体" w:cs="宋体"/>
          <w:b/>
          <w:bCs/>
          <w:sz w:val="24"/>
          <w:highlight w:val="none"/>
        </w:rPr>
      </w:pPr>
      <w:r>
        <w:rPr>
          <w:rFonts w:hint="eastAsia" w:ascii="宋体" w:hAnsi="宋体" w:cs="宋体"/>
          <w:b/>
          <w:bCs/>
          <w:sz w:val="24"/>
          <w:highlight w:val="none"/>
        </w:rPr>
        <w:t>（三）商务技术分的计算方式</w:t>
      </w:r>
    </w:p>
    <w:p w14:paraId="0C07EE8A">
      <w:pPr>
        <w:spacing w:line="360" w:lineRule="exact"/>
        <w:ind w:firstLine="480" w:firstLineChars="200"/>
        <w:rPr>
          <w:rFonts w:ascii="宋体" w:hAnsi="宋体" w:cs="宋体"/>
          <w:sz w:val="24"/>
          <w:highlight w:val="none"/>
        </w:rPr>
      </w:pPr>
      <w:r>
        <w:rPr>
          <w:rFonts w:hint="eastAsia" w:ascii="宋体" w:hAnsi="宋体" w:cs="宋体"/>
          <w:sz w:val="24"/>
          <w:highlight w:val="none"/>
        </w:rPr>
        <w:t>商务技术分按照评标委员会成员的独立评分结果汇总后，取全部评标委员会成员评分值的算术平均分，计算公式为：</w:t>
      </w:r>
    </w:p>
    <w:p w14:paraId="71A907AE">
      <w:pPr>
        <w:spacing w:line="360" w:lineRule="exact"/>
        <w:ind w:firstLine="495"/>
        <w:rPr>
          <w:rFonts w:ascii="宋体" w:hAnsi="宋体" w:cs="宋体"/>
          <w:sz w:val="24"/>
          <w:highlight w:val="none"/>
        </w:rPr>
      </w:pPr>
      <w:r>
        <w:rPr>
          <w:rFonts w:hint="eastAsia" w:ascii="宋体" w:hAnsi="宋体" w:cs="宋体"/>
          <w:sz w:val="24"/>
          <w:highlight w:val="none"/>
        </w:rPr>
        <w:t>商务技术分=（评标委员会所有成员评分合计数）/（评标委员会组成人员数）</w:t>
      </w:r>
    </w:p>
    <w:p w14:paraId="5E9B8210">
      <w:pPr>
        <w:pStyle w:val="22"/>
        <w:spacing w:before="120" w:beforeLines="50" w:after="120" w:afterLines="50" w:line="360" w:lineRule="auto"/>
        <w:ind w:firstLine="466" w:firstLineChars="200"/>
        <w:rPr>
          <w:rFonts w:hAnsi="宋体" w:cs="宋体"/>
          <w:b/>
          <w:sz w:val="24"/>
          <w:szCs w:val="24"/>
          <w:highlight w:val="none"/>
        </w:rPr>
      </w:pPr>
      <w:r>
        <w:rPr>
          <w:rFonts w:hint="eastAsia" w:hAnsi="宋体" w:cs="宋体"/>
          <w:b/>
          <w:sz w:val="24"/>
          <w:szCs w:val="24"/>
          <w:highlight w:val="none"/>
        </w:rPr>
        <w:t>三、投标人义务</w:t>
      </w:r>
    </w:p>
    <w:p w14:paraId="048F2904">
      <w:pPr>
        <w:pStyle w:val="22"/>
        <w:spacing w:before="120" w:beforeLines="50" w:after="120" w:afterLines="50" w:line="360" w:lineRule="auto"/>
        <w:ind w:firstLine="464" w:firstLineChars="200"/>
        <w:rPr>
          <w:rFonts w:hAnsi="宋体" w:cs="宋体"/>
          <w:b/>
          <w:sz w:val="24"/>
          <w:highlight w:val="none"/>
          <w:lang w:val="zh-CN"/>
        </w:rPr>
      </w:pPr>
      <w:r>
        <w:rPr>
          <w:rFonts w:hint="eastAsia" w:hAnsi="宋体" w:cs="宋体"/>
          <w:bCs/>
          <w:sz w:val="24"/>
          <w:szCs w:val="24"/>
          <w:highlight w:val="none"/>
        </w:rPr>
        <w:t>评标期间，投标人应随时随地答复评标委员会的询标，解答包括有关的商务、技术问题等。</w:t>
      </w:r>
    </w:p>
    <w:p w14:paraId="77D74001">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24"/>
          <w:highlight w:val="none"/>
          <w:shd w:val="clear" w:color="auto" w:fill="auto"/>
        </w:rPr>
        <w:br w:type="page"/>
      </w:r>
      <w:r>
        <w:rPr>
          <w:rFonts w:hint="eastAsia" w:ascii="宋体" w:hAnsi="宋体" w:eastAsia="宋体" w:cs="宋体"/>
          <w:b/>
          <w:color w:val="auto"/>
          <w:sz w:val="30"/>
          <w:szCs w:val="30"/>
          <w:highlight w:val="none"/>
          <w:shd w:val="clear" w:color="auto" w:fill="auto"/>
        </w:rPr>
        <w:t>采购项目评分索引表</w:t>
      </w:r>
    </w:p>
    <w:p w14:paraId="3F20D449">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0DC304BF">
      <w:pPr>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highlight w:val="none"/>
          <w:shd w:val="clear" w:color="auto" w:fill="auto"/>
        </w:rPr>
        <w:t>项</w:t>
      </w:r>
      <w:r>
        <w:rPr>
          <w:rFonts w:hint="eastAsia" w:ascii="宋体" w:hAnsi="宋体" w:eastAsia="宋体" w:cs="宋体"/>
          <w:b/>
          <w:color w:val="auto"/>
          <w:sz w:val="24"/>
          <w:szCs w:val="24"/>
          <w:highlight w:val="none"/>
          <w:shd w:val="clear" w:color="auto" w:fill="auto"/>
        </w:rPr>
        <w:t>目名称：</w:t>
      </w:r>
      <w:r>
        <w:rPr>
          <w:rFonts w:hint="eastAsia" w:ascii="宋体" w:hAnsi="宋体" w:eastAsia="宋体" w:cs="宋体"/>
          <w:b/>
          <w:color w:val="auto"/>
          <w:sz w:val="24"/>
          <w:szCs w:val="24"/>
          <w:highlight w:val="none"/>
          <w:shd w:val="clear" w:color="auto" w:fill="auto"/>
          <w:lang w:val="en-US" w:eastAsia="zh-CN"/>
        </w:rPr>
        <w:t xml:space="preserve">                                        </w:t>
      </w:r>
    </w:p>
    <w:p w14:paraId="7C7A69B0">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投标人名称：</w:t>
      </w:r>
    </w:p>
    <w:tbl>
      <w:tblPr>
        <w:tblStyle w:val="51"/>
        <w:tblW w:w="911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2212"/>
        <w:gridCol w:w="1043"/>
        <w:gridCol w:w="1465"/>
        <w:gridCol w:w="2038"/>
        <w:gridCol w:w="1823"/>
      </w:tblGrid>
      <w:tr w14:paraId="4250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2747" w:type="dxa"/>
            <w:gridSpan w:val="2"/>
            <w:noWrap w:val="0"/>
            <w:vAlign w:val="center"/>
          </w:tcPr>
          <w:p w14:paraId="0F22962C">
            <w:pPr>
              <w:widowControl/>
              <w:jc w:val="center"/>
              <w:rPr>
                <w:rFonts w:hint="eastAsia" w:ascii="宋体" w:hAnsi="宋体" w:eastAsia="宋体" w:cs="宋体"/>
                <w:color w:val="auto"/>
                <w:sz w:val="24"/>
                <w:szCs w:val="24"/>
                <w:highlight w:val="none"/>
              </w:rPr>
            </w:pPr>
            <w:r>
              <w:rPr>
                <w:rFonts w:hint="eastAsia" w:ascii="宋体" w:hAnsi="宋体"/>
                <w:b/>
                <w:bCs/>
                <w:color w:val="000000"/>
                <w:szCs w:val="21"/>
                <w:highlight w:val="none"/>
              </w:rPr>
              <w:t>评标内容</w:t>
            </w:r>
          </w:p>
        </w:tc>
        <w:tc>
          <w:tcPr>
            <w:tcW w:w="1043" w:type="dxa"/>
            <w:noWrap w:val="0"/>
            <w:vAlign w:val="center"/>
          </w:tcPr>
          <w:p w14:paraId="2395C729">
            <w:pPr>
              <w:widowControl/>
              <w:jc w:val="center"/>
              <w:rPr>
                <w:rFonts w:hint="eastAsia" w:ascii="宋体" w:hAnsi="宋体" w:eastAsia="宋体" w:cs="宋体"/>
                <w:color w:val="auto"/>
                <w:sz w:val="24"/>
                <w:szCs w:val="24"/>
                <w:highlight w:val="none"/>
              </w:rPr>
            </w:pPr>
            <w:r>
              <w:rPr>
                <w:rFonts w:hint="eastAsia" w:ascii="宋体"/>
                <w:b/>
                <w:bCs/>
                <w:color w:val="000000"/>
                <w:szCs w:val="21"/>
                <w:highlight w:val="none"/>
              </w:rPr>
              <w:t>分值</w:t>
            </w:r>
          </w:p>
        </w:tc>
        <w:tc>
          <w:tcPr>
            <w:tcW w:w="1465" w:type="dxa"/>
            <w:noWrap w:val="0"/>
            <w:vAlign w:val="center"/>
          </w:tcPr>
          <w:p w14:paraId="54120B72">
            <w:pPr>
              <w:widowControl/>
              <w:jc w:val="center"/>
              <w:rPr>
                <w:rFonts w:ascii="宋体" w:hAnsi="宋体"/>
                <w:b/>
                <w:bCs/>
                <w:color w:val="000000"/>
                <w:szCs w:val="21"/>
                <w:highlight w:val="none"/>
              </w:rPr>
            </w:pPr>
            <w:r>
              <w:rPr>
                <w:rFonts w:hint="eastAsia" w:ascii="宋体" w:hAnsi="宋体"/>
                <w:b/>
                <w:bCs/>
                <w:color w:val="000000"/>
                <w:szCs w:val="21"/>
                <w:highlight w:val="none"/>
              </w:rPr>
              <w:t>投标文件</w:t>
            </w:r>
          </w:p>
          <w:p w14:paraId="778AAB40">
            <w:pPr>
              <w:widowControl/>
              <w:jc w:val="center"/>
              <w:rPr>
                <w:rFonts w:hint="eastAsia" w:ascii="宋体" w:hAnsi="宋体" w:eastAsia="宋体" w:cs="宋体"/>
                <w:color w:val="auto"/>
                <w:sz w:val="24"/>
                <w:szCs w:val="24"/>
                <w:highlight w:val="none"/>
              </w:rPr>
            </w:pPr>
            <w:r>
              <w:rPr>
                <w:rFonts w:hint="eastAsia" w:ascii="宋体" w:hAnsi="宋体"/>
                <w:b/>
                <w:bCs/>
                <w:color w:val="000000"/>
                <w:szCs w:val="21"/>
                <w:highlight w:val="none"/>
              </w:rPr>
              <w:t>响应页码</w:t>
            </w:r>
          </w:p>
        </w:tc>
        <w:tc>
          <w:tcPr>
            <w:tcW w:w="2038" w:type="dxa"/>
            <w:noWrap w:val="0"/>
            <w:vAlign w:val="center"/>
          </w:tcPr>
          <w:p w14:paraId="1DB0CB69">
            <w:pPr>
              <w:widowControl/>
              <w:jc w:val="center"/>
              <w:rPr>
                <w:rFonts w:ascii="宋体" w:hAnsi="宋体" w:cs="宋体"/>
                <w:b/>
                <w:bCs/>
                <w:kern w:val="0"/>
                <w:sz w:val="24"/>
                <w:highlight w:val="none"/>
              </w:rPr>
            </w:pPr>
            <w:r>
              <w:rPr>
                <w:rFonts w:hint="eastAsia" w:ascii="宋体" w:hAnsi="宋体" w:cs="宋体"/>
                <w:b/>
                <w:bCs/>
                <w:kern w:val="0"/>
                <w:sz w:val="24"/>
                <w:highlight w:val="none"/>
              </w:rPr>
              <w:t>投标人</w:t>
            </w:r>
          </w:p>
          <w:p w14:paraId="39852506">
            <w:pPr>
              <w:widowControl/>
              <w:jc w:val="center"/>
              <w:rPr>
                <w:rFonts w:hint="eastAsia" w:ascii="宋体" w:hAnsi="宋体" w:eastAsia="宋体" w:cs="宋体"/>
                <w:color w:val="auto"/>
                <w:sz w:val="24"/>
                <w:szCs w:val="24"/>
                <w:highlight w:val="none"/>
              </w:rPr>
            </w:pPr>
            <w:r>
              <w:rPr>
                <w:rFonts w:hint="eastAsia" w:ascii="宋体" w:hAnsi="宋体" w:cs="宋体"/>
                <w:b/>
                <w:bCs/>
                <w:kern w:val="0"/>
                <w:sz w:val="24"/>
                <w:highlight w:val="none"/>
              </w:rPr>
              <w:t>应标情况</w:t>
            </w:r>
          </w:p>
        </w:tc>
        <w:tc>
          <w:tcPr>
            <w:tcW w:w="1823" w:type="dxa"/>
            <w:noWrap w:val="0"/>
            <w:vAlign w:val="center"/>
          </w:tcPr>
          <w:p w14:paraId="0A3B5EC1">
            <w:pPr>
              <w:widowControl/>
              <w:jc w:val="center"/>
              <w:rPr>
                <w:rFonts w:hint="eastAsia" w:ascii="宋体" w:hAnsi="宋体" w:eastAsia="宋体" w:cs="宋体"/>
                <w:color w:val="auto"/>
                <w:sz w:val="24"/>
                <w:szCs w:val="24"/>
                <w:highlight w:val="none"/>
              </w:rPr>
            </w:pPr>
            <w:r>
              <w:rPr>
                <w:rFonts w:hint="eastAsia" w:ascii="宋体" w:hAnsi="宋体" w:cs="宋体"/>
                <w:b/>
                <w:bCs/>
                <w:kern w:val="0"/>
                <w:sz w:val="24"/>
                <w:highlight w:val="none"/>
              </w:rPr>
              <w:t>投标人自评分值</w:t>
            </w:r>
          </w:p>
        </w:tc>
      </w:tr>
      <w:tr w14:paraId="15F6B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535" w:type="dxa"/>
            <w:noWrap w:val="0"/>
            <w:vAlign w:val="center"/>
          </w:tcPr>
          <w:p w14:paraId="1EC30F0E">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1</w:t>
            </w:r>
          </w:p>
        </w:tc>
        <w:tc>
          <w:tcPr>
            <w:tcW w:w="2212" w:type="dxa"/>
            <w:noWrap w:val="0"/>
            <w:vAlign w:val="center"/>
          </w:tcPr>
          <w:p w14:paraId="530F262E">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3733E7BC">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24F741A5">
            <w:pPr>
              <w:jc w:val="center"/>
              <w:rPr>
                <w:rFonts w:hint="eastAsia" w:ascii="宋体" w:hAnsi="宋体" w:eastAsia="宋体" w:cs="宋体"/>
                <w:bCs/>
                <w:color w:val="auto"/>
                <w:szCs w:val="21"/>
                <w:highlight w:val="none"/>
              </w:rPr>
            </w:pPr>
          </w:p>
        </w:tc>
        <w:tc>
          <w:tcPr>
            <w:tcW w:w="2038" w:type="dxa"/>
            <w:noWrap w:val="0"/>
            <w:vAlign w:val="top"/>
          </w:tcPr>
          <w:p w14:paraId="2A1173CB">
            <w:pPr>
              <w:jc w:val="center"/>
              <w:rPr>
                <w:rFonts w:hint="eastAsia" w:ascii="宋体" w:hAnsi="宋体" w:eastAsia="宋体" w:cs="宋体"/>
                <w:bCs/>
                <w:color w:val="auto"/>
                <w:szCs w:val="21"/>
                <w:highlight w:val="none"/>
              </w:rPr>
            </w:pPr>
          </w:p>
        </w:tc>
        <w:tc>
          <w:tcPr>
            <w:tcW w:w="1823" w:type="dxa"/>
            <w:noWrap w:val="0"/>
            <w:vAlign w:val="top"/>
          </w:tcPr>
          <w:p w14:paraId="1B981CB1">
            <w:pPr>
              <w:jc w:val="center"/>
              <w:rPr>
                <w:rFonts w:hint="eastAsia" w:ascii="宋体" w:hAnsi="宋体" w:eastAsia="宋体" w:cs="宋体"/>
                <w:bCs/>
                <w:color w:val="auto"/>
                <w:szCs w:val="21"/>
                <w:highlight w:val="none"/>
              </w:rPr>
            </w:pPr>
          </w:p>
        </w:tc>
      </w:tr>
      <w:tr w14:paraId="2BCB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535" w:type="dxa"/>
            <w:noWrap w:val="0"/>
            <w:vAlign w:val="center"/>
          </w:tcPr>
          <w:p w14:paraId="31B0F5BA">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2</w:t>
            </w:r>
          </w:p>
        </w:tc>
        <w:tc>
          <w:tcPr>
            <w:tcW w:w="2212" w:type="dxa"/>
            <w:noWrap w:val="0"/>
            <w:vAlign w:val="center"/>
          </w:tcPr>
          <w:p w14:paraId="3B21E079">
            <w:pPr>
              <w:jc w:val="center"/>
              <w:rPr>
                <w:rFonts w:hint="eastAsia" w:ascii="宋体" w:hAnsi="宋体" w:eastAsia="宋体" w:cs="宋体"/>
                <w:sz w:val="24"/>
                <w:szCs w:val="24"/>
                <w:highlight w:val="none"/>
                <w:lang w:val="en-US" w:eastAsia="zh-CN" w:bidi="ar"/>
              </w:rPr>
            </w:pPr>
          </w:p>
        </w:tc>
        <w:tc>
          <w:tcPr>
            <w:tcW w:w="1043" w:type="dxa"/>
            <w:noWrap w:val="0"/>
            <w:vAlign w:val="center"/>
          </w:tcPr>
          <w:p w14:paraId="56F2D9F6">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3A34DF12">
            <w:pPr>
              <w:jc w:val="center"/>
              <w:rPr>
                <w:rFonts w:hint="eastAsia" w:ascii="宋体" w:hAnsi="宋体" w:eastAsia="宋体" w:cs="宋体"/>
                <w:bCs/>
                <w:color w:val="auto"/>
                <w:szCs w:val="21"/>
                <w:highlight w:val="none"/>
              </w:rPr>
            </w:pPr>
          </w:p>
        </w:tc>
        <w:tc>
          <w:tcPr>
            <w:tcW w:w="2038" w:type="dxa"/>
            <w:noWrap w:val="0"/>
            <w:vAlign w:val="top"/>
          </w:tcPr>
          <w:p w14:paraId="356539F1">
            <w:pPr>
              <w:jc w:val="center"/>
              <w:rPr>
                <w:rFonts w:hint="eastAsia" w:ascii="宋体" w:hAnsi="宋体" w:eastAsia="宋体" w:cs="宋体"/>
                <w:bCs/>
                <w:color w:val="auto"/>
                <w:szCs w:val="21"/>
                <w:highlight w:val="none"/>
              </w:rPr>
            </w:pPr>
          </w:p>
        </w:tc>
        <w:tc>
          <w:tcPr>
            <w:tcW w:w="1823" w:type="dxa"/>
            <w:noWrap w:val="0"/>
            <w:vAlign w:val="top"/>
          </w:tcPr>
          <w:p w14:paraId="1B147493">
            <w:pPr>
              <w:jc w:val="center"/>
              <w:rPr>
                <w:rFonts w:hint="eastAsia" w:ascii="宋体" w:hAnsi="宋体" w:eastAsia="宋体" w:cs="宋体"/>
                <w:bCs/>
                <w:color w:val="auto"/>
                <w:szCs w:val="21"/>
                <w:highlight w:val="none"/>
              </w:rPr>
            </w:pPr>
          </w:p>
        </w:tc>
      </w:tr>
      <w:tr w14:paraId="12F6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535" w:type="dxa"/>
            <w:noWrap w:val="0"/>
            <w:vAlign w:val="center"/>
          </w:tcPr>
          <w:p w14:paraId="7EA8838A">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3</w:t>
            </w:r>
          </w:p>
        </w:tc>
        <w:tc>
          <w:tcPr>
            <w:tcW w:w="2212" w:type="dxa"/>
            <w:noWrap w:val="0"/>
            <w:vAlign w:val="center"/>
          </w:tcPr>
          <w:p w14:paraId="34859FF5">
            <w:pPr>
              <w:jc w:val="center"/>
              <w:rPr>
                <w:rFonts w:hint="eastAsia" w:ascii="宋体" w:hAnsi="宋体" w:eastAsia="宋体" w:cs="宋体"/>
                <w:sz w:val="24"/>
                <w:szCs w:val="24"/>
                <w:highlight w:val="none"/>
                <w:lang w:val="en-US" w:eastAsia="zh-CN" w:bidi="ar"/>
              </w:rPr>
            </w:pPr>
          </w:p>
        </w:tc>
        <w:tc>
          <w:tcPr>
            <w:tcW w:w="1043" w:type="dxa"/>
            <w:noWrap w:val="0"/>
            <w:vAlign w:val="center"/>
          </w:tcPr>
          <w:p w14:paraId="5A8D48F2">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27FA03E4">
            <w:pPr>
              <w:jc w:val="center"/>
              <w:rPr>
                <w:rFonts w:hint="eastAsia" w:ascii="宋体" w:hAnsi="宋体" w:eastAsia="宋体" w:cs="宋体"/>
                <w:bCs/>
                <w:color w:val="auto"/>
                <w:szCs w:val="21"/>
                <w:highlight w:val="none"/>
              </w:rPr>
            </w:pPr>
          </w:p>
        </w:tc>
        <w:tc>
          <w:tcPr>
            <w:tcW w:w="2038" w:type="dxa"/>
            <w:noWrap w:val="0"/>
            <w:vAlign w:val="top"/>
          </w:tcPr>
          <w:p w14:paraId="3BA9743F">
            <w:pPr>
              <w:jc w:val="center"/>
              <w:rPr>
                <w:rFonts w:hint="eastAsia" w:ascii="宋体" w:hAnsi="宋体" w:eastAsia="宋体" w:cs="宋体"/>
                <w:bCs/>
                <w:color w:val="auto"/>
                <w:szCs w:val="21"/>
                <w:highlight w:val="none"/>
              </w:rPr>
            </w:pPr>
          </w:p>
        </w:tc>
        <w:tc>
          <w:tcPr>
            <w:tcW w:w="1823" w:type="dxa"/>
            <w:noWrap w:val="0"/>
            <w:vAlign w:val="top"/>
          </w:tcPr>
          <w:p w14:paraId="05C05A97">
            <w:pPr>
              <w:jc w:val="center"/>
              <w:rPr>
                <w:rFonts w:hint="eastAsia" w:ascii="宋体" w:hAnsi="宋体" w:eastAsia="宋体" w:cs="宋体"/>
                <w:bCs/>
                <w:color w:val="auto"/>
                <w:szCs w:val="21"/>
                <w:highlight w:val="none"/>
              </w:rPr>
            </w:pPr>
          </w:p>
        </w:tc>
      </w:tr>
      <w:tr w14:paraId="6320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535" w:type="dxa"/>
            <w:noWrap w:val="0"/>
            <w:vAlign w:val="center"/>
          </w:tcPr>
          <w:p w14:paraId="7C25CE5E">
            <w:pPr>
              <w:jc w:val="center"/>
              <w:rPr>
                <w:rFonts w:hint="eastAsia" w:ascii="宋体" w:hAnsi="宋体" w:eastAsia="宋体" w:cs="宋体"/>
                <w:bCs/>
                <w:color w:val="auto"/>
                <w:szCs w:val="21"/>
                <w:highlight w:val="none"/>
              </w:rPr>
            </w:pPr>
            <w:r>
              <w:rPr>
                <w:rFonts w:ascii="宋体" w:hAnsi="宋体"/>
                <w:color w:val="auto"/>
                <w:spacing w:val="-4"/>
                <w:sz w:val="24"/>
                <w:highlight w:val="none"/>
              </w:rPr>
              <w:t>4</w:t>
            </w:r>
          </w:p>
        </w:tc>
        <w:tc>
          <w:tcPr>
            <w:tcW w:w="2212" w:type="dxa"/>
            <w:noWrap w:val="0"/>
            <w:vAlign w:val="center"/>
          </w:tcPr>
          <w:p w14:paraId="550B536B">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00D33D2C">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499BD0D0">
            <w:pPr>
              <w:jc w:val="center"/>
              <w:rPr>
                <w:rFonts w:hint="eastAsia" w:ascii="宋体" w:hAnsi="宋体" w:eastAsia="宋体" w:cs="宋体"/>
                <w:bCs/>
                <w:color w:val="auto"/>
                <w:szCs w:val="21"/>
                <w:highlight w:val="none"/>
              </w:rPr>
            </w:pPr>
          </w:p>
        </w:tc>
        <w:tc>
          <w:tcPr>
            <w:tcW w:w="2038" w:type="dxa"/>
            <w:noWrap w:val="0"/>
            <w:vAlign w:val="top"/>
          </w:tcPr>
          <w:p w14:paraId="5EAC590E">
            <w:pPr>
              <w:jc w:val="center"/>
              <w:rPr>
                <w:rFonts w:hint="eastAsia" w:ascii="宋体" w:hAnsi="宋体" w:eastAsia="宋体" w:cs="宋体"/>
                <w:bCs/>
                <w:color w:val="auto"/>
                <w:szCs w:val="21"/>
                <w:highlight w:val="none"/>
              </w:rPr>
            </w:pPr>
          </w:p>
        </w:tc>
        <w:tc>
          <w:tcPr>
            <w:tcW w:w="1823" w:type="dxa"/>
            <w:noWrap w:val="0"/>
            <w:vAlign w:val="top"/>
          </w:tcPr>
          <w:p w14:paraId="3BAA99CC">
            <w:pPr>
              <w:jc w:val="center"/>
              <w:rPr>
                <w:rFonts w:hint="eastAsia" w:ascii="宋体" w:hAnsi="宋体" w:eastAsia="宋体" w:cs="宋体"/>
                <w:bCs/>
                <w:color w:val="auto"/>
                <w:szCs w:val="21"/>
                <w:highlight w:val="none"/>
              </w:rPr>
            </w:pPr>
          </w:p>
        </w:tc>
      </w:tr>
      <w:tr w14:paraId="1073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5DA67FDE">
            <w:pPr>
              <w:jc w:val="center"/>
              <w:rPr>
                <w:rFonts w:hint="eastAsia" w:ascii="宋体" w:hAnsi="宋体" w:eastAsia="宋体" w:cs="宋体"/>
                <w:bCs/>
                <w:color w:val="auto"/>
                <w:szCs w:val="21"/>
                <w:highlight w:val="none"/>
              </w:rPr>
            </w:pPr>
            <w:r>
              <w:rPr>
                <w:rFonts w:hint="eastAsia" w:ascii="宋体" w:hAnsi="宋体"/>
                <w:color w:val="auto"/>
                <w:spacing w:val="-4"/>
                <w:sz w:val="24"/>
                <w:highlight w:val="none"/>
              </w:rPr>
              <w:t>5</w:t>
            </w:r>
          </w:p>
        </w:tc>
        <w:tc>
          <w:tcPr>
            <w:tcW w:w="2212" w:type="dxa"/>
            <w:noWrap w:val="0"/>
            <w:vAlign w:val="center"/>
          </w:tcPr>
          <w:p w14:paraId="4CC32387">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5345B9F5">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5B1F07BE">
            <w:pPr>
              <w:jc w:val="center"/>
              <w:rPr>
                <w:rFonts w:hint="eastAsia" w:ascii="宋体" w:hAnsi="宋体" w:eastAsia="宋体" w:cs="宋体"/>
                <w:bCs/>
                <w:color w:val="auto"/>
                <w:szCs w:val="21"/>
                <w:highlight w:val="none"/>
              </w:rPr>
            </w:pPr>
          </w:p>
        </w:tc>
        <w:tc>
          <w:tcPr>
            <w:tcW w:w="2038" w:type="dxa"/>
            <w:noWrap w:val="0"/>
            <w:vAlign w:val="top"/>
          </w:tcPr>
          <w:p w14:paraId="3D1DA374">
            <w:pPr>
              <w:jc w:val="center"/>
              <w:rPr>
                <w:rFonts w:hint="eastAsia" w:ascii="宋体" w:hAnsi="宋体" w:eastAsia="宋体" w:cs="宋体"/>
                <w:bCs/>
                <w:color w:val="auto"/>
                <w:szCs w:val="21"/>
                <w:highlight w:val="none"/>
              </w:rPr>
            </w:pPr>
          </w:p>
        </w:tc>
        <w:tc>
          <w:tcPr>
            <w:tcW w:w="1823" w:type="dxa"/>
            <w:noWrap w:val="0"/>
            <w:vAlign w:val="top"/>
          </w:tcPr>
          <w:p w14:paraId="192B4263">
            <w:pPr>
              <w:jc w:val="center"/>
              <w:rPr>
                <w:rFonts w:hint="eastAsia" w:ascii="宋体" w:hAnsi="宋体" w:eastAsia="宋体" w:cs="宋体"/>
                <w:bCs/>
                <w:color w:val="auto"/>
                <w:szCs w:val="21"/>
                <w:highlight w:val="none"/>
              </w:rPr>
            </w:pPr>
          </w:p>
        </w:tc>
      </w:tr>
      <w:tr w14:paraId="6A01D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6BDDC357">
            <w:pPr>
              <w:jc w:val="center"/>
              <w:rPr>
                <w:rFonts w:hint="eastAsia" w:ascii="宋体" w:hAnsi="宋体" w:eastAsia="宋体"/>
                <w:color w:val="auto"/>
                <w:spacing w:val="-4"/>
                <w:sz w:val="24"/>
                <w:highlight w:val="none"/>
                <w:lang w:val="en-US" w:eastAsia="zh-CN"/>
              </w:rPr>
            </w:pPr>
            <w:r>
              <w:rPr>
                <w:rFonts w:hint="eastAsia" w:ascii="宋体" w:hAnsi="宋体"/>
                <w:color w:val="auto"/>
                <w:spacing w:val="-4"/>
                <w:sz w:val="24"/>
                <w:highlight w:val="none"/>
                <w:lang w:val="en-US" w:eastAsia="zh-CN"/>
              </w:rPr>
              <w:t>6</w:t>
            </w:r>
          </w:p>
        </w:tc>
        <w:tc>
          <w:tcPr>
            <w:tcW w:w="2212" w:type="dxa"/>
            <w:noWrap w:val="0"/>
            <w:vAlign w:val="center"/>
          </w:tcPr>
          <w:p w14:paraId="7C3512FD">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2DE1484C">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79489307">
            <w:pPr>
              <w:jc w:val="center"/>
              <w:rPr>
                <w:rFonts w:hint="eastAsia" w:ascii="宋体" w:hAnsi="宋体" w:eastAsia="宋体" w:cs="宋体"/>
                <w:bCs/>
                <w:color w:val="auto"/>
                <w:szCs w:val="21"/>
                <w:highlight w:val="none"/>
              </w:rPr>
            </w:pPr>
          </w:p>
        </w:tc>
        <w:tc>
          <w:tcPr>
            <w:tcW w:w="2038" w:type="dxa"/>
            <w:noWrap w:val="0"/>
            <w:vAlign w:val="top"/>
          </w:tcPr>
          <w:p w14:paraId="20E81AFB">
            <w:pPr>
              <w:jc w:val="center"/>
              <w:rPr>
                <w:rFonts w:hint="eastAsia" w:ascii="宋体" w:hAnsi="宋体" w:eastAsia="宋体" w:cs="宋体"/>
                <w:bCs/>
                <w:color w:val="auto"/>
                <w:szCs w:val="21"/>
                <w:highlight w:val="none"/>
              </w:rPr>
            </w:pPr>
          </w:p>
        </w:tc>
        <w:tc>
          <w:tcPr>
            <w:tcW w:w="1823" w:type="dxa"/>
            <w:noWrap w:val="0"/>
            <w:vAlign w:val="top"/>
          </w:tcPr>
          <w:p w14:paraId="23AF81F0">
            <w:pPr>
              <w:jc w:val="center"/>
              <w:rPr>
                <w:rFonts w:hint="eastAsia" w:ascii="宋体" w:hAnsi="宋体" w:eastAsia="宋体" w:cs="宋体"/>
                <w:bCs/>
                <w:color w:val="auto"/>
                <w:szCs w:val="21"/>
                <w:highlight w:val="none"/>
              </w:rPr>
            </w:pPr>
          </w:p>
        </w:tc>
      </w:tr>
      <w:tr w14:paraId="3953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0D582CE5">
            <w:pPr>
              <w:jc w:val="center"/>
              <w:rPr>
                <w:rFonts w:hint="eastAsia" w:ascii="宋体" w:hAnsi="宋体" w:eastAsia="宋体"/>
                <w:color w:val="auto"/>
                <w:spacing w:val="-4"/>
                <w:sz w:val="24"/>
                <w:highlight w:val="none"/>
                <w:lang w:val="en-US" w:eastAsia="zh-CN"/>
              </w:rPr>
            </w:pPr>
            <w:r>
              <w:rPr>
                <w:rFonts w:hint="eastAsia" w:ascii="宋体" w:hAnsi="宋体"/>
                <w:color w:val="auto"/>
                <w:spacing w:val="-4"/>
                <w:sz w:val="24"/>
                <w:highlight w:val="none"/>
                <w:lang w:val="en-US" w:eastAsia="zh-CN"/>
              </w:rPr>
              <w:t>7</w:t>
            </w:r>
          </w:p>
        </w:tc>
        <w:tc>
          <w:tcPr>
            <w:tcW w:w="2212" w:type="dxa"/>
            <w:noWrap w:val="0"/>
            <w:vAlign w:val="center"/>
          </w:tcPr>
          <w:p w14:paraId="024F5511">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3843D06E">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37D9DCA0">
            <w:pPr>
              <w:jc w:val="center"/>
              <w:rPr>
                <w:rFonts w:hint="eastAsia" w:ascii="宋体" w:hAnsi="宋体" w:eastAsia="宋体" w:cs="宋体"/>
                <w:bCs/>
                <w:color w:val="auto"/>
                <w:szCs w:val="21"/>
                <w:highlight w:val="none"/>
              </w:rPr>
            </w:pPr>
          </w:p>
        </w:tc>
        <w:tc>
          <w:tcPr>
            <w:tcW w:w="2038" w:type="dxa"/>
            <w:noWrap w:val="0"/>
            <w:vAlign w:val="top"/>
          </w:tcPr>
          <w:p w14:paraId="79FB7CA4">
            <w:pPr>
              <w:jc w:val="center"/>
              <w:rPr>
                <w:rFonts w:hint="eastAsia" w:ascii="宋体" w:hAnsi="宋体" w:eastAsia="宋体" w:cs="宋体"/>
                <w:bCs/>
                <w:color w:val="auto"/>
                <w:szCs w:val="21"/>
                <w:highlight w:val="none"/>
              </w:rPr>
            </w:pPr>
          </w:p>
        </w:tc>
        <w:tc>
          <w:tcPr>
            <w:tcW w:w="1823" w:type="dxa"/>
            <w:noWrap w:val="0"/>
            <w:vAlign w:val="top"/>
          </w:tcPr>
          <w:p w14:paraId="5D15F25C">
            <w:pPr>
              <w:jc w:val="center"/>
              <w:rPr>
                <w:rFonts w:hint="eastAsia" w:ascii="宋体" w:hAnsi="宋体" w:eastAsia="宋体" w:cs="宋体"/>
                <w:bCs/>
                <w:color w:val="auto"/>
                <w:szCs w:val="21"/>
                <w:highlight w:val="none"/>
              </w:rPr>
            </w:pPr>
          </w:p>
        </w:tc>
      </w:tr>
      <w:tr w14:paraId="379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56BFECFD">
            <w:pPr>
              <w:jc w:val="center"/>
              <w:rPr>
                <w:rFonts w:hint="default" w:ascii="宋体" w:hAnsi="宋体"/>
                <w:color w:val="auto"/>
                <w:spacing w:val="-4"/>
                <w:sz w:val="24"/>
                <w:highlight w:val="none"/>
                <w:lang w:val="en-US" w:eastAsia="zh-CN"/>
              </w:rPr>
            </w:pPr>
            <w:r>
              <w:rPr>
                <w:rFonts w:hint="eastAsia" w:ascii="宋体" w:hAnsi="宋体"/>
                <w:color w:val="auto"/>
                <w:spacing w:val="-4"/>
                <w:sz w:val="24"/>
                <w:highlight w:val="none"/>
                <w:lang w:val="en-US" w:eastAsia="zh-CN"/>
              </w:rPr>
              <w:t>8</w:t>
            </w:r>
          </w:p>
        </w:tc>
        <w:tc>
          <w:tcPr>
            <w:tcW w:w="2212" w:type="dxa"/>
            <w:noWrap w:val="0"/>
            <w:vAlign w:val="center"/>
          </w:tcPr>
          <w:p w14:paraId="61F0ABCE">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0CE2FC60">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43C07CCE">
            <w:pPr>
              <w:jc w:val="center"/>
              <w:rPr>
                <w:rFonts w:hint="eastAsia" w:ascii="宋体" w:hAnsi="宋体" w:eastAsia="宋体" w:cs="宋体"/>
                <w:bCs/>
                <w:color w:val="auto"/>
                <w:szCs w:val="21"/>
                <w:highlight w:val="none"/>
              </w:rPr>
            </w:pPr>
          </w:p>
        </w:tc>
        <w:tc>
          <w:tcPr>
            <w:tcW w:w="2038" w:type="dxa"/>
            <w:noWrap w:val="0"/>
            <w:vAlign w:val="top"/>
          </w:tcPr>
          <w:p w14:paraId="6304C388">
            <w:pPr>
              <w:jc w:val="center"/>
              <w:rPr>
                <w:rFonts w:hint="eastAsia" w:ascii="宋体" w:hAnsi="宋体" w:eastAsia="宋体" w:cs="宋体"/>
                <w:bCs/>
                <w:color w:val="auto"/>
                <w:szCs w:val="21"/>
                <w:highlight w:val="none"/>
              </w:rPr>
            </w:pPr>
          </w:p>
        </w:tc>
        <w:tc>
          <w:tcPr>
            <w:tcW w:w="1823" w:type="dxa"/>
            <w:noWrap w:val="0"/>
            <w:vAlign w:val="top"/>
          </w:tcPr>
          <w:p w14:paraId="1D0096B1">
            <w:pPr>
              <w:jc w:val="center"/>
              <w:rPr>
                <w:rFonts w:hint="eastAsia" w:ascii="宋体" w:hAnsi="宋体" w:eastAsia="宋体" w:cs="宋体"/>
                <w:bCs/>
                <w:color w:val="auto"/>
                <w:szCs w:val="21"/>
                <w:highlight w:val="none"/>
              </w:rPr>
            </w:pPr>
          </w:p>
        </w:tc>
      </w:tr>
      <w:tr w14:paraId="7A2B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35" w:type="dxa"/>
            <w:noWrap w:val="0"/>
            <w:vAlign w:val="center"/>
          </w:tcPr>
          <w:p w14:paraId="38FFA867">
            <w:pPr>
              <w:jc w:val="center"/>
              <w:rPr>
                <w:rFonts w:hint="default" w:ascii="宋体" w:hAnsi="宋体"/>
                <w:color w:val="auto"/>
                <w:spacing w:val="-4"/>
                <w:sz w:val="24"/>
                <w:highlight w:val="none"/>
                <w:lang w:val="en-US" w:eastAsia="zh-CN"/>
              </w:rPr>
            </w:pPr>
            <w:r>
              <w:rPr>
                <w:rFonts w:hint="eastAsia" w:ascii="宋体" w:hAnsi="宋体"/>
                <w:color w:val="auto"/>
                <w:spacing w:val="-4"/>
                <w:sz w:val="24"/>
                <w:highlight w:val="none"/>
                <w:lang w:val="en-US" w:eastAsia="zh-CN"/>
              </w:rPr>
              <w:t>9</w:t>
            </w:r>
          </w:p>
        </w:tc>
        <w:tc>
          <w:tcPr>
            <w:tcW w:w="2212" w:type="dxa"/>
            <w:noWrap w:val="0"/>
            <w:vAlign w:val="center"/>
          </w:tcPr>
          <w:p w14:paraId="4DC2406B">
            <w:pPr>
              <w:jc w:val="center"/>
              <w:rPr>
                <w:rFonts w:hint="eastAsia" w:ascii="宋体" w:hAnsi="宋体" w:eastAsia="宋体" w:cs="宋体"/>
                <w:sz w:val="24"/>
                <w:szCs w:val="24"/>
                <w:highlight w:val="none"/>
                <w:lang w:val="zh-CN" w:eastAsia="zh-CN" w:bidi="ar"/>
              </w:rPr>
            </w:pPr>
          </w:p>
        </w:tc>
        <w:tc>
          <w:tcPr>
            <w:tcW w:w="1043" w:type="dxa"/>
            <w:noWrap w:val="0"/>
            <w:vAlign w:val="center"/>
          </w:tcPr>
          <w:p w14:paraId="7C68B5FA">
            <w:pPr>
              <w:jc w:val="center"/>
              <w:rPr>
                <w:rFonts w:hint="default" w:ascii="宋体" w:hAnsi="宋体" w:eastAsia="宋体" w:cs="宋体"/>
                <w:color w:val="auto"/>
                <w:kern w:val="0"/>
                <w:sz w:val="24"/>
                <w:highlight w:val="none"/>
                <w:lang w:val="en-US" w:eastAsia="zh-CN"/>
              </w:rPr>
            </w:pPr>
          </w:p>
        </w:tc>
        <w:tc>
          <w:tcPr>
            <w:tcW w:w="1465" w:type="dxa"/>
            <w:noWrap w:val="0"/>
            <w:vAlign w:val="center"/>
          </w:tcPr>
          <w:p w14:paraId="4F061966">
            <w:pPr>
              <w:jc w:val="center"/>
              <w:rPr>
                <w:rFonts w:hint="eastAsia" w:ascii="宋体" w:hAnsi="宋体" w:eastAsia="宋体" w:cs="宋体"/>
                <w:bCs/>
                <w:color w:val="auto"/>
                <w:szCs w:val="21"/>
                <w:highlight w:val="none"/>
              </w:rPr>
            </w:pPr>
          </w:p>
        </w:tc>
        <w:tc>
          <w:tcPr>
            <w:tcW w:w="2038" w:type="dxa"/>
            <w:noWrap w:val="0"/>
            <w:vAlign w:val="top"/>
          </w:tcPr>
          <w:p w14:paraId="1104093C">
            <w:pPr>
              <w:jc w:val="center"/>
              <w:rPr>
                <w:rFonts w:hint="eastAsia" w:ascii="宋体" w:hAnsi="宋体" w:eastAsia="宋体" w:cs="宋体"/>
                <w:bCs/>
                <w:color w:val="auto"/>
                <w:szCs w:val="21"/>
                <w:highlight w:val="none"/>
              </w:rPr>
            </w:pPr>
          </w:p>
        </w:tc>
        <w:tc>
          <w:tcPr>
            <w:tcW w:w="1823" w:type="dxa"/>
            <w:noWrap w:val="0"/>
            <w:vAlign w:val="top"/>
          </w:tcPr>
          <w:p w14:paraId="127010E0">
            <w:pPr>
              <w:jc w:val="center"/>
              <w:rPr>
                <w:rFonts w:hint="eastAsia" w:ascii="宋体" w:hAnsi="宋体" w:eastAsia="宋体" w:cs="宋体"/>
                <w:bCs/>
                <w:color w:val="auto"/>
                <w:szCs w:val="21"/>
                <w:highlight w:val="none"/>
              </w:rPr>
            </w:pPr>
          </w:p>
        </w:tc>
      </w:tr>
      <w:tr w14:paraId="2453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747" w:type="dxa"/>
            <w:gridSpan w:val="2"/>
            <w:noWrap w:val="0"/>
            <w:vAlign w:val="center"/>
          </w:tcPr>
          <w:p w14:paraId="438DC58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1043" w:type="dxa"/>
            <w:noWrap w:val="0"/>
            <w:vAlign w:val="center"/>
          </w:tcPr>
          <w:p w14:paraId="31D9E96A">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70分</w:t>
            </w:r>
          </w:p>
        </w:tc>
        <w:tc>
          <w:tcPr>
            <w:tcW w:w="1465" w:type="dxa"/>
            <w:noWrap w:val="0"/>
            <w:vAlign w:val="center"/>
          </w:tcPr>
          <w:p w14:paraId="259F5381">
            <w:pPr>
              <w:snapToGrid w:val="0"/>
              <w:rPr>
                <w:rFonts w:hint="eastAsia" w:ascii="宋体" w:hAnsi="宋体" w:eastAsia="宋体" w:cs="宋体"/>
                <w:bCs/>
                <w:color w:val="auto"/>
                <w:szCs w:val="21"/>
                <w:highlight w:val="none"/>
                <w:lang w:val="zh-CN"/>
              </w:rPr>
            </w:pPr>
          </w:p>
        </w:tc>
        <w:tc>
          <w:tcPr>
            <w:tcW w:w="2038" w:type="dxa"/>
            <w:noWrap w:val="0"/>
            <w:vAlign w:val="top"/>
          </w:tcPr>
          <w:p w14:paraId="55B246E7">
            <w:pPr>
              <w:snapToGrid w:val="0"/>
              <w:rPr>
                <w:rFonts w:hint="eastAsia" w:ascii="宋体" w:hAnsi="宋体" w:eastAsia="宋体" w:cs="宋体"/>
                <w:bCs/>
                <w:color w:val="auto"/>
                <w:szCs w:val="21"/>
                <w:highlight w:val="none"/>
                <w:lang w:val="zh-CN"/>
              </w:rPr>
            </w:pPr>
          </w:p>
        </w:tc>
        <w:tc>
          <w:tcPr>
            <w:tcW w:w="1823" w:type="dxa"/>
            <w:noWrap w:val="0"/>
            <w:vAlign w:val="top"/>
          </w:tcPr>
          <w:p w14:paraId="389097D0">
            <w:pPr>
              <w:snapToGrid w:val="0"/>
              <w:rPr>
                <w:rFonts w:hint="eastAsia" w:ascii="宋体" w:hAnsi="宋体" w:eastAsia="宋体" w:cs="宋体"/>
                <w:bCs/>
                <w:color w:val="auto"/>
                <w:szCs w:val="21"/>
                <w:highlight w:val="none"/>
                <w:lang w:val="zh-CN"/>
              </w:rPr>
            </w:pPr>
          </w:p>
        </w:tc>
      </w:tr>
    </w:tbl>
    <w:p w14:paraId="37A04684">
      <w:pPr>
        <w:rPr>
          <w:rFonts w:hint="eastAsia" w:ascii="宋体" w:hAnsi="宋体" w:eastAsia="宋体" w:cs="宋体"/>
          <w:b/>
          <w:color w:val="auto"/>
          <w:sz w:val="24"/>
          <w:highlight w:val="none"/>
          <w:shd w:val="clear" w:color="auto" w:fill="auto"/>
        </w:rPr>
      </w:pPr>
    </w:p>
    <w:p w14:paraId="707A464D">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15411522">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bookmarkStart w:id="43" w:name="_Toc3308"/>
      <w:r>
        <w:rPr>
          <w:rFonts w:hint="eastAsia" w:ascii="宋体" w:hAnsi="宋体" w:eastAsia="宋体" w:cs="宋体"/>
          <w:b/>
          <w:color w:val="auto"/>
          <w:sz w:val="30"/>
          <w:szCs w:val="30"/>
          <w:highlight w:val="none"/>
          <w:shd w:val="clear" w:color="auto" w:fill="auto"/>
        </w:rPr>
        <w:t>第五章  合同主要条款</w:t>
      </w:r>
      <w:bookmarkEnd w:id="43"/>
    </w:p>
    <w:p w14:paraId="4F0B495A">
      <w:pPr>
        <w:adjustRightInd w:val="0"/>
        <w:spacing w:line="240" w:lineRule="atLeast"/>
        <w:jc w:val="center"/>
        <w:rPr>
          <w:rFonts w:hAnsi="宋体"/>
          <w:color w:val="auto"/>
          <w:sz w:val="28"/>
          <w:szCs w:val="28"/>
          <w:highlight w:val="none"/>
          <w:shd w:val="pct10" w:color="auto" w:fill="FFFFFF"/>
        </w:rPr>
      </w:pPr>
      <w:bookmarkStart w:id="44" w:name="_Toc466534751"/>
      <w:r>
        <w:rPr>
          <w:rFonts w:hint="eastAsia" w:hAnsi="宋体"/>
          <w:color w:val="auto"/>
          <w:sz w:val="28"/>
          <w:szCs w:val="28"/>
          <w:highlight w:val="none"/>
          <w:shd w:val="pct10" w:color="auto" w:fill="FFFFFF"/>
        </w:rPr>
        <w:t>（此稿为合同样本，最终定稿待双方协商后商定）</w:t>
      </w:r>
    </w:p>
    <w:p w14:paraId="1B60E467">
      <w:pPr>
        <w:snapToGrid w:val="0"/>
        <w:spacing w:line="480" w:lineRule="exact"/>
        <w:rPr>
          <w:rFonts w:ascii="宋体" w:hAnsi="宋体"/>
          <w:color w:val="auto"/>
          <w:kern w:val="0"/>
          <w:sz w:val="24"/>
          <w:highlight w:val="none"/>
          <w:lang w:val="zh-CN" w:eastAsia="zh-CN"/>
        </w:rPr>
      </w:pPr>
      <w:r>
        <w:rPr>
          <w:rFonts w:hint="eastAsia" w:ascii="宋体" w:hAnsi="宋体"/>
          <w:color w:val="auto"/>
          <w:kern w:val="0"/>
          <w:sz w:val="24"/>
          <w:highlight w:val="none"/>
          <w:lang w:val="zh-CN" w:eastAsia="zh-CN"/>
        </w:rPr>
        <w:t xml:space="preserve">项目名称：                                 </w:t>
      </w:r>
      <w:r>
        <w:rPr>
          <w:rFonts w:ascii="宋体" w:hAnsi="宋体"/>
          <w:color w:val="auto"/>
          <w:kern w:val="0"/>
          <w:sz w:val="24"/>
          <w:highlight w:val="none"/>
          <w:lang w:val="zh-CN" w:eastAsia="zh-CN"/>
        </w:rPr>
        <w:t xml:space="preserve"> </w:t>
      </w:r>
      <w:r>
        <w:rPr>
          <w:rFonts w:hint="eastAsia" w:ascii="宋体" w:hAnsi="宋体"/>
          <w:color w:val="auto"/>
          <w:kern w:val="0"/>
          <w:sz w:val="24"/>
          <w:highlight w:val="none"/>
          <w:lang w:val="zh-CN" w:eastAsia="zh-CN"/>
        </w:rPr>
        <w:t>项目编号：</w:t>
      </w:r>
    </w:p>
    <w:p w14:paraId="4ADA838F">
      <w:pPr>
        <w:snapToGrid w:val="0"/>
        <w:spacing w:line="480" w:lineRule="exact"/>
        <w:rPr>
          <w:rFonts w:hint="eastAsia" w:ascii="宋体" w:hAnsi="宋体"/>
          <w:color w:val="auto"/>
          <w:kern w:val="0"/>
          <w:sz w:val="24"/>
          <w:highlight w:val="none"/>
          <w:lang w:val="zh-CN" w:eastAsia="zh-CN"/>
        </w:rPr>
      </w:pPr>
      <w:r>
        <w:rPr>
          <w:rFonts w:hint="eastAsia" w:ascii="宋体" w:hAnsi="宋体"/>
          <w:color w:val="auto"/>
          <w:kern w:val="0"/>
          <w:sz w:val="24"/>
          <w:highlight w:val="none"/>
          <w:lang w:val="zh-CN" w:eastAsia="zh-CN"/>
        </w:rPr>
        <w:t xml:space="preserve">甲方：（采购方）                              </w:t>
      </w:r>
    </w:p>
    <w:p w14:paraId="5FC6D9CE">
      <w:pPr>
        <w:snapToGrid w:val="0"/>
        <w:spacing w:line="480" w:lineRule="exact"/>
        <w:rPr>
          <w:rFonts w:hint="eastAsia" w:ascii="宋体" w:hAnsi="宋体"/>
          <w:color w:val="auto"/>
          <w:kern w:val="0"/>
          <w:sz w:val="24"/>
          <w:highlight w:val="none"/>
          <w:lang w:val="zh-CN" w:eastAsia="zh-CN"/>
        </w:rPr>
      </w:pPr>
      <w:r>
        <w:rPr>
          <w:rFonts w:hint="eastAsia" w:ascii="宋体" w:hAnsi="宋体"/>
          <w:color w:val="auto"/>
          <w:kern w:val="0"/>
          <w:sz w:val="24"/>
          <w:highlight w:val="none"/>
          <w:lang w:val="zh-CN" w:eastAsia="zh-CN"/>
        </w:rPr>
        <w:t>乙方：（供应商）</w:t>
      </w:r>
    </w:p>
    <w:p w14:paraId="2B8DAD0B">
      <w:pPr>
        <w:snapToGrid w:val="0"/>
        <w:spacing w:before="120" w:beforeLines="50" w:after="120" w:afterLines="50" w:line="480" w:lineRule="exact"/>
        <w:ind w:firstLine="480" w:firstLineChars="200"/>
        <w:rPr>
          <w:rFonts w:ascii="宋体" w:hAnsi="宋体"/>
          <w:b/>
          <w:color w:val="auto"/>
          <w:kern w:val="0"/>
          <w:sz w:val="24"/>
          <w:highlight w:val="none"/>
          <w:lang w:val="zh-CN" w:eastAsia="zh-CN"/>
        </w:rPr>
      </w:pPr>
      <w:r>
        <w:rPr>
          <w:rFonts w:hint="eastAsia" w:ascii="宋体" w:hAnsi="宋体"/>
          <w:color w:val="auto"/>
          <w:kern w:val="0"/>
          <w:sz w:val="24"/>
          <w:highlight w:val="none"/>
          <w:lang w:val="zh-CN" w:eastAsia="zh-CN"/>
        </w:rPr>
        <w:t>甲、乙双方根据《中华人民共和国民法典》和__________________项目</w:t>
      </w:r>
      <w:r>
        <w:rPr>
          <w:rFonts w:hint="eastAsia" w:ascii="宋体" w:hAnsi="宋体"/>
          <w:color w:val="auto"/>
          <w:kern w:val="0"/>
          <w:sz w:val="24"/>
          <w:highlight w:val="none"/>
          <w:lang w:val="en-US" w:eastAsia="zh-CN"/>
        </w:rPr>
        <w:t>招标</w:t>
      </w:r>
      <w:r>
        <w:rPr>
          <w:rFonts w:hint="eastAsia" w:ascii="宋体" w:hAnsi="宋体"/>
          <w:color w:val="auto"/>
          <w:kern w:val="0"/>
          <w:sz w:val="24"/>
          <w:highlight w:val="none"/>
          <w:lang w:val="zh-CN" w:eastAsia="zh-CN"/>
        </w:rPr>
        <w:t>文件</w:t>
      </w:r>
      <w:r>
        <w:rPr>
          <w:rFonts w:hint="eastAsia" w:ascii="宋体" w:hAnsi="宋体"/>
          <w:color w:val="auto"/>
          <w:kern w:val="0"/>
          <w:sz w:val="24"/>
          <w:highlight w:val="none"/>
          <w:lang w:val="zh-CN"/>
        </w:rPr>
        <w:t>的</w:t>
      </w:r>
      <w:r>
        <w:rPr>
          <w:rFonts w:hint="eastAsia" w:ascii="宋体" w:hAnsi="宋体"/>
          <w:color w:val="auto"/>
          <w:kern w:val="0"/>
          <w:sz w:val="24"/>
          <w:highlight w:val="none"/>
          <w:lang w:val="zh-CN" w:eastAsia="zh-CN"/>
        </w:rPr>
        <w:t>相关规定，双方达成一致签署本合同。</w:t>
      </w:r>
    </w:p>
    <w:p w14:paraId="0B2A52B8">
      <w:pPr>
        <w:pStyle w:val="31"/>
        <w:snapToGrid w:val="0"/>
        <w:spacing w:beforeLines="0" w:afterLines="0" w:line="480" w:lineRule="exact"/>
        <w:rPr>
          <w:rFonts w:hAnsi="宋体"/>
          <w:b/>
          <w:color w:val="auto"/>
          <w:highlight w:val="none"/>
        </w:rPr>
      </w:pPr>
      <w:r>
        <w:rPr>
          <w:rFonts w:hint="eastAsia" w:hAnsi="宋体"/>
          <w:b/>
          <w:color w:val="auto"/>
          <w:highlight w:val="none"/>
        </w:rPr>
        <w:t>一、货物内容</w:t>
      </w:r>
    </w:p>
    <w:p w14:paraId="1D50EB12">
      <w:pPr>
        <w:pStyle w:val="31"/>
        <w:snapToGrid w:val="0"/>
        <w:spacing w:beforeLines="0" w:afterLines="0" w:line="480" w:lineRule="exact"/>
        <w:rPr>
          <w:rFonts w:hint="default" w:hAnsi="宋体" w:eastAsia="宋体"/>
          <w:color w:val="auto"/>
          <w:highlight w:val="none"/>
          <w:lang w:val="en-US" w:eastAsia="zh-CN"/>
        </w:rPr>
      </w:pPr>
      <w:r>
        <w:rPr>
          <w:rFonts w:hint="eastAsia" w:hAnsi="宋体"/>
          <w:color w:val="auto"/>
          <w:highlight w:val="none"/>
          <w:lang w:val="en-US" w:eastAsia="zh-CN"/>
        </w:rPr>
        <w:t>详见附件：报价明细表</w:t>
      </w:r>
    </w:p>
    <w:p w14:paraId="762DAE23">
      <w:pPr>
        <w:pStyle w:val="31"/>
        <w:snapToGrid w:val="0"/>
        <w:spacing w:beforeLines="0" w:afterLines="0" w:line="480" w:lineRule="exact"/>
        <w:rPr>
          <w:rFonts w:hAnsi="宋体"/>
          <w:b/>
          <w:color w:val="auto"/>
          <w:highlight w:val="none"/>
        </w:rPr>
      </w:pPr>
      <w:r>
        <w:rPr>
          <w:rFonts w:hint="eastAsia" w:hAnsi="宋体"/>
          <w:b/>
          <w:color w:val="auto"/>
          <w:highlight w:val="none"/>
        </w:rPr>
        <w:t>二、合同金额</w:t>
      </w:r>
    </w:p>
    <w:p w14:paraId="44E4E08E">
      <w:pPr>
        <w:pStyle w:val="31"/>
        <w:snapToGrid w:val="0"/>
        <w:spacing w:beforeLines="0" w:afterLines="0" w:line="480" w:lineRule="exact"/>
        <w:rPr>
          <w:rFonts w:hAnsi="宋体"/>
          <w:b/>
          <w:color w:val="auto"/>
          <w:highlight w:val="none"/>
        </w:rPr>
      </w:pPr>
      <w:r>
        <w:rPr>
          <w:rFonts w:hint="eastAsia" w:hAnsi="宋体"/>
          <w:color w:val="auto"/>
          <w:highlight w:val="none"/>
        </w:rPr>
        <w:t>本合同金额为（大写）：________________元（￥_____元）人民币</w:t>
      </w:r>
      <w:r>
        <w:rPr>
          <w:rFonts w:hint="eastAsia" w:hAnsi="宋体"/>
          <w:color w:val="auto"/>
          <w:highlight w:val="none"/>
          <w:lang w:val="en-US" w:eastAsia="zh-CN"/>
        </w:rPr>
        <w:t>(含税）</w:t>
      </w:r>
      <w:r>
        <w:rPr>
          <w:rFonts w:hint="eastAsia" w:hAnsi="宋体"/>
          <w:color w:val="auto"/>
          <w:highlight w:val="none"/>
        </w:rPr>
        <w:t>。包括</w:t>
      </w:r>
      <w:r>
        <w:rPr>
          <w:rFonts w:hint="eastAsia" w:ascii="宋体" w:hAnsi="宋体" w:cs="宋体"/>
          <w:color w:val="auto"/>
          <w:sz w:val="24"/>
          <w:highlight w:val="none"/>
          <w:lang w:val="zh-CN"/>
        </w:rPr>
        <w:t>货款、标准附件、备品备件、专用工具、包装、运输、装卸、保险、货到就位以及安装、保修、</w:t>
      </w:r>
      <w:r>
        <w:rPr>
          <w:rFonts w:hint="eastAsia" w:ascii="宋体" w:hAnsi="宋体" w:cs="宋体"/>
          <w:color w:val="auto"/>
          <w:sz w:val="24"/>
          <w:highlight w:val="none"/>
          <w:lang w:val="en-US" w:eastAsia="zh-CN"/>
        </w:rPr>
        <w:t>企业管理费、利润、规费、税金</w:t>
      </w:r>
      <w:r>
        <w:rPr>
          <w:rFonts w:hint="eastAsia" w:ascii="宋体" w:hAnsi="宋体" w:cs="宋体"/>
          <w:color w:val="auto"/>
          <w:sz w:val="24"/>
          <w:highlight w:val="none"/>
          <w:lang w:val="zh-CN"/>
        </w:rPr>
        <w:t>等一切费用</w:t>
      </w:r>
      <w:r>
        <w:rPr>
          <w:rFonts w:hint="eastAsia" w:hAnsi="宋体"/>
          <w:color w:val="auto"/>
          <w:highlight w:val="none"/>
        </w:rPr>
        <w:t>。</w:t>
      </w:r>
    </w:p>
    <w:p w14:paraId="51351FC9">
      <w:pPr>
        <w:pStyle w:val="31"/>
        <w:snapToGrid w:val="0"/>
        <w:spacing w:beforeLines="0" w:afterLines="0" w:line="480" w:lineRule="exact"/>
        <w:rPr>
          <w:rFonts w:hAnsi="宋体"/>
          <w:b/>
          <w:color w:val="auto"/>
          <w:highlight w:val="none"/>
        </w:rPr>
      </w:pPr>
      <w:r>
        <w:rPr>
          <w:rFonts w:hint="eastAsia" w:hAnsi="宋体"/>
          <w:b/>
          <w:color w:val="auto"/>
          <w:highlight w:val="none"/>
        </w:rPr>
        <w:t>三、技术资料</w:t>
      </w:r>
    </w:p>
    <w:p w14:paraId="23E6D7F8">
      <w:pPr>
        <w:pStyle w:val="31"/>
        <w:snapToGrid w:val="0"/>
        <w:spacing w:beforeLines="0" w:afterLines="0" w:line="480" w:lineRule="exact"/>
        <w:ind w:left="410" w:hanging="410" w:hangingChars="171"/>
        <w:rPr>
          <w:rFonts w:hAnsi="宋体"/>
          <w:color w:val="auto"/>
          <w:highlight w:val="none"/>
        </w:rPr>
      </w:pPr>
      <w:r>
        <w:rPr>
          <w:rFonts w:hint="eastAsia" w:hAnsi="宋体"/>
          <w:color w:val="auto"/>
          <w:highlight w:val="none"/>
        </w:rPr>
        <w:t>1.乙方应按招标文件规定的时间向甲方提供使用货物的有关技术资料。</w:t>
      </w:r>
    </w:p>
    <w:p w14:paraId="210F9502">
      <w:pPr>
        <w:pStyle w:val="31"/>
        <w:snapToGrid w:val="0"/>
        <w:spacing w:beforeLines="0" w:afterLines="0" w:line="480" w:lineRule="exact"/>
        <w:rPr>
          <w:rFonts w:hAnsi="宋体"/>
          <w:color w:val="auto"/>
          <w:highlight w:val="none"/>
        </w:rPr>
      </w:pPr>
      <w:r>
        <w:rPr>
          <w:rFonts w:hint="eastAsia" w:hAnsi="宋体"/>
          <w:color w:val="auto"/>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8CF963F">
      <w:pPr>
        <w:pStyle w:val="31"/>
        <w:snapToGrid w:val="0"/>
        <w:spacing w:beforeLines="0" w:afterLines="0" w:line="480" w:lineRule="exact"/>
        <w:ind w:left="412" w:hanging="412" w:hangingChars="171"/>
        <w:rPr>
          <w:rFonts w:hAnsi="宋体"/>
          <w:b/>
          <w:color w:val="auto"/>
          <w:highlight w:val="none"/>
        </w:rPr>
      </w:pPr>
      <w:r>
        <w:rPr>
          <w:rFonts w:hint="eastAsia" w:hAnsi="宋体"/>
          <w:b/>
          <w:color w:val="auto"/>
          <w:highlight w:val="none"/>
        </w:rPr>
        <w:t>四、知识产权</w:t>
      </w:r>
    </w:p>
    <w:p w14:paraId="0E3539D8">
      <w:pPr>
        <w:pStyle w:val="31"/>
        <w:snapToGrid w:val="0"/>
        <w:spacing w:beforeLines="0" w:afterLines="0" w:line="480" w:lineRule="exact"/>
        <w:rPr>
          <w:rFonts w:hAnsi="宋体"/>
          <w:bCs/>
          <w:color w:val="auto"/>
          <w:highlight w:val="none"/>
        </w:rPr>
      </w:pPr>
      <w:r>
        <w:rPr>
          <w:rFonts w:hint="eastAsia" w:hAnsi="宋体"/>
          <w:color w:val="auto"/>
          <w:highlight w:val="none"/>
        </w:rPr>
        <w:t>乙方应保证所提供的货物或其任何一部分均不会侵犯任何第三方的知识产权</w:t>
      </w:r>
      <w:r>
        <w:rPr>
          <w:rFonts w:hint="eastAsia" w:hAnsi="宋体"/>
          <w:bCs/>
          <w:color w:val="auto"/>
          <w:highlight w:val="none"/>
        </w:rPr>
        <w:t>。</w:t>
      </w:r>
    </w:p>
    <w:p w14:paraId="27B49863">
      <w:pPr>
        <w:pStyle w:val="31"/>
        <w:snapToGrid w:val="0"/>
        <w:spacing w:beforeLines="0" w:afterLines="0" w:line="480" w:lineRule="exact"/>
        <w:rPr>
          <w:rFonts w:hAnsi="宋体"/>
          <w:color w:val="auto"/>
          <w:highlight w:val="none"/>
          <w:u w:val="single"/>
        </w:rPr>
      </w:pPr>
      <w:r>
        <w:rPr>
          <w:rFonts w:hint="eastAsia" w:hAnsi="宋体"/>
          <w:b/>
          <w:color w:val="auto"/>
          <w:highlight w:val="none"/>
        </w:rPr>
        <w:t>五、产权担保</w:t>
      </w:r>
    </w:p>
    <w:p w14:paraId="4DABAD6B">
      <w:pPr>
        <w:pStyle w:val="31"/>
        <w:snapToGrid w:val="0"/>
        <w:spacing w:beforeLines="0" w:afterLines="0" w:line="480" w:lineRule="exact"/>
        <w:ind w:left="408" w:hanging="408" w:hangingChars="170"/>
        <w:rPr>
          <w:rFonts w:hAnsi="宋体"/>
          <w:color w:val="auto"/>
          <w:highlight w:val="none"/>
          <w:u w:val="single"/>
        </w:rPr>
      </w:pPr>
      <w:r>
        <w:rPr>
          <w:rFonts w:hint="eastAsia" w:hAnsi="宋体"/>
          <w:color w:val="auto"/>
          <w:highlight w:val="none"/>
        </w:rPr>
        <w:t>乙方保证所交付的货物的所有权完全属于乙方且无任何抵押、查封等产权瑕疵。</w:t>
      </w:r>
    </w:p>
    <w:p w14:paraId="7E1C63D7">
      <w:pPr>
        <w:pStyle w:val="31"/>
        <w:snapToGrid w:val="0"/>
        <w:spacing w:beforeLines="0" w:afterLines="0" w:line="480" w:lineRule="exact"/>
        <w:ind w:left="410" w:hanging="410" w:hangingChars="170"/>
        <w:rPr>
          <w:rFonts w:hAnsi="宋体"/>
          <w:b/>
          <w:color w:val="auto"/>
          <w:highlight w:val="none"/>
        </w:rPr>
      </w:pPr>
      <w:r>
        <w:rPr>
          <w:rFonts w:hint="eastAsia" w:hAnsi="宋体"/>
          <w:b/>
          <w:color w:val="auto"/>
          <w:highlight w:val="none"/>
        </w:rPr>
        <w:t>六、履约保证金</w:t>
      </w:r>
    </w:p>
    <w:p w14:paraId="7A7C7ACB">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乙方应当在合同签订前向甲方缴纳（提供）履约保证金人民币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元）（现金、银行保函或者保险公司保函），履约保证金在项目验收合格后无息退还。 </w:t>
      </w:r>
    </w:p>
    <w:p w14:paraId="3D3DA748">
      <w:pPr>
        <w:spacing w:line="480" w:lineRule="exact"/>
        <w:rPr>
          <w:rFonts w:ascii="宋体" w:hAnsi="宋体"/>
          <w:b/>
          <w:color w:val="auto"/>
          <w:sz w:val="24"/>
          <w:highlight w:val="none"/>
        </w:rPr>
      </w:pPr>
      <w:r>
        <w:rPr>
          <w:rFonts w:hint="eastAsia" w:ascii="宋体" w:hAnsi="宋体"/>
          <w:b/>
          <w:color w:val="auto"/>
          <w:sz w:val="24"/>
          <w:highlight w:val="none"/>
        </w:rPr>
        <w:t>七、转包或分包</w:t>
      </w:r>
    </w:p>
    <w:p w14:paraId="7A6A7E74">
      <w:pPr>
        <w:spacing w:line="480" w:lineRule="exact"/>
        <w:rPr>
          <w:rFonts w:ascii="宋体" w:hAnsi="宋体"/>
          <w:color w:val="auto"/>
          <w:sz w:val="24"/>
          <w:highlight w:val="none"/>
        </w:rPr>
      </w:pPr>
      <w:r>
        <w:rPr>
          <w:rFonts w:hint="eastAsia" w:ascii="宋体" w:hAnsi="宋体"/>
          <w:color w:val="auto"/>
          <w:sz w:val="24"/>
          <w:highlight w:val="none"/>
        </w:rPr>
        <w:t>1.本合同范围的货物，应由乙方直接供应，不得转让他人供应；</w:t>
      </w:r>
    </w:p>
    <w:p w14:paraId="3D14C992">
      <w:pPr>
        <w:spacing w:line="480" w:lineRule="exact"/>
        <w:rPr>
          <w:rFonts w:ascii="宋体" w:hAnsi="宋体"/>
          <w:color w:val="auto"/>
          <w:sz w:val="24"/>
          <w:highlight w:val="none"/>
        </w:rPr>
      </w:pPr>
      <w:r>
        <w:rPr>
          <w:rFonts w:hint="eastAsia" w:ascii="宋体" w:hAnsi="宋体"/>
          <w:color w:val="auto"/>
          <w:sz w:val="24"/>
          <w:highlight w:val="none"/>
        </w:rPr>
        <w:t>2.除非得到甲方的书面同意，乙方不得将本合同范围的货物全部或部分分包给他人供应；</w:t>
      </w:r>
    </w:p>
    <w:p w14:paraId="5FB698D7">
      <w:pPr>
        <w:spacing w:line="480" w:lineRule="exact"/>
        <w:rPr>
          <w:rFonts w:ascii="宋体" w:hAnsi="宋体"/>
          <w:color w:val="auto"/>
          <w:sz w:val="24"/>
          <w:highlight w:val="none"/>
        </w:rPr>
      </w:pPr>
      <w:r>
        <w:rPr>
          <w:rFonts w:hint="eastAsia" w:ascii="宋体" w:hAnsi="宋体"/>
          <w:color w:val="auto"/>
          <w:sz w:val="24"/>
          <w:highlight w:val="none"/>
        </w:rPr>
        <w:t>3.如有转让和未经甲方同意的分包行为，甲方有权解除合同，履约保证金不予退回并追究乙方的违约责任。</w:t>
      </w:r>
    </w:p>
    <w:p w14:paraId="5952B5D6">
      <w:pPr>
        <w:pStyle w:val="31"/>
        <w:snapToGrid w:val="0"/>
        <w:spacing w:beforeLines="0" w:afterLines="0" w:line="480" w:lineRule="exact"/>
        <w:rPr>
          <w:rFonts w:hAnsi="宋体"/>
          <w:color w:val="auto"/>
          <w:highlight w:val="none"/>
        </w:rPr>
      </w:pPr>
      <w:r>
        <w:rPr>
          <w:rFonts w:hint="eastAsia" w:hAnsi="宋体"/>
          <w:b/>
          <w:color w:val="auto"/>
          <w:highlight w:val="none"/>
        </w:rPr>
        <w:t>八、保修期</w:t>
      </w:r>
    </w:p>
    <w:p w14:paraId="0B039B34">
      <w:pPr>
        <w:pStyle w:val="31"/>
        <w:snapToGrid w:val="0"/>
        <w:spacing w:beforeLines="0" w:afterLines="0" w:line="480" w:lineRule="exact"/>
        <w:ind w:left="410" w:hanging="410" w:hangingChars="171"/>
        <w:rPr>
          <w:rFonts w:hAnsi="宋体"/>
          <w:color w:val="auto"/>
          <w:highlight w:val="none"/>
        </w:rPr>
      </w:pPr>
      <w:r>
        <w:rPr>
          <w:rFonts w:hint="eastAsia" w:hAnsi="宋体"/>
          <w:color w:val="auto"/>
          <w:highlight w:val="none"/>
        </w:rPr>
        <w:t>1.保修期</w:t>
      </w:r>
      <w:r>
        <w:rPr>
          <w:rFonts w:hint="eastAsia" w:hAnsi="宋体"/>
          <w:color w:val="auto"/>
          <w:highlight w:val="none"/>
          <w:u w:val="single"/>
        </w:rPr>
        <w:t xml:space="preserve">  </w:t>
      </w:r>
      <w:r>
        <w:rPr>
          <w:rFonts w:hAnsi="宋体"/>
          <w:color w:val="auto"/>
          <w:highlight w:val="none"/>
          <w:u w:val="single"/>
        </w:rPr>
        <w:t xml:space="preserve">  </w:t>
      </w:r>
      <w:r>
        <w:rPr>
          <w:rFonts w:hint="eastAsia" w:hAnsi="宋体"/>
          <w:color w:val="auto"/>
          <w:highlight w:val="none"/>
        </w:rPr>
        <w:t>年。（自交货验收合格之日起计）</w:t>
      </w:r>
    </w:p>
    <w:p w14:paraId="721BEAE5">
      <w:pPr>
        <w:pStyle w:val="31"/>
        <w:snapToGrid w:val="0"/>
        <w:spacing w:beforeLines="0" w:afterLines="0" w:line="480" w:lineRule="exact"/>
        <w:rPr>
          <w:rFonts w:hAnsi="宋体"/>
          <w:b/>
          <w:color w:val="auto"/>
          <w:highlight w:val="none"/>
        </w:rPr>
      </w:pPr>
      <w:r>
        <w:rPr>
          <w:rFonts w:hint="eastAsia" w:hAnsi="宋体"/>
          <w:b/>
          <w:color w:val="auto"/>
          <w:highlight w:val="none"/>
        </w:rPr>
        <w:t>九、交货期、交货方式及交货地点</w:t>
      </w:r>
    </w:p>
    <w:p w14:paraId="3DE991F7">
      <w:pPr>
        <w:pStyle w:val="31"/>
        <w:snapToGrid w:val="0"/>
        <w:spacing w:beforeLines="0" w:afterLines="0" w:line="480" w:lineRule="exact"/>
        <w:rPr>
          <w:rFonts w:hint="eastAsia" w:hAnsi="宋体"/>
          <w:bCs/>
          <w:color w:val="auto"/>
          <w:highlight w:val="none"/>
        </w:rPr>
      </w:pPr>
      <w:r>
        <w:rPr>
          <w:rFonts w:hint="eastAsia" w:hAnsi="宋体"/>
          <w:bCs/>
          <w:color w:val="auto"/>
          <w:highlight w:val="none"/>
        </w:rPr>
        <w:t>1. 供货期：</w:t>
      </w:r>
    </w:p>
    <w:p w14:paraId="04A8E220">
      <w:pPr>
        <w:pStyle w:val="31"/>
        <w:snapToGrid w:val="0"/>
        <w:spacing w:beforeLines="0" w:afterLines="0" w:line="480" w:lineRule="exact"/>
        <w:rPr>
          <w:rFonts w:hint="eastAsia" w:hAnsi="宋体"/>
          <w:bCs/>
          <w:color w:val="auto"/>
          <w:highlight w:val="none"/>
        </w:rPr>
      </w:pPr>
      <w:r>
        <w:rPr>
          <w:rFonts w:hint="eastAsia" w:hAnsi="宋体"/>
          <w:bCs/>
          <w:color w:val="auto"/>
          <w:highlight w:val="none"/>
        </w:rPr>
        <w:t>2. 交货方式：</w:t>
      </w:r>
    </w:p>
    <w:p w14:paraId="692E88A0">
      <w:pPr>
        <w:pStyle w:val="31"/>
        <w:snapToGrid w:val="0"/>
        <w:spacing w:beforeLines="0" w:afterLines="0" w:line="480" w:lineRule="exact"/>
        <w:rPr>
          <w:rFonts w:hAnsi="宋体"/>
          <w:b/>
          <w:color w:val="auto"/>
          <w:highlight w:val="none"/>
        </w:rPr>
      </w:pPr>
      <w:r>
        <w:rPr>
          <w:rFonts w:hint="eastAsia" w:hAnsi="宋体"/>
          <w:bCs/>
          <w:color w:val="auto"/>
          <w:highlight w:val="none"/>
        </w:rPr>
        <w:t>3. 交货地点：</w:t>
      </w:r>
    </w:p>
    <w:p w14:paraId="5C405A50">
      <w:pPr>
        <w:pStyle w:val="31"/>
        <w:snapToGrid w:val="0"/>
        <w:spacing w:beforeLines="0" w:afterLines="0" w:line="480" w:lineRule="exact"/>
        <w:rPr>
          <w:rFonts w:hAnsi="宋体"/>
          <w:b/>
          <w:color w:val="auto"/>
          <w:highlight w:val="none"/>
        </w:rPr>
      </w:pPr>
      <w:r>
        <w:rPr>
          <w:rFonts w:hint="eastAsia" w:hAnsi="宋体"/>
          <w:b/>
          <w:color w:val="auto"/>
          <w:highlight w:val="none"/>
        </w:rPr>
        <w:t>十、货款支付</w:t>
      </w:r>
    </w:p>
    <w:p w14:paraId="45DAE560">
      <w:pPr>
        <w:pStyle w:val="31"/>
        <w:snapToGrid w:val="0"/>
        <w:spacing w:beforeLines="0" w:afterLines="0" w:line="480" w:lineRule="exact"/>
        <w:rPr>
          <w:rFonts w:hint="eastAsia" w:hAnsi="宋体"/>
          <w:bCs/>
          <w:color w:val="auto"/>
          <w:highlight w:val="none"/>
          <w:lang w:val="en-US" w:eastAsia="zh-CN"/>
        </w:rPr>
      </w:pPr>
      <w:r>
        <w:rPr>
          <w:rFonts w:hint="eastAsia" w:hAnsi="宋体"/>
          <w:bCs/>
          <w:color w:val="auto"/>
          <w:highlight w:val="none"/>
          <w:lang w:val="en-US" w:eastAsia="zh-CN"/>
        </w:rPr>
        <w:t>1、合同签订后支付合同价的30%，货物供货安装完成并验收合格后付至合同价的80%，经结算审定后付至结算价的95%，剩余5%作为保修金，保修期满后付清。增值税发票应随付款进度及时提供。</w:t>
      </w:r>
    </w:p>
    <w:p w14:paraId="6B2FDB92">
      <w:pPr>
        <w:pStyle w:val="31"/>
        <w:snapToGrid w:val="0"/>
        <w:spacing w:beforeLines="0" w:afterLines="0" w:line="480" w:lineRule="exact"/>
        <w:rPr>
          <w:rFonts w:hint="eastAsia" w:hAnsi="宋体"/>
          <w:bCs/>
          <w:color w:val="auto"/>
          <w:highlight w:val="none"/>
        </w:rPr>
      </w:pPr>
      <w:r>
        <w:rPr>
          <w:rFonts w:hint="eastAsia" w:hAnsi="宋体"/>
          <w:bCs/>
          <w:color w:val="auto"/>
          <w:highlight w:val="none"/>
          <w:lang w:val="en-US" w:eastAsia="zh-CN"/>
        </w:rPr>
        <w:t>2、甲方可根据实际情况增加或减少供货数量，乙方须无条件服从，并按实际供货数量结算。供货数量不论增减多少，单价不变，乙方不得拒绝。结算时乙方必须根据实际使用量供货及安装，最终结算金额按实际使用量乘以成交单价进行计算。</w:t>
      </w:r>
    </w:p>
    <w:p w14:paraId="2B1E88BB">
      <w:pPr>
        <w:pStyle w:val="31"/>
        <w:snapToGrid w:val="0"/>
        <w:spacing w:beforeLines="0" w:afterLines="0" w:line="480" w:lineRule="exact"/>
        <w:rPr>
          <w:b/>
          <w:color w:val="auto"/>
          <w:highlight w:val="none"/>
        </w:rPr>
      </w:pPr>
      <w:r>
        <w:rPr>
          <w:rFonts w:hint="eastAsia"/>
          <w:b/>
          <w:color w:val="auto"/>
          <w:highlight w:val="none"/>
        </w:rPr>
        <w:t>十一、税费</w:t>
      </w:r>
    </w:p>
    <w:p w14:paraId="7A0F5687">
      <w:pPr>
        <w:spacing w:line="480" w:lineRule="exact"/>
        <w:rPr>
          <w:color w:val="auto"/>
          <w:sz w:val="24"/>
          <w:highlight w:val="none"/>
        </w:rPr>
      </w:pPr>
      <w:r>
        <w:rPr>
          <w:rFonts w:hint="eastAsia"/>
          <w:color w:val="auto"/>
          <w:sz w:val="24"/>
          <w:highlight w:val="none"/>
        </w:rPr>
        <w:t>本合同执行中相关的一切税费均由乙方负担。</w:t>
      </w:r>
    </w:p>
    <w:p w14:paraId="40394A9A">
      <w:pPr>
        <w:pStyle w:val="31"/>
        <w:snapToGrid w:val="0"/>
        <w:spacing w:beforeLines="0" w:afterLines="0" w:line="480" w:lineRule="exact"/>
        <w:ind w:left="412" w:hanging="412" w:hangingChars="171"/>
        <w:rPr>
          <w:rFonts w:hAnsi="宋体"/>
          <w:color w:val="auto"/>
          <w:highlight w:val="none"/>
        </w:rPr>
      </w:pPr>
      <w:r>
        <w:rPr>
          <w:rFonts w:hint="eastAsia" w:hAnsi="宋体"/>
          <w:b/>
          <w:color w:val="auto"/>
          <w:highlight w:val="none"/>
        </w:rPr>
        <w:t>十二、质量保证及售后服务</w:t>
      </w:r>
    </w:p>
    <w:p w14:paraId="7B4B455B">
      <w:pPr>
        <w:pStyle w:val="31"/>
        <w:snapToGrid w:val="0"/>
        <w:spacing w:beforeLines="0" w:afterLines="0" w:line="480" w:lineRule="exact"/>
        <w:rPr>
          <w:rFonts w:hAnsi="宋体"/>
          <w:color w:val="auto"/>
          <w:highlight w:val="none"/>
        </w:rPr>
      </w:pPr>
      <w:r>
        <w:rPr>
          <w:rFonts w:hint="eastAsia" w:hAnsi="宋体"/>
          <w:color w:val="auto"/>
          <w:highlight w:val="none"/>
        </w:rPr>
        <w:t>1. 乙方应按招标文件规定的货物性能、技术要求、质量标准向甲方提供未经使用的全新产品。</w:t>
      </w:r>
    </w:p>
    <w:p w14:paraId="3DF2565B">
      <w:pPr>
        <w:pStyle w:val="31"/>
        <w:snapToGrid w:val="0"/>
        <w:spacing w:beforeLines="0" w:afterLines="0" w:line="480" w:lineRule="exact"/>
        <w:rPr>
          <w:rFonts w:hAnsi="宋体"/>
          <w:color w:val="auto"/>
          <w:highlight w:val="none"/>
        </w:rPr>
      </w:pPr>
      <w:r>
        <w:rPr>
          <w:rFonts w:hint="eastAsia" w:hAnsi="宋体"/>
          <w:color w:val="auto"/>
          <w:highlight w:val="none"/>
        </w:rPr>
        <w:t>2.乙方提供的货物在保修期内因货物本身的质量问题发生故障，乙方应负责免费更换。</w:t>
      </w:r>
    </w:p>
    <w:p w14:paraId="59F1D264">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对达不到技术要求者，根据实际情况，经双方协商，可按以下办法处理：</w:t>
      </w:r>
    </w:p>
    <w:p w14:paraId="4D22F477">
      <w:pPr>
        <w:pStyle w:val="31"/>
        <w:snapToGrid w:val="0"/>
        <w:spacing w:beforeLines="0" w:afterLines="0" w:line="480" w:lineRule="exact"/>
        <w:ind w:firstLine="420"/>
        <w:rPr>
          <w:rFonts w:hAnsi="宋体"/>
          <w:color w:val="auto"/>
          <w:highlight w:val="none"/>
        </w:rPr>
      </w:pPr>
      <w:r>
        <w:rPr>
          <w:rFonts w:hint="eastAsia" w:hAnsi="宋体"/>
          <w:color w:val="auto"/>
          <w:highlight w:val="none"/>
        </w:rPr>
        <w:t>⑴更换：由乙方承担所发生的全部费用。</w:t>
      </w:r>
    </w:p>
    <w:p w14:paraId="26FFA415">
      <w:pPr>
        <w:pStyle w:val="31"/>
        <w:snapToGrid w:val="0"/>
        <w:spacing w:beforeLines="0" w:afterLines="0" w:line="480" w:lineRule="exact"/>
        <w:ind w:firstLine="420"/>
        <w:rPr>
          <w:rFonts w:hAnsi="宋体"/>
          <w:color w:val="auto"/>
          <w:highlight w:val="none"/>
        </w:rPr>
      </w:pPr>
      <w:r>
        <w:rPr>
          <w:rFonts w:hint="eastAsia" w:hAnsi="宋体"/>
          <w:color w:val="auto"/>
          <w:highlight w:val="none"/>
        </w:rPr>
        <w:t>⑵贬值处理：由甲乙双方合议定价。</w:t>
      </w:r>
    </w:p>
    <w:p w14:paraId="464BC6C1">
      <w:pPr>
        <w:pStyle w:val="31"/>
        <w:snapToGrid w:val="0"/>
        <w:spacing w:beforeLines="0" w:afterLines="0" w:line="480" w:lineRule="exact"/>
        <w:ind w:left="420" w:leftChars="200"/>
        <w:rPr>
          <w:rFonts w:hAnsi="宋体"/>
          <w:color w:val="auto"/>
          <w:highlight w:val="none"/>
        </w:rPr>
      </w:pPr>
      <w:r>
        <w:rPr>
          <w:rFonts w:hint="eastAsia" w:hAnsi="宋体"/>
          <w:color w:val="auto"/>
          <w:highlight w:val="none"/>
        </w:rPr>
        <w:t>⑶退货处理：乙方应退还甲方支付的合同款，同时应承担该货物的直接费用（运输、保险、检验、货款利息及银行手续费等）。</w:t>
      </w:r>
    </w:p>
    <w:p w14:paraId="59FE2337">
      <w:pPr>
        <w:pStyle w:val="31"/>
        <w:snapToGrid w:val="0"/>
        <w:spacing w:beforeLines="0" w:afterLines="0" w:line="480" w:lineRule="exact"/>
        <w:rPr>
          <w:rFonts w:hAnsi="宋体"/>
          <w:color w:val="auto"/>
          <w:highlight w:val="none"/>
        </w:rPr>
      </w:pPr>
      <w:r>
        <w:rPr>
          <w:rFonts w:hint="eastAsia" w:hAnsi="宋体"/>
          <w:color w:val="auto"/>
          <w:highlight w:val="none"/>
        </w:rPr>
        <w:t>3.如在使用过程中发生质量问题，乙方在接到甲方通知后在</w:t>
      </w:r>
      <w:r>
        <w:rPr>
          <w:rFonts w:hint="eastAsia" w:hAnsi="宋体"/>
          <w:color w:val="auto"/>
          <w:highlight w:val="none"/>
          <w:u w:val="single"/>
          <w:lang w:val="en-US" w:eastAsia="zh-CN"/>
        </w:rPr>
        <w:t xml:space="preserve">  </w:t>
      </w:r>
      <w:r>
        <w:rPr>
          <w:rFonts w:hint="eastAsia" w:hAnsi="宋体"/>
          <w:color w:val="auto"/>
          <w:highlight w:val="none"/>
        </w:rPr>
        <w:t>小时内到达甲方现场。</w:t>
      </w:r>
    </w:p>
    <w:p w14:paraId="64282ECF">
      <w:pPr>
        <w:pStyle w:val="31"/>
        <w:snapToGrid w:val="0"/>
        <w:spacing w:beforeLines="0" w:afterLines="0" w:line="480" w:lineRule="exact"/>
        <w:rPr>
          <w:rFonts w:hAnsi="宋体"/>
          <w:color w:val="auto"/>
          <w:highlight w:val="none"/>
        </w:rPr>
      </w:pPr>
      <w:r>
        <w:rPr>
          <w:rFonts w:hint="eastAsia" w:hAnsi="宋体"/>
          <w:color w:val="auto"/>
          <w:highlight w:val="none"/>
        </w:rPr>
        <w:t>4.在保修期内，乙方应对货物出现的质量及安全问题负责处理解决并承担一切费用。</w:t>
      </w:r>
    </w:p>
    <w:p w14:paraId="4D8DEB5C">
      <w:pPr>
        <w:pStyle w:val="31"/>
        <w:snapToGrid w:val="0"/>
        <w:spacing w:beforeLines="0" w:afterLines="0" w:line="480" w:lineRule="exact"/>
        <w:rPr>
          <w:rFonts w:hAnsi="宋体"/>
          <w:color w:val="auto"/>
          <w:highlight w:val="none"/>
        </w:rPr>
      </w:pPr>
      <w:r>
        <w:rPr>
          <w:rFonts w:hint="eastAsia" w:hAnsi="宋体"/>
          <w:color w:val="auto"/>
          <w:highlight w:val="none"/>
        </w:rPr>
        <w:t>5.上述的货物免费保修期为</w:t>
      </w:r>
      <w:r>
        <w:rPr>
          <w:rFonts w:hint="eastAsia" w:hAnsi="宋体"/>
          <w:color w:val="auto"/>
          <w:highlight w:val="none"/>
          <w:u w:val="single"/>
        </w:rPr>
        <w:t xml:space="preserve">   </w:t>
      </w:r>
      <w:r>
        <w:rPr>
          <w:rFonts w:hint="eastAsia" w:hAnsi="宋体"/>
          <w:color w:val="auto"/>
          <w:highlight w:val="none"/>
        </w:rPr>
        <w:t>年，因人为因素出现的故障不在免费保修范围内。超过保修期的机器设备，终生维修，维修时只收部件成本费。</w:t>
      </w:r>
    </w:p>
    <w:p w14:paraId="69A5FDBF">
      <w:pPr>
        <w:pStyle w:val="31"/>
        <w:snapToGrid w:val="0"/>
        <w:spacing w:beforeLines="0" w:afterLines="0" w:line="480" w:lineRule="exact"/>
        <w:rPr>
          <w:rFonts w:hAnsi="宋体"/>
          <w:b/>
          <w:color w:val="auto"/>
          <w:highlight w:val="none"/>
        </w:rPr>
      </w:pPr>
      <w:r>
        <w:rPr>
          <w:rFonts w:hint="eastAsia" w:hAnsi="宋体"/>
          <w:b/>
          <w:color w:val="auto"/>
          <w:highlight w:val="none"/>
        </w:rPr>
        <w:t>十三、验收</w:t>
      </w:r>
    </w:p>
    <w:p w14:paraId="4B00000D">
      <w:pPr>
        <w:pStyle w:val="31"/>
        <w:snapToGrid w:val="0"/>
        <w:spacing w:beforeLines="0" w:afterLines="0" w:line="480" w:lineRule="exact"/>
        <w:jc w:val="left"/>
        <w:rPr>
          <w:rFonts w:hAnsi="宋体"/>
          <w:color w:val="auto"/>
          <w:highlight w:val="none"/>
        </w:rPr>
      </w:pPr>
      <w:r>
        <w:rPr>
          <w:rFonts w:hint="eastAsia" w:hAnsi="宋体"/>
          <w:color w:val="auto"/>
          <w:highlight w:val="none"/>
        </w:rPr>
        <w:t>1.甲方对乙方提交的货物依据招标文件上的技术规格要求</w:t>
      </w:r>
      <w:bookmarkStart w:id="45" w:name="_Hlk49866784"/>
      <w:r>
        <w:rPr>
          <w:rFonts w:hint="eastAsia" w:hAnsi="宋体"/>
          <w:color w:val="auto"/>
          <w:highlight w:val="none"/>
        </w:rPr>
        <w:t>及投标文件应标内容</w:t>
      </w:r>
      <w:bookmarkEnd w:id="45"/>
      <w:r>
        <w:rPr>
          <w:rFonts w:hint="eastAsia" w:hAnsi="宋体"/>
          <w:color w:val="auto"/>
          <w:highlight w:val="none"/>
        </w:rPr>
        <w:t>和国家有关质量标准进行现场初步验收，外观、说明书符合招标文件技术要求及投标文件应标内容的，给予签收，初步验收不合格的不予签收。货到后，甲方需在五个工作日内验收。</w:t>
      </w:r>
    </w:p>
    <w:p w14:paraId="346D6EBD">
      <w:pPr>
        <w:pStyle w:val="31"/>
        <w:snapToGrid w:val="0"/>
        <w:spacing w:beforeLines="0" w:afterLines="0" w:line="480" w:lineRule="exact"/>
        <w:rPr>
          <w:rFonts w:hAnsi="宋体"/>
          <w:color w:val="auto"/>
          <w:highlight w:val="none"/>
        </w:rPr>
      </w:pPr>
      <w:r>
        <w:rPr>
          <w:rFonts w:hint="eastAsia" w:hAnsi="宋体"/>
          <w:color w:val="auto"/>
          <w:highlight w:val="none"/>
        </w:rPr>
        <w:t>2.乙方交货前应对产品作出全面检查和对验收文件进行整理，并列出清单，作为甲方收货验收和使用的技术条件依据，检验的结果应随货物交甲方。</w:t>
      </w:r>
    </w:p>
    <w:p w14:paraId="4F2713D6">
      <w:pPr>
        <w:pStyle w:val="31"/>
        <w:snapToGrid w:val="0"/>
        <w:spacing w:beforeLines="0" w:afterLines="0" w:line="480" w:lineRule="exact"/>
        <w:rPr>
          <w:rFonts w:hAnsi="宋体"/>
          <w:color w:val="auto"/>
          <w:highlight w:val="none"/>
        </w:rPr>
      </w:pPr>
      <w:r>
        <w:rPr>
          <w:rFonts w:hint="eastAsia" w:hAnsi="宋体"/>
          <w:color w:val="auto"/>
          <w:highlight w:val="none"/>
          <w:lang w:val="en-US" w:eastAsia="zh-CN"/>
        </w:rPr>
        <w:t>3</w:t>
      </w:r>
      <w:r>
        <w:rPr>
          <w:rFonts w:hint="eastAsia" w:hAnsi="宋体"/>
          <w:color w:val="auto"/>
          <w:highlight w:val="none"/>
        </w:rPr>
        <w:t>.对技术复杂的货物，甲方应请国家认可的专业检测机构参与初步验收及最终验收，并由其出具质量检测报告。</w:t>
      </w:r>
    </w:p>
    <w:p w14:paraId="179E0694">
      <w:pPr>
        <w:pStyle w:val="31"/>
        <w:snapToGrid w:val="0"/>
        <w:spacing w:beforeLines="0" w:afterLines="0" w:line="480" w:lineRule="exact"/>
        <w:rPr>
          <w:rFonts w:hAnsi="宋体"/>
          <w:color w:val="auto"/>
          <w:highlight w:val="none"/>
        </w:rPr>
      </w:pPr>
      <w:r>
        <w:rPr>
          <w:rFonts w:hint="eastAsia" w:hAnsi="宋体"/>
          <w:color w:val="auto"/>
          <w:highlight w:val="none"/>
          <w:lang w:val="en-US" w:eastAsia="zh-CN"/>
        </w:rPr>
        <w:t>4</w:t>
      </w:r>
      <w:r>
        <w:rPr>
          <w:rFonts w:hint="eastAsia" w:hAnsi="宋体"/>
          <w:color w:val="auto"/>
          <w:highlight w:val="none"/>
        </w:rPr>
        <w:t>.验收时乙方必须在现场，验收完毕后作出验收结果报告。</w:t>
      </w:r>
    </w:p>
    <w:p w14:paraId="2B4E711F">
      <w:pPr>
        <w:pStyle w:val="31"/>
        <w:snapToGrid w:val="0"/>
        <w:spacing w:beforeLines="0" w:afterLines="0" w:line="480" w:lineRule="exact"/>
        <w:rPr>
          <w:rFonts w:hAnsi="宋体"/>
          <w:b/>
          <w:color w:val="auto"/>
          <w:highlight w:val="none"/>
        </w:rPr>
      </w:pPr>
      <w:r>
        <w:rPr>
          <w:rFonts w:hint="eastAsia" w:hAnsi="宋体"/>
          <w:b/>
          <w:color w:val="auto"/>
          <w:highlight w:val="none"/>
        </w:rPr>
        <w:t>十四、货物包装、发运及运输</w:t>
      </w:r>
    </w:p>
    <w:p w14:paraId="78FD7239">
      <w:pPr>
        <w:pStyle w:val="31"/>
        <w:snapToGrid w:val="0"/>
        <w:spacing w:beforeLines="0" w:afterLines="0" w:line="480" w:lineRule="exact"/>
        <w:rPr>
          <w:rFonts w:hAnsi="宋体"/>
          <w:color w:val="auto"/>
          <w:highlight w:val="none"/>
        </w:rPr>
      </w:pPr>
      <w:r>
        <w:rPr>
          <w:rFonts w:hint="eastAsia" w:hAnsi="宋体"/>
          <w:color w:val="auto"/>
          <w:highlight w:val="none"/>
        </w:rPr>
        <w:t>1.乙方应在货物发运前对其进行满足运输距离、防潮、防震、防锈和防破损装卸等要求包装，以保证货物安全运达甲方指定地点。</w:t>
      </w:r>
    </w:p>
    <w:p w14:paraId="4C89B3E6">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2.使用说明书、质量检验证明书、随配附件和工具以及清单一并附于货物内。</w:t>
      </w:r>
    </w:p>
    <w:p w14:paraId="72F61A71">
      <w:pPr>
        <w:pStyle w:val="31"/>
        <w:snapToGrid w:val="0"/>
        <w:spacing w:beforeLines="0" w:afterLines="0" w:line="480" w:lineRule="exact"/>
        <w:rPr>
          <w:rFonts w:hAnsi="宋体"/>
          <w:color w:val="auto"/>
          <w:highlight w:val="none"/>
        </w:rPr>
      </w:pPr>
      <w:r>
        <w:rPr>
          <w:rFonts w:hint="eastAsia" w:hAnsi="宋体"/>
          <w:color w:val="auto"/>
          <w:highlight w:val="none"/>
        </w:rPr>
        <w:t>3.乙方在货物发运手续办理完毕后24小时内或货到甲方48小时前通知甲方，以准备接货。</w:t>
      </w:r>
    </w:p>
    <w:p w14:paraId="46B56932">
      <w:pPr>
        <w:pStyle w:val="31"/>
        <w:snapToGrid w:val="0"/>
        <w:spacing w:beforeLines="0" w:afterLines="0" w:line="480" w:lineRule="exact"/>
        <w:ind w:left="480" w:hanging="480" w:hangingChars="200"/>
        <w:rPr>
          <w:rFonts w:hAnsi="宋体"/>
          <w:color w:val="auto"/>
          <w:highlight w:val="none"/>
        </w:rPr>
      </w:pPr>
      <w:r>
        <w:rPr>
          <w:rFonts w:hint="eastAsia" w:hAnsi="宋体"/>
          <w:color w:val="auto"/>
          <w:highlight w:val="none"/>
        </w:rPr>
        <w:t>4.货物在交付甲方前发生的风险均由乙方负责。</w:t>
      </w:r>
    </w:p>
    <w:p w14:paraId="366DFDA3">
      <w:pPr>
        <w:pStyle w:val="31"/>
        <w:snapToGrid w:val="0"/>
        <w:spacing w:beforeLines="0" w:afterLines="0" w:line="480" w:lineRule="exact"/>
        <w:ind w:right="26"/>
        <w:rPr>
          <w:rFonts w:hAnsi="宋体"/>
          <w:color w:val="auto"/>
          <w:highlight w:val="none"/>
        </w:rPr>
      </w:pPr>
      <w:r>
        <w:rPr>
          <w:rFonts w:hint="eastAsia" w:hAnsi="宋体"/>
          <w:color w:val="auto"/>
          <w:highlight w:val="none"/>
        </w:rPr>
        <w:t>5.货物在规定的交付期限内由乙方送达甲方指定的地点视为交付，乙方同时需通知甲方货物已送达。</w:t>
      </w:r>
    </w:p>
    <w:p w14:paraId="72AE93EC">
      <w:pPr>
        <w:pStyle w:val="31"/>
        <w:snapToGrid w:val="0"/>
        <w:spacing w:beforeLines="0" w:afterLines="0" w:line="480" w:lineRule="exact"/>
        <w:rPr>
          <w:rFonts w:hint="eastAsia"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五</w:t>
      </w:r>
      <w:r>
        <w:rPr>
          <w:rFonts w:hint="eastAsia" w:hAnsi="宋体"/>
          <w:b/>
          <w:color w:val="auto"/>
          <w:highlight w:val="none"/>
        </w:rPr>
        <w:t>、安装</w:t>
      </w:r>
    </w:p>
    <w:p w14:paraId="3CD0B23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1、乙方须提供与工程建设总进度相适应的安装计划，并须由甲方书面认可。</w:t>
      </w:r>
    </w:p>
    <w:p w14:paraId="1DEF0CE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、现场安装须符合国家的相关条例，服从监理单位和总承包单位的管理和检查。</w:t>
      </w:r>
    </w:p>
    <w:p w14:paraId="71E0786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53CB416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4E2698F2">
      <w:pPr>
        <w:spacing w:line="360" w:lineRule="auto"/>
        <w:rPr>
          <w:rFonts w:hint="eastAsia" w:hAnsi="宋体"/>
          <w:b/>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77DA31E0">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六</w:t>
      </w:r>
      <w:r>
        <w:rPr>
          <w:rFonts w:hint="eastAsia" w:hAnsi="宋体"/>
          <w:b/>
          <w:color w:val="auto"/>
          <w:highlight w:val="none"/>
        </w:rPr>
        <w:t>、违约责任</w:t>
      </w:r>
    </w:p>
    <w:p w14:paraId="758AC82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1.甲方无正当理由拒收货物的，甲方向乙方偿付拒收货款总值的百分之五违约金。</w:t>
      </w:r>
    </w:p>
    <w:p w14:paraId="48F6D22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p>
    <w:p w14:paraId="71CBB649">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0BDD8B3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16CF47D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5.乙方应按国家相关规定要求做好现场防护工作，甲方现场检查发现乙方未做好安全防护的，每次罚金500元。因乙方未做好安全防护造成的安全责任由乙方承担。</w:t>
      </w:r>
    </w:p>
    <w:p w14:paraId="7AE3E791">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七</w:t>
      </w:r>
      <w:r>
        <w:rPr>
          <w:rFonts w:hint="eastAsia" w:hAnsi="宋体"/>
          <w:b/>
          <w:color w:val="auto"/>
          <w:highlight w:val="none"/>
        </w:rPr>
        <w:t>、不可抗力事件处理</w:t>
      </w:r>
    </w:p>
    <w:p w14:paraId="7B1FB884">
      <w:pPr>
        <w:pStyle w:val="31"/>
        <w:snapToGrid w:val="0"/>
        <w:spacing w:beforeLines="0" w:afterLines="0" w:line="480" w:lineRule="exact"/>
        <w:rPr>
          <w:rFonts w:hAnsi="宋体"/>
          <w:color w:val="auto"/>
          <w:highlight w:val="none"/>
        </w:rPr>
      </w:pPr>
      <w:r>
        <w:rPr>
          <w:rFonts w:hint="eastAsia" w:hAnsi="宋体"/>
          <w:color w:val="auto"/>
          <w:highlight w:val="none"/>
        </w:rPr>
        <w:t>1.在合同有效期内，任何一方因不可抗力事件导致不能履行合同，则合同履行期可延长，其延长期与不可抗力影响期相同。</w:t>
      </w:r>
    </w:p>
    <w:p w14:paraId="0C33D185">
      <w:pPr>
        <w:pStyle w:val="31"/>
        <w:snapToGrid w:val="0"/>
        <w:spacing w:beforeLines="0" w:afterLines="0" w:line="480" w:lineRule="exact"/>
        <w:rPr>
          <w:rFonts w:hAnsi="宋体"/>
          <w:color w:val="auto"/>
          <w:highlight w:val="none"/>
        </w:rPr>
      </w:pPr>
      <w:r>
        <w:rPr>
          <w:rFonts w:hint="eastAsia" w:hAnsi="宋体"/>
          <w:color w:val="auto"/>
          <w:highlight w:val="none"/>
        </w:rPr>
        <w:t>2.不可抗力事件发生后，应立即通知对方，并寄送有关权威机构出具的证明。</w:t>
      </w:r>
    </w:p>
    <w:p w14:paraId="39F6B77C">
      <w:pPr>
        <w:pStyle w:val="31"/>
        <w:snapToGrid w:val="0"/>
        <w:spacing w:beforeLines="0" w:afterLines="0" w:line="480" w:lineRule="exact"/>
        <w:rPr>
          <w:rFonts w:hAnsi="宋体"/>
          <w:color w:val="auto"/>
          <w:highlight w:val="none"/>
        </w:rPr>
      </w:pPr>
      <w:r>
        <w:rPr>
          <w:rFonts w:hint="eastAsia" w:hAnsi="宋体"/>
          <w:color w:val="auto"/>
          <w:highlight w:val="none"/>
        </w:rPr>
        <w:t>3.不可抗力事件延续120天以上，双方应通过友好协商，确定是否继续履行合同。</w:t>
      </w:r>
    </w:p>
    <w:p w14:paraId="010A142E">
      <w:pPr>
        <w:pStyle w:val="31"/>
        <w:snapToGrid w:val="0"/>
        <w:spacing w:beforeLines="0" w:afterLines="0" w:line="480" w:lineRule="exact"/>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八</w:t>
      </w:r>
      <w:r>
        <w:rPr>
          <w:rFonts w:hint="eastAsia" w:hAnsi="宋体"/>
          <w:b/>
          <w:color w:val="auto"/>
          <w:highlight w:val="none"/>
        </w:rPr>
        <w:t>、诉讼</w:t>
      </w:r>
    </w:p>
    <w:p w14:paraId="76E85A22">
      <w:pPr>
        <w:pStyle w:val="31"/>
        <w:snapToGrid w:val="0"/>
        <w:spacing w:beforeLines="0" w:afterLines="0" w:line="360" w:lineRule="auto"/>
        <w:ind w:firstLine="480" w:firstLineChars="200"/>
        <w:rPr>
          <w:rFonts w:hAnsi="宋体"/>
          <w:color w:val="auto"/>
          <w:highlight w:val="none"/>
        </w:rPr>
      </w:pPr>
      <w:r>
        <w:rPr>
          <w:rFonts w:hint="eastAsia" w:hAnsi="宋体"/>
          <w:color w:val="auto"/>
          <w:highlight w:val="none"/>
        </w:rPr>
        <w:t>双方在执行合同中所发生的一切争议，应通过协商解决。如协商不成，可向甲方所在地人民法院起诉。</w:t>
      </w:r>
    </w:p>
    <w:p w14:paraId="3182BA96">
      <w:pPr>
        <w:pStyle w:val="31"/>
        <w:snapToGrid w:val="0"/>
        <w:spacing w:beforeLines="0" w:afterLines="0" w:line="360" w:lineRule="auto"/>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九</w:t>
      </w:r>
      <w:r>
        <w:rPr>
          <w:rFonts w:hint="eastAsia" w:hAnsi="宋体"/>
          <w:b/>
          <w:color w:val="auto"/>
          <w:highlight w:val="none"/>
        </w:rPr>
        <w:t>、合同生效及其它</w:t>
      </w:r>
    </w:p>
    <w:p w14:paraId="2C88DCB6">
      <w:pPr>
        <w:pStyle w:val="31"/>
        <w:snapToGrid w:val="0"/>
        <w:spacing w:beforeLines="0" w:afterLines="0" w:line="360" w:lineRule="auto"/>
        <w:rPr>
          <w:rFonts w:hAnsi="宋体"/>
          <w:color w:val="auto"/>
          <w:highlight w:val="none"/>
        </w:rPr>
      </w:pPr>
      <w:r>
        <w:rPr>
          <w:rFonts w:hint="eastAsia" w:hAnsi="宋体"/>
          <w:color w:val="auto"/>
          <w:highlight w:val="none"/>
        </w:rPr>
        <w:t>1.合同经双方法定代表人或授权代表签字并加盖单位公章后生效。</w:t>
      </w:r>
    </w:p>
    <w:p w14:paraId="12F53CB1">
      <w:pPr>
        <w:pStyle w:val="31"/>
        <w:snapToGrid w:val="0"/>
        <w:spacing w:beforeLines="0" w:afterLines="0" w:line="360" w:lineRule="auto"/>
        <w:ind w:left="480" w:hanging="480" w:hangingChars="200"/>
        <w:rPr>
          <w:rFonts w:hAnsi="宋体"/>
          <w:color w:val="auto"/>
          <w:highlight w:val="none"/>
        </w:rPr>
      </w:pPr>
      <w:r>
        <w:rPr>
          <w:rFonts w:hint="eastAsia" w:hAnsi="宋体"/>
          <w:color w:val="auto"/>
          <w:highlight w:val="none"/>
          <w:lang w:val="en-US" w:eastAsia="zh-CN"/>
        </w:rPr>
        <w:t>2</w:t>
      </w:r>
      <w:r>
        <w:rPr>
          <w:rFonts w:hint="eastAsia" w:hAnsi="宋体"/>
          <w:color w:val="auto"/>
          <w:highlight w:val="none"/>
        </w:rPr>
        <w:t>.本合同未尽事宜，遵照《民法典》有关条文执行。</w:t>
      </w:r>
    </w:p>
    <w:p w14:paraId="223E1ABE">
      <w:pPr>
        <w:pStyle w:val="31"/>
        <w:snapToGrid w:val="0"/>
        <w:spacing w:beforeLines="0" w:afterLines="0" w:line="360" w:lineRule="auto"/>
        <w:ind w:left="0" w:firstLine="0" w:firstLineChars="0"/>
        <w:rPr>
          <w:rFonts w:hint="eastAsia" w:hAnsi="宋体"/>
          <w:color w:val="auto"/>
          <w:highlight w:val="none"/>
        </w:rPr>
      </w:pPr>
      <w:r>
        <w:rPr>
          <w:rFonts w:hint="eastAsia" w:hAnsi="宋体"/>
          <w:color w:val="auto"/>
          <w:highlight w:val="none"/>
          <w:lang w:val="en-US" w:eastAsia="zh-CN"/>
        </w:rPr>
        <w:t>3</w:t>
      </w:r>
      <w:r>
        <w:rPr>
          <w:rFonts w:hint="eastAsia" w:hAnsi="宋体"/>
          <w:color w:val="auto"/>
          <w:highlight w:val="none"/>
        </w:rPr>
        <w:t>.本合同一式八份，具有同等法律效力，各方各执三份、招标代理执二份。</w:t>
      </w:r>
    </w:p>
    <w:p w14:paraId="22D4E0F9">
      <w:pPr>
        <w:pStyle w:val="31"/>
        <w:snapToGrid w:val="0"/>
        <w:spacing w:beforeLines="0" w:afterLines="0" w:line="480" w:lineRule="exact"/>
        <w:ind w:firstLine="241" w:firstLineChars="100"/>
        <w:rPr>
          <w:rFonts w:hint="eastAsia" w:hAnsi="宋体"/>
          <w:b/>
          <w:bCs/>
          <w:color w:val="auto"/>
          <w:highlight w:val="none"/>
          <w:u w:val="single"/>
          <w:shd w:val="pct10" w:color="auto" w:fill="FFFFFF"/>
        </w:rPr>
      </w:pPr>
    </w:p>
    <w:p w14:paraId="1F5A12E6">
      <w:pPr>
        <w:pStyle w:val="31"/>
        <w:snapToGrid w:val="0"/>
        <w:spacing w:beforeLines="0" w:afterLines="0" w:line="480" w:lineRule="exact"/>
        <w:ind w:firstLine="240" w:firstLineChars="100"/>
        <w:rPr>
          <w:rFonts w:hAnsi="宋体"/>
          <w:color w:val="auto"/>
          <w:highlight w:val="none"/>
        </w:rPr>
      </w:pPr>
      <w:r>
        <w:rPr>
          <w:rFonts w:hint="eastAsia" w:hAnsi="宋体"/>
          <w:color w:val="auto"/>
          <w:highlight w:val="none"/>
        </w:rPr>
        <w:t xml:space="preserve">甲方：                                   乙方： </w:t>
      </w:r>
    </w:p>
    <w:p w14:paraId="054C7242">
      <w:pPr>
        <w:pStyle w:val="31"/>
        <w:snapToGrid w:val="0"/>
        <w:spacing w:beforeLines="0" w:afterLines="0" w:line="480" w:lineRule="exact"/>
        <w:rPr>
          <w:rFonts w:hAnsi="宋体"/>
          <w:color w:val="auto"/>
          <w:highlight w:val="none"/>
        </w:rPr>
      </w:pPr>
      <w:r>
        <w:rPr>
          <w:rFonts w:hint="eastAsia" w:hAnsi="宋体"/>
          <w:color w:val="auto"/>
          <w:highlight w:val="none"/>
        </w:rPr>
        <w:t xml:space="preserve">  地址：                                   地址： </w:t>
      </w:r>
    </w:p>
    <w:p w14:paraId="78B6F083">
      <w:pPr>
        <w:pStyle w:val="31"/>
        <w:snapToGrid w:val="0"/>
        <w:spacing w:beforeLines="0" w:afterLines="0" w:line="480" w:lineRule="exact"/>
        <w:rPr>
          <w:rFonts w:hAnsi="宋体"/>
          <w:color w:val="auto"/>
          <w:highlight w:val="none"/>
        </w:rPr>
      </w:pPr>
      <w:r>
        <w:rPr>
          <w:rFonts w:hint="eastAsia" w:hAnsi="宋体"/>
          <w:color w:val="auto"/>
          <w:highlight w:val="none"/>
        </w:rPr>
        <w:t xml:space="preserve">  法定（授权）代表人：                     法定（授权）代表人：</w:t>
      </w:r>
    </w:p>
    <w:p w14:paraId="1B24FBEB">
      <w:pPr>
        <w:pStyle w:val="31"/>
        <w:snapToGrid w:val="0"/>
        <w:spacing w:beforeLines="0" w:afterLines="0" w:line="480" w:lineRule="exact"/>
        <w:ind w:firstLine="240" w:firstLineChars="100"/>
        <w:rPr>
          <w:rFonts w:hAnsi="宋体"/>
          <w:color w:val="auto"/>
          <w:highlight w:val="none"/>
        </w:rPr>
      </w:pPr>
      <w:r>
        <w:rPr>
          <w:rFonts w:hint="eastAsia" w:hAnsi="宋体"/>
          <w:color w:val="auto"/>
          <w:highlight w:val="none"/>
        </w:rPr>
        <w:t>签订日期：     年　  月　 日            签订日期：     年　  月　 日</w:t>
      </w:r>
    </w:p>
    <w:p w14:paraId="516871FB">
      <w:pPr>
        <w:bidi w:val="0"/>
        <w:rPr>
          <w:rFonts w:hAnsi="宋体" w:cs="宋体"/>
          <w:color w:val="auto"/>
          <w:sz w:val="24"/>
          <w:szCs w:val="24"/>
          <w:highlight w:val="none"/>
        </w:rPr>
      </w:pPr>
      <w:r>
        <w:rPr>
          <w:rFonts w:hint="eastAsia" w:hAnsi="宋体"/>
          <w:b/>
          <w:bCs/>
          <w:color w:val="auto"/>
          <w:sz w:val="28"/>
          <w:szCs w:val="28"/>
          <w:highlight w:val="none"/>
          <w:u w:val="single"/>
          <w:shd w:val="pct10" w:color="auto" w:fill="FFFFFF"/>
        </w:rPr>
        <w:br w:type="textWrapping"/>
      </w:r>
      <w:r>
        <w:rPr>
          <w:rFonts w:hint="eastAsia" w:hAnsi="宋体"/>
          <w:b/>
          <w:bCs/>
          <w:color w:val="auto"/>
          <w:sz w:val="24"/>
          <w:szCs w:val="24"/>
          <w:highlight w:val="none"/>
          <w:u w:val="single"/>
          <w:shd w:val="pct10" w:color="auto" w:fill="FFFFFF"/>
        </w:rPr>
        <w:t>附件：附上报价明细表</w:t>
      </w:r>
      <w:r>
        <w:rPr>
          <w:rFonts w:hAnsi="宋体"/>
          <w:b/>
          <w:bCs/>
          <w:color w:val="auto"/>
          <w:sz w:val="24"/>
          <w:szCs w:val="24"/>
          <w:highlight w:val="none"/>
          <w:u w:val="single"/>
          <w:shd w:val="pct10" w:color="auto" w:fill="FFFFFF"/>
        </w:rPr>
        <w:t xml:space="preserve">   </w:t>
      </w:r>
      <w:r>
        <w:rPr>
          <w:rFonts w:hint="eastAsia" w:hAnsi="宋体"/>
          <w:color w:val="auto"/>
          <w:sz w:val="24"/>
          <w:szCs w:val="24"/>
          <w:highlight w:val="none"/>
        </w:rPr>
        <w:t xml:space="preserve">     </w:t>
      </w:r>
      <w:r>
        <w:rPr>
          <w:rFonts w:ascii="宋体" w:hAnsi="宋体" w:eastAsia="宋体"/>
          <w:b/>
          <w:bCs/>
          <w:color w:val="auto"/>
          <w:sz w:val="24"/>
          <w:szCs w:val="24"/>
          <w:highlight w:val="none"/>
        </w:rPr>
        <w:br w:type="page"/>
      </w:r>
    </w:p>
    <w:p w14:paraId="491F2FA1">
      <w:pPr>
        <w:pStyle w:val="31"/>
        <w:snapToGrid w:val="0"/>
        <w:spacing w:beforeLines="0" w:afterLines="0" w:line="420" w:lineRule="exact"/>
        <w:jc w:val="center"/>
        <w:outlineLvl w:val="0"/>
        <w:rPr>
          <w:rFonts w:hint="eastAsia" w:hAnsi="宋体"/>
          <w:b/>
          <w:color w:val="auto"/>
          <w:sz w:val="24"/>
          <w:szCs w:val="24"/>
          <w:highlight w:val="none"/>
          <w:shd w:val="clear" w:color="auto" w:fill="auto"/>
        </w:rPr>
        <w:sectPr>
          <w:footerReference r:id="rId9" w:type="default"/>
          <w:pgSz w:w="11906" w:h="16838"/>
          <w:pgMar w:top="1440" w:right="1588" w:bottom="1440" w:left="1803" w:header="851" w:footer="851" w:gutter="0"/>
          <w:pgBorders>
            <w:top w:val="none" w:sz="0" w:space="0"/>
            <w:left w:val="none" w:sz="0" w:space="0"/>
            <w:bottom w:val="none" w:sz="0" w:space="0"/>
            <w:right w:val="none" w:sz="0" w:space="0"/>
          </w:pgBorders>
          <w:pgNumType w:fmt="decimal"/>
          <w:cols w:space="720" w:num="1"/>
        </w:sectPr>
      </w:pPr>
    </w:p>
    <w:p w14:paraId="54D5B19F">
      <w:pPr>
        <w:pStyle w:val="60"/>
        <w:rPr>
          <w:rFonts w:hint="eastAsia" w:ascii="宋体" w:hAnsi="宋体" w:eastAsia="宋体" w:cs="宋体"/>
          <w:b/>
          <w:color w:val="auto"/>
          <w:sz w:val="30"/>
          <w:szCs w:val="30"/>
          <w:highlight w:val="none"/>
          <w:shd w:val="clear" w:color="auto" w:fill="auto"/>
        </w:rPr>
      </w:pPr>
      <w:bookmarkStart w:id="46" w:name="_Toc14350"/>
    </w:p>
    <w:p w14:paraId="30626A2C">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bookmarkEnd w:id="44"/>
      <w:bookmarkEnd w:id="46"/>
    </w:p>
    <w:p w14:paraId="616A442E">
      <w:pPr>
        <w:pStyle w:val="31"/>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5000ED06">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47" w:name="_Toc30690"/>
      <w:bookmarkStart w:id="48" w:name="_Toc29949"/>
      <w:bookmarkStart w:id="49" w:name="_Toc1578"/>
      <w:bookmarkStart w:id="50" w:name="_Toc265669850"/>
      <w:r>
        <w:rPr>
          <w:rFonts w:hint="eastAsia" w:ascii="宋体" w:hAnsi="宋体" w:eastAsia="宋体" w:cs="宋体"/>
          <w:b/>
          <w:bCs/>
          <w:color w:val="auto"/>
          <w:sz w:val="28"/>
          <w:szCs w:val="28"/>
          <w:highlight w:val="none"/>
          <w:shd w:val="clear" w:color="auto" w:fill="auto"/>
        </w:rPr>
        <w:t>一、资格响应文件格式</w:t>
      </w:r>
      <w:bookmarkEnd w:id="47"/>
      <w:bookmarkEnd w:id="48"/>
      <w:bookmarkEnd w:id="49"/>
    </w:p>
    <w:p w14:paraId="247EC7DC">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05224C70">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405F42D7">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1.资格响应文件封面格式： </w:t>
      </w:r>
    </w:p>
    <w:p w14:paraId="7E3770D6">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112C6EEE">
      <w:pPr>
        <w:snapToGrid w:val="0"/>
        <w:spacing w:before="120" w:beforeLines="50" w:after="50"/>
        <w:rPr>
          <w:rFonts w:hint="eastAsia" w:ascii="宋体" w:hAnsi="宋体" w:eastAsia="宋体" w:cs="宋体"/>
          <w:color w:val="auto"/>
          <w:sz w:val="28"/>
          <w:szCs w:val="28"/>
          <w:highlight w:val="none"/>
          <w:shd w:val="clear" w:color="auto" w:fill="auto"/>
        </w:rPr>
      </w:pPr>
    </w:p>
    <w:p w14:paraId="05F5DEF9">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2CC753EC">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资格响应文件</w:t>
      </w:r>
    </w:p>
    <w:p w14:paraId="36D25BDD">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001FEAB9">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515BBE55">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698198B2">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74BA07E6">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7318A06A">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53DD2B60">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2AE414B1">
      <w:pPr>
        <w:pStyle w:val="13"/>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15BA532C">
      <w:pPr>
        <w:snapToGrid w:val="0"/>
        <w:spacing w:line="360" w:lineRule="auto"/>
        <w:ind w:firstLine="3360" w:firstLineChars="1200"/>
        <w:jc w:val="left"/>
        <w:rPr>
          <w:rFonts w:hint="eastAsia" w:ascii="宋体" w:hAnsi="宋体" w:eastAsia="宋体" w:cs="宋体"/>
          <w:color w:val="auto"/>
          <w:sz w:val="28"/>
          <w:szCs w:val="28"/>
          <w:highlight w:val="none"/>
          <w:shd w:val="clear" w:color="auto" w:fill="auto"/>
        </w:rPr>
      </w:pPr>
    </w:p>
    <w:p w14:paraId="145F01F3">
      <w:pPr>
        <w:snapToGrid w:val="0"/>
        <w:spacing w:line="360" w:lineRule="auto"/>
        <w:ind w:firstLine="364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51" w:name="_Hlk60757343"/>
      <w:r>
        <w:rPr>
          <w:rFonts w:hint="eastAsia" w:ascii="宋体" w:hAnsi="宋体" w:eastAsia="宋体" w:cs="宋体"/>
          <w:color w:val="auto"/>
          <w:sz w:val="24"/>
          <w:highlight w:val="none"/>
          <w:shd w:val="clear" w:color="auto" w:fill="auto"/>
        </w:rPr>
        <w:t>2.营业执照等：</w:t>
      </w:r>
      <w:bookmarkEnd w:id="51"/>
    </w:p>
    <w:p w14:paraId="7FB7B307">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6CB50E89">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1864C7CE">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营业执照（推荐使用电子营业执照）</w:t>
      </w:r>
    </w:p>
    <w:p w14:paraId="65CD56C5">
      <w:pPr>
        <w:snapToGrid w:val="0"/>
        <w:spacing w:line="360" w:lineRule="auto"/>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或事业法人登记证或其他工商等登记证明材料原件扫描件或复印件</w:t>
      </w:r>
    </w:p>
    <w:p w14:paraId="4F8D2ECF">
      <w:pPr>
        <w:snapToGrid w:val="0"/>
        <w:spacing w:line="360" w:lineRule="auto"/>
        <w:rPr>
          <w:rFonts w:hint="eastAsia" w:ascii="宋体" w:hAnsi="宋体" w:eastAsia="宋体" w:cs="宋体"/>
          <w:bCs/>
          <w:color w:val="auto"/>
          <w:kern w:val="0"/>
          <w:sz w:val="28"/>
          <w:szCs w:val="28"/>
          <w:highlight w:val="none"/>
          <w:shd w:val="clear" w:color="auto" w:fill="auto"/>
          <w:lang w:val="zh-CN"/>
        </w:rPr>
      </w:pPr>
      <w:r>
        <w:rPr>
          <w:rFonts w:hint="eastAsia" w:ascii="宋体" w:hAnsi="宋体" w:eastAsia="宋体" w:cs="宋体"/>
          <w:bCs/>
          <w:color w:val="auto"/>
          <w:kern w:val="0"/>
          <w:sz w:val="28"/>
          <w:szCs w:val="28"/>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614F0ED">
      <w:pPr>
        <w:snapToGrid w:val="0"/>
        <w:spacing w:line="360" w:lineRule="auto"/>
        <w:jc w:val="center"/>
        <w:rPr>
          <w:rFonts w:hint="eastAsia" w:ascii="宋体" w:hAnsi="宋体" w:eastAsia="宋体" w:cs="宋体"/>
          <w:b/>
          <w:color w:val="auto"/>
          <w:sz w:val="30"/>
          <w:szCs w:val="30"/>
          <w:highlight w:val="none"/>
          <w:shd w:val="clear" w:color="auto" w:fill="auto"/>
        </w:rPr>
      </w:pPr>
    </w:p>
    <w:p w14:paraId="71A48919">
      <w:pPr>
        <w:spacing w:line="360" w:lineRule="auto"/>
        <w:jc w:val="center"/>
        <w:rPr>
          <w:rFonts w:hint="eastAsia" w:ascii="宋体" w:hAnsi="宋体" w:eastAsia="宋体" w:cs="宋体"/>
          <w:b/>
          <w:color w:val="auto"/>
          <w:sz w:val="32"/>
          <w:szCs w:val="32"/>
          <w:highlight w:val="none"/>
          <w:shd w:val="clear" w:color="auto" w:fill="auto"/>
        </w:rPr>
      </w:pPr>
    </w:p>
    <w:p w14:paraId="36466EE6">
      <w:pPr>
        <w:spacing w:line="360" w:lineRule="auto"/>
        <w:ind w:firstLine="643"/>
        <w:jc w:val="center"/>
        <w:rPr>
          <w:rFonts w:ascii="宋体" w:hAnsi="宋体" w:cs="宋体"/>
          <w:b/>
          <w:color w:val="auto"/>
          <w:sz w:val="32"/>
          <w:szCs w:val="32"/>
          <w:highlight w:val="none"/>
        </w:rPr>
      </w:pPr>
    </w:p>
    <w:p w14:paraId="713E1646">
      <w:pPr>
        <w:spacing w:line="360" w:lineRule="auto"/>
        <w:jc w:val="center"/>
        <w:rPr>
          <w:rFonts w:hint="eastAsia" w:ascii="宋体" w:hAnsi="宋体" w:eastAsia="宋体" w:cs="宋体"/>
          <w:b/>
          <w:bCs/>
          <w:color w:val="auto"/>
          <w:sz w:val="32"/>
          <w:szCs w:val="32"/>
          <w:highlight w:val="none"/>
          <w:shd w:val="clear" w:color="auto" w:fill="auto"/>
        </w:rPr>
      </w:pPr>
    </w:p>
    <w:p w14:paraId="0FB348CD">
      <w:pPr>
        <w:spacing w:line="360" w:lineRule="auto"/>
        <w:jc w:val="center"/>
        <w:rPr>
          <w:rFonts w:hint="eastAsia" w:ascii="宋体" w:hAnsi="宋体" w:eastAsia="宋体" w:cs="宋体"/>
          <w:b/>
          <w:bCs/>
          <w:color w:val="auto"/>
          <w:sz w:val="32"/>
          <w:szCs w:val="32"/>
          <w:highlight w:val="none"/>
          <w:shd w:val="clear" w:color="auto" w:fill="auto"/>
        </w:rPr>
      </w:pPr>
    </w:p>
    <w:p w14:paraId="192C161F">
      <w:pP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63521247">
      <w:pPr>
        <w:spacing w:line="360" w:lineRule="auto"/>
        <w:jc w:val="center"/>
        <w:rPr>
          <w:rFonts w:hint="eastAsia" w:ascii="宋体" w:hAnsi="宋体" w:eastAsia="宋体" w:cs="宋体"/>
          <w:b/>
          <w:color w:val="auto"/>
          <w:kern w:val="0"/>
          <w:sz w:val="32"/>
          <w:szCs w:val="32"/>
          <w:highlight w:val="none"/>
          <w:shd w:val="clear" w:color="auto" w:fill="auto"/>
        </w:rPr>
      </w:pPr>
    </w:p>
    <w:p w14:paraId="1C55D133">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参加本次采购项目前三年内在经营活动中</w:t>
      </w:r>
    </w:p>
    <w:p w14:paraId="4D4DAEE3">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没有重大违法记录的承诺函</w:t>
      </w:r>
    </w:p>
    <w:p w14:paraId="4BCD8115">
      <w:pPr>
        <w:spacing w:line="520" w:lineRule="exact"/>
        <w:jc w:val="center"/>
        <w:rPr>
          <w:rFonts w:hint="eastAsia" w:ascii="宋体" w:hAnsi="宋体" w:eastAsia="宋体" w:cs="宋体"/>
          <w:bCs/>
          <w:color w:val="auto"/>
          <w:sz w:val="24"/>
          <w:highlight w:val="none"/>
          <w:shd w:val="clear" w:color="auto" w:fill="auto"/>
        </w:rPr>
      </w:pPr>
    </w:p>
    <w:p w14:paraId="622A5FBF">
      <w:pPr>
        <w:ind w:firstLine="420"/>
        <w:rPr>
          <w:rFonts w:hint="eastAsia" w:ascii="宋体" w:hAnsi="宋体" w:eastAsia="宋体" w:cs="宋体"/>
          <w:color w:val="auto"/>
          <w:sz w:val="24"/>
          <w:highlight w:val="none"/>
          <w:shd w:val="clear" w:color="auto" w:fill="auto"/>
        </w:rPr>
      </w:pPr>
    </w:p>
    <w:p w14:paraId="42266DFD">
      <w:pPr>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（招标人名称）</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w:t>
      </w:r>
    </w:p>
    <w:p w14:paraId="1F8559F9">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我方郑重承诺，我方在参加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项目（项目编号：</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17B2CD2">
      <w:pPr>
        <w:ind w:firstLine="420"/>
        <w:rPr>
          <w:rFonts w:hint="eastAsia" w:ascii="宋体" w:hAnsi="宋体" w:eastAsia="宋体" w:cs="宋体"/>
          <w:color w:val="auto"/>
          <w:sz w:val="24"/>
          <w:highlight w:val="none"/>
          <w:shd w:val="clear" w:color="auto" w:fill="auto"/>
        </w:rPr>
      </w:pPr>
    </w:p>
    <w:p w14:paraId="4E6D7C92">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特此</w:t>
      </w:r>
      <w:r>
        <w:rPr>
          <w:rFonts w:hint="eastAsia" w:ascii="宋体" w:hAnsi="宋体" w:eastAsia="宋体" w:cs="宋体"/>
          <w:color w:val="auto"/>
          <w:kern w:val="0"/>
          <w:sz w:val="24"/>
          <w:highlight w:val="none"/>
          <w:shd w:val="clear" w:color="auto" w:fill="auto"/>
        </w:rPr>
        <w:t>承诺</w:t>
      </w:r>
      <w:r>
        <w:rPr>
          <w:rFonts w:hint="eastAsia" w:ascii="宋体" w:hAnsi="宋体" w:eastAsia="宋体" w:cs="宋体"/>
          <w:color w:val="auto"/>
          <w:sz w:val="24"/>
          <w:highlight w:val="none"/>
          <w:shd w:val="clear" w:color="auto" w:fill="auto"/>
        </w:rPr>
        <w:t>！</w:t>
      </w:r>
    </w:p>
    <w:p w14:paraId="4E906328">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4EDD0295">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00A79021">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3E9FDFAD">
      <w:pPr>
        <w:snapToGrid w:val="0"/>
        <w:spacing w:before="50" w:after="120" w:afterLines="50"/>
        <w:jc w:val="left"/>
        <w:rPr>
          <w:rFonts w:hint="eastAsia" w:ascii="宋体" w:hAnsi="宋体" w:eastAsia="宋体" w:cs="宋体"/>
          <w:b/>
          <w:color w:val="auto"/>
          <w:spacing w:val="20"/>
          <w:sz w:val="24"/>
          <w:highlight w:val="none"/>
          <w:shd w:val="clear" w:color="auto" w:fill="auto"/>
        </w:rPr>
      </w:pPr>
      <w:r>
        <w:rPr>
          <w:rFonts w:hint="eastAsia" w:ascii="宋体" w:hAnsi="宋体" w:eastAsia="宋体" w:cs="宋体"/>
          <w:b/>
          <w:color w:val="auto"/>
          <w:spacing w:val="20"/>
          <w:sz w:val="24"/>
          <w:highlight w:val="none"/>
          <w:shd w:val="clear" w:color="auto" w:fill="auto"/>
        </w:rPr>
        <w:t>法定代表人签字（或盖章）：         投标人（盖章）：</w:t>
      </w:r>
    </w:p>
    <w:p w14:paraId="751EA386">
      <w:pPr>
        <w:snapToGrid w:val="0"/>
        <w:spacing w:before="50" w:after="120" w:afterLines="50"/>
        <w:jc w:val="left"/>
        <w:rPr>
          <w:rFonts w:hint="eastAsia" w:ascii="宋体" w:hAnsi="宋体" w:eastAsia="宋体" w:cs="宋体"/>
          <w:b/>
          <w:color w:val="auto"/>
          <w:sz w:val="24"/>
          <w:highlight w:val="none"/>
          <w:shd w:val="clear" w:color="auto" w:fill="auto"/>
        </w:rPr>
      </w:pPr>
    </w:p>
    <w:p w14:paraId="304CE88B">
      <w:pPr>
        <w:snapToGrid w:val="0"/>
        <w:spacing w:before="50" w:after="120" w:afterLines="50"/>
        <w:jc w:val="left"/>
        <w:rPr>
          <w:rFonts w:hint="eastAsia" w:ascii="宋体" w:hAnsi="宋体" w:eastAsia="宋体" w:cs="宋体"/>
          <w:b/>
          <w:color w:val="auto"/>
          <w:sz w:val="24"/>
          <w:highlight w:val="none"/>
          <w:shd w:val="clear" w:color="auto" w:fill="auto"/>
        </w:rPr>
      </w:pPr>
    </w:p>
    <w:p w14:paraId="258B1525">
      <w:pPr>
        <w:snapToGrid w:val="0"/>
        <w:spacing w:before="50" w:after="120" w:afterLines="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p>
    <w:p w14:paraId="16B36193">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1AE1C503">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5CE022FE">
      <w:pPr>
        <w:bidi w:val="0"/>
        <w:rPr>
          <w:rFonts w:hint="eastAsia"/>
          <w:highlight w:val="none"/>
        </w:rPr>
      </w:pPr>
    </w:p>
    <w:p w14:paraId="056263EC">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52" w:name="_Toc466534753"/>
      <w:bookmarkStart w:id="53" w:name="_Toc25744"/>
      <w:bookmarkStart w:id="54" w:name="_Toc18185"/>
      <w:bookmarkStart w:id="55" w:name="_Toc15805"/>
      <w:r>
        <w:rPr>
          <w:rFonts w:hint="eastAsia" w:ascii="宋体" w:hAnsi="宋体" w:eastAsia="宋体" w:cs="宋体"/>
          <w:b/>
          <w:bCs/>
          <w:color w:val="auto"/>
          <w:sz w:val="28"/>
          <w:szCs w:val="28"/>
          <w:highlight w:val="none"/>
          <w:shd w:val="clear" w:color="auto" w:fill="auto"/>
        </w:rPr>
        <w:t>二、商务技术文件格式</w:t>
      </w:r>
      <w:bookmarkEnd w:id="50"/>
      <w:bookmarkEnd w:id="52"/>
      <w:bookmarkEnd w:id="53"/>
      <w:bookmarkEnd w:id="54"/>
      <w:bookmarkEnd w:id="55"/>
    </w:p>
    <w:p w14:paraId="734E31CE">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6548054A">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4AC95D2A">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4.商务技术文件封面格式： </w:t>
      </w:r>
    </w:p>
    <w:p w14:paraId="054471B8">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40E3E2D1">
      <w:pPr>
        <w:snapToGrid w:val="0"/>
        <w:spacing w:before="120" w:beforeLines="50" w:after="50"/>
        <w:rPr>
          <w:rFonts w:hint="eastAsia" w:ascii="宋体" w:hAnsi="宋体" w:eastAsia="宋体" w:cs="宋体"/>
          <w:color w:val="auto"/>
          <w:sz w:val="28"/>
          <w:szCs w:val="28"/>
          <w:highlight w:val="none"/>
          <w:shd w:val="clear" w:color="auto" w:fill="auto"/>
        </w:rPr>
      </w:pPr>
    </w:p>
    <w:p w14:paraId="37E516D5">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466C6706">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商务技术文件</w:t>
      </w:r>
    </w:p>
    <w:p w14:paraId="60708215">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1F383A33">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611483AB">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0FC54F5D">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130391F8">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6904421B">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1E686E34">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39BB647F">
      <w:pPr>
        <w:pStyle w:val="13"/>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4E8E668C">
      <w:pP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 xml:space="preserve">                        年  月  日</w:t>
      </w:r>
      <w:r>
        <w:rPr>
          <w:rFonts w:hint="eastAsia" w:ascii="宋体" w:hAnsi="宋体" w:eastAsia="宋体" w:cs="宋体"/>
          <w:color w:val="auto"/>
          <w:sz w:val="24"/>
          <w:highlight w:val="none"/>
          <w:shd w:val="clear" w:color="auto" w:fill="auto"/>
        </w:rPr>
        <w:br w:type="page"/>
      </w:r>
      <w:bookmarkStart w:id="56" w:name="_Hlk60757098"/>
      <w:r>
        <w:rPr>
          <w:rFonts w:hint="eastAsia" w:ascii="宋体" w:hAnsi="宋体" w:eastAsia="宋体" w:cs="宋体"/>
          <w:color w:val="auto"/>
          <w:sz w:val="24"/>
          <w:highlight w:val="none"/>
          <w:shd w:val="clear" w:color="auto" w:fill="auto"/>
        </w:rPr>
        <w:t>5.投标函格式：</w:t>
      </w:r>
      <w:bookmarkEnd w:id="56"/>
    </w:p>
    <w:p w14:paraId="1F1C7192">
      <w:pPr>
        <w:snapToGrid w:val="0"/>
        <w:spacing w:before="120" w:beforeLines="50" w:after="50"/>
        <w:jc w:val="cente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t>投 标 函</w:t>
      </w:r>
    </w:p>
    <w:p w14:paraId="379D9C07">
      <w:pPr>
        <w:snapToGrid w:val="0"/>
        <w:spacing w:before="120" w:beforeLines="50" w:after="50" w:line="38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致：______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7FAF622E">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1、我方自愿参加贵方组织的_____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_项目（项目编号：____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_）的投标，并按采购文件的要求提交商务技术文件、报价文件。</w:t>
      </w:r>
    </w:p>
    <w:p w14:paraId="56911B18">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2、我方完全理解并接受招标文件（包括修改补充文件）的各项规定和要求，不再对招标文件的合理性、合法性等相关内容提出质疑或投诉。</w:t>
      </w:r>
    </w:p>
    <w:p w14:paraId="6B29BD1F">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3、我方不是招标人的附属机构以及其它法律法规所规定的限制投标单位。</w:t>
      </w:r>
    </w:p>
    <w:p w14:paraId="7CF8A154">
      <w:pPr>
        <w:snapToGrid w:val="0"/>
        <w:spacing w:line="360" w:lineRule="auto"/>
        <w:ind w:firstLine="482"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4.、我方向贵方提交的所有投标文件、资料（包括所有</w:t>
      </w:r>
      <w:bookmarkStart w:id="57" w:name="_Hlk59707887"/>
      <w:r>
        <w:rPr>
          <w:rFonts w:hint="eastAsia" w:ascii="宋体" w:hAnsi="宋体" w:eastAsia="宋体" w:cs="宋体"/>
          <w:b/>
          <w:bCs/>
          <w:color w:val="auto"/>
          <w:sz w:val="24"/>
          <w:highlight w:val="none"/>
          <w:shd w:val="clear" w:color="auto" w:fill="auto"/>
        </w:rPr>
        <w:t>证书、合同、报告等</w:t>
      </w:r>
      <w:bookmarkEnd w:id="57"/>
      <w:r>
        <w:rPr>
          <w:rFonts w:hint="eastAsia" w:ascii="宋体" w:hAnsi="宋体" w:eastAsia="宋体" w:cs="宋体"/>
          <w:b/>
          <w:bCs/>
          <w:color w:val="auto"/>
          <w:sz w:val="24"/>
          <w:highlight w:val="none"/>
          <w:shd w:val="clear" w:color="auto" w:fill="auto"/>
        </w:rPr>
        <w:t>）都是准确、真实、合规的，如有虚假或隐瞒，我方愿意承担一切后果。</w:t>
      </w:r>
    </w:p>
    <w:p w14:paraId="6981B681">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5、自投标截止日起 90天内有效。</w:t>
      </w:r>
    </w:p>
    <w:p w14:paraId="4D1B9441">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75C6099F">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0CF467E0">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06397C49">
      <w:pPr>
        <w:snapToGrid w:val="0"/>
        <w:spacing w:line="360" w:lineRule="auto"/>
        <w:ind w:firstLine="361" w:firstLineChars="150"/>
        <w:rPr>
          <w:rFonts w:hint="eastAsia" w:ascii="宋体" w:hAnsi="宋体" w:eastAsia="宋体" w:cs="宋体"/>
          <w:b/>
          <w:bCs/>
          <w:color w:val="auto"/>
          <w:sz w:val="24"/>
          <w:highlight w:val="none"/>
          <w:u w:val="single"/>
          <w:shd w:val="clear" w:color="auto" w:fill="auto"/>
        </w:rPr>
      </w:pPr>
      <w:bookmarkStart w:id="58" w:name="_Hlk36048718"/>
      <w:r>
        <w:rPr>
          <w:rFonts w:hint="eastAsia" w:ascii="宋体" w:hAnsi="宋体" w:eastAsia="宋体" w:cs="宋体"/>
          <w:b/>
          <w:bCs/>
          <w:color w:val="auto"/>
          <w:sz w:val="24"/>
          <w:highlight w:val="none"/>
          <w:shd w:val="clear" w:color="auto" w:fill="auto"/>
        </w:rPr>
        <w:t>与本投标有关的一切正式往来信函、传真或邮件</w:t>
      </w:r>
      <w:r>
        <w:rPr>
          <w:rFonts w:hint="eastAsia" w:ascii="宋体" w:hAnsi="宋体" w:eastAsia="宋体" w:cs="宋体"/>
          <w:b/>
          <w:bCs/>
          <w:color w:val="auto"/>
          <w:sz w:val="24"/>
          <w:highlight w:val="none"/>
          <w:u w:val="single"/>
          <w:shd w:val="clear" w:color="auto" w:fill="auto"/>
        </w:rPr>
        <w:t>（例如质疑回复函、中标通知书、采购合同等）请采用如下联系方式送达，我方确保能够及时、准确收悉。</w:t>
      </w:r>
    </w:p>
    <w:p w14:paraId="41FC4B90">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邮寄详细地址：__________</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 xml:space="preserve">  邮编：__________</w:t>
      </w:r>
    </w:p>
    <w:p w14:paraId="161D08ED">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收件人姓名：_______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联系手机：</w:t>
      </w:r>
      <w:bookmarkStart w:id="59" w:name="_Hlk59370410"/>
      <w:r>
        <w:rPr>
          <w:rFonts w:hint="eastAsia" w:ascii="宋体" w:hAnsi="宋体" w:eastAsia="宋体" w:cs="宋体"/>
          <w:color w:val="auto"/>
          <w:sz w:val="24"/>
          <w:highlight w:val="none"/>
          <w:shd w:val="clear" w:color="auto" w:fill="auto"/>
        </w:rPr>
        <w:t>_______</w:t>
      </w:r>
      <w:r>
        <w:rPr>
          <w:rFonts w:hint="eastAsia" w:ascii="宋体" w:hAnsi="宋体" w:eastAsia="宋体" w:cs="宋体"/>
          <w:color w:val="auto"/>
          <w:sz w:val="24"/>
          <w:highlight w:val="none"/>
          <w:u w:val="single"/>
          <w:shd w:val="clear" w:color="auto" w:fill="auto"/>
        </w:rPr>
        <w:t xml:space="preserve">_       </w:t>
      </w:r>
      <w:bookmarkEnd w:id="59"/>
      <w:r>
        <w:rPr>
          <w:rFonts w:hint="eastAsia" w:ascii="宋体" w:hAnsi="宋体" w:eastAsia="宋体" w:cs="宋体"/>
          <w:color w:val="auto"/>
          <w:sz w:val="24"/>
          <w:highlight w:val="none"/>
          <w:shd w:val="clear" w:color="auto" w:fill="auto"/>
        </w:rPr>
        <w:t>公司电子邮箱</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u w:val="single"/>
          <w:shd w:val="clear" w:color="auto" w:fill="auto"/>
        </w:rPr>
        <w:t xml:space="preserve"> _     __ </w:t>
      </w:r>
      <w:r>
        <w:rPr>
          <w:rFonts w:hint="eastAsia" w:ascii="宋体" w:hAnsi="宋体" w:eastAsia="宋体" w:cs="宋体"/>
          <w:color w:val="auto"/>
          <w:sz w:val="24"/>
          <w:highlight w:val="none"/>
          <w:shd w:val="clear" w:color="auto" w:fill="auto"/>
        </w:rPr>
        <w:t xml:space="preserve"> </w:t>
      </w:r>
    </w:p>
    <w:p w14:paraId="3757CA02">
      <w:pPr>
        <w:snapToGrid w:val="0"/>
        <w:spacing w:line="360" w:lineRule="auto"/>
        <w:ind w:firstLine="361" w:firstLineChars="150"/>
        <w:jc w:val="left"/>
        <w:rPr>
          <w:rFonts w:hint="eastAsia" w:ascii="宋体" w:hAnsi="宋体" w:eastAsia="宋体" w:cs="宋体"/>
          <w:b/>
          <w:bCs/>
          <w:color w:val="auto"/>
          <w:sz w:val="24"/>
          <w:highlight w:val="none"/>
          <w:shd w:val="clear" w:color="auto" w:fill="auto"/>
        </w:rPr>
      </w:pPr>
      <w:bookmarkStart w:id="60" w:name="_Hlk59370586"/>
      <w:r>
        <w:rPr>
          <w:rFonts w:hint="eastAsia" w:ascii="宋体" w:hAnsi="宋体" w:eastAsia="宋体" w:cs="宋体"/>
          <w:b/>
          <w:bCs/>
          <w:color w:val="auto"/>
          <w:sz w:val="24"/>
          <w:highlight w:val="none"/>
          <w:shd w:val="clear" w:color="auto" w:fill="auto"/>
        </w:rPr>
        <w:t>为了方便评标委员会在必要时对投标人进行询标，请投标人填写以下投标文件编制人信息，以便及时、准确进行询标，投标文件编制人信息可不限于1人。</w:t>
      </w:r>
    </w:p>
    <w:p w14:paraId="41599C5A">
      <w:pPr>
        <w:snapToGrid w:val="0"/>
        <w:spacing w:line="360" w:lineRule="auto"/>
        <w:ind w:firstLine="361" w:firstLineChars="150"/>
        <w:jc w:val="left"/>
        <w:rPr>
          <w:rFonts w:hint="eastAsia" w:ascii="宋体" w:hAnsi="宋体" w:eastAsia="宋体" w:cs="宋体"/>
          <w:b/>
          <w:bCs/>
          <w:color w:val="auto"/>
          <w:sz w:val="24"/>
          <w:highlight w:val="none"/>
          <w:u w:val="single"/>
          <w:shd w:val="clear" w:color="auto" w:fill="auto"/>
        </w:rPr>
      </w:pPr>
      <w:r>
        <w:rPr>
          <w:rFonts w:hint="eastAsia" w:ascii="宋体" w:hAnsi="宋体" w:eastAsia="宋体" w:cs="宋体"/>
          <w:b/>
          <w:bCs/>
          <w:color w:val="auto"/>
          <w:sz w:val="24"/>
          <w:highlight w:val="none"/>
          <w:shd w:val="clear" w:color="auto" w:fill="auto"/>
        </w:rPr>
        <w:t>投标文件编制人</w:t>
      </w:r>
      <w:bookmarkEnd w:id="60"/>
      <w:r>
        <w:rPr>
          <w:rFonts w:hint="eastAsia" w:ascii="宋体" w:hAnsi="宋体" w:eastAsia="宋体" w:cs="宋体"/>
          <w:b/>
          <w:bCs/>
          <w:color w:val="auto"/>
          <w:sz w:val="24"/>
          <w:highlight w:val="none"/>
          <w:shd w:val="clear" w:color="auto" w:fill="auto"/>
        </w:rPr>
        <w:t>姓名：_</w:t>
      </w:r>
      <w:r>
        <w:rPr>
          <w:rFonts w:hint="eastAsia" w:ascii="宋体" w:hAnsi="宋体" w:eastAsia="宋体" w:cs="宋体"/>
          <w:b/>
          <w:bCs/>
          <w:color w:val="auto"/>
          <w:sz w:val="24"/>
          <w:highlight w:val="none"/>
          <w:u w:val="single"/>
          <w:shd w:val="clear" w:color="auto" w:fill="auto"/>
        </w:rPr>
        <w:t>_</w:t>
      </w:r>
      <w:r>
        <w:rPr>
          <w:rFonts w:hint="eastAsia" w:ascii="宋体" w:hAnsi="宋体" w:eastAsia="宋体" w:cs="宋体"/>
          <w:b/>
          <w:bCs/>
          <w:color w:val="auto"/>
          <w:sz w:val="24"/>
          <w:highlight w:val="none"/>
          <w:shd w:val="clear" w:color="auto" w:fill="auto"/>
        </w:rPr>
        <w:t>________    手机号码：__</w:t>
      </w:r>
      <w:r>
        <w:rPr>
          <w:rFonts w:hint="eastAsia" w:ascii="宋体" w:hAnsi="宋体" w:eastAsia="宋体" w:cs="宋体"/>
          <w:b/>
          <w:bCs/>
          <w:color w:val="auto"/>
          <w:sz w:val="24"/>
          <w:highlight w:val="none"/>
          <w:u w:val="single"/>
          <w:shd w:val="clear" w:color="auto" w:fill="auto"/>
        </w:rPr>
        <w:t>____    _    __</w:t>
      </w:r>
    </w:p>
    <w:p w14:paraId="63ADF876">
      <w:pPr>
        <w:snapToGrid w:val="0"/>
        <w:spacing w:line="360" w:lineRule="auto"/>
        <w:ind w:firstLine="361" w:firstLineChars="150"/>
        <w:jc w:val="left"/>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法定代表人（签字或盖章）：</w:t>
      </w:r>
    </w:p>
    <w:bookmarkEnd w:id="58"/>
    <w:p w14:paraId="16541D06">
      <w:pPr>
        <w:snapToGrid w:val="0"/>
        <w:spacing w:line="360" w:lineRule="auto"/>
        <w:jc w:val="left"/>
        <w:rPr>
          <w:rFonts w:hint="eastAsia" w:ascii="宋体" w:hAnsi="宋体" w:eastAsia="宋体" w:cs="宋体"/>
          <w:color w:val="auto"/>
          <w:sz w:val="24"/>
          <w:highlight w:val="none"/>
          <w:shd w:val="clear" w:color="auto" w:fill="auto"/>
        </w:rPr>
      </w:pPr>
    </w:p>
    <w:p w14:paraId="40000679">
      <w:pPr>
        <w:snapToGrid w:val="0"/>
        <w:spacing w:line="360" w:lineRule="auto"/>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投标人:(公章)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rPr>
        <w:t>日期:_____年___月___日</w:t>
      </w:r>
    </w:p>
    <w:p w14:paraId="68711CC5">
      <w:pP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sz w:val="24"/>
          <w:highlight w:val="none"/>
          <w:shd w:val="clear" w:color="auto" w:fill="auto"/>
        </w:rPr>
        <w:t>6.法定代表人授权委托书格式：</w:t>
      </w:r>
    </w:p>
    <w:p w14:paraId="30B94820">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法定代表人授权委托书</w:t>
      </w:r>
    </w:p>
    <w:p w14:paraId="7BDCB137">
      <w:pPr>
        <w:snapToGrid w:val="0"/>
        <w:spacing w:before="120" w:beforeLines="50" w:after="50" w:line="460" w:lineRule="exact"/>
        <w:rPr>
          <w:rFonts w:hint="eastAsia" w:ascii="宋体" w:hAnsi="宋体" w:eastAsia="宋体" w:cs="宋体"/>
          <w:b/>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6D8596EC">
      <w:pPr>
        <w:snapToGrid w:val="0"/>
        <w:spacing w:before="120" w:beforeLines="50" w:after="50" w:line="460" w:lineRule="exact"/>
        <w:ind w:firstLine="480" w:firstLineChars="20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我</w:t>
      </w:r>
      <w:bookmarkStart w:id="61" w:name="_Hlk12177807"/>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w:t>
      </w:r>
      <w:r>
        <w:rPr>
          <w:rFonts w:hint="eastAsia" w:ascii="宋体" w:hAnsi="宋体" w:eastAsia="宋体" w:cs="宋体"/>
          <w:color w:val="auto"/>
          <w:sz w:val="24"/>
          <w:highlight w:val="none"/>
          <w:shd w:val="clear" w:color="auto" w:fill="auto"/>
        </w:rPr>
        <w:t>_</w:t>
      </w:r>
      <w:bookmarkEnd w:id="61"/>
      <w:r>
        <w:rPr>
          <w:rFonts w:hint="eastAsia" w:ascii="宋体" w:hAnsi="宋体" w:eastAsia="宋体" w:cs="宋体"/>
          <w:color w:val="auto"/>
          <w:sz w:val="24"/>
          <w:highlight w:val="none"/>
          <w:shd w:val="clear" w:color="auto" w:fill="auto"/>
        </w:rPr>
        <w:t>（姓名）系______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 xml:space="preserve">_（投标单位名称）的法定代表人，现授权委托本单位职工 </w:t>
      </w:r>
      <w:bookmarkStart w:id="62" w:name="_Hlk12177819"/>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 xml:space="preserve">_ </w:t>
      </w:r>
      <w:bookmarkEnd w:id="62"/>
      <w:r>
        <w:rPr>
          <w:rFonts w:hint="eastAsia" w:ascii="宋体" w:hAnsi="宋体" w:eastAsia="宋体" w:cs="宋体"/>
          <w:color w:val="auto"/>
          <w:sz w:val="24"/>
          <w:highlight w:val="none"/>
          <w:shd w:val="clear" w:color="auto" w:fill="auto"/>
        </w:rPr>
        <w:t>（姓名）以我方的名义参加______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项目的投标活动，并代表我方全权办理针对上述项目的投标、开标、评标、签约等具体事务和签署相关文件。</w:t>
      </w:r>
    </w:p>
    <w:p w14:paraId="1D11D608">
      <w:pPr>
        <w:snapToGrid w:val="0"/>
        <w:spacing w:before="120" w:beforeLines="50" w:after="50" w:line="46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 xml:space="preserve">    我方对被授权人的签名事项负全部责任。</w:t>
      </w:r>
    </w:p>
    <w:p w14:paraId="45BAE082">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u w:val="single"/>
          <w:shd w:val="clear" w:color="auto" w:fill="auto"/>
        </w:rPr>
        <w:t>在撤销授权的书面通知以前，本授权书一直有效。</w:t>
      </w:r>
      <w:r>
        <w:rPr>
          <w:rFonts w:hint="eastAsia" w:ascii="宋体" w:hAnsi="宋体" w:eastAsia="宋体" w:cs="宋体"/>
          <w:color w:val="auto"/>
          <w:sz w:val="24"/>
          <w:highlight w:val="none"/>
          <w:shd w:val="clear" w:color="auto" w:fill="auto"/>
        </w:rPr>
        <w:t>被授权人在授权书有效期内签署的所有文件不因授权的撤销而失效。</w:t>
      </w:r>
    </w:p>
    <w:p w14:paraId="450CD9AA">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被授权人无转委托权，特此委托。</w:t>
      </w:r>
    </w:p>
    <w:p w14:paraId="17AE68AA">
      <w:pPr>
        <w:snapToGrid w:val="0"/>
        <w:spacing w:before="120" w:beforeLines="50" w:after="50" w:line="46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u w:val="single"/>
          <w:shd w:val="clear" w:color="auto" w:fill="auto"/>
        </w:rPr>
        <w:t>法定代表人签名或盖章：</w:t>
      </w:r>
      <w:r>
        <w:rPr>
          <w:rFonts w:hint="eastAsia" w:ascii="宋体" w:hAnsi="宋体" w:eastAsia="宋体" w:cs="宋体"/>
          <w:b/>
          <w:bCs/>
          <w:color w:val="auto"/>
          <w:sz w:val="28"/>
          <w:szCs w:val="28"/>
          <w:highlight w:val="none"/>
          <w:shd w:val="clear" w:color="auto" w:fill="auto"/>
        </w:rPr>
        <w:t xml:space="preserve">             </w:t>
      </w:r>
      <w:r>
        <w:rPr>
          <w:rFonts w:hint="eastAsia" w:ascii="宋体" w:hAnsi="宋体" w:eastAsia="宋体" w:cs="宋体"/>
          <w:b/>
          <w:bCs/>
          <w:color w:val="auto"/>
          <w:sz w:val="28"/>
          <w:szCs w:val="28"/>
          <w:highlight w:val="none"/>
          <w:u w:val="single"/>
          <w:shd w:val="clear" w:color="auto" w:fill="auto"/>
        </w:rPr>
        <w:t>被授权人</w:t>
      </w:r>
      <w:r>
        <w:rPr>
          <w:rFonts w:hint="eastAsia" w:ascii="宋体" w:hAnsi="宋体" w:eastAsia="宋体" w:cs="宋体"/>
          <w:b/>
          <w:bCs/>
          <w:color w:val="FF0000"/>
          <w:sz w:val="28"/>
          <w:szCs w:val="28"/>
          <w:highlight w:val="none"/>
          <w:u w:val="single"/>
          <w:shd w:val="clear" w:color="auto" w:fill="auto"/>
        </w:rPr>
        <w:t>签字</w:t>
      </w:r>
      <w:r>
        <w:rPr>
          <w:rFonts w:hint="eastAsia" w:ascii="宋体" w:hAnsi="宋体" w:eastAsia="宋体" w:cs="宋体"/>
          <w:b/>
          <w:bCs/>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xml:space="preserve">               </w:t>
      </w:r>
    </w:p>
    <w:p w14:paraId="35647358">
      <w:pPr>
        <w:snapToGrid w:val="0"/>
        <w:spacing w:before="120" w:beforeLines="50" w:after="50" w:line="460" w:lineRule="exact"/>
        <w:rPr>
          <w:rFonts w:hint="eastAsia" w:ascii="宋体" w:hAnsi="宋体" w:eastAsia="宋体" w:cs="宋体"/>
          <w:color w:val="auto"/>
          <w:sz w:val="24"/>
          <w:szCs w:val="20"/>
          <w:highlight w:val="none"/>
          <w:u w:val="single"/>
          <w:shd w:val="clear" w:color="auto" w:fill="auto"/>
        </w:rPr>
      </w:pPr>
    </w:p>
    <w:p w14:paraId="36F21FCE">
      <w:pPr>
        <w:snapToGrid w:val="0"/>
        <w:spacing w:before="120" w:beforeLines="50" w:after="50" w:line="46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2A923D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7D8ADBE">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c>
          <w:tcPr>
            <w:tcW w:w="4961" w:type="dxa"/>
          </w:tcPr>
          <w:p w14:paraId="45FE8B5C">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r>
      <w:tr w14:paraId="77FC516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99" w:hRule="atLeast"/>
        </w:trPr>
        <w:tc>
          <w:tcPr>
            <w:tcW w:w="4962" w:type="dxa"/>
          </w:tcPr>
          <w:p w14:paraId="2705C053">
            <w:pPr>
              <w:spacing w:line="360" w:lineRule="auto"/>
              <w:rPr>
                <w:rFonts w:hint="eastAsia" w:ascii="宋体" w:hAnsi="宋体" w:eastAsia="宋体" w:cs="宋体"/>
                <w:color w:val="auto"/>
                <w:sz w:val="30"/>
                <w:szCs w:val="30"/>
                <w:highlight w:val="none"/>
                <w:shd w:val="clear" w:color="auto" w:fill="auto"/>
              </w:rPr>
            </w:pPr>
          </w:p>
        </w:tc>
        <w:tc>
          <w:tcPr>
            <w:tcW w:w="4961" w:type="dxa"/>
          </w:tcPr>
          <w:p w14:paraId="2E318CEC">
            <w:pPr>
              <w:spacing w:line="360" w:lineRule="auto"/>
              <w:rPr>
                <w:rFonts w:hint="eastAsia" w:ascii="宋体" w:hAnsi="宋体" w:eastAsia="宋体" w:cs="宋体"/>
                <w:color w:val="auto"/>
                <w:sz w:val="30"/>
                <w:szCs w:val="30"/>
                <w:highlight w:val="none"/>
                <w:shd w:val="clear" w:color="auto" w:fill="auto"/>
              </w:rPr>
            </w:pPr>
          </w:p>
        </w:tc>
      </w:tr>
    </w:tbl>
    <w:p w14:paraId="17505A45">
      <w:pPr>
        <w:snapToGrid w:val="0"/>
        <w:spacing w:before="120" w:beforeLines="50" w:after="50" w:line="460" w:lineRule="exac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投标人:(公章)</w:t>
      </w:r>
    </w:p>
    <w:p w14:paraId="7151BDF8">
      <w:pPr>
        <w:snapToGrid w:val="0"/>
        <w:spacing w:before="120" w:beforeLines="50" w:after="50"/>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 xml:space="preserve">                                        日期：  _____年___月___日</w:t>
      </w:r>
    </w:p>
    <w:p w14:paraId="219CB1F0">
      <w:pPr>
        <w:snapToGrid w:val="0"/>
        <w:spacing w:before="50" w:after="120" w:afterLines="50"/>
        <w:jc w:val="left"/>
        <w:rPr>
          <w:rFonts w:hint="eastAsia" w:ascii="宋体" w:hAnsi="宋体" w:eastAsia="宋体" w:cs="宋体"/>
          <w:color w:val="auto"/>
          <w:sz w:val="24"/>
          <w:highlight w:val="none"/>
          <w:shd w:val="clear" w:color="auto" w:fill="auto"/>
        </w:rPr>
      </w:pPr>
    </w:p>
    <w:p w14:paraId="5A827CCF">
      <w:pPr>
        <w:snapToGrid w:val="0"/>
        <w:spacing w:before="50" w:after="120" w:afterLines="50"/>
        <w:jc w:val="left"/>
        <w:rPr>
          <w:rFonts w:hint="eastAsia" w:ascii="宋体" w:hAnsi="宋体" w:eastAsia="宋体" w:cs="宋体"/>
          <w:color w:val="auto"/>
          <w:sz w:val="24"/>
          <w:highlight w:val="none"/>
          <w:shd w:val="clear" w:color="auto" w:fill="auto"/>
        </w:rPr>
      </w:pPr>
    </w:p>
    <w:p w14:paraId="2AA3441B">
      <w:pPr>
        <w:snapToGrid w:val="0"/>
        <w:spacing w:before="120" w:beforeLines="50" w:after="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6-2</w:t>
      </w:r>
      <w:r>
        <w:rPr>
          <w:rFonts w:hint="eastAsia" w:ascii="宋体" w:hAnsi="宋体" w:eastAsia="宋体" w:cs="Times New Roman"/>
          <w:color w:val="auto"/>
          <w:sz w:val="24"/>
          <w:highlight w:val="none"/>
          <w:lang w:eastAsia="zh-CN"/>
        </w:rPr>
        <w:t>.法定代表人身份证明格式：</w:t>
      </w:r>
    </w:p>
    <w:p w14:paraId="640D6B1B">
      <w:pPr>
        <w:pStyle w:val="405"/>
        <w:rPr>
          <w:rFonts w:hint="eastAsia"/>
          <w:highlight w:val="none"/>
          <w:lang w:eastAsia="zh-CN"/>
        </w:rPr>
      </w:pPr>
    </w:p>
    <w:p w14:paraId="6F2D15E4">
      <w:pPr>
        <w:pageBreakBefore w:val="0"/>
        <w:numPr>
          <w:ilvl w:val="0"/>
          <w:numId w:val="0"/>
        </w:numPr>
        <w:kinsoku/>
        <w:overflowPunct/>
        <w:bidi w:val="0"/>
        <w:spacing w:beforeAutospacing="0" w:afterAutospacing="0" w:line="360" w:lineRule="auto"/>
        <w:jc w:val="center"/>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rPr>
        <w:t>法定代表人身份证明</w:t>
      </w:r>
    </w:p>
    <w:p w14:paraId="06DF4293">
      <w:pPr>
        <w:pageBreakBefore w:val="0"/>
        <w:numPr>
          <w:ilvl w:val="0"/>
          <w:numId w:val="0"/>
        </w:numPr>
        <w:kinsoku/>
        <w:overflowPunct/>
        <w:bidi w:val="0"/>
        <w:spacing w:beforeAutospacing="0" w:afterAutospacing="0" w:line="360" w:lineRule="auto"/>
        <w:jc w:val="center"/>
        <w:rPr>
          <w:color w:val="000000"/>
          <w:highlight w:val="none"/>
        </w:rPr>
      </w:pPr>
      <w:r>
        <w:rPr>
          <w:rFonts w:hint="eastAsia" w:ascii="黑体" w:hAnsi="黑体" w:eastAsia="黑体"/>
          <w:b/>
          <w:color w:val="FF0000"/>
          <w:sz w:val="28"/>
          <w:szCs w:val="28"/>
          <w:highlight w:val="none"/>
          <w:lang w:val="en-US" w:eastAsia="zh-CN"/>
        </w:rPr>
        <w:t>（适用于法定代表人、单位负责人本人代表投标人参加投标）</w:t>
      </w:r>
    </w:p>
    <w:p w14:paraId="3085732D">
      <w:pPr>
        <w:pageBreakBefore w:val="0"/>
        <w:kinsoku/>
        <w:wordWrap w:val="0"/>
        <w:overflowPunct/>
        <w:bidi w:val="0"/>
        <w:jc w:val="center"/>
        <w:outlineLvl w:val="9"/>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rPr>
        <w:t>法定代表人身份证明</w:t>
      </w:r>
      <w:r>
        <w:rPr>
          <w:rFonts w:hint="eastAsia"/>
          <w:b/>
          <w:color w:val="000000"/>
          <w:sz w:val="28"/>
          <w:highlight w:val="none"/>
        </w:rPr>
        <w:t>（参考样张）</w:t>
      </w:r>
    </w:p>
    <w:p w14:paraId="135D4351">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单位名称：</w:t>
      </w:r>
      <w:r>
        <w:rPr>
          <w:rFonts w:hint="eastAsia" w:ascii="宋体" w:hAnsi="宋体"/>
          <w:color w:val="000000"/>
          <w:sz w:val="28"/>
          <w:szCs w:val="28"/>
          <w:highlight w:val="none"/>
          <w:u w:val="single"/>
        </w:rPr>
        <w:t xml:space="preserve">                              </w:t>
      </w:r>
    </w:p>
    <w:p w14:paraId="6B9B2D5F">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地址：</w:t>
      </w:r>
      <w:r>
        <w:rPr>
          <w:rFonts w:hint="eastAsia" w:ascii="宋体" w:hAnsi="宋体"/>
          <w:color w:val="000000"/>
          <w:sz w:val="28"/>
          <w:szCs w:val="28"/>
          <w:highlight w:val="none"/>
          <w:u w:val="single"/>
        </w:rPr>
        <w:t xml:space="preserve">                                  </w:t>
      </w:r>
    </w:p>
    <w:p w14:paraId="3BEDD64D">
      <w:pPr>
        <w:pStyle w:val="406"/>
        <w:pageBreakBefore w:val="0"/>
        <w:kinsoku/>
        <w:overflowPunct/>
        <w:bidi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姓名：</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性别：</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年龄：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身份证号码：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 </w:t>
      </w:r>
    </w:p>
    <w:p w14:paraId="72CD8A0F">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职务：</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手机号码：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p>
    <w:p w14:paraId="44371E8E">
      <w:pPr>
        <w:pageBreakBefore w:val="0"/>
        <w:kinsoku/>
        <w:overflowPunct/>
        <w:bidi w:val="0"/>
        <w:snapToGrid w:val="0"/>
        <w:spacing w:beforeAutospacing="0" w:afterAutospacing="0" w:line="360" w:lineRule="auto"/>
        <w:rPr>
          <w:rFonts w:hint="eastAsia" w:ascii="宋体" w:hAnsi="宋体"/>
          <w:color w:val="000000"/>
          <w:highlight w:val="none"/>
        </w:rPr>
      </w:pPr>
      <w:r>
        <w:rPr>
          <w:rFonts w:hint="eastAsia" w:ascii="宋体" w:hAnsi="宋体"/>
          <w:color w:val="000000"/>
          <w:sz w:val="28"/>
          <w:szCs w:val="28"/>
          <w:highlight w:val="none"/>
        </w:rPr>
        <w:t>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的法定代表人                        </w:t>
      </w:r>
    </w:p>
    <w:p w14:paraId="129273D8">
      <w:pPr>
        <w:snapToGrid w:val="0"/>
        <w:spacing w:before="120" w:beforeLines="50" w:after="50" w:line="460" w:lineRule="exact"/>
        <w:jc w:val="center"/>
        <w:rPr>
          <w:rFonts w:hint="eastAsia" w:ascii="宋体" w:hAnsi="宋体"/>
          <w:b/>
          <w:bCs/>
          <w:sz w:val="28"/>
          <w:szCs w:val="28"/>
          <w:highlight w:val="none"/>
        </w:rPr>
      </w:pPr>
      <w:r>
        <w:rPr>
          <w:rFonts w:hint="eastAsia" w:ascii="宋体" w:hAnsi="宋体"/>
          <w:b/>
          <w:bCs/>
          <w:sz w:val="28"/>
          <w:szCs w:val="28"/>
          <w:highlight w:val="none"/>
          <w:lang w:val="en-US" w:eastAsia="zh-CN"/>
        </w:rPr>
        <w:t xml:space="preserve">   附</w:t>
      </w:r>
      <w:r>
        <w:rPr>
          <w:rFonts w:hint="eastAsia" w:ascii="宋体" w:hAnsi="宋体"/>
          <w:b/>
          <w:bCs/>
          <w:sz w:val="28"/>
          <w:szCs w:val="28"/>
          <w:highlight w:val="none"/>
        </w:rPr>
        <w:t>法定代表人身份证复印件</w:t>
      </w:r>
    </w:p>
    <w:p w14:paraId="668A7C49">
      <w:pPr>
        <w:pStyle w:val="405"/>
        <w:rPr>
          <w:rFonts w:hint="eastAsia"/>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929E97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7B15D7B">
            <w:pPr>
              <w:jc w:val="center"/>
              <w:rPr>
                <w:rFonts w:hint="eastAsia" w:ascii="宋体" w:hAnsi="宋体"/>
                <w:sz w:val="24"/>
                <w:szCs w:val="24"/>
                <w:highlight w:val="none"/>
              </w:rPr>
            </w:pPr>
          </w:p>
          <w:p w14:paraId="13996ECD">
            <w:pPr>
              <w:jc w:val="both"/>
              <w:rPr>
                <w:rFonts w:hint="eastAsia" w:ascii="宋体" w:hAnsi="宋体"/>
                <w:sz w:val="24"/>
                <w:szCs w:val="24"/>
                <w:highlight w:val="none"/>
              </w:rPr>
            </w:pPr>
          </w:p>
          <w:p w14:paraId="0901B03E">
            <w:pPr>
              <w:jc w:val="both"/>
              <w:rPr>
                <w:rFonts w:hint="eastAsia" w:ascii="宋体" w:hAnsi="宋体"/>
                <w:sz w:val="24"/>
                <w:szCs w:val="24"/>
                <w:highlight w:val="none"/>
              </w:rPr>
            </w:pPr>
            <w:r>
              <w:rPr>
                <w:rFonts w:hint="eastAsia" w:ascii="宋体" w:hAnsi="宋体"/>
                <w:sz w:val="24"/>
                <w:szCs w:val="24"/>
                <w:highlight w:val="none"/>
              </w:rPr>
              <w:t>法定代表人身份证正面复印件粘贴处</w:t>
            </w:r>
            <w:r>
              <w:rPr>
                <w:rFonts w:hint="eastAsia" w:ascii="宋体" w:hAnsi="宋体"/>
                <w:sz w:val="24"/>
                <w:szCs w:val="24"/>
                <w:highlight w:val="none"/>
                <w:lang w:eastAsia="zh-CN"/>
              </w:rPr>
              <w:t>，</w:t>
            </w:r>
            <w:r>
              <w:rPr>
                <w:rFonts w:hint="eastAsia"/>
                <w:sz w:val="24"/>
                <w:szCs w:val="24"/>
                <w:highlight w:val="none"/>
              </w:rPr>
              <w:t>复印件清晰可认</w:t>
            </w:r>
          </w:p>
          <w:p w14:paraId="1BB972E9">
            <w:pPr>
              <w:spacing w:line="360" w:lineRule="auto"/>
              <w:rPr>
                <w:sz w:val="30"/>
                <w:szCs w:val="30"/>
                <w:highlight w:val="none"/>
              </w:rPr>
            </w:pPr>
          </w:p>
        </w:tc>
      </w:tr>
      <w:tr w14:paraId="0C6A2D9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685426D3">
            <w:pPr>
              <w:jc w:val="both"/>
              <w:rPr>
                <w:rFonts w:hint="eastAsia" w:ascii="宋体" w:hAnsi="宋体" w:cs="Times New Roman"/>
                <w:sz w:val="24"/>
                <w:szCs w:val="24"/>
                <w:highlight w:val="none"/>
              </w:rPr>
            </w:pPr>
          </w:p>
          <w:p w14:paraId="48F1C4A8">
            <w:pPr>
              <w:jc w:val="both"/>
              <w:rPr>
                <w:rFonts w:hint="eastAsia" w:ascii="宋体" w:hAnsi="宋体" w:cs="Times New Roman"/>
                <w:sz w:val="24"/>
                <w:szCs w:val="24"/>
                <w:highlight w:val="none"/>
              </w:rPr>
            </w:pPr>
          </w:p>
          <w:p w14:paraId="19AB0A7A">
            <w:pPr>
              <w:jc w:val="both"/>
              <w:rPr>
                <w:rFonts w:hint="eastAsia" w:ascii="宋体" w:hAnsi="宋体" w:cs="Times New Roman"/>
                <w:sz w:val="24"/>
                <w:szCs w:val="24"/>
                <w:highlight w:val="none"/>
              </w:rPr>
            </w:pPr>
            <w:r>
              <w:rPr>
                <w:rFonts w:hint="eastAsia" w:ascii="宋体" w:hAnsi="宋体" w:cs="Times New Roman"/>
                <w:sz w:val="24"/>
                <w:szCs w:val="24"/>
                <w:highlight w:val="none"/>
              </w:rPr>
              <w:t>法定代表人身份证反面复印件粘贴处</w:t>
            </w:r>
            <w:r>
              <w:rPr>
                <w:rFonts w:hint="eastAsia" w:ascii="宋体" w:hAnsi="宋体" w:cs="Times New Roman"/>
                <w:sz w:val="24"/>
                <w:szCs w:val="24"/>
                <w:highlight w:val="none"/>
                <w:lang w:eastAsia="zh-CN"/>
              </w:rPr>
              <w:t>，</w:t>
            </w:r>
            <w:r>
              <w:rPr>
                <w:rFonts w:hint="eastAsia" w:ascii="宋体" w:hAnsi="宋体" w:cs="Times New Roman"/>
                <w:sz w:val="24"/>
                <w:szCs w:val="24"/>
                <w:highlight w:val="none"/>
              </w:rPr>
              <w:t>复印件清晰可认</w:t>
            </w:r>
          </w:p>
          <w:p w14:paraId="69C45D1E">
            <w:pPr>
              <w:jc w:val="center"/>
              <w:rPr>
                <w:rFonts w:hint="eastAsia" w:ascii="宋体" w:hAnsi="宋体" w:eastAsia="宋体"/>
                <w:sz w:val="21"/>
                <w:szCs w:val="21"/>
                <w:highlight w:val="none"/>
                <w:lang w:eastAsia="zh-CN"/>
              </w:rPr>
            </w:pPr>
          </w:p>
          <w:p w14:paraId="5B429E06">
            <w:pPr>
              <w:spacing w:line="360" w:lineRule="auto"/>
              <w:rPr>
                <w:sz w:val="30"/>
                <w:szCs w:val="30"/>
                <w:highlight w:val="none"/>
              </w:rPr>
            </w:pPr>
          </w:p>
        </w:tc>
      </w:tr>
    </w:tbl>
    <w:p w14:paraId="2FF6C65F">
      <w:pPr>
        <w:snapToGrid w:val="0"/>
        <w:spacing w:before="120" w:beforeLines="50" w:after="50" w:line="460" w:lineRule="exact"/>
        <w:rPr>
          <w:rFonts w:hint="eastAsia" w:ascii="宋体" w:hAnsi="宋体"/>
          <w:b/>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 </w:t>
      </w:r>
    </w:p>
    <w:p w14:paraId="745824DD">
      <w:pPr>
        <w:snapToGrid w:val="0"/>
        <w:spacing w:before="120" w:beforeLines="50" w:after="50" w:line="460" w:lineRule="exact"/>
        <w:rPr>
          <w:rFonts w:hint="eastAsia" w:ascii="宋体" w:hAnsi="宋体"/>
          <w:b/>
          <w:color w:val="000000"/>
          <w:sz w:val="24"/>
          <w:highlight w:val="none"/>
        </w:rPr>
      </w:pPr>
    </w:p>
    <w:p w14:paraId="10F66E94">
      <w:pPr>
        <w:snapToGrid w:val="0"/>
        <w:spacing w:before="120" w:beforeLines="50" w:after="50" w:line="460" w:lineRule="exact"/>
        <w:rPr>
          <w:rFonts w:hint="eastAsia" w:ascii="宋体" w:hAnsi="宋体"/>
          <w:b/>
          <w:color w:val="000000"/>
          <w:sz w:val="24"/>
          <w:highlight w:val="none"/>
        </w:rPr>
      </w:pPr>
    </w:p>
    <w:p w14:paraId="69526942">
      <w:pPr>
        <w:snapToGrid w:val="0"/>
        <w:spacing w:before="120" w:beforeLines="50" w:after="50" w:line="460" w:lineRule="exact"/>
        <w:rPr>
          <w:rFonts w:hint="eastAsia" w:ascii="宋体" w:hAnsi="宋体"/>
          <w:b/>
          <w:color w:val="000000"/>
          <w:sz w:val="24"/>
          <w:highlight w:val="none"/>
        </w:rPr>
      </w:pPr>
    </w:p>
    <w:p w14:paraId="3F3E27D3">
      <w:pPr>
        <w:snapToGrid w:val="0"/>
        <w:spacing w:before="120" w:beforeLines="50" w:after="50" w:line="460" w:lineRule="exact"/>
        <w:rPr>
          <w:rFonts w:hint="eastAsia" w:ascii="宋体" w:hAnsi="宋体"/>
          <w:b/>
          <w:color w:val="000000"/>
          <w:sz w:val="24"/>
          <w:highlight w:val="none"/>
        </w:rPr>
      </w:pPr>
    </w:p>
    <w:p w14:paraId="7DEF668B">
      <w:pPr>
        <w:snapToGrid w:val="0"/>
        <w:spacing w:before="120" w:beforeLines="50" w:after="50" w:line="460" w:lineRule="exact"/>
        <w:rPr>
          <w:rFonts w:hint="eastAsia" w:ascii="宋体" w:hAnsi="宋体"/>
          <w:b/>
          <w:color w:val="000000"/>
          <w:sz w:val="24"/>
          <w:highlight w:val="none"/>
        </w:rPr>
      </w:pPr>
    </w:p>
    <w:p w14:paraId="7FDE8B6D">
      <w:pPr>
        <w:snapToGrid w:val="0"/>
        <w:spacing w:before="120" w:beforeLines="50" w:after="50" w:line="460" w:lineRule="exact"/>
        <w:rPr>
          <w:rFonts w:hint="eastAsia" w:ascii="宋体" w:hAnsi="宋体"/>
          <w:b/>
          <w:color w:val="000000"/>
          <w:sz w:val="24"/>
          <w:highlight w:val="none"/>
        </w:rPr>
      </w:pPr>
    </w:p>
    <w:p w14:paraId="39B0BBF8">
      <w:pPr>
        <w:snapToGrid w:val="0"/>
        <w:spacing w:before="120" w:beforeLines="50" w:after="50" w:line="460" w:lineRule="exact"/>
        <w:rPr>
          <w:rFonts w:hint="eastAsia" w:ascii="宋体" w:hAnsi="宋体"/>
          <w:b/>
          <w:color w:val="000000"/>
          <w:sz w:val="24"/>
          <w:highlight w:val="none"/>
        </w:rPr>
      </w:pPr>
    </w:p>
    <w:p w14:paraId="4725FD61">
      <w:pPr>
        <w:snapToGrid w:val="0"/>
        <w:spacing w:before="120" w:beforeLines="50" w:after="50" w:line="460" w:lineRule="exact"/>
        <w:rPr>
          <w:rFonts w:hint="eastAsia" w:ascii="宋体" w:hAnsi="宋体"/>
          <w:b/>
          <w:color w:val="000000"/>
          <w:sz w:val="24"/>
          <w:highlight w:val="none"/>
        </w:rPr>
      </w:pPr>
    </w:p>
    <w:p w14:paraId="6F57067A">
      <w:pPr>
        <w:snapToGrid w:val="0"/>
        <w:spacing w:before="120" w:beforeLines="50" w:after="50" w:line="460" w:lineRule="exact"/>
        <w:rPr>
          <w:rFonts w:hint="eastAsia" w:ascii="宋体" w:hAnsi="宋体"/>
          <w:b/>
          <w:color w:val="000000"/>
          <w:sz w:val="24"/>
          <w:highlight w:val="none"/>
        </w:rPr>
      </w:pPr>
    </w:p>
    <w:p w14:paraId="448B5FF5">
      <w:pPr>
        <w:snapToGrid w:val="0"/>
        <w:spacing w:before="120" w:beforeLines="50" w:after="50" w:line="460" w:lineRule="exact"/>
        <w:rPr>
          <w:rFonts w:hint="eastAsia" w:ascii="宋体" w:hAnsi="宋体"/>
          <w:b/>
          <w:color w:val="000000"/>
          <w:sz w:val="24"/>
          <w:highlight w:val="none"/>
        </w:rPr>
      </w:pPr>
    </w:p>
    <w:p w14:paraId="643C9DDD">
      <w:pPr>
        <w:pStyle w:val="20"/>
        <w:rPr>
          <w:rFonts w:hint="eastAsia" w:ascii="宋体" w:hAnsi="宋体"/>
          <w:b/>
          <w:color w:val="000000"/>
          <w:sz w:val="24"/>
          <w:highlight w:val="none"/>
        </w:rPr>
      </w:pPr>
    </w:p>
    <w:p w14:paraId="4B5F452E">
      <w:pPr>
        <w:snapToGrid w:val="0"/>
        <w:spacing w:before="50" w:after="120" w:afterLines="50"/>
        <w:jc w:val="left"/>
        <w:rPr>
          <w:rFonts w:hint="eastAsia" w:ascii="宋体" w:hAnsi="宋体"/>
          <w:b/>
          <w:color w:val="000000"/>
          <w:sz w:val="24"/>
          <w:highlight w:val="none"/>
        </w:rPr>
      </w:pPr>
      <w:r>
        <w:rPr>
          <w:rFonts w:hint="eastAsia" w:ascii="宋体" w:hAnsi="宋体"/>
          <w:b/>
          <w:color w:val="000000"/>
          <w:sz w:val="24"/>
          <w:highlight w:val="none"/>
        </w:rPr>
        <w:t>投标人</w:t>
      </w:r>
      <w:r>
        <w:rPr>
          <w:rFonts w:hint="eastAsia" w:ascii="宋体" w:hAnsi="宋体"/>
          <w:b/>
          <w:spacing w:val="20"/>
          <w:sz w:val="24"/>
          <w:highlight w:val="none"/>
        </w:rPr>
        <w:t>（盖章）</w:t>
      </w:r>
      <w:r>
        <w:rPr>
          <w:rFonts w:hint="eastAsia" w:ascii="宋体" w:hAnsi="宋体"/>
          <w:b/>
          <w:color w:val="000000"/>
          <w:sz w:val="24"/>
          <w:highlight w:val="none"/>
        </w:rPr>
        <w:t>：</w:t>
      </w:r>
      <w:r>
        <w:rPr>
          <w:rFonts w:hint="eastAsia" w:ascii="宋体" w:hAnsi="宋体"/>
          <w:b/>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p>
    <w:p w14:paraId="4AF6B266">
      <w:pPr>
        <w:snapToGrid w:val="0"/>
        <w:spacing w:before="50" w:after="120" w:afterLines="50"/>
        <w:jc w:val="left"/>
        <w:rPr>
          <w:rFonts w:hint="eastAsia" w:ascii="宋体" w:hAnsi="宋体"/>
          <w:b/>
          <w:color w:val="000000"/>
          <w:sz w:val="24"/>
          <w:highlight w:val="none"/>
        </w:rPr>
      </w:pPr>
    </w:p>
    <w:p w14:paraId="2B6DDD58">
      <w:pPr>
        <w:snapToGrid w:val="0"/>
        <w:spacing w:before="50" w:after="120" w:afterLines="50"/>
        <w:jc w:val="left"/>
        <w:rPr>
          <w:rFonts w:hint="eastAsia" w:ascii="宋体" w:hAnsi="宋体"/>
          <w:b/>
          <w:color w:val="000000"/>
          <w:sz w:val="24"/>
          <w:highlight w:val="none"/>
        </w:rPr>
      </w:pPr>
    </w:p>
    <w:p w14:paraId="328DEFD2">
      <w:pPr>
        <w:snapToGrid w:val="0"/>
        <w:spacing w:before="50" w:after="120" w:afterLines="50"/>
        <w:jc w:val="left"/>
        <w:rPr>
          <w:rFonts w:hint="eastAsia" w:ascii="宋体" w:hAnsi="宋体"/>
          <w:b/>
          <w:color w:val="000000"/>
          <w:sz w:val="24"/>
          <w:highlight w:val="none"/>
        </w:rPr>
      </w:pPr>
    </w:p>
    <w:p w14:paraId="11940BD1">
      <w:pPr>
        <w:snapToGrid w:val="0"/>
        <w:spacing w:before="50" w:after="120" w:afterLines="50"/>
        <w:jc w:val="left"/>
        <w:rPr>
          <w:rFonts w:ascii="宋体" w:hAnsi="宋体"/>
          <w:color w:val="auto"/>
          <w:sz w:val="24"/>
          <w:highlight w:val="none"/>
        </w:rPr>
      </w:pPr>
      <w:r>
        <w:rPr>
          <w:rFonts w:hint="eastAsia" w:ascii="宋体" w:hAnsi="宋体" w:eastAsia="宋体" w:cs="宋体"/>
          <w:color w:val="auto"/>
          <w:sz w:val="24"/>
          <w:highlight w:val="none"/>
          <w:shd w:val="clear" w:color="auto" w:fill="auto"/>
        </w:rPr>
        <w:t>7.</w:t>
      </w:r>
      <w:r>
        <w:rPr>
          <w:rFonts w:hint="eastAsia" w:ascii="宋体" w:hAnsi="宋体" w:cs="宋体"/>
          <w:color w:val="auto"/>
          <w:sz w:val="24"/>
          <w:highlight w:val="none"/>
          <w:shd w:val="clear" w:color="auto" w:fill="auto"/>
          <w:lang w:val="en-US" w:eastAsia="zh-CN"/>
        </w:rPr>
        <w:t>货物</w:t>
      </w:r>
      <w:r>
        <w:rPr>
          <w:rFonts w:hint="eastAsia" w:ascii="宋体" w:hAnsi="宋体"/>
          <w:color w:val="auto"/>
          <w:sz w:val="24"/>
          <w:highlight w:val="none"/>
        </w:rPr>
        <w:t>说明表格式：</w:t>
      </w:r>
    </w:p>
    <w:p w14:paraId="09E47737">
      <w:pPr>
        <w:snapToGrid w:val="0"/>
        <w:spacing w:before="120" w:beforeLines="50" w:after="50" w:line="360" w:lineRule="auto"/>
        <w:jc w:val="center"/>
        <w:rPr>
          <w:color w:val="auto"/>
          <w:highlight w:val="none"/>
        </w:rPr>
      </w:pPr>
      <w:r>
        <w:rPr>
          <w:rFonts w:hint="eastAsia" w:ascii="宋体" w:hAnsi="宋体"/>
          <w:b/>
          <w:color w:val="auto"/>
          <w:sz w:val="24"/>
          <w:highlight w:val="none"/>
          <w:lang w:val="en-US" w:eastAsia="zh-CN"/>
        </w:rPr>
        <w:t>货物</w:t>
      </w:r>
      <w:r>
        <w:rPr>
          <w:rFonts w:hint="eastAsia" w:ascii="宋体" w:hAnsi="宋体"/>
          <w:b/>
          <w:color w:val="auto"/>
          <w:sz w:val="24"/>
          <w:highlight w:val="none"/>
        </w:rPr>
        <w:t>说明表</w:t>
      </w:r>
    </w:p>
    <w:p w14:paraId="5445D702">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tbl>
      <w:tblPr>
        <w:tblStyle w:val="51"/>
        <w:tblW w:w="4997" w:type="pct"/>
        <w:tblInd w:w="0" w:type="dxa"/>
        <w:tblLayout w:type="autofit"/>
        <w:tblCellMar>
          <w:top w:w="0" w:type="dxa"/>
          <w:left w:w="108" w:type="dxa"/>
          <w:bottom w:w="0" w:type="dxa"/>
          <w:right w:w="108" w:type="dxa"/>
        </w:tblCellMar>
      </w:tblPr>
      <w:tblGrid>
        <w:gridCol w:w="596"/>
        <w:gridCol w:w="1184"/>
        <w:gridCol w:w="1043"/>
        <w:gridCol w:w="2158"/>
        <w:gridCol w:w="2924"/>
        <w:gridCol w:w="1036"/>
      </w:tblGrid>
      <w:tr w14:paraId="39F7C5CA">
        <w:tblPrEx>
          <w:tblCellMar>
            <w:top w:w="0" w:type="dxa"/>
            <w:left w:w="108" w:type="dxa"/>
            <w:bottom w:w="0" w:type="dxa"/>
            <w:right w:w="108" w:type="dxa"/>
          </w:tblCellMar>
        </w:tblPrEx>
        <w:trPr>
          <w:trHeight w:val="726" w:hRule="atLeast"/>
        </w:trPr>
        <w:tc>
          <w:tcPr>
            <w:tcW w:w="3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B48E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6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CD941">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名称</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DF2CC">
            <w:pPr>
              <w:widowControl/>
              <w:jc w:val="center"/>
              <w:rPr>
                <w:rFonts w:hint="eastAsia" w:ascii="宋体" w:hAnsi="宋体" w:cs="宋体"/>
                <w:b/>
                <w:color w:val="auto"/>
                <w:kern w:val="0"/>
                <w:sz w:val="24"/>
                <w:highlight w:val="none"/>
                <w:lang w:val="en-US" w:eastAsia="zh-CN"/>
              </w:rPr>
            </w:pPr>
            <w:r>
              <w:rPr>
                <w:rFonts w:hint="eastAsia" w:ascii="宋体" w:hAnsi="宋体" w:cs="宋体"/>
                <w:b/>
                <w:color w:val="auto"/>
                <w:kern w:val="0"/>
                <w:sz w:val="24"/>
                <w:highlight w:val="none"/>
                <w:lang w:val="en-US" w:eastAsia="zh-CN"/>
              </w:rPr>
              <w:t>品牌/</w:t>
            </w:r>
          </w:p>
          <w:p w14:paraId="505DD9C0">
            <w:pPr>
              <w:widowControl/>
              <w:jc w:val="center"/>
              <w:rPr>
                <w:rFonts w:hint="default" w:ascii="宋体" w:hAnsi="宋体" w:cs="宋体"/>
                <w:b/>
                <w:color w:val="auto"/>
                <w:kern w:val="0"/>
                <w:sz w:val="24"/>
                <w:highlight w:val="none"/>
                <w:lang w:val="en-US" w:eastAsia="zh-CN"/>
              </w:rPr>
            </w:pPr>
            <w:r>
              <w:rPr>
                <w:rFonts w:hint="eastAsia" w:ascii="宋体" w:hAnsi="宋体" w:cs="宋体"/>
                <w:b/>
                <w:color w:val="auto"/>
                <w:kern w:val="0"/>
                <w:sz w:val="24"/>
                <w:highlight w:val="none"/>
                <w:lang w:val="en-US" w:eastAsia="zh-CN"/>
              </w:rPr>
              <w:t>型号</w:t>
            </w:r>
          </w:p>
        </w:tc>
        <w:tc>
          <w:tcPr>
            <w:tcW w:w="12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EDBAA">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lang w:val="en-US" w:eastAsia="zh-CN"/>
              </w:rPr>
              <w:t>图示</w:t>
            </w:r>
          </w:p>
        </w:tc>
        <w:tc>
          <w:tcPr>
            <w:tcW w:w="163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386EA">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lang w:val="en-US" w:eastAsia="zh-CN"/>
              </w:rPr>
              <w:t>技术参数</w:t>
            </w:r>
          </w:p>
        </w:tc>
        <w:tc>
          <w:tcPr>
            <w:tcW w:w="579" w:type="pc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07367A">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75B7F6C3">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288CFB6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662" w:type="pct"/>
            <w:tcBorders>
              <w:top w:val="nil"/>
              <w:left w:val="nil"/>
              <w:bottom w:val="single" w:color="000000" w:sz="4" w:space="0"/>
              <w:right w:val="single" w:color="000000" w:sz="4" w:space="0"/>
            </w:tcBorders>
            <w:shd w:val="clear" w:color="auto" w:fill="FFFFFF"/>
            <w:noWrap w:val="0"/>
            <w:vAlign w:val="center"/>
          </w:tcPr>
          <w:p w14:paraId="3A311C27">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12D64D28">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0BD46936">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258128D5">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58A50891">
            <w:pPr>
              <w:widowControl/>
              <w:jc w:val="center"/>
              <w:rPr>
                <w:rFonts w:ascii="宋体" w:hAnsi="宋体" w:cs="宋体"/>
                <w:color w:val="auto"/>
                <w:kern w:val="0"/>
                <w:sz w:val="24"/>
                <w:highlight w:val="none"/>
              </w:rPr>
            </w:pPr>
          </w:p>
        </w:tc>
      </w:tr>
      <w:tr w14:paraId="61CD7D9A">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137BF53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662" w:type="pct"/>
            <w:tcBorders>
              <w:top w:val="nil"/>
              <w:left w:val="nil"/>
              <w:bottom w:val="single" w:color="000000" w:sz="4" w:space="0"/>
              <w:right w:val="single" w:color="000000" w:sz="4" w:space="0"/>
            </w:tcBorders>
            <w:shd w:val="clear" w:color="auto" w:fill="FFFFFF"/>
            <w:noWrap w:val="0"/>
            <w:vAlign w:val="center"/>
          </w:tcPr>
          <w:p w14:paraId="5406EBC9">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35404BBF">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5511672C">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34F84254">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56A6E800">
            <w:pPr>
              <w:widowControl/>
              <w:jc w:val="center"/>
              <w:rPr>
                <w:rFonts w:ascii="宋体" w:hAnsi="宋体" w:cs="宋体"/>
                <w:color w:val="auto"/>
                <w:kern w:val="0"/>
                <w:sz w:val="24"/>
                <w:highlight w:val="none"/>
              </w:rPr>
            </w:pPr>
          </w:p>
        </w:tc>
      </w:tr>
      <w:tr w14:paraId="6B9ED8CC">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52AD43A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662" w:type="pct"/>
            <w:tcBorders>
              <w:top w:val="nil"/>
              <w:left w:val="nil"/>
              <w:bottom w:val="single" w:color="000000" w:sz="4" w:space="0"/>
              <w:right w:val="single" w:color="000000" w:sz="4" w:space="0"/>
            </w:tcBorders>
            <w:shd w:val="clear" w:color="auto" w:fill="FFFFFF"/>
            <w:noWrap w:val="0"/>
            <w:vAlign w:val="center"/>
          </w:tcPr>
          <w:p w14:paraId="387385AB">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0322F7DD">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47BEC104">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6EE20208">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467132FB">
            <w:pPr>
              <w:widowControl/>
              <w:jc w:val="center"/>
              <w:rPr>
                <w:rFonts w:ascii="宋体" w:hAnsi="宋体" w:cs="宋体"/>
                <w:color w:val="auto"/>
                <w:kern w:val="0"/>
                <w:sz w:val="24"/>
                <w:highlight w:val="none"/>
              </w:rPr>
            </w:pPr>
          </w:p>
        </w:tc>
      </w:tr>
      <w:tr w14:paraId="1D422466">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0F44BB6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662" w:type="pct"/>
            <w:tcBorders>
              <w:top w:val="nil"/>
              <w:left w:val="nil"/>
              <w:bottom w:val="single" w:color="000000" w:sz="4" w:space="0"/>
              <w:right w:val="single" w:color="000000" w:sz="4" w:space="0"/>
            </w:tcBorders>
            <w:shd w:val="clear" w:color="auto" w:fill="FFFFFF"/>
            <w:noWrap w:val="0"/>
            <w:vAlign w:val="center"/>
          </w:tcPr>
          <w:p w14:paraId="6844B5C4">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2CE3F4C6">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691498AA">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06CD2CBC">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0D58A553">
            <w:pPr>
              <w:widowControl/>
              <w:jc w:val="center"/>
              <w:rPr>
                <w:rFonts w:ascii="宋体" w:hAnsi="宋体" w:cs="宋体"/>
                <w:color w:val="auto"/>
                <w:kern w:val="0"/>
                <w:sz w:val="24"/>
                <w:highlight w:val="none"/>
              </w:rPr>
            </w:pPr>
          </w:p>
        </w:tc>
      </w:tr>
      <w:tr w14:paraId="6EDF962F">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50A061A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662" w:type="pct"/>
            <w:tcBorders>
              <w:top w:val="nil"/>
              <w:left w:val="nil"/>
              <w:bottom w:val="single" w:color="000000" w:sz="4" w:space="0"/>
              <w:right w:val="single" w:color="000000" w:sz="4" w:space="0"/>
            </w:tcBorders>
            <w:shd w:val="clear" w:color="auto" w:fill="FFFFFF"/>
            <w:noWrap w:val="0"/>
            <w:vAlign w:val="center"/>
          </w:tcPr>
          <w:p w14:paraId="1DCAC9A3">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6E992D87">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71A2CC93">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062C8E83">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3F090FAA">
            <w:pPr>
              <w:widowControl/>
              <w:jc w:val="center"/>
              <w:rPr>
                <w:rFonts w:ascii="宋体" w:hAnsi="宋体" w:cs="宋体"/>
                <w:color w:val="auto"/>
                <w:kern w:val="0"/>
                <w:sz w:val="24"/>
                <w:highlight w:val="none"/>
              </w:rPr>
            </w:pPr>
          </w:p>
        </w:tc>
      </w:tr>
      <w:tr w14:paraId="64BEC03D">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121BEA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662" w:type="pct"/>
            <w:tcBorders>
              <w:top w:val="nil"/>
              <w:left w:val="nil"/>
              <w:bottom w:val="single" w:color="000000" w:sz="4" w:space="0"/>
              <w:right w:val="single" w:color="000000" w:sz="4" w:space="0"/>
            </w:tcBorders>
            <w:shd w:val="clear" w:color="auto" w:fill="FFFFFF"/>
            <w:noWrap w:val="0"/>
            <w:vAlign w:val="center"/>
          </w:tcPr>
          <w:p w14:paraId="67744F4B">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5D14E31F">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061E017D">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2432A44B">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52F6763A">
            <w:pPr>
              <w:widowControl/>
              <w:jc w:val="center"/>
              <w:rPr>
                <w:rFonts w:ascii="宋体" w:hAnsi="宋体" w:cs="宋体"/>
                <w:color w:val="auto"/>
                <w:kern w:val="0"/>
                <w:sz w:val="24"/>
                <w:highlight w:val="none"/>
              </w:rPr>
            </w:pPr>
          </w:p>
        </w:tc>
      </w:tr>
      <w:tr w14:paraId="49B36544">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7DCAAAC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662" w:type="pct"/>
            <w:tcBorders>
              <w:top w:val="nil"/>
              <w:left w:val="nil"/>
              <w:bottom w:val="single" w:color="000000" w:sz="4" w:space="0"/>
              <w:right w:val="single" w:color="000000" w:sz="4" w:space="0"/>
            </w:tcBorders>
            <w:shd w:val="clear" w:color="auto" w:fill="FFFFFF"/>
            <w:noWrap w:val="0"/>
            <w:vAlign w:val="center"/>
          </w:tcPr>
          <w:p w14:paraId="1BFD9E27">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2381C987">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171104C0">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172BDF01">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2A414C4A">
            <w:pPr>
              <w:widowControl/>
              <w:jc w:val="center"/>
              <w:rPr>
                <w:rFonts w:ascii="宋体" w:hAnsi="宋体" w:cs="宋体"/>
                <w:color w:val="auto"/>
                <w:kern w:val="0"/>
                <w:sz w:val="24"/>
                <w:highlight w:val="none"/>
              </w:rPr>
            </w:pPr>
          </w:p>
        </w:tc>
      </w:tr>
      <w:tr w14:paraId="0CCD222B">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3B4E0D3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662" w:type="pct"/>
            <w:tcBorders>
              <w:top w:val="nil"/>
              <w:left w:val="nil"/>
              <w:bottom w:val="single" w:color="000000" w:sz="4" w:space="0"/>
              <w:right w:val="single" w:color="000000" w:sz="4" w:space="0"/>
            </w:tcBorders>
            <w:shd w:val="clear" w:color="auto" w:fill="FFFFFF"/>
            <w:noWrap w:val="0"/>
            <w:vAlign w:val="center"/>
          </w:tcPr>
          <w:p w14:paraId="11B15D16">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5161ED4E">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3940C43F">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0CAD4B78">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1F8A71A9">
            <w:pPr>
              <w:widowControl/>
              <w:jc w:val="center"/>
              <w:rPr>
                <w:rFonts w:ascii="宋体" w:hAnsi="宋体" w:cs="宋体"/>
                <w:color w:val="auto"/>
                <w:kern w:val="0"/>
                <w:sz w:val="24"/>
                <w:highlight w:val="none"/>
              </w:rPr>
            </w:pPr>
          </w:p>
        </w:tc>
      </w:tr>
      <w:tr w14:paraId="60DF56F6">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02B5F84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662" w:type="pct"/>
            <w:tcBorders>
              <w:top w:val="nil"/>
              <w:left w:val="nil"/>
              <w:bottom w:val="single" w:color="000000" w:sz="4" w:space="0"/>
              <w:right w:val="single" w:color="000000" w:sz="4" w:space="0"/>
            </w:tcBorders>
            <w:shd w:val="clear" w:color="auto" w:fill="FFFFFF"/>
            <w:noWrap w:val="0"/>
            <w:vAlign w:val="center"/>
          </w:tcPr>
          <w:p w14:paraId="01D3C380">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63FCBE92">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772E2CBB">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197FFD16">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67F5B9CB">
            <w:pPr>
              <w:widowControl/>
              <w:jc w:val="center"/>
              <w:rPr>
                <w:rFonts w:ascii="宋体" w:hAnsi="宋体" w:cs="宋体"/>
                <w:color w:val="auto"/>
                <w:kern w:val="0"/>
                <w:sz w:val="24"/>
                <w:highlight w:val="none"/>
              </w:rPr>
            </w:pPr>
          </w:p>
        </w:tc>
      </w:tr>
      <w:tr w14:paraId="7AAF81C0">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6FA2F22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662" w:type="pct"/>
            <w:tcBorders>
              <w:top w:val="nil"/>
              <w:left w:val="nil"/>
              <w:bottom w:val="single" w:color="000000" w:sz="4" w:space="0"/>
              <w:right w:val="single" w:color="000000" w:sz="4" w:space="0"/>
            </w:tcBorders>
            <w:shd w:val="clear" w:color="auto" w:fill="FFFFFF"/>
            <w:noWrap w:val="0"/>
            <w:vAlign w:val="center"/>
          </w:tcPr>
          <w:p w14:paraId="6781A985">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37FD016B">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2CDBE11D">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5DB8579A">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0B0838D1">
            <w:pPr>
              <w:widowControl/>
              <w:jc w:val="center"/>
              <w:rPr>
                <w:rFonts w:ascii="宋体" w:hAnsi="宋体" w:cs="宋体"/>
                <w:color w:val="auto"/>
                <w:kern w:val="0"/>
                <w:sz w:val="24"/>
                <w:highlight w:val="none"/>
              </w:rPr>
            </w:pPr>
          </w:p>
        </w:tc>
      </w:tr>
      <w:tr w14:paraId="404223AD">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1C133B8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662" w:type="pct"/>
            <w:tcBorders>
              <w:top w:val="nil"/>
              <w:left w:val="nil"/>
              <w:bottom w:val="single" w:color="000000" w:sz="4" w:space="0"/>
              <w:right w:val="single" w:color="000000" w:sz="4" w:space="0"/>
            </w:tcBorders>
            <w:shd w:val="clear" w:color="auto" w:fill="FFFFFF"/>
            <w:noWrap w:val="0"/>
            <w:vAlign w:val="center"/>
          </w:tcPr>
          <w:p w14:paraId="3C7B87DD">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7FCD8056">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2A25BF54">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02D0B89E">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7CCF190A">
            <w:pPr>
              <w:widowControl/>
              <w:jc w:val="center"/>
              <w:rPr>
                <w:rFonts w:ascii="宋体" w:hAnsi="宋体" w:cs="宋体"/>
                <w:color w:val="auto"/>
                <w:kern w:val="0"/>
                <w:sz w:val="24"/>
                <w:highlight w:val="none"/>
              </w:rPr>
            </w:pPr>
          </w:p>
        </w:tc>
      </w:tr>
      <w:tr w14:paraId="315EB7DE">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42F7D96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662" w:type="pct"/>
            <w:tcBorders>
              <w:top w:val="nil"/>
              <w:left w:val="nil"/>
              <w:bottom w:val="single" w:color="000000" w:sz="4" w:space="0"/>
              <w:right w:val="single" w:color="000000" w:sz="4" w:space="0"/>
            </w:tcBorders>
            <w:shd w:val="clear" w:color="auto" w:fill="FFFFFF"/>
            <w:noWrap w:val="0"/>
            <w:vAlign w:val="center"/>
          </w:tcPr>
          <w:p w14:paraId="5809875B">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7D252D81">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7A89EE4D">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2DB5A3DD">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453C1BDD">
            <w:pPr>
              <w:widowControl/>
              <w:jc w:val="center"/>
              <w:rPr>
                <w:rFonts w:ascii="宋体" w:hAnsi="宋体" w:cs="宋体"/>
                <w:color w:val="auto"/>
                <w:kern w:val="0"/>
                <w:sz w:val="24"/>
                <w:highlight w:val="none"/>
              </w:rPr>
            </w:pPr>
          </w:p>
        </w:tc>
      </w:tr>
      <w:tr w14:paraId="7A69523F">
        <w:tblPrEx>
          <w:tblCellMar>
            <w:top w:w="0" w:type="dxa"/>
            <w:left w:w="108" w:type="dxa"/>
            <w:bottom w:w="0" w:type="dxa"/>
            <w:right w:w="108" w:type="dxa"/>
          </w:tblCellMar>
        </w:tblPrEx>
        <w:trPr>
          <w:trHeight w:val="624" w:hRule="atLeast"/>
        </w:trPr>
        <w:tc>
          <w:tcPr>
            <w:tcW w:w="333" w:type="pct"/>
            <w:tcBorders>
              <w:top w:val="nil"/>
              <w:left w:val="single" w:color="000000" w:sz="4" w:space="0"/>
              <w:bottom w:val="single" w:color="000000" w:sz="4" w:space="0"/>
              <w:right w:val="single" w:color="000000" w:sz="4" w:space="0"/>
            </w:tcBorders>
            <w:shd w:val="clear" w:color="auto" w:fill="FFFFFF"/>
            <w:noWrap w:val="0"/>
            <w:vAlign w:val="center"/>
          </w:tcPr>
          <w:p w14:paraId="251186C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662" w:type="pct"/>
            <w:tcBorders>
              <w:top w:val="nil"/>
              <w:left w:val="nil"/>
              <w:bottom w:val="single" w:color="000000" w:sz="4" w:space="0"/>
              <w:right w:val="single" w:color="000000" w:sz="4" w:space="0"/>
            </w:tcBorders>
            <w:shd w:val="clear" w:color="auto" w:fill="FFFFFF"/>
            <w:noWrap w:val="0"/>
            <w:vAlign w:val="center"/>
          </w:tcPr>
          <w:p w14:paraId="3FF2C3FF">
            <w:pPr>
              <w:widowControl/>
              <w:jc w:val="left"/>
              <w:rPr>
                <w:rFonts w:ascii="宋体" w:hAnsi="宋体" w:cs="宋体"/>
                <w:color w:val="auto"/>
                <w:kern w:val="0"/>
                <w:sz w:val="24"/>
                <w:highlight w:val="none"/>
              </w:rPr>
            </w:pPr>
          </w:p>
        </w:tc>
        <w:tc>
          <w:tcPr>
            <w:tcW w:w="583" w:type="pct"/>
            <w:tcBorders>
              <w:top w:val="nil"/>
              <w:left w:val="nil"/>
              <w:bottom w:val="single" w:color="000000" w:sz="4" w:space="0"/>
              <w:right w:val="single" w:color="000000" w:sz="4" w:space="0"/>
            </w:tcBorders>
            <w:shd w:val="clear" w:color="auto" w:fill="FFFFFF"/>
            <w:noWrap w:val="0"/>
            <w:vAlign w:val="center"/>
          </w:tcPr>
          <w:p w14:paraId="5D0D7421">
            <w:pPr>
              <w:widowControl/>
              <w:jc w:val="left"/>
              <w:rPr>
                <w:rFonts w:ascii="宋体" w:hAnsi="宋体" w:cs="宋体"/>
                <w:color w:val="auto"/>
                <w:kern w:val="0"/>
                <w:sz w:val="24"/>
                <w:highlight w:val="none"/>
              </w:rPr>
            </w:pPr>
          </w:p>
        </w:tc>
        <w:tc>
          <w:tcPr>
            <w:tcW w:w="1206" w:type="pct"/>
            <w:tcBorders>
              <w:top w:val="nil"/>
              <w:left w:val="nil"/>
              <w:bottom w:val="single" w:color="000000" w:sz="4" w:space="0"/>
              <w:right w:val="single" w:color="000000" w:sz="4" w:space="0"/>
            </w:tcBorders>
            <w:shd w:val="clear" w:color="auto" w:fill="FFFFFF"/>
            <w:noWrap w:val="0"/>
            <w:vAlign w:val="center"/>
          </w:tcPr>
          <w:p w14:paraId="4F710719">
            <w:pPr>
              <w:widowControl/>
              <w:jc w:val="left"/>
              <w:rPr>
                <w:rFonts w:ascii="宋体" w:hAnsi="宋体" w:cs="宋体"/>
                <w:color w:val="auto"/>
                <w:kern w:val="0"/>
                <w:sz w:val="24"/>
                <w:highlight w:val="none"/>
              </w:rPr>
            </w:pPr>
          </w:p>
        </w:tc>
        <w:tc>
          <w:tcPr>
            <w:tcW w:w="1634" w:type="pct"/>
            <w:tcBorders>
              <w:top w:val="nil"/>
              <w:left w:val="nil"/>
              <w:bottom w:val="single" w:color="000000" w:sz="4" w:space="0"/>
              <w:right w:val="single" w:color="000000" w:sz="4" w:space="0"/>
            </w:tcBorders>
            <w:shd w:val="clear" w:color="auto" w:fill="FFFFFF"/>
            <w:noWrap w:val="0"/>
            <w:vAlign w:val="center"/>
          </w:tcPr>
          <w:p w14:paraId="0DC1D44D">
            <w:pPr>
              <w:widowControl/>
              <w:jc w:val="center"/>
              <w:rPr>
                <w:rFonts w:ascii="宋体" w:hAnsi="宋体" w:cs="宋体"/>
                <w:color w:val="auto"/>
                <w:kern w:val="0"/>
                <w:sz w:val="24"/>
                <w:highlight w:val="none"/>
              </w:rPr>
            </w:pPr>
          </w:p>
        </w:tc>
        <w:tc>
          <w:tcPr>
            <w:tcW w:w="579" w:type="pct"/>
            <w:tcBorders>
              <w:top w:val="nil"/>
              <w:left w:val="single" w:color="auto" w:sz="4" w:space="0"/>
              <w:bottom w:val="single" w:color="000000" w:sz="4" w:space="0"/>
              <w:right w:val="single" w:color="000000" w:sz="4" w:space="0"/>
            </w:tcBorders>
            <w:shd w:val="clear" w:color="auto" w:fill="FFFFFF"/>
            <w:noWrap w:val="0"/>
            <w:vAlign w:val="center"/>
          </w:tcPr>
          <w:p w14:paraId="4F210C3A">
            <w:pPr>
              <w:widowControl/>
              <w:jc w:val="center"/>
              <w:rPr>
                <w:rFonts w:ascii="宋体" w:hAnsi="宋体" w:cs="宋体"/>
                <w:color w:val="auto"/>
                <w:kern w:val="0"/>
                <w:sz w:val="24"/>
                <w:highlight w:val="none"/>
              </w:rPr>
            </w:pPr>
          </w:p>
        </w:tc>
      </w:tr>
    </w:tbl>
    <w:p w14:paraId="6B5543A9">
      <w:pPr>
        <w:snapToGrid w:val="0"/>
        <w:spacing w:before="120" w:beforeLines="50" w:after="50" w:line="360" w:lineRule="auto"/>
        <w:rPr>
          <w:rFonts w:hint="eastAsia" w:ascii="宋体" w:hAnsi="宋体"/>
          <w:b/>
          <w:color w:val="auto"/>
          <w:sz w:val="24"/>
          <w:highlight w:val="none"/>
        </w:rPr>
      </w:pPr>
      <w:r>
        <w:rPr>
          <w:rFonts w:hint="eastAsia" w:ascii="宋体" w:hAnsi="宋体"/>
          <w:b/>
          <w:color w:val="auto"/>
          <w:sz w:val="24"/>
          <w:highlight w:val="none"/>
        </w:rPr>
        <w:t>注：投标人根据采购清单中的内容进行填写并提供相应的证明材料，</w:t>
      </w:r>
      <w:bookmarkStart w:id="63" w:name="_Hlk52958408"/>
      <w:r>
        <w:rPr>
          <w:rFonts w:hint="eastAsia" w:ascii="宋体" w:hAnsi="宋体"/>
          <w:b/>
          <w:color w:val="auto"/>
          <w:sz w:val="24"/>
          <w:highlight w:val="none"/>
        </w:rPr>
        <w:t>设备说明表中勿填写价格信息。</w:t>
      </w:r>
      <w:bookmarkEnd w:id="63"/>
    </w:p>
    <w:p w14:paraId="41EB85C2">
      <w:pPr>
        <w:snapToGrid w:val="0"/>
        <w:spacing w:before="50" w:after="120" w:afterLines="50"/>
        <w:jc w:val="left"/>
        <w:rPr>
          <w:rFonts w:hint="eastAsia" w:ascii="宋体" w:hAnsi="宋体" w:eastAsia="宋体" w:cs="宋体"/>
          <w:color w:val="auto"/>
          <w:sz w:val="24"/>
          <w:highlight w:val="none"/>
          <w:shd w:val="clear" w:color="auto" w:fill="auto"/>
        </w:rPr>
      </w:pPr>
    </w:p>
    <w:p w14:paraId="15BB1165">
      <w:pPr>
        <w:snapToGrid w:val="0"/>
        <w:spacing w:before="50" w:after="120" w:afterLines="50"/>
        <w:jc w:val="left"/>
        <w:rPr>
          <w:rFonts w:hint="eastAsia" w:ascii="宋体" w:hAnsi="宋体" w:eastAsia="宋体" w:cs="宋体"/>
          <w:color w:val="auto"/>
          <w:sz w:val="24"/>
          <w:highlight w:val="none"/>
          <w:shd w:val="clear" w:color="auto" w:fill="auto"/>
        </w:rPr>
      </w:pPr>
    </w:p>
    <w:p w14:paraId="06D88B69">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668D6E87">
      <w:pPr>
        <w:snapToGrid w:val="0"/>
        <w:spacing w:before="50" w:after="120" w:afterLines="50"/>
        <w:jc w:val="left"/>
        <w:rPr>
          <w:rFonts w:ascii="宋体" w:hAnsi="宋体"/>
          <w:color w:val="auto"/>
          <w:sz w:val="24"/>
          <w:highlight w:val="none"/>
        </w:rPr>
      </w:pPr>
      <w:r>
        <w:rPr>
          <w:rFonts w:hint="eastAsia" w:ascii="宋体" w:hAnsi="宋体"/>
          <w:color w:val="auto"/>
          <w:sz w:val="24"/>
          <w:szCs w:val="20"/>
          <w:highlight w:val="none"/>
        </w:rPr>
        <w:t>日期：</w:t>
      </w:r>
    </w:p>
    <w:p w14:paraId="269244DA">
      <w:pPr>
        <w:snapToGrid w:val="0"/>
        <w:spacing w:before="50" w:after="120" w:afterLines="50"/>
        <w:jc w:val="left"/>
        <w:rPr>
          <w:rFonts w:hint="eastAsia" w:ascii="宋体" w:hAnsi="宋体"/>
          <w:color w:val="auto"/>
          <w:sz w:val="24"/>
          <w:highlight w:val="none"/>
        </w:rPr>
      </w:pPr>
    </w:p>
    <w:p w14:paraId="795003A4">
      <w:pPr>
        <w:snapToGrid w:val="0"/>
        <w:spacing w:before="50" w:after="120" w:afterLines="50"/>
        <w:jc w:val="left"/>
        <w:rPr>
          <w:rFonts w:hint="eastAsia" w:ascii="宋体" w:hAnsi="宋体" w:eastAsia="宋体" w:cs="宋体"/>
          <w:color w:val="auto"/>
          <w:sz w:val="24"/>
          <w:highlight w:val="none"/>
          <w:shd w:val="clear" w:color="auto" w:fill="auto"/>
        </w:rPr>
      </w:pPr>
    </w:p>
    <w:p w14:paraId="5A4C5EE6">
      <w:pPr>
        <w:snapToGrid w:val="0"/>
        <w:spacing w:before="50" w:after="120" w:afterLines="50"/>
        <w:jc w:val="left"/>
        <w:rPr>
          <w:rFonts w:hint="eastAsia" w:ascii="宋体" w:hAnsi="宋体" w:eastAsia="宋体" w:cs="宋体"/>
          <w:color w:val="auto"/>
          <w:sz w:val="24"/>
          <w:highlight w:val="none"/>
          <w:shd w:val="clear" w:color="auto" w:fill="auto"/>
        </w:rPr>
      </w:pPr>
    </w:p>
    <w:p w14:paraId="234AD5B7">
      <w:pPr>
        <w:snapToGrid w:val="0"/>
        <w:spacing w:before="120" w:beforeLines="50" w:after="50" w:line="480" w:lineRule="auto"/>
        <w:ind w:firstLine="1068" w:firstLineChars="445"/>
        <w:rPr>
          <w:rFonts w:hint="eastAsia" w:ascii="宋体" w:hAnsi="宋体" w:eastAsia="宋体" w:cs="宋体"/>
          <w:bCs/>
          <w:color w:val="auto"/>
          <w:sz w:val="24"/>
          <w:highlight w:val="none"/>
          <w:shd w:val="clear" w:color="auto" w:fill="auto"/>
        </w:r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p>
    <w:p w14:paraId="41347A06">
      <w:pPr>
        <w:snapToGrid w:val="0"/>
        <w:spacing w:before="50" w:after="120" w:afterLines="50"/>
        <w:jc w:val="left"/>
        <w:rPr>
          <w:rFonts w:ascii="宋体" w:hAnsi="宋体"/>
          <w:color w:val="000000"/>
          <w:sz w:val="24"/>
          <w:highlight w:val="none"/>
        </w:rPr>
      </w:pPr>
      <w:r>
        <w:rPr>
          <w:rFonts w:ascii="宋体" w:hAnsi="宋体"/>
          <w:color w:val="000000"/>
          <w:sz w:val="24"/>
          <w:highlight w:val="none"/>
        </w:rPr>
        <w:t>8</w:t>
      </w:r>
      <w:r>
        <w:rPr>
          <w:rFonts w:hint="eastAsia" w:ascii="宋体" w:hAnsi="宋体"/>
          <w:color w:val="000000"/>
          <w:sz w:val="24"/>
          <w:highlight w:val="none"/>
        </w:rPr>
        <w:t>.项目负责人简历：</w:t>
      </w:r>
    </w:p>
    <w:p w14:paraId="49C7F77E">
      <w:pPr>
        <w:snapToGrid w:val="0"/>
        <w:spacing w:before="50" w:after="120" w:afterLines="50"/>
        <w:jc w:val="left"/>
        <w:rPr>
          <w:rFonts w:ascii="宋体" w:hAnsi="宋体"/>
          <w:color w:val="000000"/>
          <w:sz w:val="24"/>
          <w:szCs w:val="20"/>
          <w:highlight w:val="none"/>
        </w:rPr>
      </w:pPr>
    </w:p>
    <w:p w14:paraId="7770B2BF">
      <w:pPr>
        <w:jc w:val="center"/>
        <w:rPr>
          <w:rFonts w:ascii="宋体" w:hAnsi="宋体"/>
          <w:snapToGrid w:val="0"/>
          <w:color w:val="000000"/>
          <w:sz w:val="28"/>
          <w:highlight w:val="none"/>
        </w:rPr>
      </w:pPr>
      <w:r>
        <w:rPr>
          <w:rFonts w:hint="eastAsia" w:ascii="宋体" w:hAnsi="宋体"/>
          <w:snapToGrid w:val="0"/>
          <w:color w:val="000000"/>
          <w:sz w:val="28"/>
          <w:highlight w:val="none"/>
        </w:rPr>
        <w:t>项目负责人简历表</w:t>
      </w:r>
    </w:p>
    <w:p w14:paraId="10A7A4CB">
      <w:pPr>
        <w:snapToGrid w:val="0"/>
        <w:spacing w:before="120" w:beforeLines="50" w:after="50" w:line="360" w:lineRule="auto"/>
        <w:jc w:val="center"/>
        <w:rPr>
          <w:rFonts w:ascii="宋体" w:hAnsi="宋体"/>
          <w:bCs/>
          <w:color w:val="000000"/>
          <w:sz w:val="24"/>
          <w:highlight w:val="none"/>
        </w:rPr>
      </w:pPr>
    </w:p>
    <w:p w14:paraId="280D6ED1">
      <w:pPr>
        <w:snapToGrid w:val="0"/>
        <w:spacing w:before="120" w:beforeLines="50" w:after="50" w:line="480" w:lineRule="auto"/>
        <w:rPr>
          <w:rFonts w:ascii="宋体" w:hAnsi="宋体"/>
          <w:color w:val="000000"/>
          <w:sz w:val="24"/>
          <w:highlight w:val="none"/>
        </w:rPr>
      </w:pPr>
      <w:r>
        <w:rPr>
          <w:rFonts w:hint="eastAsia" w:ascii="宋体" w:hAnsi="宋体"/>
          <w:bCs/>
          <w:color w:val="000000"/>
          <w:sz w:val="24"/>
          <w:highlight w:val="none"/>
        </w:rPr>
        <w:t>项目名称：</w:t>
      </w:r>
    </w:p>
    <w:p w14:paraId="064F7A19">
      <w:pPr>
        <w:snapToGrid w:val="0"/>
        <w:spacing w:before="120" w:beforeLines="50" w:after="50" w:line="480" w:lineRule="auto"/>
        <w:rPr>
          <w:rFonts w:ascii="宋体" w:hAnsi="宋体"/>
          <w:bCs/>
          <w:color w:val="000000"/>
          <w:sz w:val="24"/>
          <w:szCs w:val="20"/>
          <w:highlight w:val="none"/>
        </w:rPr>
      </w:pPr>
      <w:r>
        <w:rPr>
          <w:rFonts w:hint="eastAsia" w:ascii="宋体" w:hAnsi="宋体"/>
          <w:bCs/>
          <w:color w:val="000000"/>
          <w:sz w:val="24"/>
          <w:highlight w:val="none"/>
        </w:rPr>
        <w:t>项目编号：</w:t>
      </w:r>
    </w:p>
    <w:tbl>
      <w:tblPr>
        <w:tblStyle w:val="51"/>
        <w:tblpPr w:leftFromText="180" w:rightFromText="180" w:vertAnchor="text" w:tblpY="219"/>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C1B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34F5BA65">
            <w:pPr>
              <w:spacing w:line="351" w:lineRule="atLeast"/>
              <w:jc w:val="center"/>
              <w:rPr>
                <w:rFonts w:ascii="宋体" w:hAnsi="宋体"/>
                <w:color w:val="000000"/>
                <w:sz w:val="28"/>
                <w:highlight w:val="none"/>
              </w:rPr>
            </w:pPr>
            <w:r>
              <w:rPr>
                <w:rFonts w:hint="eastAsia" w:ascii="宋体" w:hAnsi="宋体"/>
                <w:color w:val="000000"/>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1AE5A2D6">
            <w:pPr>
              <w:spacing w:line="351" w:lineRule="atLeast"/>
              <w:jc w:val="center"/>
              <w:rPr>
                <w:rFonts w:ascii="宋体" w:hAnsi="宋体"/>
                <w:color w:val="000000"/>
                <w:sz w:val="28"/>
                <w:highlight w:val="none"/>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6AAC56F2">
            <w:pPr>
              <w:spacing w:line="351" w:lineRule="atLeast"/>
              <w:jc w:val="center"/>
              <w:rPr>
                <w:rFonts w:ascii="宋体" w:hAnsi="宋体"/>
                <w:color w:val="000000"/>
                <w:sz w:val="28"/>
                <w:highlight w:val="none"/>
              </w:rPr>
            </w:pPr>
            <w:r>
              <w:rPr>
                <w:rFonts w:hint="eastAsia" w:ascii="宋体" w:hAnsi="宋体"/>
                <w:color w:val="000000"/>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38E11BE6">
            <w:pPr>
              <w:spacing w:line="351" w:lineRule="atLeast"/>
              <w:jc w:val="center"/>
              <w:rPr>
                <w:rFonts w:ascii="宋体" w:hAnsi="宋体"/>
                <w:color w:val="000000"/>
                <w:sz w:val="28"/>
                <w:highlight w:val="none"/>
              </w:rPr>
            </w:pPr>
          </w:p>
        </w:tc>
      </w:tr>
      <w:tr w14:paraId="3C3C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6593E9DB">
            <w:pPr>
              <w:spacing w:line="351" w:lineRule="atLeast"/>
              <w:jc w:val="center"/>
              <w:rPr>
                <w:rFonts w:ascii="宋体" w:hAnsi="宋体"/>
                <w:color w:val="000000"/>
                <w:sz w:val="28"/>
                <w:highlight w:val="none"/>
              </w:rPr>
            </w:pPr>
            <w:r>
              <w:rPr>
                <w:rFonts w:hint="eastAsia" w:ascii="宋体" w:hAnsi="宋体"/>
                <w:color w:val="000000"/>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1164E089">
            <w:pPr>
              <w:spacing w:line="351" w:lineRule="atLeast"/>
              <w:jc w:val="center"/>
              <w:rPr>
                <w:rFonts w:ascii="宋体" w:hAnsi="宋体"/>
                <w:color w:val="000000"/>
                <w:sz w:val="28"/>
                <w:highlight w:val="none"/>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4F5DA608">
            <w:pPr>
              <w:spacing w:line="351" w:lineRule="atLeast"/>
              <w:jc w:val="center"/>
              <w:rPr>
                <w:rFonts w:ascii="宋体" w:hAnsi="宋体"/>
                <w:color w:val="000000"/>
                <w:sz w:val="28"/>
                <w:highlight w:val="none"/>
              </w:rPr>
            </w:pPr>
            <w:r>
              <w:rPr>
                <w:rFonts w:hint="eastAsia" w:ascii="宋体" w:hAnsi="宋体"/>
                <w:color w:val="000000"/>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3A7D146A">
            <w:pPr>
              <w:spacing w:line="351" w:lineRule="atLeast"/>
              <w:jc w:val="center"/>
              <w:rPr>
                <w:rFonts w:ascii="宋体" w:hAnsi="宋体"/>
                <w:color w:val="000000"/>
                <w:sz w:val="28"/>
                <w:highlight w:val="none"/>
              </w:rPr>
            </w:pPr>
          </w:p>
        </w:tc>
      </w:tr>
      <w:tr w14:paraId="79C65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noWrap w:val="0"/>
            <w:vAlign w:val="center"/>
          </w:tcPr>
          <w:p w14:paraId="280BC799">
            <w:pPr>
              <w:spacing w:line="351" w:lineRule="atLeast"/>
              <w:jc w:val="center"/>
              <w:rPr>
                <w:rFonts w:ascii="宋体" w:hAnsi="宋体"/>
                <w:color w:val="000000"/>
                <w:sz w:val="28"/>
                <w:highlight w:val="none"/>
              </w:rPr>
            </w:pPr>
            <w:r>
              <w:rPr>
                <w:rFonts w:hint="eastAsia" w:ascii="宋体" w:hAnsi="宋体"/>
                <w:color w:val="000000"/>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noWrap w:val="0"/>
            <w:vAlign w:val="center"/>
          </w:tcPr>
          <w:p w14:paraId="40BC78EB">
            <w:pPr>
              <w:spacing w:line="351" w:lineRule="atLeast"/>
              <w:jc w:val="center"/>
              <w:rPr>
                <w:rFonts w:ascii="宋体" w:hAnsi="宋体"/>
                <w:color w:val="000000"/>
                <w:sz w:val="28"/>
                <w:highlight w:val="none"/>
              </w:rPr>
            </w:pPr>
          </w:p>
        </w:tc>
        <w:tc>
          <w:tcPr>
            <w:tcW w:w="1952" w:type="dxa"/>
            <w:tcBorders>
              <w:top w:val="single" w:color="auto" w:sz="4" w:space="0"/>
              <w:left w:val="single" w:color="auto" w:sz="4" w:space="0"/>
              <w:bottom w:val="single" w:color="auto" w:sz="4" w:space="0"/>
              <w:right w:val="single" w:color="auto" w:sz="4" w:space="0"/>
            </w:tcBorders>
            <w:noWrap w:val="0"/>
            <w:vAlign w:val="center"/>
          </w:tcPr>
          <w:p w14:paraId="1BC15510">
            <w:pPr>
              <w:spacing w:line="351" w:lineRule="atLeast"/>
              <w:jc w:val="center"/>
              <w:rPr>
                <w:rFonts w:ascii="宋体" w:hAnsi="宋体"/>
                <w:color w:val="000000"/>
                <w:sz w:val="28"/>
                <w:highlight w:val="none"/>
              </w:rPr>
            </w:pPr>
            <w:r>
              <w:rPr>
                <w:rFonts w:hint="eastAsia" w:ascii="宋体" w:hAnsi="宋体"/>
                <w:color w:val="000000"/>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noWrap w:val="0"/>
            <w:vAlign w:val="center"/>
          </w:tcPr>
          <w:p w14:paraId="1EE49D18">
            <w:pPr>
              <w:spacing w:line="351" w:lineRule="atLeast"/>
              <w:jc w:val="center"/>
              <w:rPr>
                <w:rFonts w:ascii="宋体" w:hAnsi="宋体"/>
                <w:color w:val="000000"/>
                <w:sz w:val="28"/>
                <w:highlight w:val="none"/>
              </w:rPr>
            </w:pPr>
          </w:p>
        </w:tc>
      </w:tr>
      <w:tr w14:paraId="6847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noWrap w:val="0"/>
            <w:vAlign w:val="center"/>
          </w:tcPr>
          <w:p w14:paraId="2DCD903C">
            <w:pPr>
              <w:spacing w:line="351" w:lineRule="atLeast"/>
              <w:ind w:firstLine="557" w:firstLineChars="199"/>
              <w:rPr>
                <w:rFonts w:ascii="宋体" w:hAnsi="宋体"/>
                <w:color w:val="000000"/>
                <w:sz w:val="28"/>
                <w:highlight w:val="none"/>
              </w:rPr>
            </w:pPr>
            <w:r>
              <w:rPr>
                <w:rFonts w:hint="eastAsia" w:ascii="宋体" w:hAnsi="宋体"/>
                <w:color w:val="000000"/>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7666443E">
            <w:pPr>
              <w:spacing w:line="351" w:lineRule="atLeast"/>
              <w:ind w:firstLine="419"/>
              <w:jc w:val="center"/>
              <w:rPr>
                <w:rFonts w:ascii="宋体" w:hAnsi="宋体"/>
                <w:color w:val="000000"/>
                <w:sz w:val="28"/>
                <w:highlight w:val="none"/>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398C9EE8">
            <w:pPr>
              <w:spacing w:line="351" w:lineRule="atLeast"/>
              <w:ind w:firstLine="554" w:firstLineChars="198"/>
              <w:rPr>
                <w:rFonts w:ascii="宋体" w:hAnsi="宋体"/>
                <w:color w:val="000000"/>
                <w:sz w:val="28"/>
                <w:highlight w:val="none"/>
              </w:rPr>
            </w:pPr>
            <w:r>
              <w:rPr>
                <w:rFonts w:hint="eastAsia" w:ascii="宋体" w:hAnsi="宋体"/>
                <w:color w:val="000000"/>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3A50C827">
            <w:pPr>
              <w:spacing w:line="351" w:lineRule="atLeast"/>
              <w:jc w:val="center"/>
              <w:rPr>
                <w:rFonts w:ascii="宋体" w:hAnsi="宋体"/>
                <w:color w:val="000000"/>
                <w:sz w:val="28"/>
                <w:highlight w:val="none"/>
              </w:rPr>
            </w:pPr>
          </w:p>
        </w:tc>
      </w:tr>
      <w:tr w14:paraId="0246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noWrap w:val="0"/>
            <w:vAlign w:val="center"/>
          </w:tcPr>
          <w:p w14:paraId="008AAC1F">
            <w:pPr>
              <w:spacing w:line="351" w:lineRule="atLeast"/>
              <w:jc w:val="center"/>
              <w:rPr>
                <w:rFonts w:ascii="宋体" w:hAnsi="宋体"/>
                <w:color w:val="000000"/>
                <w:sz w:val="28"/>
                <w:highlight w:val="none"/>
              </w:rPr>
            </w:pPr>
            <w:r>
              <w:rPr>
                <w:rFonts w:hint="eastAsia" w:ascii="宋体" w:hAnsi="宋体"/>
                <w:color w:val="000000"/>
                <w:sz w:val="28"/>
                <w:highlight w:val="none"/>
              </w:rPr>
              <w:t>手机号</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7AA552C9">
            <w:pPr>
              <w:spacing w:line="351" w:lineRule="atLeast"/>
              <w:jc w:val="center"/>
              <w:rPr>
                <w:rFonts w:ascii="宋体" w:hAnsi="宋体"/>
                <w:color w:val="000000"/>
                <w:sz w:val="28"/>
                <w:highlight w:val="none"/>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3B80E9A9">
            <w:pPr>
              <w:spacing w:line="351" w:lineRule="atLeast"/>
              <w:jc w:val="center"/>
              <w:rPr>
                <w:rFonts w:ascii="宋体" w:hAnsi="宋体"/>
                <w:color w:val="000000"/>
                <w:sz w:val="28"/>
                <w:highlight w:val="none"/>
              </w:rPr>
            </w:pPr>
            <w:r>
              <w:rPr>
                <w:rFonts w:hint="eastAsia" w:ascii="宋体" w:hAnsi="宋体"/>
                <w:color w:val="000000"/>
                <w:sz w:val="28"/>
                <w:highlight w:val="none"/>
              </w:rPr>
              <w:t>联系电话</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19AD4D69">
            <w:pPr>
              <w:spacing w:line="351" w:lineRule="atLeast"/>
              <w:jc w:val="center"/>
              <w:rPr>
                <w:rFonts w:ascii="宋体" w:hAnsi="宋体"/>
                <w:color w:val="000000"/>
                <w:sz w:val="28"/>
                <w:highlight w:val="none"/>
              </w:rPr>
            </w:pPr>
          </w:p>
        </w:tc>
      </w:tr>
      <w:tr w14:paraId="069F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noWrap w:val="0"/>
            <w:vAlign w:val="center"/>
          </w:tcPr>
          <w:p w14:paraId="43F2386A">
            <w:pPr>
              <w:jc w:val="center"/>
              <w:rPr>
                <w:rFonts w:ascii="宋体" w:hAnsi="宋体"/>
                <w:color w:val="000000"/>
                <w:sz w:val="28"/>
                <w:highlight w:val="none"/>
              </w:rPr>
            </w:pPr>
            <w:r>
              <w:rPr>
                <w:rFonts w:hint="eastAsia" w:ascii="宋体" w:hAnsi="宋体"/>
                <w:color w:val="000000"/>
                <w:sz w:val="28"/>
                <w:highlight w:val="none"/>
              </w:rPr>
              <w:t>简</w:t>
            </w:r>
          </w:p>
          <w:p w14:paraId="398D1ABD">
            <w:pPr>
              <w:jc w:val="center"/>
              <w:rPr>
                <w:rFonts w:ascii="宋体" w:hAnsi="宋体"/>
                <w:color w:val="000000"/>
                <w:sz w:val="28"/>
                <w:highlight w:val="none"/>
              </w:rPr>
            </w:pPr>
          </w:p>
          <w:p w14:paraId="3397B436">
            <w:pPr>
              <w:jc w:val="center"/>
              <w:rPr>
                <w:rFonts w:ascii="宋体" w:hAnsi="宋体"/>
                <w:color w:val="000000"/>
                <w:sz w:val="28"/>
                <w:highlight w:val="none"/>
              </w:rPr>
            </w:pPr>
          </w:p>
          <w:p w14:paraId="66739828">
            <w:pPr>
              <w:spacing w:line="351" w:lineRule="atLeast"/>
              <w:jc w:val="center"/>
              <w:rPr>
                <w:rFonts w:ascii="宋体" w:hAnsi="宋体"/>
                <w:color w:val="000000"/>
                <w:highlight w:val="none"/>
              </w:rPr>
            </w:pPr>
            <w:r>
              <w:rPr>
                <w:rFonts w:hint="eastAsia" w:ascii="宋体" w:hAnsi="宋体"/>
                <w:color w:val="000000"/>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noWrap w:val="0"/>
            <w:vAlign w:val="center"/>
          </w:tcPr>
          <w:p w14:paraId="3592B0E6">
            <w:pPr>
              <w:spacing w:line="351" w:lineRule="atLeast"/>
              <w:jc w:val="center"/>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 </w:t>
            </w:r>
          </w:p>
        </w:tc>
      </w:tr>
    </w:tbl>
    <w:p w14:paraId="07B38972">
      <w:pPr>
        <w:rPr>
          <w:rFonts w:ascii="宋体" w:hAnsi="宋体"/>
          <w:bCs/>
          <w:snapToGrid w:val="0"/>
          <w:color w:val="000000"/>
          <w:highlight w:val="none"/>
        </w:rPr>
      </w:pPr>
    </w:p>
    <w:p w14:paraId="383EB790">
      <w:pPr>
        <w:snapToGrid w:val="0"/>
        <w:spacing w:before="50" w:after="120" w:afterLines="50"/>
        <w:jc w:val="left"/>
        <w:rPr>
          <w:rFonts w:ascii="宋体" w:hAnsi="宋体"/>
          <w:b/>
          <w:color w:val="000000"/>
          <w:spacing w:val="20"/>
          <w:sz w:val="24"/>
          <w:highlight w:val="none"/>
        </w:rPr>
      </w:pPr>
      <w:bookmarkStart w:id="64" w:name="_Hlk60757472"/>
      <w:r>
        <w:rPr>
          <w:rFonts w:hint="eastAsia" w:ascii="宋体" w:hAnsi="宋体"/>
          <w:b/>
          <w:color w:val="000000"/>
          <w:spacing w:val="20"/>
          <w:sz w:val="24"/>
          <w:highlight w:val="none"/>
        </w:rPr>
        <w:t>法定代表人签字（或盖章）：            投标人（盖章）：</w:t>
      </w:r>
    </w:p>
    <w:p w14:paraId="431D6D5C">
      <w:pPr>
        <w:snapToGrid w:val="0"/>
        <w:spacing w:before="50" w:after="120" w:afterLines="50"/>
        <w:jc w:val="left"/>
        <w:rPr>
          <w:rFonts w:ascii="宋体" w:hAnsi="宋体"/>
          <w:b/>
          <w:color w:val="000000"/>
          <w:sz w:val="24"/>
          <w:highlight w:val="none"/>
        </w:rPr>
      </w:pPr>
    </w:p>
    <w:p w14:paraId="189AA6F5">
      <w:pPr>
        <w:snapToGrid w:val="0"/>
        <w:spacing w:before="50" w:after="120" w:afterLines="50"/>
        <w:jc w:val="left"/>
        <w:rPr>
          <w:rFonts w:ascii="宋体" w:hAnsi="宋体"/>
          <w:color w:val="000000"/>
          <w:sz w:val="24"/>
          <w:highlight w:val="none"/>
        </w:rPr>
      </w:pPr>
      <w:r>
        <w:rPr>
          <w:rFonts w:hint="eastAsia" w:ascii="宋体" w:hAnsi="宋体"/>
          <w:b/>
          <w:color w:val="000000"/>
          <w:sz w:val="24"/>
          <w:highlight w:val="none"/>
        </w:rPr>
        <w:t>日期：  _____年___月___日</w:t>
      </w:r>
      <w:r>
        <w:rPr>
          <w:rFonts w:ascii="宋体" w:hAnsi="宋体"/>
          <w:b/>
          <w:color w:val="000000"/>
          <w:sz w:val="24"/>
          <w:highlight w:val="none"/>
        </w:rPr>
        <w:br w:type="page"/>
      </w:r>
      <w:bookmarkEnd w:id="64"/>
      <w:r>
        <w:rPr>
          <w:rFonts w:ascii="宋体" w:hAnsi="宋体"/>
          <w:color w:val="000000"/>
          <w:sz w:val="24"/>
          <w:highlight w:val="none"/>
        </w:rPr>
        <w:t>9</w:t>
      </w:r>
      <w:r>
        <w:rPr>
          <w:rFonts w:hint="eastAsia" w:ascii="宋体" w:hAnsi="宋体"/>
          <w:color w:val="000000"/>
          <w:sz w:val="24"/>
          <w:highlight w:val="none"/>
        </w:rPr>
        <w:t>、项目实施人员一览表格式</w:t>
      </w:r>
    </w:p>
    <w:p w14:paraId="234E559E">
      <w:pPr>
        <w:snapToGrid w:val="0"/>
        <w:spacing w:before="50" w:after="120" w:afterLines="50"/>
        <w:jc w:val="left"/>
        <w:rPr>
          <w:rFonts w:ascii="宋体" w:hAnsi="宋体"/>
          <w:color w:val="000000"/>
          <w:sz w:val="24"/>
          <w:szCs w:val="20"/>
          <w:highlight w:val="none"/>
        </w:rPr>
      </w:pPr>
    </w:p>
    <w:p w14:paraId="475948CF">
      <w:pPr>
        <w:snapToGrid w:val="0"/>
        <w:spacing w:before="120" w:beforeLines="50" w:after="50"/>
        <w:jc w:val="center"/>
        <w:rPr>
          <w:rFonts w:ascii="宋体" w:hAnsi="宋体"/>
          <w:b/>
          <w:color w:val="000000"/>
          <w:sz w:val="24"/>
          <w:highlight w:val="none"/>
        </w:rPr>
      </w:pPr>
      <w:r>
        <w:rPr>
          <w:rFonts w:hint="eastAsia" w:ascii="宋体" w:hAnsi="宋体"/>
          <w:b/>
          <w:color w:val="000000"/>
          <w:sz w:val="24"/>
          <w:highlight w:val="none"/>
        </w:rPr>
        <w:t>项目实施人员（主要从业人员及其技术资格）一览表</w:t>
      </w:r>
    </w:p>
    <w:p w14:paraId="650F6BEC">
      <w:pPr>
        <w:snapToGrid w:val="0"/>
        <w:spacing w:before="120" w:beforeLines="50" w:after="50" w:line="480" w:lineRule="auto"/>
        <w:rPr>
          <w:rFonts w:ascii="宋体" w:hAnsi="宋体"/>
          <w:color w:val="000000"/>
          <w:sz w:val="24"/>
          <w:highlight w:val="none"/>
        </w:rPr>
      </w:pPr>
      <w:r>
        <w:rPr>
          <w:rFonts w:hint="eastAsia" w:ascii="宋体" w:hAnsi="宋体"/>
          <w:bCs/>
          <w:color w:val="000000"/>
          <w:sz w:val="24"/>
          <w:highlight w:val="none"/>
        </w:rPr>
        <w:t>项目名称：</w:t>
      </w:r>
    </w:p>
    <w:p w14:paraId="43AC7938">
      <w:pPr>
        <w:snapToGrid w:val="0"/>
        <w:spacing w:before="120" w:beforeLines="50" w:after="50" w:line="480" w:lineRule="auto"/>
        <w:rPr>
          <w:rFonts w:ascii="宋体" w:hAnsi="宋体"/>
          <w:bCs/>
          <w:color w:val="000000"/>
          <w:sz w:val="24"/>
          <w:highlight w:val="none"/>
        </w:rPr>
      </w:pPr>
      <w:r>
        <w:rPr>
          <w:rFonts w:hint="eastAsia" w:ascii="宋体" w:hAnsi="宋体"/>
          <w:bCs/>
          <w:color w:val="000000"/>
          <w:sz w:val="24"/>
          <w:highlight w:val="none"/>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D19F3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07C8F574">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277E9E7">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DC8F242">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798A5CF">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B85F8A1">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E5F262D">
            <w:pPr>
              <w:snapToGrid w:val="0"/>
              <w:spacing w:before="120" w:beforeLines="50" w:after="50" w:line="360" w:lineRule="auto"/>
              <w:jc w:val="center"/>
              <w:rPr>
                <w:rFonts w:ascii="宋体" w:hAnsi="宋体"/>
                <w:bCs/>
                <w:sz w:val="24"/>
                <w:highlight w:val="none"/>
              </w:rPr>
            </w:pPr>
            <w:r>
              <w:rPr>
                <w:rFonts w:hint="eastAsia" w:ascii="宋体" w:hAnsi="宋体"/>
                <w:bCs/>
                <w:sz w:val="24"/>
                <w:highlight w:val="none"/>
              </w:rPr>
              <w:t>进入本单位工作开始时间</w:t>
            </w:r>
          </w:p>
        </w:tc>
      </w:tr>
      <w:tr w14:paraId="54DBBF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4AC6E5BC">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8CA347F">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AC9CA36">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29AF725">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8C28D4C">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33DA781">
            <w:pPr>
              <w:snapToGrid w:val="0"/>
              <w:spacing w:before="120" w:beforeLines="50" w:after="50" w:line="360" w:lineRule="auto"/>
              <w:rPr>
                <w:rFonts w:ascii="宋体" w:hAnsi="宋体"/>
                <w:sz w:val="24"/>
                <w:highlight w:val="none"/>
              </w:rPr>
            </w:pPr>
          </w:p>
        </w:tc>
      </w:tr>
      <w:tr w14:paraId="60907B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1D686BD">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4D121E5">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B992401">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4C1A240">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A65E120">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6D7718B">
            <w:pPr>
              <w:snapToGrid w:val="0"/>
              <w:spacing w:before="120" w:beforeLines="50" w:after="50" w:line="360" w:lineRule="auto"/>
              <w:rPr>
                <w:rFonts w:ascii="宋体" w:hAnsi="宋体"/>
                <w:color w:val="000000"/>
                <w:sz w:val="24"/>
                <w:highlight w:val="none"/>
              </w:rPr>
            </w:pPr>
          </w:p>
        </w:tc>
      </w:tr>
      <w:tr w14:paraId="0DC1B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2AD7180">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B38392B">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4D2D74C">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CA9A334">
            <w:pPr>
              <w:pStyle w:val="33"/>
              <w:snapToGrid w:val="0"/>
              <w:spacing w:before="120" w:beforeLines="50" w:after="50" w:line="360" w:lineRule="auto"/>
              <w:ind w:left="5250"/>
              <w:rPr>
                <w:rFonts w:ascii="宋体" w:hAnsi="宋体" w:eastAsia="宋体"/>
                <w:color w:val="000000"/>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1CA8097">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B3FCF6F">
            <w:pPr>
              <w:snapToGrid w:val="0"/>
              <w:spacing w:before="120" w:beforeLines="50" w:after="50" w:line="360" w:lineRule="auto"/>
              <w:rPr>
                <w:rFonts w:ascii="宋体" w:hAnsi="宋体"/>
                <w:color w:val="000000"/>
                <w:sz w:val="24"/>
                <w:highlight w:val="none"/>
              </w:rPr>
            </w:pPr>
          </w:p>
        </w:tc>
      </w:tr>
      <w:tr w14:paraId="658EBA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6C55C566">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93BBF71">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04849EE">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AEBA745">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E0D0764">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28F359D">
            <w:pPr>
              <w:snapToGrid w:val="0"/>
              <w:spacing w:before="120" w:beforeLines="50" w:after="50" w:line="360" w:lineRule="auto"/>
              <w:rPr>
                <w:rFonts w:ascii="宋体" w:hAnsi="宋体"/>
                <w:color w:val="000000"/>
                <w:sz w:val="24"/>
                <w:highlight w:val="none"/>
              </w:rPr>
            </w:pPr>
          </w:p>
        </w:tc>
      </w:tr>
      <w:tr w14:paraId="68E3D9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3A9D9AC9">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DD35A3C">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77805FE">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5966DFD">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C8C3BBC">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E66546C">
            <w:pPr>
              <w:snapToGrid w:val="0"/>
              <w:spacing w:before="120" w:beforeLines="50" w:after="50" w:line="360" w:lineRule="auto"/>
              <w:rPr>
                <w:rFonts w:ascii="宋体" w:hAnsi="宋体"/>
                <w:color w:val="000000"/>
                <w:sz w:val="24"/>
                <w:highlight w:val="none"/>
              </w:rPr>
            </w:pPr>
          </w:p>
        </w:tc>
      </w:tr>
      <w:tr w14:paraId="6D4D1B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5162C9B">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9FD93E3">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4FFC510">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2F661A3">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1DFA8E9">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FAC1665">
            <w:pPr>
              <w:snapToGrid w:val="0"/>
              <w:spacing w:before="120" w:beforeLines="50" w:after="50" w:line="360" w:lineRule="auto"/>
              <w:rPr>
                <w:rFonts w:ascii="宋体" w:hAnsi="宋体"/>
                <w:color w:val="000000"/>
                <w:sz w:val="24"/>
                <w:highlight w:val="none"/>
              </w:rPr>
            </w:pPr>
          </w:p>
        </w:tc>
      </w:tr>
      <w:tr w14:paraId="6BC7D4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126B397">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2A7FBB3">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90681E3">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AFEEBAD">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7D45C23">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23E0D2A">
            <w:pPr>
              <w:snapToGrid w:val="0"/>
              <w:spacing w:before="120" w:beforeLines="50" w:after="50" w:line="360" w:lineRule="auto"/>
              <w:rPr>
                <w:rFonts w:ascii="宋体" w:hAnsi="宋体"/>
                <w:color w:val="000000"/>
                <w:sz w:val="24"/>
                <w:highlight w:val="none"/>
              </w:rPr>
            </w:pPr>
          </w:p>
        </w:tc>
      </w:tr>
      <w:tr w14:paraId="651779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D6AB247">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91D4EB6">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4176C19">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56262CA">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5CB2BFE">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DAB08AC">
            <w:pPr>
              <w:snapToGrid w:val="0"/>
              <w:spacing w:before="120" w:beforeLines="50" w:after="50" w:line="360" w:lineRule="auto"/>
              <w:rPr>
                <w:rFonts w:ascii="宋体" w:hAnsi="宋体"/>
                <w:color w:val="000000"/>
                <w:sz w:val="24"/>
                <w:highlight w:val="none"/>
              </w:rPr>
            </w:pPr>
          </w:p>
        </w:tc>
      </w:tr>
      <w:tr w14:paraId="50BBEF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4D53078D">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DAD5EDB">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03D70F3">
            <w:pPr>
              <w:snapToGrid w:val="0"/>
              <w:spacing w:before="120" w:beforeLines="50" w:after="50" w:line="360" w:lineRule="auto"/>
              <w:rPr>
                <w:rFonts w:ascii="宋体" w:hAnsi="宋体"/>
                <w:color w:val="000000"/>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0F193445">
            <w:pPr>
              <w:snapToGrid w:val="0"/>
              <w:spacing w:before="120" w:beforeLines="50" w:after="50" w:line="360" w:lineRule="auto"/>
              <w:rPr>
                <w:rFonts w:ascii="宋体" w:hAnsi="宋体"/>
                <w:color w:val="000000"/>
                <w:sz w:val="24"/>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8B365A5">
            <w:pPr>
              <w:snapToGrid w:val="0"/>
              <w:spacing w:before="120" w:beforeLines="50" w:after="50" w:line="360" w:lineRule="auto"/>
              <w:rPr>
                <w:rFonts w:ascii="宋体" w:hAnsi="宋体"/>
                <w:color w:val="000000"/>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5530542">
            <w:pPr>
              <w:snapToGrid w:val="0"/>
              <w:spacing w:before="120" w:beforeLines="50" w:after="50" w:line="360" w:lineRule="auto"/>
              <w:rPr>
                <w:rFonts w:ascii="宋体" w:hAnsi="宋体"/>
                <w:color w:val="000000"/>
                <w:sz w:val="24"/>
                <w:highlight w:val="none"/>
              </w:rPr>
            </w:pPr>
          </w:p>
        </w:tc>
      </w:tr>
    </w:tbl>
    <w:p w14:paraId="40A7B9E2">
      <w:pPr>
        <w:snapToGrid w:val="0"/>
        <w:spacing w:before="120" w:beforeLines="50" w:after="50" w:line="480" w:lineRule="auto"/>
        <w:rPr>
          <w:rFonts w:ascii="宋体" w:hAnsi="宋体"/>
          <w:bCs/>
          <w:color w:val="000000"/>
          <w:sz w:val="24"/>
          <w:highlight w:val="none"/>
        </w:rPr>
      </w:pPr>
    </w:p>
    <w:p w14:paraId="1B1FAA2A">
      <w:pPr>
        <w:snapToGrid w:val="0"/>
        <w:spacing w:before="50" w:after="120" w:afterLines="50"/>
        <w:jc w:val="left"/>
        <w:rPr>
          <w:rFonts w:ascii="宋体" w:hAnsi="宋体"/>
          <w:b/>
          <w:bCs/>
          <w:color w:val="000000"/>
          <w:sz w:val="24"/>
          <w:highlight w:val="none"/>
        </w:rPr>
      </w:pPr>
      <w:r>
        <w:rPr>
          <w:rFonts w:hint="eastAsia" w:ascii="宋体" w:hAnsi="宋体"/>
          <w:b/>
          <w:bCs/>
          <w:color w:val="000000"/>
          <w:sz w:val="24"/>
          <w:highlight w:val="none"/>
        </w:rPr>
        <w:t>注：在填写时，如本表格不适合投标人的实际情况，可根据本表格式自行划表填写。</w:t>
      </w:r>
    </w:p>
    <w:p w14:paraId="571872C1">
      <w:pPr>
        <w:snapToGrid w:val="0"/>
        <w:spacing w:before="50" w:after="120" w:afterLines="50" w:line="360" w:lineRule="auto"/>
        <w:jc w:val="left"/>
        <w:rPr>
          <w:rFonts w:ascii="宋体" w:hAnsi="宋体"/>
          <w:color w:val="000000"/>
          <w:sz w:val="24"/>
          <w:szCs w:val="20"/>
          <w:highlight w:val="none"/>
        </w:rPr>
      </w:pPr>
    </w:p>
    <w:p w14:paraId="696CE292">
      <w:pPr>
        <w:snapToGrid w:val="0"/>
        <w:spacing w:before="50" w:after="120" w:afterLines="50" w:line="360" w:lineRule="auto"/>
        <w:jc w:val="left"/>
        <w:rPr>
          <w:rFonts w:ascii="宋体" w:hAnsi="宋体"/>
          <w:color w:val="000000"/>
          <w:sz w:val="24"/>
          <w:szCs w:val="20"/>
          <w:highlight w:val="none"/>
        </w:rPr>
      </w:pPr>
    </w:p>
    <w:p w14:paraId="76C4EE35">
      <w:pPr>
        <w:snapToGrid w:val="0"/>
        <w:spacing w:before="50" w:after="50" w:line="360" w:lineRule="auto"/>
        <w:rPr>
          <w:rFonts w:ascii="宋体" w:hAnsi="宋体"/>
          <w:b/>
          <w:color w:val="000000"/>
          <w:sz w:val="24"/>
          <w:szCs w:val="20"/>
          <w:highlight w:val="none"/>
        </w:rPr>
      </w:pPr>
      <w:r>
        <w:rPr>
          <w:rFonts w:hint="eastAsia" w:ascii="宋体" w:hAnsi="宋体"/>
          <w:b/>
          <w:color w:val="000000"/>
          <w:spacing w:val="20"/>
          <w:sz w:val="24"/>
          <w:highlight w:val="none"/>
        </w:rPr>
        <w:t xml:space="preserve">法定代表人签字（或盖章）：            投标人（盖章）：          </w:t>
      </w:r>
    </w:p>
    <w:p w14:paraId="57943BA3">
      <w:pPr>
        <w:pStyle w:val="31"/>
        <w:snapToGrid w:val="0"/>
        <w:spacing w:beforeLines="0" w:afterLines="0" w:line="240" w:lineRule="auto"/>
        <w:rPr>
          <w:rFonts w:hAnsi="宋体"/>
          <w:b/>
          <w:color w:val="000000"/>
          <w:highlight w:val="none"/>
        </w:rPr>
      </w:pPr>
    </w:p>
    <w:p w14:paraId="4CF3DAD0">
      <w:pPr>
        <w:pStyle w:val="31"/>
        <w:snapToGrid w:val="0"/>
        <w:spacing w:beforeLines="0" w:afterLines="0" w:line="240" w:lineRule="auto"/>
        <w:rPr>
          <w:rFonts w:hAnsi="宋体"/>
          <w:b/>
          <w:color w:val="000000"/>
          <w:highlight w:val="none"/>
        </w:rPr>
      </w:pPr>
      <w:r>
        <w:rPr>
          <w:rFonts w:hint="eastAsia" w:hAnsi="宋体"/>
          <w:b/>
          <w:color w:val="000000"/>
          <w:highlight w:val="none"/>
        </w:rPr>
        <w:t>日期：  _____年___月___日</w:t>
      </w:r>
    </w:p>
    <w:p w14:paraId="33930FEA">
      <w:pPr>
        <w:rPr>
          <w:rFonts w:hint="eastAsia"/>
          <w:highlight w:val="none"/>
        </w:r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pPr>
    </w:p>
    <w:p w14:paraId="509FCC5D">
      <w:pPr>
        <w:snapToGrid w:val="0"/>
        <w:spacing w:before="50" w:after="120" w:afterLines="50"/>
        <w:ind w:firstLine="360" w:firstLineChars="150"/>
        <w:jc w:val="left"/>
        <w:rPr>
          <w:rFonts w:ascii="宋体" w:hAnsi="宋体"/>
          <w:sz w:val="24"/>
          <w:highlight w:val="none"/>
        </w:rPr>
      </w:pPr>
      <w:r>
        <w:rPr>
          <w:rFonts w:hint="eastAsia" w:ascii="宋体" w:hAnsi="宋体"/>
          <w:color w:val="000000"/>
          <w:sz w:val="24"/>
          <w:highlight w:val="none"/>
          <w:lang w:val="en-US" w:eastAsia="zh-CN"/>
        </w:rPr>
        <w:t>1</w:t>
      </w:r>
      <w:r>
        <w:rPr>
          <w:rFonts w:ascii="宋体" w:hAnsi="宋体"/>
          <w:color w:val="000000"/>
          <w:sz w:val="24"/>
          <w:highlight w:val="none"/>
        </w:rPr>
        <w:t>0</w:t>
      </w:r>
      <w:r>
        <w:rPr>
          <w:rFonts w:hint="eastAsia" w:ascii="宋体" w:hAnsi="宋体"/>
          <w:color w:val="000000"/>
          <w:sz w:val="24"/>
          <w:highlight w:val="none"/>
        </w:rPr>
        <w:t>.投标人类</w:t>
      </w:r>
      <w:r>
        <w:rPr>
          <w:rFonts w:hint="eastAsia" w:ascii="宋体" w:hAnsi="宋体"/>
          <w:sz w:val="24"/>
          <w:highlight w:val="none"/>
        </w:rPr>
        <w:t>似合同案例一览表格式：</w:t>
      </w:r>
    </w:p>
    <w:p w14:paraId="42B1E828">
      <w:pPr>
        <w:snapToGrid w:val="0"/>
        <w:spacing w:before="50" w:after="120" w:afterLines="50"/>
        <w:jc w:val="center"/>
        <w:rPr>
          <w:rFonts w:ascii="宋体" w:hAnsi="宋体"/>
          <w:b/>
          <w:sz w:val="24"/>
          <w:highlight w:val="none"/>
        </w:rPr>
      </w:pPr>
      <w:r>
        <w:rPr>
          <w:rFonts w:hint="eastAsia" w:ascii="宋体" w:hAnsi="宋体"/>
          <w:b/>
          <w:sz w:val="24"/>
          <w:highlight w:val="none"/>
        </w:rPr>
        <w:t>投标人类似合同案例一览表</w:t>
      </w:r>
    </w:p>
    <w:p w14:paraId="09AC029D">
      <w:pPr>
        <w:snapToGrid w:val="0"/>
        <w:spacing w:before="120" w:beforeLines="50" w:after="50" w:line="480" w:lineRule="auto"/>
        <w:ind w:firstLine="1068" w:firstLineChars="445"/>
        <w:rPr>
          <w:rFonts w:ascii="宋体" w:hAnsi="宋体"/>
          <w:bCs/>
          <w:sz w:val="24"/>
          <w:highlight w:val="none"/>
        </w:rPr>
      </w:pPr>
    </w:p>
    <w:p w14:paraId="4FF4A148">
      <w:pPr>
        <w:snapToGrid w:val="0"/>
        <w:spacing w:before="120" w:beforeLines="50" w:after="50" w:line="480" w:lineRule="auto"/>
        <w:ind w:firstLine="1068" w:firstLineChars="445"/>
        <w:rPr>
          <w:rFonts w:ascii="宋体" w:hAnsi="宋体"/>
          <w:bCs/>
          <w:sz w:val="24"/>
          <w:szCs w:val="20"/>
          <w:highlight w:val="none"/>
        </w:rPr>
      </w:pPr>
      <w:r>
        <w:rPr>
          <w:rFonts w:hint="eastAsia" w:ascii="宋体" w:hAnsi="宋体"/>
          <w:bCs/>
          <w:sz w:val="24"/>
          <w:highlight w:val="none"/>
        </w:rPr>
        <w:t xml:space="preserve">项目名称：                                            </w:t>
      </w:r>
      <w:r>
        <w:rPr>
          <w:rFonts w:hint="eastAsia" w:ascii="宋体" w:hAnsi="宋体"/>
          <w:sz w:val="24"/>
          <w:highlight w:val="none"/>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178B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1B6F593D">
            <w:pPr>
              <w:snapToGrid w:val="0"/>
              <w:spacing w:line="400" w:lineRule="exact"/>
              <w:jc w:val="center"/>
              <w:rPr>
                <w:rFonts w:ascii="宋体" w:hAnsi="宋体"/>
                <w:sz w:val="24"/>
                <w:highlight w:val="none"/>
              </w:rPr>
            </w:pPr>
            <w:r>
              <w:rPr>
                <w:rFonts w:hint="eastAsia" w:ascii="宋体" w:hAnsi="宋体"/>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890A714">
            <w:pPr>
              <w:snapToGrid w:val="0"/>
              <w:spacing w:line="400" w:lineRule="exact"/>
              <w:jc w:val="center"/>
              <w:rPr>
                <w:rFonts w:ascii="宋体" w:hAnsi="宋体"/>
                <w:sz w:val="24"/>
                <w:highlight w:val="none"/>
              </w:rPr>
            </w:pPr>
            <w:r>
              <w:rPr>
                <w:rFonts w:hint="eastAsia" w:ascii="宋体" w:hAnsi="宋体"/>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6F95D559">
            <w:pPr>
              <w:snapToGrid w:val="0"/>
              <w:spacing w:line="400" w:lineRule="exact"/>
              <w:jc w:val="center"/>
              <w:rPr>
                <w:rFonts w:ascii="宋体" w:hAnsi="宋体"/>
                <w:sz w:val="24"/>
                <w:highlight w:val="none"/>
              </w:rPr>
            </w:pPr>
            <w:r>
              <w:rPr>
                <w:rFonts w:hint="eastAsia" w:ascii="宋体" w:hAnsi="宋体"/>
                <w:sz w:val="24"/>
                <w:highlight w:val="none"/>
              </w:rPr>
              <w:t>合同金额（万元）</w:t>
            </w:r>
          </w:p>
        </w:tc>
        <w:tc>
          <w:tcPr>
            <w:tcW w:w="1843" w:type="dxa"/>
            <w:tcBorders>
              <w:top w:val="single" w:color="auto" w:sz="4" w:space="0"/>
              <w:left w:val="single" w:color="auto" w:sz="4" w:space="0"/>
              <w:right w:val="single" w:color="auto" w:sz="4" w:space="0"/>
            </w:tcBorders>
            <w:noWrap w:val="0"/>
            <w:vAlign w:val="center"/>
          </w:tcPr>
          <w:p w14:paraId="3C688A68">
            <w:pPr>
              <w:snapToGrid w:val="0"/>
              <w:spacing w:line="400" w:lineRule="exact"/>
              <w:jc w:val="center"/>
              <w:rPr>
                <w:rFonts w:ascii="宋体" w:hAnsi="宋体"/>
                <w:sz w:val="24"/>
                <w:highlight w:val="none"/>
              </w:rPr>
            </w:pPr>
            <w:r>
              <w:rPr>
                <w:rFonts w:hint="eastAsia" w:ascii="宋体" w:hAnsi="宋体"/>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5BCF383D">
            <w:pPr>
              <w:snapToGrid w:val="0"/>
              <w:spacing w:line="400" w:lineRule="exact"/>
              <w:rPr>
                <w:rFonts w:ascii="宋体" w:hAnsi="宋体"/>
                <w:sz w:val="24"/>
                <w:highlight w:val="none"/>
              </w:rPr>
            </w:pPr>
            <w:r>
              <w:rPr>
                <w:rFonts w:hint="eastAsia" w:ascii="宋体" w:hAnsi="宋体"/>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63504F34">
            <w:pPr>
              <w:snapToGrid w:val="0"/>
              <w:spacing w:line="400" w:lineRule="exact"/>
              <w:jc w:val="center"/>
              <w:rPr>
                <w:rFonts w:ascii="宋体" w:hAnsi="宋体"/>
                <w:sz w:val="24"/>
                <w:highlight w:val="none"/>
              </w:rPr>
            </w:pPr>
            <w:r>
              <w:rPr>
                <w:rFonts w:hint="eastAsia" w:ascii="宋体" w:hAnsi="宋体"/>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658821A7">
            <w:pPr>
              <w:widowControl/>
              <w:spacing w:line="400" w:lineRule="exact"/>
              <w:jc w:val="left"/>
              <w:rPr>
                <w:rFonts w:ascii="宋体" w:hAnsi="宋体"/>
                <w:sz w:val="24"/>
                <w:highlight w:val="none"/>
              </w:rPr>
            </w:pPr>
            <w:r>
              <w:rPr>
                <w:rFonts w:hint="eastAsia" w:ascii="宋体" w:hAnsi="宋体"/>
                <w:sz w:val="24"/>
                <w:highlight w:val="none"/>
              </w:rPr>
              <w:t>联系电话</w:t>
            </w:r>
          </w:p>
        </w:tc>
      </w:tr>
      <w:tr w14:paraId="02B34E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42EC13D">
            <w:pPr>
              <w:snapToGrid w:val="0"/>
              <w:spacing w:line="240" w:lineRule="exact"/>
              <w:jc w:val="left"/>
              <w:rPr>
                <w:rFonts w:ascii="宋体" w:hAnsi="宋体"/>
                <w:sz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D6B3A13">
            <w:pPr>
              <w:snapToGrid w:val="0"/>
              <w:spacing w:line="240" w:lineRule="exact"/>
              <w:jc w:val="left"/>
              <w:rPr>
                <w:rFonts w:ascii="宋体" w:hAnsi="宋体"/>
                <w:sz w:val="24"/>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73D6537">
            <w:pPr>
              <w:snapToGrid w:val="0"/>
              <w:spacing w:line="240" w:lineRule="exact"/>
              <w:jc w:val="left"/>
              <w:rPr>
                <w:rFonts w:ascii="宋体" w:hAnsi="宋体"/>
                <w:sz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0253DF7A">
            <w:pPr>
              <w:snapToGrid w:val="0"/>
              <w:spacing w:line="240" w:lineRule="exact"/>
              <w:jc w:val="left"/>
              <w:rPr>
                <w:rFonts w:ascii="宋体" w:hAnsi="宋体"/>
                <w:sz w:val="24"/>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3CFA35D6">
            <w:pPr>
              <w:snapToGrid w:val="0"/>
              <w:spacing w:line="240" w:lineRule="exact"/>
              <w:jc w:val="left"/>
              <w:rPr>
                <w:rFonts w:ascii="宋体" w:hAnsi="宋体"/>
                <w:sz w:val="24"/>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542037C">
            <w:pPr>
              <w:snapToGrid w:val="0"/>
              <w:spacing w:line="240" w:lineRule="exact"/>
              <w:jc w:val="left"/>
              <w:rPr>
                <w:rFonts w:ascii="宋体" w:hAnsi="宋体"/>
                <w:sz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50A4928">
            <w:pPr>
              <w:snapToGrid w:val="0"/>
              <w:spacing w:line="240" w:lineRule="exact"/>
              <w:jc w:val="left"/>
              <w:rPr>
                <w:rFonts w:ascii="宋体" w:hAnsi="宋体"/>
                <w:sz w:val="24"/>
                <w:highlight w:val="none"/>
              </w:rPr>
            </w:pPr>
          </w:p>
        </w:tc>
      </w:tr>
      <w:tr w14:paraId="5F0F4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6E55BF1">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19039AD5">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71AC01C">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D62D36D">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17A62A4B">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161A286">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CE0E3A1">
            <w:pPr>
              <w:snapToGrid w:val="0"/>
              <w:spacing w:before="50" w:after="120" w:afterLines="50" w:line="400" w:lineRule="exact"/>
              <w:jc w:val="left"/>
              <w:rPr>
                <w:rFonts w:ascii="宋体" w:hAnsi="宋体"/>
                <w:color w:val="000000"/>
                <w:sz w:val="24"/>
                <w:szCs w:val="20"/>
                <w:highlight w:val="none"/>
              </w:rPr>
            </w:pPr>
          </w:p>
        </w:tc>
      </w:tr>
      <w:tr w14:paraId="754E1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FBF81E5">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1F302304">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08A7774">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3D5CDBC4">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740690B">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60F0C05">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20D92ED5">
            <w:pPr>
              <w:snapToGrid w:val="0"/>
              <w:spacing w:before="50" w:after="120" w:afterLines="50" w:line="400" w:lineRule="exact"/>
              <w:jc w:val="left"/>
              <w:rPr>
                <w:rFonts w:ascii="宋体" w:hAnsi="宋体"/>
                <w:color w:val="000000"/>
                <w:sz w:val="24"/>
                <w:szCs w:val="20"/>
                <w:highlight w:val="none"/>
              </w:rPr>
            </w:pPr>
          </w:p>
        </w:tc>
      </w:tr>
      <w:tr w14:paraId="709379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10E67E29">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0C956E5">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ABBAF9D">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336CC3D7">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09E6160B">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694F156">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959A20D">
            <w:pPr>
              <w:snapToGrid w:val="0"/>
              <w:spacing w:before="50" w:after="120" w:afterLines="50" w:line="400" w:lineRule="exact"/>
              <w:jc w:val="left"/>
              <w:rPr>
                <w:rFonts w:ascii="宋体" w:hAnsi="宋体"/>
                <w:color w:val="000000"/>
                <w:sz w:val="24"/>
                <w:szCs w:val="20"/>
                <w:highlight w:val="none"/>
              </w:rPr>
            </w:pPr>
          </w:p>
        </w:tc>
      </w:tr>
      <w:tr w14:paraId="2AB28A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61B49C5">
            <w:pPr>
              <w:snapToGrid w:val="0"/>
              <w:spacing w:before="50" w:after="120" w:afterLines="50" w:line="400" w:lineRule="exact"/>
              <w:jc w:val="left"/>
              <w:rPr>
                <w:rFonts w:ascii="宋体" w:hAnsi="宋体"/>
                <w:color w:val="000000"/>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F3FD31F">
            <w:pPr>
              <w:snapToGrid w:val="0"/>
              <w:spacing w:before="50" w:after="120" w:afterLines="50" w:line="400" w:lineRule="exact"/>
              <w:jc w:val="left"/>
              <w:rPr>
                <w:rFonts w:ascii="宋体" w:hAnsi="宋体"/>
                <w:color w:val="000000"/>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D34E786">
            <w:pPr>
              <w:snapToGrid w:val="0"/>
              <w:spacing w:before="50" w:after="120" w:afterLines="50" w:line="400" w:lineRule="exact"/>
              <w:jc w:val="left"/>
              <w:rPr>
                <w:rFonts w:ascii="宋体" w:hAnsi="宋体"/>
                <w:color w:val="000000"/>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03963A86">
            <w:pPr>
              <w:snapToGrid w:val="0"/>
              <w:spacing w:before="50" w:after="120" w:afterLines="50" w:line="400" w:lineRule="exact"/>
              <w:jc w:val="left"/>
              <w:rPr>
                <w:rFonts w:ascii="宋体" w:hAnsi="宋体"/>
                <w:color w:val="000000"/>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0D7803A9">
            <w:pPr>
              <w:snapToGrid w:val="0"/>
              <w:spacing w:before="50" w:after="120" w:afterLines="50" w:line="400" w:lineRule="exact"/>
              <w:jc w:val="left"/>
              <w:rPr>
                <w:rFonts w:ascii="宋体" w:hAnsi="宋体"/>
                <w:color w:val="000000"/>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50358A0D">
            <w:pPr>
              <w:snapToGrid w:val="0"/>
              <w:spacing w:before="50" w:after="120" w:afterLines="50" w:line="400" w:lineRule="exact"/>
              <w:jc w:val="left"/>
              <w:rPr>
                <w:rFonts w:ascii="宋体" w:hAnsi="宋体"/>
                <w:color w:val="000000"/>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D0265BB">
            <w:pPr>
              <w:snapToGrid w:val="0"/>
              <w:spacing w:before="50" w:after="120" w:afterLines="50" w:line="400" w:lineRule="exact"/>
              <w:jc w:val="left"/>
              <w:rPr>
                <w:rFonts w:ascii="宋体" w:hAnsi="宋体"/>
                <w:color w:val="000000"/>
                <w:sz w:val="24"/>
                <w:szCs w:val="20"/>
                <w:highlight w:val="none"/>
              </w:rPr>
            </w:pPr>
          </w:p>
        </w:tc>
      </w:tr>
    </w:tbl>
    <w:p w14:paraId="62091E66">
      <w:pPr>
        <w:pStyle w:val="14"/>
        <w:snapToGrid w:val="0"/>
        <w:ind w:firstLine="960" w:firstLineChars="400"/>
        <w:rPr>
          <w:rFonts w:ascii="宋体" w:hAnsi="宋体" w:eastAsia="宋体"/>
          <w:color w:val="FF0000"/>
          <w:sz w:val="24"/>
          <w:szCs w:val="24"/>
          <w:highlight w:val="none"/>
        </w:rPr>
      </w:pPr>
      <w:r>
        <w:rPr>
          <w:rFonts w:hint="eastAsia" w:ascii="宋体" w:hAnsi="宋体" w:eastAsia="宋体"/>
          <w:color w:val="FF0000"/>
          <w:sz w:val="24"/>
          <w:szCs w:val="24"/>
          <w:highlight w:val="none"/>
        </w:rPr>
        <w:t xml:space="preserve"> </w:t>
      </w:r>
    </w:p>
    <w:p w14:paraId="7A695341">
      <w:pPr>
        <w:pStyle w:val="14"/>
        <w:snapToGrid w:val="0"/>
        <w:ind w:firstLine="361" w:firstLineChars="150"/>
        <w:rPr>
          <w:rFonts w:ascii="宋体" w:hAnsi="宋体" w:eastAsia="宋体"/>
          <w:b/>
          <w:color w:val="000000"/>
          <w:sz w:val="24"/>
          <w:szCs w:val="24"/>
          <w:highlight w:val="none"/>
        </w:rPr>
      </w:pPr>
    </w:p>
    <w:p w14:paraId="51336CC1">
      <w:pPr>
        <w:pStyle w:val="14"/>
        <w:snapToGrid w:val="0"/>
        <w:ind w:firstLine="482" w:firstLineChars="200"/>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法定代表人签字（或盖章）：                            投标人（盖章）：    </w:t>
      </w:r>
      <w:r>
        <w:rPr>
          <w:rFonts w:hint="eastAsia" w:ascii="宋体" w:hAnsi="宋体" w:eastAsia="宋体"/>
          <w:color w:val="000000"/>
          <w:sz w:val="24"/>
          <w:szCs w:val="24"/>
          <w:highlight w:val="none"/>
        </w:rPr>
        <w:t xml:space="preserve">                </w:t>
      </w:r>
      <w:r>
        <w:rPr>
          <w:rFonts w:hint="eastAsia" w:ascii="宋体" w:hAnsi="宋体" w:eastAsia="宋体"/>
          <w:b/>
          <w:color w:val="000000"/>
          <w:sz w:val="24"/>
          <w:szCs w:val="24"/>
          <w:highlight w:val="none"/>
        </w:rPr>
        <w:t>日期：  _____年___月___日</w:t>
      </w:r>
    </w:p>
    <w:p w14:paraId="6C8990CD">
      <w:pPr>
        <w:pStyle w:val="2"/>
        <w:rPr>
          <w:rFonts w:hint="eastAsia"/>
          <w:highlight w:val="none"/>
        </w:rPr>
        <w:sectPr>
          <w:footerReference r:id="rId10" w:type="default"/>
          <w:pgSz w:w="16838" w:h="11906" w:orient="landscape"/>
          <w:pgMar w:top="1588" w:right="1021" w:bottom="1588" w:left="851" w:header="851" w:footer="851" w:gutter="0"/>
          <w:pgBorders>
            <w:top w:val="none" w:sz="0" w:space="0"/>
            <w:left w:val="none" w:sz="0" w:space="0"/>
            <w:bottom w:val="none" w:sz="0" w:space="0"/>
            <w:right w:val="none" w:sz="0" w:space="0"/>
          </w:pgBorders>
          <w:pgNumType w:fmt="decimal"/>
          <w:cols w:space="720" w:num="1"/>
        </w:sectPr>
      </w:pPr>
    </w:p>
    <w:p w14:paraId="67714075">
      <w:pPr>
        <w:snapToGrid w:val="0"/>
        <w:spacing w:before="50"/>
        <w:jc w:val="left"/>
        <w:rPr>
          <w:rFonts w:hint="eastAsia" w:ascii="宋体" w:hAnsi="宋体" w:eastAsia="宋体" w:cs="宋体"/>
          <w:color w:val="auto"/>
          <w:sz w:val="24"/>
          <w:highlight w:val="none"/>
          <w:shd w:val="clear" w:color="auto" w:fill="auto"/>
        </w:rPr>
      </w:pPr>
      <w:bookmarkStart w:id="65" w:name="_Hlk77588362"/>
      <w:r>
        <w:rPr>
          <w:rFonts w:hint="eastAsia" w:ascii="宋体" w:hAnsi="宋体" w:cs="宋体"/>
          <w:color w:val="auto"/>
          <w:sz w:val="24"/>
          <w:highlight w:val="none"/>
          <w:shd w:val="clear" w:color="auto" w:fill="auto"/>
          <w:lang w:val="en-US" w:eastAsia="zh-CN"/>
        </w:rPr>
        <w:t>11</w:t>
      </w:r>
      <w:r>
        <w:rPr>
          <w:rFonts w:hint="eastAsia" w:ascii="宋体" w:hAnsi="宋体" w:eastAsia="宋体" w:cs="宋体"/>
          <w:color w:val="auto"/>
          <w:sz w:val="24"/>
          <w:highlight w:val="none"/>
          <w:shd w:val="clear" w:color="auto" w:fill="auto"/>
        </w:rPr>
        <w:t>.商务及技术响应表格式：</w:t>
      </w:r>
      <w:bookmarkEnd w:id="65"/>
    </w:p>
    <w:p w14:paraId="360183E3">
      <w:pPr>
        <w:snapToGrid w:val="0"/>
        <w:spacing w:before="50"/>
        <w:jc w:val="left"/>
        <w:rPr>
          <w:rFonts w:hint="eastAsia" w:ascii="宋体" w:hAnsi="宋体" w:eastAsia="宋体" w:cs="宋体"/>
          <w:color w:val="auto"/>
          <w:sz w:val="24"/>
          <w:highlight w:val="none"/>
          <w:shd w:val="clear" w:color="auto" w:fill="auto"/>
        </w:rPr>
      </w:pPr>
    </w:p>
    <w:p w14:paraId="536B655A">
      <w:pPr>
        <w:snapToGrid w:val="0"/>
        <w:spacing w:before="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商务及技术响应表</w:t>
      </w:r>
    </w:p>
    <w:p w14:paraId="31BDDF62">
      <w:pPr>
        <w:keepNext w:val="0"/>
        <w:keepLines w:val="0"/>
        <w:pageBreakBefore w:val="0"/>
        <w:widowControl w:val="0"/>
        <w:kinsoku/>
        <w:wordWrap/>
        <w:overflowPunct/>
        <w:topLinePunct w:val="0"/>
        <w:autoSpaceDE/>
        <w:autoSpaceDN/>
        <w:bidi w:val="0"/>
        <w:adjustRightInd/>
        <w:snapToGrid w:val="0"/>
        <w:spacing w:before="120" w:beforeLines="50" w:after="50" w:line="24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p w14:paraId="5FFBE8A9">
      <w:pPr>
        <w:keepNext w:val="0"/>
        <w:keepLines w:val="0"/>
        <w:pageBreakBefore w:val="0"/>
        <w:widowControl w:val="0"/>
        <w:kinsoku/>
        <w:wordWrap/>
        <w:overflowPunct/>
        <w:topLinePunct w:val="0"/>
        <w:autoSpaceDE/>
        <w:autoSpaceDN/>
        <w:bidi w:val="0"/>
        <w:adjustRightInd/>
        <w:snapToGrid w:val="0"/>
        <w:spacing w:before="120" w:beforeLines="50" w:after="50" w:line="240" w:lineRule="auto"/>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1500"/>
        <w:gridCol w:w="3390"/>
        <w:gridCol w:w="930"/>
        <w:gridCol w:w="1273"/>
        <w:gridCol w:w="1701"/>
      </w:tblGrid>
      <w:tr w14:paraId="1401B4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04" w:type="dxa"/>
            <w:tcBorders>
              <w:top w:val="single" w:color="auto" w:sz="4" w:space="0"/>
              <w:left w:val="single" w:color="auto" w:sz="4" w:space="0"/>
              <w:bottom w:val="single" w:color="auto" w:sz="4" w:space="0"/>
              <w:right w:val="single" w:color="auto" w:sz="4" w:space="0"/>
            </w:tcBorders>
            <w:vAlign w:val="center"/>
          </w:tcPr>
          <w:p w14:paraId="2B943DA4">
            <w:pPr>
              <w:snapToGrid w:val="0"/>
              <w:spacing w:before="120" w:beforeLines="50" w:line="240" w:lineRule="auto"/>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1500" w:type="dxa"/>
            <w:tcBorders>
              <w:top w:val="single" w:color="auto" w:sz="4" w:space="0"/>
              <w:left w:val="single" w:color="auto" w:sz="4" w:space="0"/>
              <w:bottom w:val="single" w:color="auto" w:sz="4" w:space="0"/>
              <w:right w:val="single" w:color="auto" w:sz="4" w:space="0"/>
            </w:tcBorders>
            <w:vAlign w:val="center"/>
          </w:tcPr>
          <w:p w14:paraId="123E04C9">
            <w:pPr>
              <w:snapToGrid w:val="0"/>
              <w:spacing w:before="120" w:beforeLines="50" w:line="240" w:lineRule="auto"/>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名称</w:t>
            </w:r>
          </w:p>
        </w:tc>
        <w:tc>
          <w:tcPr>
            <w:tcW w:w="3390" w:type="dxa"/>
            <w:tcBorders>
              <w:top w:val="single" w:color="auto" w:sz="4" w:space="0"/>
              <w:left w:val="single" w:color="auto" w:sz="4" w:space="0"/>
              <w:bottom w:val="single" w:color="auto" w:sz="4" w:space="0"/>
              <w:right w:val="single" w:color="auto" w:sz="4" w:space="0"/>
            </w:tcBorders>
            <w:vAlign w:val="center"/>
          </w:tcPr>
          <w:p w14:paraId="31949F4F">
            <w:pPr>
              <w:snapToGrid w:val="0"/>
              <w:spacing w:before="120" w:beforeLines="50" w:line="240" w:lineRule="auto"/>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招标文件要求</w:t>
            </w:r>
          </w:p>
        </w:tc>
        <w:tc>
          <w:tcPr>
            <w:tcW w:w="930" w:type="dxa"/>
            <w:tcBorders>
              <w:top w:val="single" w:color="auto" w:sz="4" w:space="0"/>
              <w:left w:val="single" w:color="auto" w:sz="4" w:space="0"/>
              <w:bottom w:val="single" w:color="auto" w:sz="4" w:space="0"/>
              <w:right w:val="single" w:color="auto" w:sz="4" w:space="0"/>
            </w:tcBorders>
            <w:vAlign w:val="center"/>
          </w:tcPr>
          <w:p w14:paraId="4D20379F">
            <w:pPr>
              <w:snapToGrid w:val="0"/>
              <w:spacing w:before="120" w:beforeLines="50" w:line="240" w:lineRule="auto"/>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是否</w:t>
            </w:r>
          </w:p>
          <w:p w14:paraId="57914CA5">
            <w:pPr>
              <w:snapToGrid w:val="0"/>
              <w:spacing w:before="120" w:beforeLines="50" w:line="240" w:lineRule="auto"/>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响应</w:t>
            </w:r>
          </w:p>
        </w:tc>
        <w:tc>
          <w:tcPr>
            <w:tcW w:w="1273" w:type="dxa"/>
            <w:tcBorders>
              <w:top w:val="single" w:color="auto" w:sz="4" w:space="0"/>
              <w:left w:val="single" w:color="auto" w:sz="4" w:space="0"/>
              <w:bottom w:val="single" w:color="auto" w:sz="4" w:space="0"/>
              <w:right w:val="single" w:color="auto" w:sz="4" w:space="0"/>
            </w:tcBorders>
            <w:vAlign w:val="center"/>
          </w:tcPr>
          <w:p w14:paraId="3CED8729">
            <w:pPr>
              <w:snapToGrid w:val="0"/>
              <w:spacing w:before="120" w:beforeLines="50" w:line="240" w:lineRule="auto"/>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6BFCFC24">
            <w:pPr>
              <w:snapToGrid w:val="0"/>
              <w:spacing w:before="120" w:beforeLines="50" w:line="240" w:lineRule="auto"/>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相应内容在投标文件中页码</w:t>
            </w:r>
          </w:p>
        </w:tc>
      </w:tr>
      <w:tr w14:paraId="45FBA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704" w:type="dxa"/>
            <w:tcBorders>
              <w:top w:val="single" w:color="auto" w:sz="4" w:space="0"/>
              <w:left w:val="single" w:color="auto" w:sz="4" w:space="0"/>
              <w:bottom w:val="single" w:color="auto" w:sz="4" w:space="0"/>
              <w:right w:val="single" w:color="auto" w:sz="4" w:space="0"/>
            </w:tcBorders>
          </w:tcPr>
          <w:p w14:paraId="6ADB6401">
            <w:pPr>
              <w:snapToGrid w:val="0"/>
              <w:spacing w:before="120" w:beforeLines="50" w:line="240" w:lineRule="auto"/>
              <w:rPr>
                <w:rFonts w:hint="eastAsia" w:ascii="宋体" w:hAnsi="宋体" w:eastAsia="宋体" w:cs="宋体"/>
                <w:color w:val="auto"/>
                <w:sz w:val="24"/>
                <w:szCs w:val="20"/>
                <w:highlight w:val="none"/>
                <w:shd w:val="clear" w:color="auto" w:fill="auto"/>
                <w:lang w:val="en-US" w:eastAsia="zh-CN"/>
              </w:rPr>
            </w:pPr>
            <w:r>
              <w:rPr>
                <w:rFonts w:hint="eastAsia" w:ascii="宋体" w:hAnsi="宋体" w:cs="宋体"/>
                <w:color w:val="auto"/>
                <w:sz w:val="24"/>
                <w:szCs w:val="20"/>
                <w:highlight w:val="none"/>
                <w:shd w:val="clear" w:color="auto" w:fill="auto"/>
                <w:lang w:val="en-US" w:eastAsia="zh-CN"/>
              </w:rPr>
              <w:t>1</w:t>
            </w:r>
          </w:p>
        </w:tc>
        <w:tc>
          <w:tcPr>
            <w:tcW w:w="1500" w:type="dxa"/>
            <w:tcBorders>
              <w:top w:val="single" w:color="auto" w:sz="4" w:space="0"/>
              <w:left w:val="single" w:color="auto" w:sz="4" w:space="0"/>
              <w:bottom w:val="single" w:color="auto" w:sz="4" w:space="0"/>
              <w:right w:val="single" w:color="auto" w:sz="4" w:space="0"/>
            </w:tcBorders>
          </w:tcPr>
          <w:p w14:paraId="0683D51C">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质保期</w:t>
            </w:r>
          </w:p>
        </w:tc>
        <w:tc>
          <w:tcPr>
            <w:tcW w:w="3390" w:type="dxa"/>
            <w:tcBorders>
              <w:top w:val="single" w:color="auto" w:sz="4" w:space="0"/>
              <w:left w:val="single" w:color="auto" w:sz="4" w:space="0"/>
              <w:bottom w:val="single" w:color="auto" w:sz="4" w:space="0"/>
              <w:right w:val="single" w:color="auto" w:sz="4" w:space="0"/>
            </w:tcBorders>
          </w:tcPr>
          <w:p w14:paraId="46305EC4">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所有货物不少于3年免费保修期（投标人可提供更优惠的保修期）。</w:t>
            </w:r>
          </w:p>
        </w:tc>
        <w:tc>
          <w:tcPr>
            <w:tcW w:w="930" w:type="dxa"/>
            <w:tcBorders>
              <w:top w:val="single" w:color="auto" w:sz="4" w:space="0"/>
              <w:left w:val="single" w:color="auto" w:sz="4" w:space="0"/>
              <w:bottom w:val="single" w:color="auto" w:sz="4" w:space="0"/>
              <w:right w:val="single" w:color="auto" w:sz="4" w:space="0"/>
            </w:tcBorders>
          </w:tcPr>
          <w:p w14:paraId="00A349DB">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1273" w:type="dxa"/>
            <w:tcBorders>
              <w:top w:val="single" w:color="auto" w:sz="4" w:space="0"/>
              <w:left w:val="single" w:color="auto" w:sz="4" w:space="0"/>
              <w:bottom w:val="single" w:color="auto" w:sz="4" w:space="0"/>
              <w:right w:val="single" w:color="auto" w:sz="4" w:space="0"/>
            </w:tcBorders>
          </w:tcPr>
          <w:p w14:paraId="72EAD8EC">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E7A66E6">
            <w:pPr>
              <w:snapToGrid w:val="0"/>
              <w:spacing w:before="120" w:beforeLines="50" w:line="240" w:lineRule="auto"/>
              <w:rPr>
                <w:rFonts w:hint="eastAsia" w:ascii="宋体" w:hAnsi="宋体" w:eastAsia="宋体" w:cs="宋体"/>
                <w:color w:val="auto"/>
                <w:sz w:val="24"/>
                <w:szCs w:val="20"/>
                <w:highlight w:val="none"/>
                <w:shd w:val="clear" w:color="auto" w:fill="auto"/>
              </w:rPr>
            </w:pPr>
          </w:p>
        </w:tc>
      </w:tr>
      <w:tr w14:paraId="0C9C43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704" w:type="dxa"/>
            <w:tcBorders>
              <w:top w:val="single" w:color="auto" w:sz="4" w:space="0"/>
              <w:left w:val="single" w:color="auto" w:sz="4" w:space="0"/>
              <w:bottom w:val="single" w:color="auto" w:sz="4" w:space="0"/>
              <w:right w:val="single" w:color="auto" w:sz="4" w:space="0"/>
            </w:tcBorders>
          </w:tcPr>
          <w:p w14:paraId="757D9E58">
            <w:pPr>
              <w:snapToGrid w:val="0"/>
              <w:spacing w:before="120" w:beforeLines="50" w:line="240" w:lineRule="auto"/>
              <w:rPr>
                <w:rFonts w:hint="eastAsia" w:ascii="宋体" w:hAnsi="宋体" w:eastAsia="宋体" w:cs="宋体"/>
                <w:color w:val="auto"/>
                <w:sz w:val="24"/>
                <w:szCs w:val="20"/>
                <w:highlight w:val="none"/>
                <w:shd w:val="clear" w:color="auto" w:fill="auto"/>
                <w:lang w:val="en-US" w:eastAsia="zh-CN"/>
              </w:rPr>
            </w:pPr>
            <w:r>
              <w:rPr>
                <w:rFonts w:hint="eastAsia" w:ascii="宋体" w:hAnsi="宋体" w:cs="宋体"/>
                <w:color w:val="auto"/>
                <w:sz w:val="24"/>
                <w:szCs w:val="20"/>
                <w:highlight w:val="none"/>
                <w:shd w:val="clear" w:color="auto" w:fill="auto"/>
                <w:lang w:val="en-US" w:eastAsia="zh-CN"/>
              </w:rPr>
              <w:t>2</w:t>
            </w:r>
          </w:p>
        </w:tc>
        <w:tc>
          <w:tcPr>
            <w:tcW w:w="1500" w:type="dxa"/>
            <w:tcBorders>
              <w:top w:val="single" w:color="auto" w:sz="4" w:space="0"/>
              <w:left w:val="single" w:color="auto" w:sz="4" w:space="0"/>
              <w:bottom w:val="single" w:color="auto" w:sz="4" w:space="0"/>
              <w:right w:val="single" w:color="auto" w:sz="4" w:space="0"/>
            </w:tcBorders>
          </w:tcPr>
          <w:p w14:paraId="714028D4">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投标有效期</w:t>
            </w:r>
          </w:p>
        </w:tc>
        <w:tc>
          <w:tcPr>
            <w:tcW w:w="3390" w:type="dxa"/>
            <w:tcBorders>
              <w:top w:val="single" w:color="auto" w:sz="4" w:space="0"/>
              <w:left w:val="single" w:color="auto" w:sz="4" w:space="0"/>
              <w:bottom w:val="single" w:color="auto" w:sz="4" w:space="0"/>
              <w:right w:val="single" w:color="auto" w:sz="4" w:space="0"/>
            </w:tcBorders>
          </w:tcPr>
          <w:p w14:paraId="47A89746">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自投标截止日起 90 天投标文件应保持有效</w:t>
            </w:r>
          </w:p>
        </w:tc>
        <w:tc>
          <w:tcPr>
            <w:tcW w:w="930" w:type="dxa"/>
            <w:tcBorders>
              <w:top w:val="single" w:color="auto" w:sz="4" w:space="0"/>
              <w:left w:val="single" w:color="auto" w:sz="4" w:space="0"/>
              <w:bottom w:val="single" w:color="auto" w:sz="4" w:space="0"/>
              <w:right w:val="single" w:color="auto" w:sz="4" w:space="0"/>
            </w:tcBorders>
          </w:tcPr>
          <w:p w14:paraId="2BF65C02">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1273" w:type="dxa"/>
            <w:tcBorders>
              <w:top w:val="single" w:color="auto" w:sz="4" w:space="0"/>
              <w:left w:val="single" w:color="auto" w:sz="4" w:space="0"/>
              <w:bottom w:val="single" w:color="auto" w:sz="4" w:space="0"/>
              <w:right w:val="single" w:color="auto" w:sz="4" w:space="0"/>
            </w:tcBorders>
          </w:tcPr>
          <w:p w14:paraId="153DD3ED">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2C3F036">
            <w:pPr>
              <w:snapToGrid w:val="0"/>
              <w:spacing w:before="120" w:beforeLines="50" w:line="240" w:lineRule="auto"/>
              <w:rPr>
                <w:rFonts w:hint="eastAsia" w:ascii="宋体" w:hAnsi="宋体" w:eastAsia="宋体" w:cs="宋体"/>
                <w:color w:val="auto"/>
                <w:sz w:val="24"/>
                <w:szCs w:val="20"/>
                <w:highlight w:val="none"/>
                <w:shd w:val="clear" w:color="auto" w:fill="auto"/>
              </w:rPr>
            </w:pPr>
          </w:p>
        </w:tc>
      </w:tr>
      <w:tr w14:paraId="4A2A4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704" w:type="dxa"/>
            <w:tcBorders>
              <w:top w:val="single" w:color="auto" w:sz="4" w:space="0"/>
              <w:left w:val="single" w:color="auto" w:sz="4" w:space="0"/>
              <w:bottom w:val="single" w:color="auto" w:sz="4" w:space="0"/>
              <w:right w:val="single" w:color="auto" w:sz="4" w:space="0"/>
            </w:tcBorders>
          </w:tcPr>
          <w:p w14:paraId="251A5841">
            <w:pPr>
              <w:snapToGrid w:val="0"/>
              <w:spacing w:before="120" w:beforeLines="50" w:line="240" w:lineRule="auto"/>
              <w:rPr>
                <w:rFonts w:hint="eastAsia" w:ascii="宋体" w:hAnsi="宋体" w:eastAsia="宋体" w:cs="宋体"/>
                <w:color w:val="auto"/>
                <w:sz w:val="24"/>
                <w:szCs w:val="20"/>
                <w:highlight w:val="none"/>
                <w:shd w:val="clear" w:color="auto" w:fill="auto"/>
                <w:lang w:val="en-US" w:eastAsia="zh-CN"/>
              </w:rPr>
            </w:pPr>
            <w:r>
              <w:rPr>
                <w:rFonts w:hint="eastAsia" w:ascii="宋体" w:hAnsi="宋体" w:cs="宋体"/>
                <w:color w:val="auto"/>
                <w:sz w:val="24"/>
                <w:szCs w:val="20"/>
                <w:highlight w:val="none"/>
                <w:shd w:val="clear" w:color="auto" w:fill="auto"/>
                <w:lang w:val="en-US" w:eastAsia="zh-CN"/>
              </w:rPr>
              <w:t>3</w:t>
            </w:r>
          </w:p>
        </w:tc>
        <w:tc>
          <w:tcPr>
            <w:tcW w:w="1500" w:type="dxa"/>
            <w:tcBorders>
              <w:top w:val="single" w:color="auto" w:sz="4" w:space="0"/>
              <w:left w:val="single" w:color="auto" w:sz="4" w:space="0"/>
              <w:bottom w:val="single" w:color="auto" w:sz="4" w:space="0"/>
              <w:right w:val="single" w:color="auto" w:sz="4" w:space="0"/>
            </w:tcBorders>
          </w:tcPr>
          <w:p w14:paraId="0EFE7D8C">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付款方式</w:t>
            </w:r>
          </w:p>
        </w:tc>
        <w:tc>
          <w:tcPr>
            <w:tcW w:w="3390" w:type="dxa"/>
            <w:tcBorders>
              <w:top w:val="single" w:color="auto" w:sz="4" w:space="0"/>
              <w:left w:val="single" w:color="auto" w:sz="4" w:space="0"/>
              <w:bottom w:val="single" w:color="auto" w:sz="4" w:space="0"/>
              <w:right w:val="single" w:color="auto" w:sz="4" w:space="0"/>
            </w:tcBorders>
          </w:tcPr>
          <w:p w14:paraId="2CE22E99">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1、合同签订后支付合同价的30%，货物供货安装完成并验收合格后付至合同价的80%，经结算审定后付至结算价的95%，剩余5%作为保修金，保修期满后付清。增值税发票应随付款进度及时提供。</w:t>
            </w:r>
          </w:p>
          <w:p w14:paraId="0DA9361E">
            <w:pPr>
              <w:snapToGrid w:val="0"/>
              <w:spacing w:before="120" w:beforeLines="50" w:line="24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2、甲方可根据实际情况增加或减少供货数量，乙方须无条件服从，并按实际供货数量结算。供货数量不论增减多少，单价不变，乙方不得拒绝。结算时乙方必须根据实际使用量供货及安装，最终结算金额按实际使用量乘以成交单价进行计算。</w:t>
            </w:r>
          </w:p>
        </w:tc>
        <w:tc>
          <w:tcPr>
            <w:tcW w:w="930" w:type="dxa"/>
            <w:tcBorders>
              <w:top w:val="single" w:color="auto" w:sz="4" w:space="0"/>
              <w:left w:val="single" w:color="auto" w:sz="4" w:space="0"/>
              <w:bottom w:val="single" w:color="auto" w:sz="4" w:space="0"/>
              <w:right w:val="single" w:color="auto" w:sz="4" w:space="0"/>
            </w:tcBorders>
          </w:tcPr>
          <w:p w14:paraId="2DA67267">
            <w:pPr>
              <w:snapToGrid w:val="0"/>
              <w:spacing w:before="120" w:beforeLines="50" w:line="240" w:lineRule="auto"/>
              <w:ind w:left="86"/>
              <w:rPr>
                <w:rFonts w:hint="eastAsia" w:ascii="宋体" w:hAnsi="宋体" w:eastAsia="宋体" w:cs="宋体"/>
                <w:color w:val="auto"/>
                <w:sz w:val="24"/>
                <w:szCs w:val="20"/>
                <w:highlight w:val="none"/>
                <w:shd w:val="clear" w:color="auto" w:fill="auto"/>
              </w:rPr>
            </w:pPr>
          </w:p>
        </w:tc>
        <w:tc>
          <w:tcPr>
            <w:tcW w:w="1273" w:type="dxa"/>
            <w:tcBorders>
              <w:top w:val="single" w:color="auto" w:sz="4" w:space="0"/>
              <w:left w:val="single" w:color="auto" w:sz="4" w:space="0"/>
              <w:bottom w:val="single" w:color="auto" w:sz="4" w:space="0"/>
              <w:right w:val="single" w:color="auto" w:sz="4" w:space="0"/>
            </w:tcBorders>
          </w:tcPr>
          <w:p w14:paraId="253B17BE">
            <w:pPr>
              <w:snapToGrid w:val="0"/>
              <w:spacing w:before="120" w:beforeLines="50" w:line="240" w:lineRule="auto"/>
              <w:ind w:left="86"/>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98AE527">
            <w:pPr>
              <w:snapToGrid w:val="0"/>
              <w:spacing w:before="120" w:beforeLines="50" w:line="240" w:lineRule="auto"/>
              <w:ind w:left="86"/>
              <w:rPr>
                <w:rFonts w:hint="eastAsia" w:ascii="宋体" w:hAnsi="宋体" w:eastAsia="宋体" w:cs="宋体"/>
                <w:color w:val="auto"/>
                <w:sz w:val="24"/>
                <w:szCs w:val="20"/>
                <w:highlight w:val="none"/>
                <w:shd w:val="clear" w:color="auto" w:fill="auto"/>
              </w:rPr>
            </w:pPr>
          </w:p>
        </w:tc>
      </w:tr>
      <w:tr w14:paraId="3326B2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04" w:type="dxa"/>
            <w:tcBorders>
              <w:top w:val="single" w:color="auto" w:sz="4" w:space="0"/>
              <w:left w:val="single" w:color="auto" w:sz="4" w:space="0"/>
              <w:bottom w:val="single" w:color="auto" w:sz="4" w:space="0"/>
              <w:right w:val="single" w:color="auto" w:sz="4" w:space="0"/>
            </w:tcBorders>
          </w:tcPr>
          <w:p w14:paraId="386E0407">
            <w:pPr>
              <w:snapToGrid w:val="0"/>
              <w:spacing w:before="120" w:beforeLines="50" w:line="240" w:lineRule="auto"/>
              <w:rPr>
                <w:rFonts w:hint="default" w:ascii="宋体" w:hAnsi="宋体" w:eastAsia="宋体" w:cs="宋体"/>
                <w:color w:val="auto"/>
                <w:sz w:val="24"/>
                <w:szCs w:val="20"/>
                <w:highlight w:val="none"/>
                <w:shd w:val="clear" w:color="auto" w:fill="auto"/>
                <w:lang w:val="en-US" w:eastAsia="zh-CN"/>
              </w:rPr>
            </w:pPr>
            <w:r>
              <w:rPr>
                <w:rFonts w:hint="eastAsia" w:ascii="宋体" w:hAnsi="宋体" w:cs="宋体"/>
                <w:color w:val="auto"/>
                <w:sz w:val="24"/>
                <w:szCs w:val="20"/>
                <w:highlight w:val="none"/>
                <w:shd w:val="clear" w:color="auto" w:fill="auto"/>
                <w:lang w:val="en-US" w:eastAsia="zh-CN"/>
              </w:rPr>
              <w:t>...</w:t>
            </w:r>
          </w:p>
        </w:tc>
        <w:tc>
          <w:tcPr>
            <w:tcW w:w="1500" w:type="dxa"/>
            <w:tcBorders>
              <w:top w:val="single" w:color="auto" w:sz="4" w:space="0"/>
              <w:left w:val="single" w:color="auto" w:sz="4" w:space="0"/>
              <w:bottom w:val="single" w:color="auto" w:sz="4" w:space="0"/>
              <w:right w:val="single" w:color="auto" w:sz="4" w:space="0"/>
            </w:tcBorders>
          </w:tcPr>
          <w:p w14:paraId="1A46FB34">
            <w:pPr>
              <w:snapToGrid w:val="0"/>
              <w:spacing w:before="120" w:beforeLines="50" w:line="240" w:lineRule="auto"/>
              <w:rPr>
                <w:rFonts w:hint="default" w:ascii="宋体" w:hAnsi="宋体" w:eastAsia="宋体" w:cs="宋体"/>
                <w:color w:val="auto"/>
                <w:sz w:val="24"/>
                <w:szCs w:val="20"/>
                <w:highlight w:val="none"/>
                <w:shd w:val="clear" w:color="auto" w:fill="auto"/>
                <w:lang w:val="en-US" w:eastAsia="zh-CN"/>
              </w:rPr>
            </w:pPr>
            <w:r>
              <w:rPr>
                <w:rFonts w:hint="eastAsia" w:ascii="宋体" w:hAnsi="宋体" w:cs="宋体"/>
                <w:color w:val="auto"/>
                <w:sz w:val="24"/>
                <w:szCs w:val="20"/>
                <w:highlight w:val="none"/>
                <w:shd w:val="clear" w:color="auto" w:fill="auto"/>
                <w:lang w:val="en-US" w:eastAsia="zh-CN"/>
              </w:rPr>
              <w:t>...</w:t>
            </w:r>
          </w:p>
        </w:tc>
        <w:tc>
          <w:tcPr>
            <w:tcW w:w="3390" w:type="dxa"/>
            <w:tcBorders>
              <w:top w:val="single" w:color="auto" w:sz="4" w:space="0"/>
              <w:left w:val="single" w:color="auto" w:sz="4" w:space="0"/>
              <w:bottom w:val="single" w:color="auto" w:sz="4" w:space="0"/>
              <w:right w:val="single" w:color="auto" w:sz="4" w:space="0"/>
            </w:tcBorders>
          </w:tcPr>
          <w:p w14:paraId="1C2E2315">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930" w:type="dxa"/>
            <w:tcBorders>
              <w:top w:val="single" w:color="auto" w:sz="4" w:space="0"/>
              <w:left w:val="single" w:color="auto" w:sz="4" w:space="0"/>
              <w:bottom w:val="single" w:color="auto" w:sz="4" w:space="0"/>
              <w:right w:val="single" w:color="auto" w:sz="4" w:space="0"/>
            </w:tcBorders>
          </w:tcPr>
          <w:p w14:paraId="05F83B70">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1273" w:type="dxa"/>
            <w:tcBorders>
              <w:top w:val="single" w:color="auto" w:sz="4" w:space="0"/>
              <w:left w:val="single" w:color="auto" w:sz="4" w:space="0"/>
              <w:bottom w:val="single" w:color="auto" w:sz="4" w:space="0"/>
              <w:right w:val="single" w:color="auto" w:sz="4" w:space="0"/>
            </w:tcBorders>
          </w:tcPr>
          <w:p w14:paraId="61D5E9BE">
            <w:pPr>
              <w:snapToGrid w:val="0"/>
              <w:spacing w:before="120" w:beforeLines="50" w:line="24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837982D">
            <w:pPr>
              <w:snapToGrid w:val="0"/>
              <w:spacing w:before="120" w:beforeLines="50" w:line="240" w:lineRule="auto"/>
              <w:rPr>
                <w:rFonts w:hint="eastAsia" w:ascii="宋体" w:hAnsi="宋体" w:eastAsia="宋体" w:cs="宋体"/>
                <w:color w:val="auto"/>
                <w:sz w:val="24"/>
                <w:szCs w:val="20"/>
                <w:highlight w:val="none"/>
                <w:shd w:val="clear" w:color="auto" w:fill="auto"/>
              </w:rPr>
            </w:pPr>
          </w:p>
        </w:tc>
      </w:tr>
    </w:tbl>
    <w:p w14:paraId="699D2F4D">
      <w:pPr>
        <w:snapToGrid w:val="0"/>
        <w:spacing w:line="400" w:lineRule="exact"/>
        <w:rPr>
          <w:rFonts w:ascii="宋体" w:hAnsi="宋体"/>
          <w:b/>
          <w:sz w:val="24"/>
          <w:szCs w:val="20"/>
          <w:highlight w:val="none"/>
          <w:u w:val="single"/>
          <w:shd w:val="pct10" w:color="auto" w:fill="FFFFFF"/>
        </w:rPr>
      </w:pPr>
      <w:r>
        <w:rPr>
          <w:rFonts w:hint="eastAsia" w:ascii="宋体" w:hAnsi="宋体"/>
          <w:b/>
          <w:sz w:val="24"/>
          <w:szCs w:val="20"/>
          <w:highlight w:val="none"/>
          <w:u w:val="single"/>
          <w:shd w:val="pct10" w:color="auto" w:fill="FFFFFF"/>
        </w:rPr>
        <w:t>特别说明：</w:t>
      </w:r>
    </w:p>
    <w:p w14:paraId="0C794B71">
      <w:pPr>
        <w:snapToGrid w:val="0"/>
        <w:spacing w:line="400" w:lineRule="exact"/>
        <w:rPr>
          <w:rFonts w:ascii="宋体" w:hAnsi="宋体"/>
          <w:b/>
          <w:sz w:val="24"/>
          <w:highlight w:val="none"/>
          <w:u w:val="single"/>
          <w:shd w:val="pct10" w:color="auto" w:fill="FFFFFF"/>
        </w:rPr>
      </w:pPr>
      <w:r>
        <w:rPr>
          <w:rFonts w:hint="eastAsia" w:ascii="宋体" w:hAnsi="宋体"/>
          <w:b/>
          <w:sz w:val="24"/>
          <w:highlight w:val="none"/>
          <w:u w:val="single"/>
          <w:shd w:val="pct10" w:color="auto" w:fill="FFFFFF"/>
        </w:rPr>
        <w:t>1、投标人应在此表中将招标文件中列明</w:t>
      </w:r>
      <w:bookmarkStart w:id="66" w:name="_Hlk535995896"/>
      <w:r>
        <w:rPr>
          <w:rFonts w:hint="eastAsia" w:ascii="宋体" w:hAnsi="宋体"/>
          <w:b/>
          <w:sz w:val="24"/>
          <w:highlight w:val="none"/>
          <w:u w:val="single"/>
          <w:shd w:val="pct10" w:color="auto" w:fill="FFFFFF"/>
        </w:rPr>
        <w:t>的商务要求和技术参数要求的正偏离或负偏离的应标内容详细写明，</w:t>
      </w:r>
      <w:bookmarkEnd w:id="66"/>
      <w:r>
        <w:rPr>
          <w:rFonts w:hint="eastAsia" w:ascii="宋体" w:hAnsi="宋体"/>
          <w:b/>
          <w:sz w:val="24"/>
          <w:highlight w:val="none"/>
          <w:u w:val="single"/>
          <w:shd w:val="pct10" w:color="auto" w:fill="FFFFFF"/>
        </w:rPr>
        <w:t>特别是勿遗漏招标文件中打▲的商务和技术要求的应标内容。</w:t>
      </w:r>
      <w:r>
        <w:rPr>
          <w:rFonts w:hint="eastAsia" w:hAnsi="宋体"/>
          <w:b/>
          <w:sz w:val="24"/>
          <w:highlight w:val="none"/>
          <w:u w:val="single"/>
          <w:shd w:val="pct10" w:color="auto" w:fill="FFFFFF"/>
        </w:rPr>
        <w:t>如果投标人在本响应表中缺失部分招标文件中</w:t>
      </w:r>
      <w:r>
        <w:rPr>
          <w:rFonts w:hint="eastAsia" w:ascii="宋体" w:hAnsi="宋体"/>
          <w:b/>
          <w:sz w:val="24"/>
          <w:highlight w:val="none"/>
          <w:u w:val="single"/>
          <w:shd w:val="pct10" w:color="auto" w:fill="FFFFFF"/>
        </w:rPr>
        <w:t>打▲</w:t>
      </w:r>
      <w:r>
        <w:rPr>
          <w:rFonts w:hint="eastAsia" w:hAnsi="宋体"/>
          <w:b/>
          <w:sz w:val="24"/>
          <w:highlight w:val="none"/>
          <w:u w:val="single"/>
          <w:shd w:val="pct10" w:color="auto" w:fill="FFFFFF"/>
        </w:rPr>
        <w:t>的</w:t>
      </w:r>
      <w:r>
        <w:rPr>
          <w:rFonts w:hint="eastAsia" w:ascii="宋体" w:hAnsi="宋体"/>
          <w:b/>
          <w:sz w:val="24"/>
          <w:highlight w:val="none"/>
          <w:u w:val="single"/>
          <w:shd w:val="pct10" w:color="auto" w:fill="FFFFFF"/>
        </w:rPr>
        <w:t>商务和技术</w:t>
      </w:r>
      <w:r>
        <w:rPr>
          <w:rFonts w:hint="eastAsia" w:hAnsi="宋体"/>
          <w:b/>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32A29531">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5DEEEE62">
      <w:pPr>
        <w:pStyle w:val="31"/>
        <w:snapToGrid w:val="0"/>
        <w:spacing w:beforeLines="0" w:afterLines="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spacing w:val="20"/>
          <w:highlight w:val="none"/>
          <w:shd w:val="clear" w:color="auto" w:fill="auto"/>
        </w:rPr>
        <w:t>法定代表人签字（或盖章）：            投标人（盖章）：</w:t>
      </w:r>
    </w:p>
    <w:p w14:paraId="43C1F70E">
      <w:pPr>
        <w:widowControl/>
        <w:jc w:val="left"/>
        <w:rPr>
          <w:rFonts w:hint="eastAsia" w:ascii="宋体" w:hAnsi="宋体" w:eastAsia="宋体" w:cs="宋体"/>
          <w:b/>
          <w:color w:val="auto"/>
          <w:sz w:val="24"/>
          <w:highlight w:val="none"/>
          <w:shd w:val="clear" w:color="auto" w:fill="auto"/>
        </w:rPr>
      </w:pPr>
    </w:p>
    <w:p w14:paraId="7EB000A1">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53149B59">
      <w:pP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67" w:name="_Toc265669851"/>
    </w:p>
    <w:p w14:paraId="7774EBFB">
      <w:pPr>
        <w:snapToGrid w:val="0"/>
        <w:spacing w:line="400" w:lineRule="exact"/>
        <w:ind w:firstLine="472" w:firstLineChars="196"/>
        <w:jc w:val="left"/>
        <w:rPr>
          <w:rFonts w:hint="eastAsia" w:ascii="宋体" w:hAnsi="宋体" w:eastAsia="宋体" w:cs="宋体"/>
          <w:b/>
          <w:bCs/>
          <w:color w:val="auto"/>
          <w:sz w:val="24"/>
          <w:highlight w:val="none"/>
          <w:shd w:val="clear" w:color="auto" w:fill="auto"/>
        </w:rPr>
      </w:pPr>
    </w:p>
    <w:p w14:paraId="40E0014C">
      <w:pPr>
        <w:bidi w:val="0"/>
        <w:rPr>
          <w:rFonts w:hint="eastAsia"/>
          <w:highlight w:val="none"/>
        </w:rPr>
      </w:pPr>
    </w:p>
    <w:p w14:paraId="03BCFC7D">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68" w:name="_Toc16395"/>
      <w:bookmarkStart w:id="69" w:name="_Toc6641"/>
      <w:bookmarkStart w:id="70" w:name="_Toc11354"/>
      <w:bookmarkStart w:id="71" w:name="_Toc466534754"/>
      <w:r>
        <w:rPr>
          <w:rFonts w:hint="eastAsia" w:ascii="宋体" w:hAnsi="宋体" w:eastAsia="宋体" w:cs="宋体"/>
          <w:b/>
          <w:color w:val="auto"/>
          <w:sz w:val="30"/>
          <w:szCs w:val="30"/>
          <w:highlight w:val="none"/>
          <w:shd w:val="clear" w:color="auto" w:fill="auto"/>
        </w:rPr>
        <w:t>三、报价文件格式</w:t>
      </w:r>
      <w:bookmarkEnd w:id="67"/>
      <w:bookmarkEnd w:id="68"/>
      <w:bookmarkEnd w:id="69"/>
      <w:bookmarkEnd w:id="70"/>
      <w:bookmarkEnd w:id="71"/>
    </w:p>
    <w:p w14:paraId="476D88B3">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6A43CEAC">
      <w:pPr>
        <w:snapToGrid w:val="0"/>
        <w:spacing w:before="120" w:beforeLines="50" w:after="50"/>
        <w:rPr>
          <w:rFonts w:hint="eastAsia" w:ascii="宋体" w:hAnsi="宋体" w:eastAsia="宋体" w:cs="宋体"/>
          <w:color w:val="auto"/>
          <w:sz w:val="24"/>
          <w:szCs w:val="20"/>
          <w:highlight w:val="none"/>
          <w:shd w:val="clear" w:color="auto" w:fill="auto"/>
        </w:rPr>
      </w:pPr>
    </w:p>
    <w:p w14:paraId="758768AA">
      <w:pPr>
        <w:snapToGrid w:val="0"/>
        <w:spacing w:before="120" w:beforeLines="50" w:after="50"/>
        <w:rPr>
          <w:rFonts w:hint="eastAsia" w:ascii="宋体" w:hAnsi="宋体" w:eastAsia="宋体" w:cs="宋体"/>
          <w:color w:val="auto"/>
          <w:sz w:val="24"/>
          <w:szCs w:val="20"/>
          <w:highlight w:val="none"/>
          <w:shd w:val="clear" w:color="auto" w:fill="auto"/>
        </w:rPr>
      </w:pPr>
    </w:p>
    <w:p w14:paraId="40EDD416">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 xml:space="preserve">.报价文件封面格式： </w:t>
      </w:r>
    </w:p>
    <w:p w14:paraId="11AF4031">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报 价 文 件</w:t>
      </w:r>
    </w:p>
    <w:p w14:paraId="1E6FA28C">
      <w:pPr>
        <w:snapToGrid w:val="0"/>
        <w:spacing w:before="120" w:beforeLines="50" w:after="50"/>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271BE582">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708C928">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14AE065E">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w:t>
      </w:r>
    </w:p>
    <w:p w14:paraId="393167A8">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031065F9">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427FC6A3">
      <w:pPr>
        <w:pStyle w:val="13"/>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22B44CCC">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14:paraId="476DCD87">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  月  日</w:t>
      </w:r>
    </w:p>
    <w:p w14:paraId="14B901D3">
      <w:pPr>
        <w:pStyle w:val="31"/>
        <w:snapToGrid w:val="0"/>
        <w:spacing w:beforeLines="0" w:afterLines="0" w:line="24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highlight w:val="none"/>
          <w:shd w:val="clear" w:color="auto" w:fill="auto"/>
        </w:rPr>
        <w:t>1</w:t>
      </w:r>
      <w:r>
        <w:rPr>
          <w:rFonts w:hint="eastAsia" w:hAnsi="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.开标一览表格式：</w:t>
      </w:r>
    </w:p>
    <w:p w14:paraId="78316B0C">
      <w:pPr>
        <w:pStyle w:val="31"/>
        <w:snapToGrid w:val="0"/>
        <w:spacing w:beforeLines="0" w:afterLines="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开标一览表</w:t>
      </w:r>
    </w:p>
    <w:p w14:paraId="332AB1C7">
      <w:pPr>
        <w:snapToGrid w:val="0"/>
        <w:spacing w:before="120" w:beforeLines="50" w:after="50" w:line="480" w:lineRule="auto"/>
        <w:rPr>
          <w:rFonts w:hint="eastAsia" w:ascii="宋体" w:hAnsi="宋体" w:eastAsia="宋体" w:cs="宋体"/>
          <w:b/>
          <w:color w:val="auto"/>
          <w:sz w:val="24"/>
          <w:highlight w:val="none"/>
          <w:shd w:val="clear" w:color="auto" w:fill="auto"/>
        </w:rPr>
      </w:pPr>
    </w:p>
    <w:p w14:paraId="44789412">
      <w:pPr>
        <w:snapToGrid w:val="0"/>
        <w:spacing w:before="120" w:beforeLines="50" w:after="50" w:line="480" w:lineRule="auto"/>
        <w:ind w:firstLine="480" w:firstLineChars="200"/>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3092A183">
      <w:pPr>
        <w:snapToGrid w:val="0"/>
        <w:spacing w:before="120" w:beforeLines="50" w:after="50" w:line="480" w:lineRule="auto"/>
        <w:ind w:firstLine="480" w:firstLineChars="200"/>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2249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64C47172">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2CBE55D6">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4A842EB1">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57A6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2F179B99">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3DE9D380">
            <w:pPr>
              <w:pStyle w:val="31"/>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64683618">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6AABCA70">
            <w:pPr>
              <w:pStyle w:val="31"/>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2753D24D">
            <w:pPr>
              <w:pStyle w:val="31"/>
              <w:snapToGrid w:val="0"/>
              <w:spacing w:before="120" w:after="120" w:line="240" w:lineRule="auto"/>
              <w:rPr>
                <w:rFonts w:hint="eastAsia" w:ascii="宋体" w:hAnsi="宋体" w:eastAsia="宋体" w:cs="宋体"/>
                <w:color w:val="auto"/>
                <w:highlight w:val="none"/>
                <w:shd w:val="clear" w:color="auto" w:fill="auto"/>
              </w:rPr>
            </w:pPr>
          </w:p>
          <w:p w14:paraId="3AD5C32A">
            <w:pPr>
              <w:pStyle w:val="31"/>
              <w:snapToGrid w:val="0"/>
              <w:spacing w:beforeLines="0" w:afterLines="0" w:line="240" w:lineRule="auto"/>
              <w:ind w:left="240" w:hanging="240" w:hangingChars="100"/>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大写：人民币</w:t>
            </w:r>
            <w:r>
              <w:rPr>
                <w:rFonts w:hint="eastAsia" w:ascii="宋体" w:hAnsi="宋体" w:eastAsia="宋体" w:cs="宋体"/>
                <w:color w:val="auto"/>
                <w:kern w:val="2"/>
                <w:highlight w:val="none"/>
                <w:u w:val="single"/>
                <w:shd w:val="clear" w:color="auto" w:fill="auto"/>
                <w:lang w:val="en-US" w:eastAsia="zh-CN"/>
              </w:rPr>
              <w:t xml:space="preserve"> </w:t>
            </w:r>
            <w:r>
              <w:rPr>
                <w:rFonts w:hint="eastAsia" w:ascii="宋体" w:hAnsi="宋体" w:eastAsia="宋体" w:cs="宋体"/>
                <w:color w:val="auto"/>
                <w:kern w:val="2"/>
                <w:highlight w:val="none"/>
                <w:u w:val="single"/>
                <w:shd w:val="clear" w:color="auto" w:fill="auto"/>
              </w:rPr>
              <w:t xml:space="preserve"> </w:t>
            </w:r>
            <w:r>
              <w:rPr>
                <w:rFonts w:hint="eastAsia" w:hAnsi="宋体" w:cs="宋体"/>
                <w:color w:val="auto"/>
                <w:kern w:val="2"/>
                <w:highlight w:val="none"/>
                <w:u w:val="single"/>
                <w:shd w:val="clear" w:color="auto" w:fill="auto"/>
                <w:lang w:val="en-US" w:eastAsia="zh-CN"/>
              </w:rPr>
              <w:t xml:space="preserve">            元</w:t>
            </w:r>
          </w:p>
          <w:p w14:paraId="2E4AFE71">
            <w:pPr>
              <w:pStyle w:val="31"/>
              <w:snapToGrid w:val="0"/>
              <w:spacing w:beforeLines="0" w:afterLines="0" w:line="240" w:lineRule="auto"/>
              <w:rPr>
                <w:rFonts w:hint="eastAsia" w:ascii="宋体" w:hAnsi="宋体" w:eastAsia="宋体" w:cs="宋体"/>
                <w:color w:val="auto"/>
                <w:kern w:val="2"/>
                <w:highlight w:val="none"/>
                <w:shd w:val="clear" w:color="auto" w:fill="auto"/>
              </w:rPr>
            </w:pPr>
          </w:p>
          <w:p w14:paraId="7281025A">
            <w:pPr>
              <w:pStyle w:val="31"/>
              <w:snapToGrid w:val="0"/>
              <w:spacing w:beforeLines="0" w:afterLines="0" w:line="240" w:lineRule="auto"/>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小写：</w:t>
            </w:r>
            <w:r>
              <w:rPr>
                <w:rFonts w:hint="eastAsia" w:ascii="宋体" w:hAnsi="宋体" w:eastAsia="宋体" w:cs="宋体"/>
                <w:color w:val="auto"/>
                <w:kern w:val="2"/>
                <w:highlight w:val="none"/>
                <w:u w:val="none"/>
                <w:shd w:val="clear" w:color="auto" w:fill="auto"/>
              </w:rPr>
              <w:t>￥_________________</w:t>
            </w:r>
            <w:r>
              <w:rPr>
                <w:rFonts w:hint="eastAsia" w:ascii="宋体" w:hAnsi="宋体" w:eastAsia="宋体" w:cs="宋体"/>
                <w:color w:val="auto"/>
                <w:kern w:val="2"/>
                <w:highlight w:val="none"/>
                <w:shd w:val="clear" w:color="auto" w:fill="auto"/>
              </w:rPr>
              <w:t>元</w:t>
            </w:r>
          </w:p>
          <w:p w14:paraId="0EE288B7">
            <w:pPr>
              <w:rPr>
                <w:rFonts w:hint="eastAsia" w:ascii="宋体" w:hAnsi="宋体" w:eastAsia="宋体" w:cs="宋体"/>
                <w:color w:val="auto"/>
                <w:highlight w:val="none"/>
                <w:shd w:val="clear" w:color="auto" w:fill="auto"/>
              </w:rPr>
            </w:pPr>
          </w:p>
          <w:p w14:paraId="4107D2D0">
            <w:pPr>
              <w:pStyle w:val="31"/>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54A25AFA">
            <w:pPr>
              <w:rPr>
                <w:rFonts w:hint="eastAsia" w:ascii="宋体" w:hAnsi="宋体" w:eastAsia="宋体" w:cs="宋体"/>
                <w:color w:val="auto"/>
                <w:highlight w:val="none"/>
                <w:shd w:val="clear" w:color="auto" w:fill="auto"/>
                <w:lang w:val="en-US" w:eastAsia="zh-CN"/>
              </w:rPr>
            </w:pPr>
          </w:p>
        </w:tc>
      </w:tr>
    </w:tbl>
    <w:p w14:paraId="3FB18DE9">
      <w:pPr>
        <w:snapToGrid w:val="0"/>
        <w:spacing w:before="50" w:after="120" w:afterLines="50" w:line="360" w:lineRule="auto"/>
        <w:ind w:firstLine="482" w:firstLineChars="200"/>
        <w:jc w:val="left"/>
        <w:rPr>
          <w:rFonts w:hint="eastAsia" w:ascii="宋体" w:hAnsi="宋体" w:eastAsia="宋体" w:cs="宋体"/>
          <w:b/>
          <w:bCs w:val="0"/>
          <w:color w:val="auto"/>
          <w:sz w:val="24"/>
          <w:szCs w:val="24"/>
          <w:highlight w:val="none"/>
          <w:shd w:val="clear" w:color="auto" w:fill="auto"/>
          <w:lang w:val="en-US" w:eastAsia="zh-CN"/>
        </w:rPr>
      </w:pPr>
    </w:p>
    <w:p w14:paraId="69670A3E">
      <w:pPr>
        <w:snapToGrid w:val="0"/>
        <w:spacing w:before="50" w:after="120" w:afterLines="50" w:line="360" w:lineRule="auto"/>
        <w:ind w:firstLine="482" w:firstLineChars="200"/>
        <w:jc w:val="left"/>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注</w:t>
      </w:r>
      <w:r>
        <w:rPr>
          <w:rFonts w:hint="eastAsia" w:ascii="宋体" w:hAnsi="宋体" w:eastAsia="宋体" w:cs="宋体"/>
          <w:b w:val="0"/>
          <w:bCs/>
          <w:color w:val="auto"/>
          <w:sz w:val="24"/>
          <w:szCs w:val="24"/>
          <w:highlight w:val="none"/>
          <w:shd w:val="clear" w:color="auto" w:fill="auto"/>
          <w:lang w:val="en-US" w:eastAsia="zh-CN"/>
        </w:rPr>
        <w:t>：1、报价一经涂改，应在涂改处加盖单位公章或者由法定代表人签字或盖章，否则其投标作无效标处理。</w:t>
      </w:r>
    </w:p>
    <w:p w14:paraId="144C6355">
      <w:pPr>
        <w:snapToGrid w:val="0"/>
        <w:spacing w:before="50" w:after="120" w:afterLines="50" w:line="360" w:lineRule="auto"/>
        <w:ind w:firstLine="480" w:firstLineChars="200"/>
        <w:jc w:val="left"/>
        <w:rPr>
          <w:rFonts w:ascii="宋体" w:hAnsi="宋体"/>
          <w:b w:val="0"/>
          <w:bCs/>
          <w:color w:val="000000"/>
          <w:sz w:val="24"/>
          <w:szCs w:val="24"/>
          <w:highlight w:val="none"/>
        </w:rPr>
      </w:pPr>
      <w:r>
        <w:rPr>
          <w:rFonts w:hint="eastAsia" w:ascii="宋体" w:hAnsi="宋体" w:eastAsia="宋体" w:cs="宋体"/>
          <w:b w:val="0"/>
          <w:bCs/>
          <w:color w:val="auto"/>
          <w:sz w:val="24"/>
          <w:szCs w:val="24"/>
          <w:highlight w:val="none"/>
          <w:shd w:val="clear" w:color="auto" w:fill="auto"/>
          <w:lang w:val="en-US" w:eastAsia="zh-CN"/>
        </w:rPr>
        <w:t>2、</w:t>
      </w:r>
      <w:r>
        <w:rPr>
          <w:rFonts w:hint="eastAsia" w:ascii="宋体" w:hAnsi="宋体" w:cs="宋体"/>
          <w:b w:val="0"/>
          <w:bCs/>
          <w:color w:val="auto"/>
          <w:kern w:val="0"/>
          <w:sz w:val="24"/>
          <w:szCs w:val="24"/>
          <w:highlight w:val="none"/>
          <w:shd w:val="clear" w:color="auto" w:fill="auto"/>
          <w:lang w:val="en-US" w:eastAsia="zh-CN" w:bidi="ar-SA"/>
        </w:rPr>
        <w:t>投标总报价包括</w:t>
      </w:r>
      <w:r>
        <w:rPr>
          <w:rFonts w:hint="eastAsia" w:ascii="宋体" w:hAnsi="宋体" w:cs="宋体"/>
          <w:color w:val="auto"/>
          <w:sz w:val="24"/>
          <w:szCs w:val="24"/>
          <w:highlight w:val="none"/>
          <w:lang w:val="en-US" w:eastAsia="zh-CN"/>
        </w:rPr>
        <w:t>货款、标准附件、备品备件、专用工具、包装、运输、装卸、保险、货到就位以及安装、保修、企业管理费、利润、规费、税金等一切费用</w:t>
      </w:r>
      <w:r>
        <w:rPr>
          <w:rFonts w:hint="eastAsia" w:ascii="宋体" w:hAnsi="宋体" w:cs="宋体"/>
          <w:b w:val="0"/>
          <w:bCs/>
          <w:color w:val="auto"/>
          <w:kern w:val="0"/>
          <w:sz w:val="24"/>
          <w:szCs w:val="24"/>
          <w:highlight w:val="none"/>
          <w:shd w:val="clear" w:color="auto" w:fill="auto"/>
          <w:lang w:val="en-US" w:eastAsia="zh-CN" w:bidi="ar-SA"/>
        </w:rPr>
        <w:t>。</w:t>
      </w:r>
    </w:p>
    <w:p w14:paraId="32F4A6BB">
      <w:pPr>
        <w:pStyle w:val="31"/>
        <w:spacing w:before="120" w:after="120" w:line="240" w:lineRule="auto"/>
        <w:rPr>
          <w:rFonts w:hint="eastAsia" w:ascii="宋体" w:hAnsi="宋体" w:eastAsia="宋体" w:cs="宋体"/>
          <w:b/>
          <w:color w:val="auto"/>
          <w:highlight w:val="none"/>
          <w:shd w:val="clear" w:color="auto" w:fill="auto"/>
          <w:lang w:val="en-US" w:eastAsia="zh-CN"/>
        </w:rPr>
      </w:pPr>
    </w:p>
    <w:p w14:paraId="41FDDE2A">
      <w:pPr>
        <w:pStyle w:val="31"/>
        <w:numPr>
          <w:ilvl w:val="0"/>
          <w:numId w:val="0"/>
        </w:numPr>
        <w:snapToGrid w:val="0"/>
        <w:spacing w:before="120" w:beforeLines="0" w:after="120" w:afterLines="0" w:line="240" w:lineRule="auto"/>
        <w:rPr>
          <w:rFonts w:hint="eastAsia" w:ascii="宋体" w:hAnsi="宋体" w:eastAsia="宋体" w:cs="宋体"/>
          <w:b/>
          <w:color w:val="auto"/>
          <w:highlight w:val="none"/>
          <w:shd w:val="clear" w:color="auto" w:fill="auto"/>
        </w:rPr>
      </w:pPr>
    </w:p>
    <w:p w14:paraId="1FF20016">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1BA6A639">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7FCF4AAE">
      <w:pPr>
        <w:pStyle w:val="31"/>
        <w:snapToGrid w:val="0"/>
        <w:spacing w:beforeLines="0" w:afterLines="0" w:line="240" w:lineRule="auto"/>
        <w:rPr>
          <w:rFonts w:hint="eastAsia" w:ascii="宋体" w:hAnsi="宋体" w:eastAsia="宋体" w:cs="宋体"/>
          <w:b/>
          <w:color w:val="auto"/>
          <w:spacing w:val="20"/>
          <w:highlight w:val="none"/>
          <w:shd w:val="clear" w:color="auto" w:fill="auto"/>
        </w:rPr>
      </w:pPr>
      <w:r>
        <w:rPr>
          <w:rFonts w:hint="eastAsia" w:ascii="宋体" w:hAnsi="宋体" w:eastAsia="宋体" w:cs="宋体"/>
          <w:b/>
          <w:color w:val="auto"/>
          <w:spacing w:val="20"/>
          <w:highlight w:val="none"/>
          <w:shd w:val="clear" w:color="auto" w:fill="auto"/>
        </w:rPr>
        <w:t xml:space="preserve">法定代表人签字（或盖章）：            投标人（盖章）：  </w:t>
      </w:r>
    </w:p>
    <w:p w14:paraId="3555BB6D">
      <w:pPr>
        <w:pStyle w:val="31"/>
        <w:snapToGrid w:val="0"/>
        <w:spacing w:beforeLines="0" w:afterLines="0" w:line="240" w:lineRule="auto"/>
        <w:rPr>
          <w:rFonts w:hint="eastAsia" w:ascii="宋体" w:hAnsi="宋体" w:eastAsia="宋体" w:cs="宋体"/>
          <w:b/>
          <w:color w:val="auto"/>
          <w:highlight w:val="none"/>
          <w:shd w:val="clear" w:color="auto" w:fill="auto"/>
        </w:rPr>
      </w:pPr>
    </w:p>
    <w:p w14:paraId="4869B553">
      <w:pPr>
        <w:snapToGrid w:val="0"/>
        <w:spacing w:before="50" w:after="120" w:afterLines="50"/>
        <w:jc w:val="left"/>
        <w:rPr>
          <w:rFonts w:hint="eastAsia" w:ascii="宋体" w:hAnsi="宋体" w:eastAsia="宋体" w:cs="宋体"/>
          <w:b/>
          <w:color w:val="auto"/>
          <w:kern w:val="0"/>
          <w:sz w:val="24"/>
          <w:highlight w:val="none"/>
          <w:shd w:val="clear" w:color="auto" w:fill="auto"/>
        </w:rPr>
      </w:pPr>
    </w:p>
    <w:p w14:paraId="39B7A143">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24A328B7">
      <w:pPr>
        <w:pStyle w:val="31"/>
        <w:snapToGrid w:val="0"/>
        <w:spacing w:beforeLines="0" w:afterLines="0" w:line="240" w:lineRule="auto"/>
        <w:rPr>
          <w:rFonts w:hint="eastAsia" w:ascii="宋体" w:hAnsi="宋体" w:eastAsia="宋体" w:cs="宋体"/>
          <w:color w:val="auto"/>
          <w:highlight w:val="none"/>
          <w:shd w:val="clear" w:color="auto" w:fill="auto"/>
        </w:rPr>
      </w:pPr>
    </w:p>
    <w:p w14:paraId="2AD2C95A">
      <w:pPr>
        <w:pStyle w:val="31"/>
        <w:snapToGrid w:val="0"/>
        <w:spacing w:beforeLines="0" w:afterLines="0" w:line="240" w:lineRule="auto"/>
        <w:rPr>
          <w:rFonts w:hint="eastAsia" w:ascii="宋体" w:hAnsi="宋体" w:eastAsia="宋体" w:cs="宋体"/>
          <w:color w:val="auto"/>
          <w:highlight w:val="none"/>
          <w:shd w:val="clear" w:color="auto" w:fill="auto"/>
        </w:rPr>
      </w:pPr>
    </w:p>
    <w:p w14:paraId="0DF004BE">
      <w:pPr>
        <w:pStyle w:val="31"/>
        <w:snapToGrid w:val="0"/>
        <w:spacing w:beforeLines="0" w:afterLines="0" w:line="240" w:lineRule="auto"/>
        <w:rPr>
          <w:rFonts w:hint="eastAsia" w:ascii="宋体" w:hAnsi="宋体" w:eastAsia="宋体" w:cs="宋体"/>
          <w:color w:val="auto"/>
          <w:highlight w:val="none"/>
          <w:shd w:val="clear" w:color="auto" w:fill="auto"/>
        </w:rPr>
      </w:pPr>
    </w:p>
    <w:p w14:paraId="244FE401">
      <w:pP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highlight w:val="none"/>
          <w:shd w:val="clear" w:color="auto" w:fill="auto"/>
        </w:rPr>
        <w:br w:type="page"/>
      </w:r>
    </w:p>
    <w:p w14:paraId="3F94EDD1">
      <w:pPr>
        <w:pStyle w:val="31"/>
        <w:snapToGrid w:val="0"/>
        <w:spacing w:beforeLines="0" w:afterLines="0" w:line="240" w:lineRule="auto"/>
        <w:rPr>
          <w:rFonts w:hAnsi="宋体"/>
          <w:color w:val="000000"/>
          <w:highlight w:val="none"/>
        </w:rPr>
      </w:pPr>
      <w:r>
        <w:rPr>
          <w:rFonts w:hint="eastAsia" w:hAnsi="宋体"/>
          <w:color w:val="000000"/>
          <w:highlight w:val="none"/>
        </w:rPr>
        <w:t>1</w:t>
      </w:r>
      <w:r>
        <w:rPr>
          <w:rFonts w:hint="eastAsia" w:hAnsi="宋体"/>
          <w:color w:val="000000"/>
          <w:highlight w:val="none"/>
          <w:lang w:val="en-US" w:eastAsia="zh-CN"/>
        </w:rPr>
        <w:t>4</w:t>
      </w:r>
      <w:r>
        <w:rPr>
          <w:rFonts w:hint="eastAsia" w:hAnsi="宋体"/>
          <w:color w:val="000000"/>
          <w:highlight w:val="none"/>
        </w:rPr>
        <w:t xml:space="preserve">.报价明细表格式：       </w:t>
      </w:r>
    </w:p>
    <w:p w14:paraId="46C9F85A">
      <w:pPr>
        <w:pStyle w:val="31"/>
        <w:snapToGrid w:val="0"/>
        <w:spacing w:beforeLines="0" w:afterLines="0" w:line="240" w:lineRule="auto"/>
        <w:jc w:val="center"/>
        <w:rPr>
          <w:rFonts w:hAnsi="宋体"/>
          <w:b/>
          <w:color w:val="000000"/>
          <w:highlight w:val="none"/>
        </w:rPr>
      </w:pPr>
      <w:r>
        <w:rPr>
          <w:rFonts w:hint="eastAsia" w:hAnsi="宋体"/>
          <w:b/>
          <w:color w:val="000000"/>
          <w:highlight w:val="none"/>
        </w:rPr>
        <w:t>报价明细表</w:t>
      </w:r>
    </w:p>
    <w:p w14:paraId="18797152">
      <w:pPr>
        <w:snapToGrid w:val="0"/>
        <w:spacing w:before="120" w:beforeLines="50" w:after="50" w:line="360" w:lineRule="auto"/>
        <w:rPr>
          <w:rFonts w:ascii="宋体" w:hAnsi="宋体"/>
          <w:bCs/>
          <w:color w:val="000000"/>
          <w:sz w:val="24"/>
          <w:szCs w:val="20"/>
          <w:highlight w:val="none"/>
        </w:rPr>
      </w:pPr>
      <w:r>
        <w:rPr>
          <w:rFonts w:hint="eastAsia" w:ascii="宋体" w:hAnsi="宋体"/>
          <w:bCs/>
          <w:color w:val="000000"/>
          <w:sz w:val="24"/>
          <w:highlight w:val="none"/>
        </w:rPr>
        <w:t>项目名称：</w:t>
      </w:r>
    </w:p>
    <w:p w14:paraId="4C25C9F6">
      <w:pPr>
        <w:snapToGrid w:val="0"/>
        <w:spacing w:before="120" w:beforeLines="50" w:after="50" w:line="360" w:lineRule="auto"/>
        <w:rPr>
          <w:highlight w:val="none"/>
        </w:rPr>
      </w:pPr>
      <w:r>
        <w:rPr>
          <w:rFonts w:hint="eastAsia" w:ascii="宋体" w:hAnsi="宋体"/>
          <w:color w:val="000000"/>
          <w:sz w:val="24"/>
          <w:highlight w:val="none"/>
        </w:rPr>
        <w:t>项目编号：</w:t>
      </w:r>
    </w:p>
    <w:tbl>
      <w:tblPr>
        <w:tblStyle w:val="51"/>
        <w:tblpPr w:leftFromText="180" w:rightFromText="180" w:vertAnchor="text" w:horzAnchor="page" w:tblpX="615" w:tblpY="256"/>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1855"/>
        <w:gridCol w:w="2970"/>
        <w:gridCol w:w="987"/>
        <w:gridCol w:w="992"/>
        <w:gridCol w:w="993"/>
        <w:gridCol w:w="935"/>
      </w:tblGrid>
      <w:tr w14:paraId="56D2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6AB80D18">
            <w:pPr>
              <w:jc w:val="center"/>
              <w:rPr>
                <w:b/>
                <w:color w:val="auto"/>
                <w:sz w:val="24"/>
                <w:highlight w:val="none"/>
              </w:rPr>
            </w:pPr>
            <w:bookmarkStart w:id="72" w:name="_Hlk78207666"/>
            <w:r>
              <w:rPr>
                <w:rFonts w:hint="eastAsia"/>
                <w:b/>
                <w:color w:val="auto"/>
                <w:sz w:val="24"/>
                <w:highlight w:val="none"/>
              </w:rPr>
              <w:t>序号</w:t>
            </w:r>
          </w:p>
        </w:tc>
        <w:tc>
          <w:tcPr>
            <w:tcW w:w="1302" w:type="dxa"/>
            <w:noWrap w:val="0"/>
            <w:vAlign w:val="center"/>
          </w:tcPr>
          <w:p w14:paraId="3ADE4AA0">
            <w:pPr>
              <w:jc w:val="center"/>
              <w:rPr>
                <w:rFonts w:hint="eastAsia" w:eastAsia="宋体"/>
                <w:b/>
                <w:color w:val="auto"/>
                <w:sz w:val="24"/>
                <w:highlight w:val="none"/>
                <w:lang w:eastAsia="zh-CN"/>
              </w:rPr>
            </w:pPr>
            <w:r>
              <w:rPr>
                <w:rFonts w:hint="eastAsia" w:eastAsia="宋体"/>
                <w:b/>
                <w:color w:val="auto"/>
                <w:sz w:val="24"/>
                <w:highlight w:val="none"/>
                <w:lang w:eastAsia="zh-CN"/>
              </w:rPr>
              <w:t>名称</w:t>
            </w:r>
          </w:p>
        </w:tc>
        <w:tc>
          <w:tcPr>
            <w:tcW w:w="1855" w:type="dxa"/>
            <w:noWrap w:val="0"/>
            <w:vAlign w:val="center"/>
          </w:tcPr>
          <w:p w14:paraId="4020B132">
            <w:pPr>
              <w:jc w:val="center"/>
              <w:rPr>
                <w:rFonts w:hint="eastAsia" w:eastAsia="宋体"/>
                <w:b/>
                <w:color w:val="auto"/>
                <w:sz w:val="24"/>
                <w:highlight w:val="none"/>
                <w:lang w:val="en-US" w:eastAsia="zh-CN"/>
              </w:rPr>
            </w:pPr>
            <w:r>
              <w:rPr>
                <w:rFonts w:hint="eastAsia"/>
                <w:b/>
                <w:color w:val="auto"/>
                <w:sz w:val="24"/>
                <w:highlight w:val="none"/>
              </w:rPr>
              <w:t>品牌</w:t>
            </w:r>
            <w:r>
              <w:rPr>
                <w:rFonts w:hint="eastAsia"/>
                <w:b/>
                <w:color w:val="auto"/>
                <w:sz w:val="24"/>
                <w:highlight w:val="none"/>
                <w:lang w:val="en-US" w:eastAsia="zh-CN"/>
              </w:rPr>
              <w:t>/</w:t>
            </w:r>
          </w:p>
          <w:p w14:paraId="5DFD76F3">
            <w:pPr>
              <w:jc w:val="center"/>
              <w:rPr>
                <w:rFonts w:hint="default" w:eastAsia="宋体"/>
                <w:b/>
                <w:color w:val="auto"/>
                <w:sz w:val="24"/>
                <w:highlight w:val="none"/>
                <w:lang w:val="en-US" w:eastAsia="zh-CN"/>
              </w:rPr>
            </w:pPr>
            <w:r>
              <w:rPr>
                <w:rFonts w:hint="eastAsia"/>
                <w:b/>
                <w:color w:val="auto"/>
                <w:sz w:val="24"/>
                <w:highlight w:val="none"/>
              </w:rPr>
              <w:t>型号</w:t>
            </w:r>
          </w:p>
        </w:tc>
        <w:tc>
          <w:tcPr>
            <w:tcW w:w="2970" w:type="dxa"/>
            <w:noWrap w:val="0"/>
            <w:vAlign w:val="center"/>
          </w:tcPr>
          <w:p w14:paraId="21BB9D45">
            <w:pPr>
              <w:jc w:val="center"/>
              <w:rPr>
                <w:b/>
                <w:color w:val="auto"/>
                <w:sz w:val="24"/>
                <w:highlight w:val="none"/>
              </w:rPr>
            </w:pPr>
            <w:r>
              <w:rPr>
                <w:rFonts w:hint="eastAsia"/>
                <w:b/>
                <w:color w:val="auto"/>
                <w:sz w:val="24"/>
                <w:highlight w:val="none"/>
                <w:lang w:val="en-US" w:eastAsia="zh-CN"/>
              </w:rPr>
              <w:t>参数</w:t>
            </w:r>
          </w:p>
        </w:tc>
        <w:tc>
          <w:tcPr>
            <w:tcW w:w="987" w:type="dxa"/>
            <w:noWrap w:val="0"/>
            <w:vAlign w:val="center"/>
          </w:tcPr>
          <w:p w14:paraId="55DB989F">
            <w:pPr>
              <w:jc w:val="center"/>
              <w:rPr>
                <w:b/>
                <w:color w:val="auto"/>
                <w:sz w:val="24"/>
                <w:highlight w:val="none"/>
              </w:rPr>
            </w:pPr>
            <w:r>
              <w:rPr>
                <w:rFonts w:hint="eastAsia"/>
                <w:b/>
                <w:color w:val="auto"/>
                <w:sz w:val="24"/>
                <w:highlight w:val="none"/>
              </w:rPr>
              <w:t>单位</w:t>
            </w:r>
          </w:p>
        </w:tc>
        <w:tc>
          <w:tcPr>
            <w:tcW w:w="992" w:type="dxa"/>
            <w:noWrap w:val="0"/>
            <w:vAlign w:val="center"/>
          </w:tcPr>
          <w:p w14:paraId="330C6902">
            <w:pPr>
              <w:jc w:val="center"/>
              <w:rPr>
                <w:b/>
                <w:color w:val="auto"/>
                <w:sz w:val="24"/>
                <w:highlight w:val="none"/>
              </w:rPr>
            </w:pPr>
            <w:r>
              <w:rPr>
                <w:rFonts w:hint="eastAsia"/>
                <w:b/>
                <w:color w:val="auto"/>
                <w:sz w:val="24"/>
                <w:highlight w:val="none"/>
              </w:rPr>
              <w:t>数量</w:t>
            </w:r>
          </w:p>
        </w:tc>
        <w:tc>
          <w:tcPr>
            <w:tcW w:w="993" w:type="dxa"/>
            <w:noWrap w:val="0"/>
            <w:vAlign w:val="center"/>
          </w:tcPr>
          <w:p w14:paraId="49DD470C">
            <w:pPr>
              <w:jc w:val="center"/>
              <w:rPr>
                <w:rFonts w:hint="eastAsia" w:eastAsia="宋体"/>
                <w:b/>
                <w:color w:val="auto"/>
                <w:sz w:val="24"/>
                <w:highlight w:val="none"/>
                <w:lang w:eastAsia="zh-CN"/>
              </w:rPr>
            </w:pPr>
            <w:r>
              <w:rPr>
                <w:rFonts w:hint="eastAsia"/>
                <w:b/>
                <w:color w:val="auto"/>
                <w:sz w:val="24"/>
                <w:highlight w:val="none"/>
              </w:rPr>
              <w:t>单价</w:t>
            </w:r>
            <w:r>
              <w:rPr>
                <w:rFonts w:hint="eastAsia"/>
                <w:b/>
                <w:color w:val="auto"/>
                <w:sz w:val="24"/>
                <w:highlight w:val="none"/>
                <w:lang w:eastAsia="zh-CN"/>
              </w:rPr>
              <w:t>（元）</w:t>
            </w:r>
          </w:p>
        </w:tc>
        <w:tc>
          <w:tcPr>
            <w:tcW w:w="935" w:type="dxa"/>
            <w:noWrap w:val="0"/>
            <w:vAlign w:val="center"/>
          </w:tcPr>
          <w:p w14:paraId="59EC879D">
            <w:pPr>
              <w:jc w:val="center"/>
              <w:rPr>
                <w:rFonts w:hint="eastAsia" w:eastAsia="宋体"/>
                <w:b/>
                <w:color w:val="auto"/>
                <w:sz w:val="24"/>
                <w:highlight w:val="none"/>
                <w:lang w:eastAsia="zh-CN"/>
              </w:rPr>
            </w:pPr>
            <w:r>
              <w:rPr>
                <w:rFonts w:hint="eastAsia"/>
                <w:b/>
                <w:color w:val="auto"/>
                <w:sz w:val="24"/>
                <w:highlight w:val="none"/>
              </w:rPr>
              <w:t>总价</w:t>
            </w:r>
            <w:r>
              <w:rPr>
                <w:rFonts w:hint="eastAsia"/>
                <w:b/>
                <w:color w:val="auto"/>
                <w:sz w:val="24"/>
                <w:highlight w:val="none"/>
                <w:lang w:eastAsia="zh-CN"/>
              </w:rPr>
              <w:t>（元）</w:t>
            </w:r>
          </w:p>
        </w:tc>
      </w:tr>
      <w:tr w14:paraId="3AE6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203C796">
            <w:pPr>
              <w:spacing w:line="480" w:lineRule="auto"/>
              <w:jc w:val="center"/>
              <w:rPr>
                <w:rFonts w:ascii="宋体" w:hAnsi="宋体"/>
                <w:b/>
                <w:color w:val="auto"/>
                <w:sz w:val="24"/>
                <w:highlight w:val="none"/>
              </w:rPr>
            </w:pPr>
          </w:p>
        </w:tc>
        <w:tc>
          <w:tcPr>
            <w:tcW w:w="1302" w:type="dxa"/>
            <w:noWrap w:val="0"/>
            <w:vAlign w:val="top"/>
          </w:tcPr>
          <w:p w14:paraId="6C4FE75D">
            <w:pPr>
              <w:spacing w:line="480" w:lineRule="auto"/>
              <w:jc w:val="center"/>
              <w:rPr>
                <w:rFonts w:ascii="宋体" w:hAnsi="宋体"/>
                <w:color w:val="auto"/>
                <w:sz w:val="24"/>
                <w:highlight w:val="none"/>
              </w:rPr>
            </w:pPr>
          </w:p>
        </w:tc>
        <w:tc>
          <w:tcPr>
            <w:tcW w:w="1855" w:type="dxa"/>
            <w:noWrap w:val="0"/>
            <w:vAlign w:val="center"/>
          </w:tcPr>
          <w:p w14:paraId="4AF83611">
            <w:pPr>
              <w:spacing w:line="480" w:lineRule="auto"/>
              <w:jc w:val="center"/>
              <w:rPr>
                <w:rFonts w:ascii="宋体" w:hAnsi="宋体"/>
                <w:b/>
                <w:color w:val="auto"/>
                <w:sz w:val="24"/>
                <w:highlight w:val="none"/>
              </w:rPr>
            </w:pPr>
          </w:p>
        </w:tc>
        <w:tc>
          <w:tcPr>
            <w:tcW w:w="2970" w:type="dxa"/>
            <w:noWrap w:val="0"/>
            <w:vAlign w:val="center"/>
          </w:tcPr>
          <w:p w14:paraId="08DD59BE">
            <w:pPr>
              <w:spacing w:line="480" w:lineRule="auto"/>
              <w:jc w:val="center"/>
              <w:rPr>
                <w:rFonts w:ascii="宋体" w:hAnsi="宋体"/>
                <w:b/>
                <w:color w:val="auto"/>
                <w:sz w:val="24"/>
                <w:highlight w:val="none"/>
              </w:rPr>
            </w:pPr>
          </w:p>
        </w:tc>
        <w:tc>
          <w:tcPr>
            <w:tcW w:w="987" w:type="dxa"/>
            <w:noWrap w:val="0"/>
            <w:vAlign w:val="center"/>
          </w:tcPr>
          <w:p w14:paraId="7F596CF7">
            <w:pPr>
              <w:spacing w:line="480" w:lineRule="auto"/>
              <w:jc w:val="center"/>
              <w:rPr>
                <w:rFonts w:ascii="宋体" w:hAnsi="宋体"/>
                <w:b/>
                <w:color w:val="auto"/>
                <w:sz w:val="24"/>
                <w:highlight w:val="none"/>
              </w:rPr>
            </w:pPr>
          </w:p>
        </w:tc>
        <w:tc>
          <w:tcPr>
            <w:tcW w:w="992" w:type="dxa"/>
            <w:noWrap w:val="0"/>
            <w:vAlign w:val="center"/>
          </w:tcPr>
          <w:p w14:paraId="6388CD13">
            <w:pPr>
              <w:spacing w:line="480" w:lineRule="auto"/>
              <w:jc w:val="center"/>
              <w:rPr>
                <w:rFonts w:ascii="宋体" w:hAnsi="宋体"/>
                <w:b/>
                <w:color w:val="auto"/>
                <w:sz w:val="24"/>
                <w:highlight w:val="none"/>
              </w:rPr>
            </w:pPr>
          </w:p>
        </w:tc>
        <w:tc>
          <w:tcPr>
            <w:tcW w:w="993" w:type="dxa"/>
            <w:noWrap w:val="0"/>
            <w:vAlign w:val="center"/>
          </w:tcPr>
          <w:p w14:paraId="2C1DA37C">
            <w:pPr>
              <w:spacing w:line="480" w:lineRule="auto"/>
              <w:jc w:val="center"/>
              <w:rPr>
                <w:rFonts w:ascii="宋体" w:hAnsi="宋体"/>
                <w:b/>
                <w:color w:val="auto"/>
                <w:sz w:val="24"/>
                <w:highlight w:val="none"/>
              </w:rPr>
            </w:pPr>
          </w:p>
        </w:tc>
        <w:tc>
          <w:tcPr>
            <w:tcW w:w="935" w:type="dxa"/>
            <w:noWrap w:val="0"/>
            <w:vAlign w:val="center"/>
          </w:tcPr>
          <w:p w14:paraId="550A2D6A">
            <w:pPr>
              <w:spacing w:line="480" w:lineRule="auto"/>
              <w:jc w:val="center"/>
              <w:rPr>
                <w:rFonts w:ascii="宋体" w:hAnsi="宋体"/>
                <w:b/>
                <w:color w:val="auto"/>
                <w:sz w:val="24"/>
                <w:highlight w:val="none"/>
              </w:rPr>
            </w:pPr>
          </w:p>
        </w:tc>
      </w:tr>
      <w:tr w14:paraId="12C0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0BD1244">
            <w:pPr>
              <w:spacing w:line="480" w:lineRule="auto"/>
              <w:jc w:val="center"/>
              <w:rPr>
                <w:rFonts w:ascii="宋体" w:hAnsi="宋体"/>
                <w:b/>
                <w:color w:val="auto"/>
                <w:sz w:val="24"/>
                <w:highlight w:val="none"/>
              </w:rPr>
            </w:pPr>
          </w:p>
        </w:tc>
        <w:tc>
          <w:tcPr>
            <w:tcW w:w="1302" w:type="dxa"/>
            <w:noWrap w:val="0"/>
            <w:vAlign w:val="top"/>
          </w:tcPr>
          <w:p w14:paraId="162960EC">
            <w:pPr>
              <w:spacing w:line="480" w:lineRule="auto"/>
              <w:jc w:val="center"/>
              <w:rPr>
                <w:rFonts w:ascii="宋体" w:hAnsi="宋体"/>
                <w:color w:val="auto"/>
                <w:sz w:val="24"/>
                <w:highlight w:val="none"/>
              </w:rPr>
            </w:pPr>
          </w:p>
        </w:tc>
        <w:tc>
          <w:tcPr>
            <w:tcW w:w="1855" w:type="dxa"/>
            <w:noWrap w:val="0"/>
            <w:vAlign w:val="center"/>
          </w:tcPr>
          <w:p w14:paraId="5F687270">
            <w:pPr>
              <w:spacing w:line="480" w:lineRule="auto"/>
              <w:jc w:val="center"/>
              <w:rPr>
                <w:rFonts w:ascii="宋体" w:hAnsi="宋体"/>
                <w:b/>
                <w:color w:val="auto"/>
                <w:sz w:val="24"/>
                <w:highlight w:val="none"/>
              </w:rPr>
            </w:pPr>
          </w:p>
        </w:tc>
        <w:tc>
          <w:tcPr>
            <w:tcW w:w="2970" w:type="dxa"/>
            <w:noWrap w:val="0"/>
            <w:vAlign w:val="center"/>
          </w:tcPr>
          <w:p w14:paraId="34043AD2">
            <w:pPr>
              <w:spacing w:line="480" w:lineRule="auto"/>
              <w:jc w:val="center"/>
              <w:rPr>
                <w:rFonts w:ascii="宋体" w:hAnsi="宋体"/>
                <w:b/>
                <w:color w:val="auto"/>
                <w:sz w:val="24"/>
                <w:highlight w:val="none"/>
              </w:rPr>
            </w:pPr>
          </w:p>
        </w:tc>
        <w:tc>
          <w:tcPr>
            <w:tcW w:w="987" w:type="dxa"/>
            <w:noWrap w:val="0"/>
            <w:vAlign w:val="top"/>
          </w:tcPr>
          <w:p w14:paraId="0CC7075B">
            <w:pPr>
              <w:spacing w:line="480" w:lineRule="auto"/>
              <w:jc w:val="center"/>
              <w:rPr>
                <w:rFonts w:ascii="宋体" w:hAnsi="宋体"/>
                <w:color w:val="auto"/>
                <w:highlight w:val="none"/>
              </w:rPr>
            </w:pPr>
          </w:p>
        </w:tc>
        <w:tc>
          <w:tcPr>
            <w:tcW w:w="992" w:type="dxa"/>
            <w:noWrap w:val="0"/>
            <w:vAlign w:val="center"/>
          </w:tcPr>
          <w:p w14:paraId="3F2937A9">
            <w:pPr>
              <w:spacing w:line="480" w:lineRule="auto"/>
              <w:jc w:val="center"/>
              <w:rPr>
                <w:rFonts w:ascii="宋体" w:hAnsi="宋体"/>
                <w:b/>
                <w:color w:val="auto"/>
                <w:sz w:val="24"/>
                <w:highlight w:val="none"/>
              </w:rPr>
            </w:pPr>
          </w:p>
        </w:tc>
        <w:tc>
          <w:tcPr>
            <w:tcW w:w="993" w:type="dxa"/>
            <w:noWrap w:val="0"/>
            <w:vAlign w:val="center"/>
          </w:tcPr>
          <w:p w14:paraId="22233B39">
            <w:pPr>
              <w:spacing w:line="480" w:lineRule="auto"/>
              <w:jc w:val="center"/>
              <w:rPr>
                <w:rFonts w:ascii="宋体" w:hAnsi="宋体"/>
                <w:b/>
                <w:color w:val="auto"/>
                <w:sz w:val="24"/>
                <w:highlight w:val="none"/>
              </w:rPr>
            </w:pPr>
          </w:p>
        </w:tc>
        <w:tc>
          <w:tcPr>
            <w:tcW w:w="935" w:type="dxa"/>
            <w:noWrap w:val="0"/>
            <w:vAlign w:val="center"/>
          </w:tcPr>
          <w:p w14:paraId="23126009">
            <w:pPr>
              <w:spacing w:line="480" w:lineRule="auto"/>
              <w:jc w:val="center"/>
              <w:rPr>
                <w:rFonts w:ascii="宋体" w:hAnsi="宋体"/>
                <w:b/>
                <w:color w:val="auto"/>
                <w:sz w:val="24"/>
                <w:highlight w:val="none"/>
              </w:rPr>
            </w:pPr>
          </w:p>
        </w:tc>
      </w:tr>
      <w:tr w14:paraId="0F9A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2710055A">
            <w:pPr>
              <w:spacing w:line="480" w:lineRule="auto"/>
              <w:jc w:val="center"/>
              <w:rPr>
                <w:rFonts w:ascii="宋体" w:hAnsi="宋体"/>
                <w:b/>
                <w:color w:val="auto"/>
                <w:sz w:val="24"/>
                <w:highlight w:val="none"/>
              </w:rPr>
            </w:pPr>
          </w:p>
        </w:tc>
        <w:tc>
          <w:tcPr>
            <w:tcW w:w="1302" w:type="dxa"/>
            <w:noWrap w:val="0"/>
            <w:vAlign w:val="top"/>
          </w:tcPr>
          <w:p w14:paraId="63DA4B18">
            <w:pPr>
              <w:spacing w:line="480" w:lineRule="auto"/>
              <w:jc w:val="center"/>
              <w:rPr>
                <w:rFonts w:ascii="宋体" w:hAnsi="宋体"/>
                <w:color w:val="auto"/>
                <w:sz w:val="24"/>
                <w:highlight w:val="none"/>
              </w:rPr>
            </w:pPr>
          </w:p>
        </w:tc>
        <w:tc>
          <w:tcPr>
            <w:tcW w:w="1855" w:type="dxa"/>
            <w:noWrap w:val="0"/>
            <w:vAlign w:val="center"/>
          </w:tcPr>
          <w:p w14:paraId="506C2007">
            <w:pPr>
              <w:spacing w:line="480" w:lineRule="auto"/>
              <w:jc w:val="center"/>
              <w:rPr>
                <w:rFonts w:ascii="宋体" w:hAnsi="宋体"/>
                <w:b/>
                <w:color w:val="auto"/>
                <w:sz w:val="24"/>
                <w:highlight w:val="none"/>
              </w:rPr>
            </w:pPr>
          </w:p>
        </w:tc>
        <w:tc>
          <w:tcPr>
            <w:tcW w:w="2970" w:type="dxa"/>
            <w:noWrap w:val="0"/>
            <w:vAlign w:val="center"/>
          </w:tcPr>
          <w:p w14:paraId="05034BA0">
            <w:pPr>
              <w:spacing w:line="480" w:lineRule="auto"/>
              <w:jc w:val="center"/>
              <w:rPr>
                <w:rFonts w:ascii="宋体" w:hAnsi="宋体"/>
                <w:b/>
                <w:color w:val="auto"/>
                <w:sz w:val="24"/>
                <w:highlight w:val="none"/>
              </w:rPr>
            </w:pPr>
          </w:p>
        </w:tc>
        <w:tc>
          <w:tcPr>
            <w:tcW w:w="987" w:type="dxa"/>
            <w:noWrap w:val="0"/>
            <w:vAlign w:val="top"/>
          </w:tcPr>
          <w:p w14:paraId="556B83BC">
            <w:pPr>
              <w:spacing w:line="480" w:lineRule="auto"/>
              <w:jc w:val="center"/>
              <w:rPr>
                <w:rFonts w:ascii="宋体" w:hAnsi="宋体"/>
                <w:color w:val="auto"/>
                <w:highlight w:val="none"/>
              </w:rPr>
            </w:pPr>
          </w:p>
        </w:tc>
        <w:tc>
          <w:tcPr>
            <w:tcW w:w="992" w:type="dxa"/>
            <w:noWrap w:val="0"/>
            <w:vAlign w:val="center"/>
          </w:tcPr>
          <w:p w14:paraId="521E30BB">
            <w:pPr>
              <w:spacing w:line="480" w:lineRule="auto"/>
              <w:jc w:val="center"/>
              <w:rPr>
                <w:rFonts w:ascii="宋体" w:hAnsi="宋体"/>
                <w:b/>
                <w:color w:val="auto"/>
                <w:sz w:val="24"/>
                <w:highlight w:val="none"/>
              </w:rPr>
            </w:pPr>
          </w:p>
        </w:tc>
        <w:tc>
          <w:tcPr>
            <w:tcW w:w="993" w:type="dxa"/>
            <w:noWrap w:val="0"/>
            <w:vAlign w:val="center"/>
          </w:tcPr>
          <w:p w14:paraId="10F0283A">
            <w:pPr>
              <w:spacing w:line="480" w:lineRule="auto"/>
              <w:jc w:val="center"/>
              <w:rPr>
                <w:rFonts w:ascii="宋体" w:hAnsi="宋体"/>
                <w:b/>
                <w:color w:val="auto"/>
                <w:sz w:val="24"/>
                <w:highlight w:val="none"/>
              </w:rPr>
            </w:pPr>
          </w:p>
        </w:tc>
        <w:tc>
          <w:tcPr>
            <w:tcW w:w="935" w:type="dxa"/>
            <w:noWrap w:val="0"/>
            <w:vAlign w:val="center"/>
          </w:tcPr>
          <w:p w14:paraId="476F4AE9">
            <w:pPr>
              <w:spacing w:line="480" w:lineRule="auto"/>
              <w:jc w:val="center"/>
              <w:rPr>
                <w:rFonts w:ascii="宋体" w:hAnsi="宋体"/>
                <w:b/>
                <w:color w:val="auto"/>
                <w:sz w:val="24"/>
                <w:highlight w:val="none"/>
              </w:rPr>
            </w:pPr>
          </w:p>
        </w:tc>
      </w:tr>
      <w:tr w14:paraId="036B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63B39AA5">
            <w:pPr>
              <w:spacing w:line="480" w:lineRule="auto"/>
              <w:jc w:val="center"/>
              <w:rPr>
                <w:rFonts w:ascii="宋体" w:hAnsi="宋体"/>
                <w:b/>
                <w:color w:val="auto"/>
                <w:sz w:val="24"/>
                <w:highlight w:val="none"/>
              </w:rPr>
            </w:pPr>
          </w:p>
        </w:tc>
        <w:tc>
          <w:tcPr>
            <w:tcW w:w="1302" w:type="dxa"/>
            <w:noWrap w:val="0"/>
            <w:vAlign w:val="top"/>
          </w:tcPr>
          <w:p w14:paraId="3115B0EE">
            <w:pPr>
              <w:spacing w:line="480" w:lineRule="auto"/>
              <w:jc w:val="center"/>
              <w:rPr>
                <w:rFonts w:ascii="宋体" w:hAnsi="宋体"/>
                <w:color w:val="auto"/>
                <w:sz w:val="24"/>
                <w:highlight w:val="none"/>
              </w:rPr>
            </w:pPr>
          </w:p>
        </w:tc>
        <w:tc>
          <w:tcPr>
            <w:tcW w:w="1855" w:type="dxa"/>
            <w:noWrap w:val="0"/>
            <w:vAlign w:val="center"/>
          </w:tcPr>
          <w:p w14:paraId="5C647D0C">
            <w:pPr>
              <w:spacing w:line="480" w:lineRule="auto"/>
              <w:jc w:val="center"/>
              <w:rPr>
                <w:rFonts w:ascii="宋体" w:hAnsi="宋体"/>
                <w:b/>
                <w:color w:val="auto"/>
                <w:sz w:val="24"/>
                <w:highlight w:val="none"/>
              </w:rPr>
            </w:pPr>
          </w:p>
        </w:tc>
        <w:tc>
          <w:tcPr>
            <w:tcW w:w="2970" w:type="dxa"/>
            <w:noWrap w:val="0"/>
            <w:vAlign w:val="center"/>
          </w:tcPr>
          <w:p w14:paraId="0D82A350">
            <w:pPr>
              <w:spacing w:line="480" w:lineRule="auto"/>
              <w:jc w:val="center"/>
              <w:rPr>
                <w:rFonts w:ascii="宋体" w:hAnsi="宋体"/>
                <w:b/>
                <w:color w:val="auto"/>
                <w:sz w:val="24"/>
                <w:highlight w:val="none"/>
              </w:rPr>
            </w:pPr>
          </w:p>
        </w:tc>
        <w:tc>
          <w:tcPr>
            <w:tcW w:w="987" w:type="dxa"/>
            <w:noWrap w:val="0"/>
            <w:vAlign w:val="top"/>
          </w:tcPr>
          <w:p w14:paraId="39762592">
            <w:pPr>
              <w:spacing w:line="480" w:lineRule="auto"/>
              <w:jc w:val="center"/>
              <w:rPr>
                <w:rFonts w:ascii="宋体" w:hAnsi="宋体"/>
                <w:color w:val="auto"/>
                <w:highlight w:val="none"/>
              </w:rPr>
            </w:pPr>
          </w:p>
        </w:tc>
        <w:tc>
          <w:tcPr>
            <w:tcW w:w="992" w:type="dxa"/>
            <w:noWrap w:val="0"/>
            <w:vAlign w:val="center"/>
          </w:tcPr>
          <w:p w14:paraId="3D71D0D4">
            <w:pPr>
              <w:spacing w:line="480" w:lineRule="auto"/>
              <w:jc w:val="center"/>
              <w:rPr>
                <w:rFonts w:ascii="宋体" w:hAnsi="宋体"/>
                <w:b/>
                <w:color w:val="auto"/>
                <w:sz w:val="24"/>
                <w:highlight w:val="none"/>
              </w:rPr>
            </w:pPr>
          </w:p>
        </w:tc>
        <w:tc>
          <w:tcPr>
            <w:tcW w:w="993" w:type="dxa"/>
            <w:noWrap w:val="0"/>
            <w:vAlign w:val="center"/>
          </w:tcPr>
          <w:p w14:paraId="03AAC26F">
            <w:pPr>
              <w:spacing w:line="480" w:lineRule="auto"/>
              <w:jc w:val="center"/>
              <w:rPr>
                <w:rFonts w:ascii="宋体" w:hAnsi="宋体"/>
                <w:b/>
                <w:color w:val="auto"/>
                <w:sz w:val="24"/>
                <w:highlight w:val="none"/>
              </w:rPr>
            </w:pPr>
          </w:p>
        </w:tc>
        <w:tc>
          <w:tcPr>
            <w:tcW w:w="935" w:type="dxa"/>
            <w:noWrap w:val="0"/>
            <w:vAlign w:val="center"/>
          </w:tcPr>
          <w:p w14:paraId="5EEABFE7">
            <w:pPr>
              <w:spacing w:line="480" w:lineRule="auto"/>
              <w:jc w:val="center"/>
              <w:rPr>
                <w:rFonts w:ascii="宋体" w:hAnsi="宋体"/>
                <w:b/>
                <w:color w:val="auto"/>
                <w:sz w:val="24"/>
                <w:highlight w:val="none"/>
              </w:rPr>
            </w:pPr>
          </w:p>
        </w:tc>
      </w:tr>
      <w:tr w14:paraId="592B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689261D">
            <w:pPr>
              <w:spacing w:line="480" w:lineRule="auto"/>
              <w:jc w:val="center"/>
              <w:rPr>
                <w:rFonts w:ascii="宋体" w:hAnsi="宋体"/>
                <w:b/>
                <w:color w:val="auto"/>
                <w:sz w:val="24"/>
                <w:highlight w:val="none"/>
              </w:rPr>
            </w:pPr>
          </w:p>
        </w:tc>
        <w:tc>
          <w:tcPr>
            <w:tcW w:w="1302" w:type="dxa"/>
            <w:noWrap w:val="0"/>
            <w:vAlign w:val="top"/>
          </w:tcPr>
          <w:p w14:paraId="42624F4B">
            <w:pPr>
              <w:spacing w:line="480" w:lineRule="auto"/>
              <w:jc w:val="center"/>
              <w:rPr>
                <w:rFonts w:ascii="宋体" w:hAnsi="宋体"/>
                <w:color w:val="auto"/>
                <w:sz w:val="24"/>
                <w:highlight w:val="none"/>
              </w:rPr>
            </w:pPr>
          </w:p>
        </w:tc>
        <w:tc>
          <w:tcPr>
            <w:tcW w:w="1855" w:type="dxa"/>
            <w:noWrap w:val="0"/>
            <w:vAlign w:val="center"/>
          </w:tcPr>
          <w:p w14:paraId="56979B57">
            <w:pPr>
              <w:spacing w:line="480" w:lineRule="auto"/>
              <w:jc w:val="center"/>
              <w:rPr>
                <w:rFonts w:ascii="宋体" w:hAnsi="宋体"/>
                <w:b/>
                <w:color w:val="auto"/>
                <w:sz w:val="24"/>
                <w:highlight w:val="none"/>
              </w:rPr>
            </w:pPr>
          </w:p>
        </w:tc>
        <w:tc>
          <w:tcPr>
            <w:tcW w:w="2970" w:type="dxa"/>
            <w:noWrap w:val="0"/>
            <w:vAlign w:val="center"/>
          </w:tcPr>
          <w:p w14:paraId="0D282F6A">
            <w:pPr>
              <w:spacing w:line="480" w:lineRule="auto"/>
              <w:jc w:val="center"/>
              <w:rPr>
                <w:rFonts w:ascii="宋体" w:hAnsi="宋体"/>
                <w:b/>
                <w:color w:val="auto"/>
                <w:sz w:val="24"/>
                <w:highlight w:val="none"/>
              </w:rPr>
            </w:pPr>
          </w:p>
        </w:tc>
        <w:tc>
          <w:tcPr>
            <w:tcW w:w="987" w:type="dxa"/>
            <w:noWrap w:val="0"/>
            <w:vAlign w:val="top"/>
          </w:tcPr>
          <w:p w14:paraId="4D498D72">
            <w:pPr>
              <w:spacing w:line="480" w:lineRule="auto"/>
              <w:jc w:val="center"/>
              <w:rPr>
                <w:rFonts w:ascii="宋体" w:hAnsi="宋体"/>
                <w:color w:val="auto"/>
                <w:highlight w:val="none"/>
              </w:rPr>
            </w:pPr>
          </w:p>
        </w:tc>
        <w:tc>
          <w:tcPr>
            <w:tcW w:w="992" w:type="dxa"/>
            <w:noWrap w:val="0"/>
            <w:vAlign w:val="center"/>
          </w:tcPr>
          <w:p w14:paraId="5D1B25AC">
            <w:pPr>
              <w:spacing w:line="480" w:lineRule="auto"/>
              <w:jc w:val="center"/>
              <w:rPr>
                <w:rFonts w:ascii="宋体" w:hAnsi="宋体"/>
                <w:b/>
                <w:color w:val="auto"/>
                <w:sz w:val="24"/>
                <w:highlight w:val="none"/>
              </w:rPr>
            </w:pPr>
          </w:p>
        </w:tc>
        <w:tc>
          <w:tcPr>
            <w:tcW w:w="993" w:type="dxa"/>
            <w:noWrap w:val="0"/>
            <w:vAlign w:val="center"/>
          </w:tcPr>
          <w:p w14:paraId="44C8E553">
            <w:pPr>
              <w:spacing w:line="480" w:lineRule="auto"/>
              <w:jc w:val="center"/>
              <w:rPr>
                <w:rFonts w:ascii="宋体" w:hAnsi="宋体"/>
                <w:b/>
                <w:color w:val="auto"/>
                <w:sz w:val="24"/>
                <w:highlight w:val="none"/>
              </w:rPr>
            </w:pPr>
          </w:p>
        </w:tc>
        <w:tc>
          <w:tcPr>
            <w:tcW w:w="935" w:type="dxa"/>
            <w:noWrap w:val="0"/>
            <w:vAlign w:val="center"/>
          </w:tcPr>
          <w:p w14:paraId="6615784C">
            <w:pPr>
              <w:spacing w:line="480" w:lineRule="auto"/>
              <w:jc w:val="center"/>
              <w:rPr>
                <w:rFonts w:ascii="宋体" w:hAnsi="宋体"/>
                <w:b/>
                <w:color w:val="auto"/>
                <w:sz w:val="24"/>
                <w:highlight w:val="none"/>
              </w:rPr>
            </w:pPr>
          </w:p>
        </w:tc>
      </w:tr>
      <w:tr w14:paraId="009A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4F2715A">
            <w:pPr>
              <w:spacing w:line="480" w:lineRule="auto"/>
              <w:jc w:val="center"/>
              <w:rPr>
                <w:rFonts w:ascii="宋体" w:hAnsi="宋体"/>
                <w:b/>
                <w:color w:val="auto"/>
                <w:sz w:val="24"/>
                <w:highlight w:val="none"/>
              </w:rPr>
            </w:pPr>
          </w:p>
        </w:tc>
        <w:tc>
          <w:tcPr>
            <w:tcW w:w="1302" w:type="dxa"/>
            <w:noWrap w:val="0"/>
            <w:vAlign w:val="top"/>
          </w:tcPr>
          <w:p w14:paraId="7D38D35D">
            <w:pPr>
              <w:spacing w:line="480" w:lineRule="auto"/>
              <w:jc w:val="center"/>
              <w:rPr>
                <w:rFonts w:ascii="宋体" w:hAnsi="宋体"/>
                <w:color w:val="auto"/>
                <w:sz w:val="24"/>
                <w:highlight w:val="none"/>
              </w:rPr>
            </w:pPr>
          </w:p>
        </w:tc>
        <w:tc>
          <w:tcPr>
            <w:tcW w:w="1855" w:type="dxa"/>
            <w:noWrap w:val="0"/>
            <w:vAlign w:val="center"/>
          </w:tcPr>
          <w:p w14:paraId="2BB4AC65">
            <w:pPr>
              <w:spacing w:line="480" w:lineRule="auto"/>
              <w:jc w:val="center"/>
              <w:rPr>
                <w:rFonts w:ascii="宋体" w:hAnsi="宋体"/>
                <w:b/>
                <w:color w:val="auto"/>
                <w:sz w:val="24"/>
                <w:highlight w:val="none"/>
              </w:rPr>
            </w:pPr>
          </w:p>
        </w:tc>
        <w:tc>
          <w:tcPr>
            <w:tcW w:w="2970" w:type="dxa"/>
            <w:noWrap w:val="0"/>
            <w:vAlign w:val="center"/>
          </w:tcPr>
          <w:p w14:paraId="63D48D3B">
            <w:pPr>
              <w:spacing w:line="480" w:lineRule="auto"/>
              <w:jc w:val="center"/>
              <w:rPr>
                <w:rFonts w:ascii="宋体" w:hAnsi="宋体"/>
                <w:b/>
                <w:color w:val="auto"/>
                <w:sz w:val="24"/>
                <w:highlight w:val="none"/>
              </w:rPr>
            </w:pPr>
          </w:p>
        </w:tc>
        <w:tc>
          <w:tcPr>
            <w:tcW w:w="987" w:type="dxa"/>
            <w:noWrap w:val="0"/>
            <w:vAlign w:val="top"/>
          </w:tcPr>
          <w:p w14:paraId="17D94E0A">
            <w:pPr>
              <w:spacing w:line="480" w:lineRule="auto"/>
              <w:jc w:val="center"/>
              <w:rPr>
                <w:rFonts w:ascii="宋体" w:hAnsi="宋体"/>
                <w:color w:val="auto"/>
                <w:highlight w:val="none"/>
              </w:rPr>
            </w:pPr>
          </w:p>
        </w:tc>
        <w:tc>
          <w:tcPr>
            <w:tcW w:w="992" w:type="dxa"/>
            <w:noWrap w:val="0"/>
            <w:vAlign w:val="center"/>
          </w:tcPr>
          <w:p w14:paraId="7F2F8268">
            <w:pPr>
              <w:spacing w:line="480" w:lineRule="auto"/>
              <w:jc w:val="center"/>
              <w:rPr>
                <w:rFonts w:ascii="宋体" w:hAnsi="宋体"/>
                <w:b/>
                <w:color w:val="auto"/>
                <w:sz w:val="24"/>
                <w:highlight w:val="none"/>
              </w:rPr>
            </w:pPr>
          </w:p>
        </w:tc>
        <w:tc>
          <w:tcPr>
            <w:tcW w:w="993" w:type="dxa"/>
            <w:noWrap w:val="0"/>
            <w:vAlign w:val="center"/>
          </w:tcPr>
          <w:p w14:paraId="178F9162">
            <w:pPr>
              <w:spacing w:line="480" w:lineRule="auto"/>
              <w:jc w:val="center"/>
              <w:rPr>
                <w:rFonts w:ascii="宋体" w:hAnsi="宋体"/>
                <w:b/>
                <w:color w:val="auto"/>
                <w:sz w:val="24"/>
                <w:highlight w:val="none"/>
              </w:rPr>
            </w:pPr>
          </w:p>
        </w:tc>
        <w:tc>
          <w:tcPr>
            <w:tcW w:w="935" w:type="dxa"/>
            <w:noWrap w:val="0"/>
            <w:vAlign w:val="center"/>
          </w:tcPr>
          <w:p w14:paraId="15C45098">
            <w:pPr>
              <w:spacing w:line="480" w:lineRule="auto"/>
              <w:jc w:val="center"/>
              <w:rPr>
                <w:rFonts w:ascii="宋体" w:hAnsi="宋体"/>
                <w:b/>
                <w:color w:val="auto"/>
                <w:sz w:val="24"/>
                <w:highlight w:val="none"/>
              </w:rPr>
            </w:pPr>
          </w:p>
        </w:tc>
      </w:tr>
      <w:tr w14:paraId="4D998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19E6879">
            <w:pPr>
              <w:spacing w:line="480" w:lineRule="auto"/>
              <w:jc w:val="center"/>
              <w:rPr>
                <w:rFonts w:ascii="宋体" w:hAnsi="宋体"/>
                <w:b/>
                <w:color w:val="auto"/>
                <w:sz w:val="24"/>
                <w:highlight w:val="none"/>
              </w:rPr>
            </w:pPr>
          </w:p>
        </w:tc>
        <w:tc>
          <w:tcPr>
            <w:tcW w:w="1302" w:type="dxa"/>
            <w:noWrap w:val="0"/>
            <w:vAlign w:val="top"/>
          </w:tcPr>
          <w:p w14:paraId="384E96C8">
            <w:pPr>
              <w:spacing w:line="480" w:lineRule="auto"/>
              <w:jc w:val="center"/>
              <w:rPr>
                <w:rFonts w:ascii="宋体" w:hAnsi="宋体"/>
                <w:color w:val="auto"/>
                <w:sz w:val="24"/>
                <w:highlight w:val="none"/>
              </w:rPr>
            </w:pPr>
          </w:p>
        </w:tc>
        <w:tc>
          <w:tcPr>
            <w:tcW w:w="1855" w:type="dxa"/>
            <w:noWrap w:val="0"/>
            <w:vAlign w:val="center"/>
          </w:tcPr>
          <w:p w14:paraId="5423B2DA">
            <w:pPr>
              <w:spacing w:line="480" w:lineRule="auto"/>
              <w:jc w:val="center"/>
              <w:rPr>
                <w:rFonts w:ascii="宋体" w:hAnsi="宋体"/>
                <w:b/>
                <w:color w:val="auto"/>
                <w:sz w:val="24"/>
                <w:highlight w:val="none"/>
              </w:rPr>
            </w:pPr>
          </w:p>
        </w:tc>
        <w:tc>
          <w:tcPr>
            <w:tcW w:w="2970" w:type="dxa"/>
            <w:noWrap w:val="0"/>
            <w:vAlign w:val="center"/>
          </w:tcPr>
          <w:p w14:paraId="0179664E">
            <w:pPr>
              <w:spacing w:line="480" w:lineRule="auto"/>
              <w:jc w:val="center"/>
              <w:rPr>
                <w:rFonts w:ascii="宋体" w:hAnsi="宋体"/>
                <w:b/>
                <w:color w:val="auto"/>
                <w:sz w:val="24"/>
                <w:highlight w:val="none"/>
              </w:rPr>
            </w:pPr>
          </w:p>
        </w:tc>
        <w:tc>
          <w:tcPr>
            <w:tcW w:w="987" w:type="dxa"/>
            <w:noWrap w:val="0"/>
            <w:vAlign w:val="top"/>
          </w:tcPr>
          <w:p w14:paraId="2EE10A61">
            <w:pPr>
              <w:spacing w:line="480" w:lineRule="auto"/>
              <w:jc w:val="center"/>
              <w:rPr>
                <w:rFonts w:ascii="宋体" w:hAnsi="宋体"/>
                <w:color w:val="auto"/>
                <w:highlight w:val="none"/>
              </w:rPr>
            </w:pPr>
          </w:p>
        </w:tc>
        <w:tc>
          <w:tcPr>
            <w:tcW w:w="992" w:type="dxa"/>
            <w:noWrap w:val="0"/>
            <w:vAlign w:val="center"/>
          </w:tcPr>
          <w:p w14:paraId="0555F5BA">
            <w:pPr>
              <w:spacing w:line="480" w:lineRule="auto"/>
              <w:jc w:val="center"/>
              <w:rPr>
                <w:rFonts w:ascii="宋体" w:hAnsi="宋体"/>
                <w:b/>
                <w:color w:val="auto"/>
                <w:sz w:val="24"/>
                <w:highlight w:val="none"/>
              </w:rPr>
            </w:pPr>
          </w:p>
        </w:tc>
        <w:tc>
          <w:tcPr>
            <w:tcW w:w="993" w:type="dxa"/>
            <w:noWrap w:val="0"/>
            <w:vAlign w:val="center"/>
          </w:tcPr>
          <w:p w14:paraId="5F0D4AD6">
            <w:pPr>
              <w:spacing w:line="480" w:lineRule="auto"/>
              <w:jc w:val="center"/>
              <w:rPr>
                <w:rFonts w:ascii="宋体" w:hAnsi="宋体"/>
                <w:b/>
                <w:color w:val="auto"/>
                <w:sz w:val="24"/>
                <w:highlight w:val="none"/>
              </w:rPr>
            </w:pPr>
          </w:p>
        </w:tc>
        <w:tc>
          <w:tcPr>
            <w:tcW w:w="935" w:type="dxa"/>
            <w:noWrap w:val="0"/>
            <w:vAlign w:val="center"/>
          </w:tcPr>
          <w:p w14:paraId="609AEE3D">
            <w:pPr>
              <w:spacing w:line="480" w:lineRule="auto"/>
              <w:jc w:val="center"/>
              <w:rPr>
                <w:rFonts w:ascii="宋体" w:hAnsi="宋体"/>
                <w:b/>
                <w:color w:val="auto"/>
                <w:sz w:val="24"/>
                <w:highlight w:val="none"/>
              </w:rPr>
            </w:pPr>
          </w:p>
        </w:tc>
      </w:tr>
      <w:tr w14:paraId="5F67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D313C1">
            <w:pPr>
              <w:spacing w:line="480" w:lineRule="auto"/>
              <w:jc w:val="center"/>
              <w:rPr>
                <w:rFonts w:ascii="宋体" w:hAnsi="宋体"/>
                <w:b/>
                <w:color w:val="auto"/>
                <w:sz w:val="24"/>
                <w:highlight w:val="none"/>
              </w:rPr>
            </w:pPr>
          </w:p>
        </w:tc>
        <w:tc>
          <w:tcPr>
            <w:tcW w:w="1302" w:type="dxa"/>
            <w:noWrap w:val="0"/>
            <w:vAlign w:val="top"/>
          </w:tcPr>
          <w:p w14:paraId="4174F317">
            <w:pPr>
              <w:spacing w:line="480" w:lineRule="auto"/>
              <w:jc w:val="center"/>
              <w:rPr>
                <w:rFonts w:ascii="宋体" w:hAnsi="宋体"/>
                <w:color w:val="auto"/>
                <w:sz w:val="24"/>
                <w:highlight w:val="none"/>
              </w:rPr>
            </w:pPr>
          </w:p>
        </w:tc>
        <w:tc>
          <w:tcPr>
            <w:tcW w:w="1855" w:type="dxa"/>
            <w:noWrap w:val="0"/>
            <w:vAlign w:val="center"/>
          </w:tcPr>
          <w:p w14:paraId="08B06836">
            <w:pPr>
              <w:spacing w:line="480" w:lineRule="auto"/>
              <w:jc w:val="center"/>
              <w:rPr>
                <w:rFonts w:ascii="宋体" w:hAnsi="宋体"/>
                <w:b/>
                <w:color w:val="auto"/>
                <w:sz w:val="24"/>
                <w:highlight w:val="none"/>
              </w:rPr>
            </w:pPr>
          </w:p>
        </w:tc>
        <w:tc>
          <w:tcPr>
            <w:tcW w:w="2970" w:type="dxa"/>
            <w:noWrap w:val="0"/>
            <w:vAlign w:val="center"/>
          </w:tcPr>
          <w:p w14:paraId="79743E42">
            <w:pPr>
              <w:spacing w:line="480" w:lineRule="auto"/>
              <w:jc w:val="center"/>
              <w:rPr>
                <w:rFonts w:ascii="宋体" w:hAnsi="宋体"/>
                <w:b/>
                <w:color w:val="auto"/>
                <w:sz w:val="24"/>
                <w:highlight w:val="none"/>
              </w:rPr>
            </w:pPr>
          </w:p>
        </w:tc>
        <w:tc>
          <w:tcPr>
            <w:tcW w:w="987" w:type="dxa"/>
            <w:noWrap w:val="0"/>
            <w:vAlign w:val="top"/>
          </w:tcPr>
          <w:p w14:paraId="2572FED5">
            <w:pPr>
              <w:spacing w:line="480" w:lineRule="auto"/>
              <w:jc w:val="center"/>
              <w:rPr>
                <w:rFonts w:ascii="宋体" w:hAnsi="宋体"/>
                <w:color w:val="auto"/>
                <w:highlight w:val="none"/>
              </w:rPr>
            </w:pPr>
          </w:p>
        </w:tc>
        <w:tc>
          <w:tcPr>
            <w:tcW w:w="992" w:type="dxa"/>
            <w:noWrap w:val="0"/>
            <w:vAlign w:val="center"/>
          </w:tcPr>
          <w:p w14:paraId="4FAB6111">
            <w:pPr>
              <w:spacing w:line="480" w:lineRule="auto"/>
              <w:jc w:val="center"/>
              <w:rPr>
                <w:rFonts w:ascii="宋体" w:hAnsi="宋体"/>
                <w:b/>
                <w:color w:val="auto"/>
                <w:sz w:val="24"/>
                <w:highlight w:val="none"/>
              </w:rPr>
            </w:pPr>
          </w:p>
        </w:tc>
        <w:tc>
          <w:tcPr>
            <w:tcW w:w="993" w:type="dxa"/>
            <w:noWrap w:val="0"/>
            <w:vAlign w:val="center"/>
          </w:tcPr>
          <w:p w14:paraId="3B99BB38">
            <w:pPr>
              <w:spacing w:line="480" w:lineRule="auto"/>
              <w:jc w:val="center"/>
              <w:rPr>
                <w:rFonts w:ascii="宋体" w:hAnsi="宋体"/>
                <w:b/>
                <w:color w:val="auto"/>
                <w:sz w:val="24"/>
                <w:highlight w:val="none"/>
              </w:rPr>
            </w:pPr>
          </w:p>
        </w:tc>
        <w:tc>
          <w:tcPr>
            <w:tcW w:w="935" w:type="dxa"/>
            <w:noWrap w:val="0"/>
            <w:vAlign w:val="center"/>
          </w:tcPr>
          <w:p w14:paraId="63E04E94">
            <w:pPr>
              <w:spacing w:line="480" w:lineRule="auto"/>
              <w:jc w:val="center"/>
              <w:rPr>
                <w:rFonts w:ascii="宋体" w:hAnsi="宋体"/>
                <w:b/>
                <w:color w:val="auto"/>
                <w:sz w:val="24"/>
                <w:highlight w:val="none"/>
              </w:rPr>
            </w:pPr>
          </w:p>
        </w:tc>
      </w:tr>
      <w:tr w14:paraId="0BD8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1C7ABC63">
            <w:pPr>
              <w:spacing w:line="480" w:lineRule="auto"/>
              <w:jc w:val="center"/>
              <w:rPr>
                <w:rFonts w:ascii="宋体" w:hAnsi="宋体"/>
                <w:b/>
                <w:color w:val="auto"/>
                <w:sz w:val="24"/>
                <w:highlight w:val="none"/>
              </w:rPr>
            </w:pPr>
          </w:p>
        </w:tc>
        <w:tc>
          <w:tcPr>
            <w:tcW w:w="1302" w:type="dxa"/>
            <w:noWrap w:val="0"/>
            <w:vAlign w:val="top"/>
          </w:tcPr>
          <w:p w14:paraId="4AD1AE5E">
            <w:pPr>
              <w:spacing w:line="480" w:lineRule="auto"/>
              <w:jc w:val="center"/>
              <w:rPr>
                <w:rFonts w:ascii="宋体" w:hAnsi="宋体"/>
                <w:color w:val="auto"/>
                <w:sz w:val="24"/>
                <w:highlight w:val="none"/>
              </w:rPr>
            </w:pPr>
          </w:p>
        </w:tc>
        <w:tc>
          <w:tcPr>
            <w:tcW w:w="1855" w:type="dxa"/>
            <w:noWrap w:val="0"/>
            <w:vAlign w:val="center"/>
          </w:tcPr>
          <w:p w14:paraId="7D3F162D">
            <w:pPr>
              <w:spacing w:line="480" w:lineRule="auto"/>
              <w:jc w:val="center"/>
              <w:rPr>
                <w:rFonts w:ascii="宋体" w:hAnsi="宋体"/>
                <w:b/>
                <w:color w:val="auto"/>
                <w:sz w:val="24"/>
                <w:highlight w:val="none"/>
              </w:rPr>
            </w:pPr>
          </w:p>
        </w:tc>
        <w:tc>
          <w:tcPr>
            <w:tcW w:w="2970" w:type="dxa"/>
            <w:noWrap w:val="0"/>
            <w:vAlign w:val="center"/>
          </w:tcPr>
          <w:p w14:paraId="0BDE1F8F">
            <w:pPr>
              <w:spacing w:line="480" w:lineRule="auto"/>
              <w:jc w:val="center"/>
              <w:rPr>
                <w:rFonts w:ascii="宋体" w:hAnsi="宋体"/>
                <w:b/>
                <w:color w:val="auto"/>
                <w:sz w:val="24"/>
                <w:highlight w:val="none"/>
              </w:rPr>
            </w:pPr>
          </w:p>
        </w:tc>
        <w:tc>
          <w:tcPr>
            <w:tcW w:w="987" w:type="dxa"/>
            <w:noWrap w:val="0"/>
            <w:vAlign w:val="top"/>
          </w:tcPr>
          <w:p w14:paraId="116ECD30">
            <w:pPr>
              <w:spacing w:line="480" w:lineRule="auto"/>
              <w:jc w:val="center"/>
              <w:rPr>
                <w:rFonts w:ascii="宋体" w:hAnsi="宋体"/>
                <w:color w:val="auto"/>
                <w:highlight w:val="none"/>
              </w:rPr>
            </w:pPr>
          </w:p>
        </w:tc>
        <w:tc>
          <w:tcPr>
            <w:tcW w:w="992" w:type="dxa"/>
            <w:noWrap w:val="0"/>
            <w:vAlign w:val="center"/>
          </w:tcPr>
          <w:p w14:paraId="06859821">
            <w:pPr>
              <w:spacing w:line="480" w:lineRule="auto"/>
              <w:jc w:val="center"/>
              <w:rPr>
                <w:rFonts w:ascii="宋体" w:hAnsi="宋体"/>
                <w:b/>
                <w:color w:val="auto"/>
                <w:sz w:val="24"/>
                <w:highlight w:val="none"/>
              </w:rPr>
            </w:pPr>
          </w:p>
        </w:tc>
        <w:tc>
          <w:tcPr>
            <w:tcW w:w="993" w:type="dxa"/>
            <w:noWrap w:val="0"/>
            <w:vAlign w:val="center"/>
          </w:tcPr>
          <w:p w14:paraId="3E2E08A9">
            <w:pPr>
              <w:spacing w:line="480" w:lineRule="auto"/>
              <w:jc w:val="center"/>
              <w:rPr>
                <w:rFonts w:ascii="宋体" w:hAnsi="宋体"/>
                <w:b/>
                <w:color w:val="auto"/>
                <w:sz w:val="24"/>
                <w:highlight w:val="none"/>
              </w:rPr>
            </w:pPr>
          </w:p>
        </w:tc>
        <w:tc>
          <w:tcPr>
            <w:tcW w:w="935" w:type="dxa"/>
            <w:noWrap w:val="0"/>
            <w:vAlign w:val="center"/>
          </w:tcPr>
          <w:p w14:paraId="525AEE8A">
            <w:pPr>
              <w:spacing w:line="480" w:lineRule="auto"/>
              <w:jc w:val="center"/>
              <w:rPr>
                <w:rFonts w:ascii="宋体" w:hAnsi="宋体"/>
                <w:b/>
                <w:color w:val="auto"/>
                <w:sz w:val="24"/>
                <w:highlight w:val="none"/>
              </w:rPr>
            </w:pPr>
          </w:p>
        </w:tc>
      </w:tr>
      <w:tr w14:paraId="7789C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6400A292">
            <w:pPr>
              <w:spacing w:line="480" w:lineRule="auto"/>
              <w:jc w:val="center"/>
              <w:rPr>
                <w:rFonts w:hint="eastAsia" w:ascii="宋体" w:hAnsi="宋体" w:eastAsia="宋体"/>
                <w:b/>
                <w:color w:val="auto"/>
                <w:sz w:val="24"/>
                <w:highlight w:val="none"/>
                <w:lang w:val="en-US" w:eastAsia="zh-CN"/>
              </w:rPr>
            </w:pPr>
            <w:r>
              <w:rPr>
                <w:rFonts w:hint="eastAsia" w:ascii="宋体" w:hAnsi="宋体"/>
                <w:b/>
                <w:color w:val="auto"/>
                <w:sz w:val="24"/>
                <w:highlight w:val="none"/>
                <w:lang w:val="en-US" w:eastAsia="zh-CN"/>
              </w:rPr>
              <w:t>合计</w:t>
            </w:r>
          </w:p>
        </w:tc>
        <w:tc>
          <w:tcPr>
            <w:tcW w:w="935" w:type="dxa"/>
            <w:noWrap w:val="0"/>
            <w:vAlign w:val="center"/>
          </w:tcPr>
          <w:p w14:paraId="3BC2D96F">
            <w:pPr>
              <w:spacing w:line="480" w:lineRule="auto"/>
              <w:jc w:val="center"/>
              <w:rPr>
                <w:rFonts w:ascii="宋体" w:hAnsi="宋体"/>
                <w:b/>
                <w:color w:val="auto"/>
                <w:sz w:val="24"/>
                <w:highlight w:val="none"/>
              </w:rPr>
            </w:pPr>
          </w:p>
        </w:tc>
      </w:tr>
      <w:tr w14:paraId="36EBC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0862" w:type="dxa"/>
            <w:gridSpan w:val="8"/>
            <w:noWrap w:val="0"/>
            <w:vAlign w:val="top"/>
          </w:tcPr>
          <w:p w14:paraId="584FDC51">
            <w:pPr>
              <w:spacing w:line="480" w:lineRule="auto"/>
              <w:jc w:val="left"/>
              <w:rPr>
                <w:rFonts w:hint="eastAsia" w:ascii="宋体" w:hAnsi="宋体"/>
                <w:b/>
                <w:color w:val="auto"/>
                <w:sz w:val="28"/>
                <w:szCs w:val="28"/>
                <w:highlight w:val="none"/>
              </w:rPr>
            </w:pPr>
            <w:r>
              <w:rPr>
                <w:rFonts w:hint="eastAsia" w:ascii="宋体" w:hAnsi="宋体"/>
                <w:b/>
                <w:color w:val="auto"/>
                <w:sz w:val="24"/>
                <w:highlight w:val="none"/>
              </w:rPr>
              <w:t xml:space="preserve">合计人民币：大写                             </w:t>
            </w:r>
            <w:r>
              <w:rPr>
                <w:rFonts w:ascii="宋体" w:hAnsi="宋体"/>
                <w:b/>
                <w:color w:val="auto"/>
                <w:sz w:val="24"/>
                <w:highlight w:val="none"/>
              </w:rPr>
              <w:t xml:space="preserve">              </w:t>
            </w:r>
            <w:r>
              <w:rPr>
                <w:rFonts w:hint="eastAsia" w:ascii="宋体" w:hAnsi="宋体"/>
                <w:b/>
                <w:color w:val="auto"/>
                <w:sz w:val="24"/>
                <w:highlight w:val="none"/>
              </w:rPr>
              <w:t xml:space="preserve">  小写</w:t>
            </w:r>
          </w:p>
        </w:tc>
      </w:tr>
    </w:tbl>
    <w:p w14:paraId="7F1B8119">
      <w:pPr>
        <w:snapToGrid w:val="0"/>
        <w:spacing w:before="50" w:after="50" w:line="420" w:lineRule="exact"/>
        <w:jc w:val="left"/>
        <w:rPr>
          <w:rFonts w:ascii="宋体" w:hAnsi="宋体"/>
          <w:b/>
          <w:bCs/>
          <w:sz w:val="24"/>
          <w:highlight w:val="none"/>
        </w:rPr>
      </w:pPr>
      <w:r>
        <w:rPr>
          <w:rFonts w:hint="eastAsia" w:ascii="宋体" w:hAnsi="宋体"/>
          <w:b/>
          <w:bCs/>
          <w:sz w:val="24"/>
          <w:highlight w:val="none"/>
        </w:rPr>
        <w:t>说明：</w:t>
      </w:r>
    </w:p>
    <w:p w14:paraId="0EFE081A">
      <w:pPr>
        <w:snapToGrid w:val="0"/>
        <w:spacing w:before="50" w:after="120" w:afterLines="50" w:line="360" w:lineRule="auto"/>
        <w:jc w:val="left"/>
        <w:rPr>
          <w:rFonts w:ascii="宋体" w:hAnsi="宋体"/>
          <w:b/>
          <w:sz w:val="24"/>
          <w:highlight w:val="none"/>
        </w:rPr>
      </w:pPr>
      <w:r>
        <w:rPr>
          <w:rFonts w:hint="eastAsia" w:ascii="宋体" w:hAnsi="宋体"/>
          <w:b/>
          <w:sz w:val="24"/>
          <w:highlight w:val="none"/>
          <w:lang w:val="en-US" w:eastAsia="zh-CN"/>
        </w:rPr>
        <w:t>1</w:t>
      </w:r>
      <w:r>
        <w:rPr>
          <w:rFonts w:hint="eastAsia" w:ascii="宋体" w:hAnsi="宋体"/>
          <w:b/>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6CE468B9">
      <w:pPr>
        <w:snapToGrid w:val="0"/>
        <w:spacing w:before="50" w:after="50" w:line="420" w:lineRule="exact"/>
        <w:jc w:val="left"/>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bookmarkEnd w:id="72"/>
    </w:p>
    <w:p w14:paraId="1058DBEA">
      <w:pPr>
        <w:snapToGrid w:val="0"/>
        <w:spacing w:before="50" w:after="50" w:line="420" w:lineRule="exact"/>
        <w:jc w:val="left"/>
        <w:rPr>
          <w:rFonts w:hint="eastAsia" w:ascii="宋体" w:hAnsi="宋体"/>
          <w:sz w:val="24"/>
          <w:highlight w:val="none"/>
        </w:rPr>
      </w:pPr>
    </w:p>
    <w:p w14:paraId="15E7AC5C">
      <w:pPr>
        <w:snapToGrid w:val="0"/>
        <w:spacing w:before="50" w:after="120" w:afterLines="50" w:line="360" w:lineRule="auto"/>
        <w:jc w:val="left"/>
        <w:rPr>
          <w:rFonts w:hAnsi="宋体"/>
          <w:b/>
          <w:spacing w:val="20"/>
          <w:highlight w:val="none"/>
        </w:rPr>
      </w:pPr>
      <w:r>
        <w:rPr>
          <w:rFonts w:hint="eastAsia" w:ascii="宋体" w:hAnsi="宋体"/>
          <w:b/>
          <w:spacing w:val="20"/>
          <w:sz w:val="24"/>
          <w:highlight w:val="none"/>
        </w:rPr>
        <w:t>法定代表人签字（或盖章）：            投标人（盖章）：</w:t>
      </w:r>
      <w:r>
        <w:rPr>
          <w:rFonts w:hint="eastAsia" w:hAnsi="宋体"/>
          <w:b/>
          <w:spacing w:val="20"/>
          <w:highlight w:val="none"/>
        </w:rPr>
        <w:t xml:space="preserve">  </w:t>
      </w:r>
    </w:p>
    <w:p w14:paraId="7B3B242A">
      <w:pPr>
        <w:snapToGrid w:val="0"/>
        <w:spacing w:line="360" w:lineRule="auto"/>
        <w:rPr>
          <w:rFonts w:hint="eastAsia" w:hAnsi="宋体"/>
          <w:b/>
          <w:spacing w:val="20"/>
          <w:highlight w:val="none"/>
        </w:rPr>
      </w:pPr>
      <w:r>
        <w:rPr>
          <w:rFonts w:hint="eastAsia" w:hAnsi="宋体"/>
          <w:b/>
          <w:spacing w:val="20"/>
          <w:highlight w:val="none"/>
        </w:rPr>
        <w:t>日期：  _____年___月___日</w:t>
      </w:r>
    </w:p>
    <w:p w14:paraId="148815CB">
      <w:pPr>
        <w:snapToGrid w:val="0"/>
        <w:spacing w:line="360" w:lineRule="auto"/>
        <w:rPr>
          <w:rFonts w:hint="eastAsia" w:hAnsi="宋体"/>
          <w:b/>
          <w:spacing w:val="20"/>
          <w:highlight w:val="none"/>
        </w:rPr>
      </w:pPr>
    </w:p>
    <w:p w14:paraId="5ACE06B5">
      <w:pPr>
        <w:snapToGrid w:val="0"/>
        <w:spacing w:line="360" w:lineRule="auto"/>
        <w:rPr>
          <w:rFonts w:hint="eastAsia" w:hAnsi="宋体"/>
          <w:b/>
          <w:spacing w:val="20"/>
          <w:highlight w:val="none"/>
        </w:rPr>
      </w:pPr>
    </w:p>
    <w:sectPr>
      <w:headerReference r:id="rId11" w:type="default"/>
      <w:footerReference r:id="rId12" w:type="default"/>
      <w:footerReference r:id="rId13" w:type="even"/>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502050306020203"/>
    <w:charset w:val="00"/>
    <w:family w:val="roman"/>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A270D">
    <w:pPr>
      <w:pStyle w:val="36"/>
      <w:framePr w:wrap="around" w:vAnchor="text" w:hAnchor="margin" w:xAlign="right" w:y="1"/>
      <w:rPr>
        <w:rStyle w:val="55"/>
      </w:rPr>
    </w:pPr>
    <w:r>
      <w:fldChar w:fldCharType="begin"/>
    </w:r>
    <w:r>
      <w:rPr>
        <w:rStyle w:val="55"/>
      </w:rPr>
      <w:instrText xml:space="preserve">PAGE  </w:instrText>
    </w:r>
    <w:r>
      <w:fldChar w:fldCharType="end"/>
    </w:r>
  </w:p>
  <w:p w14:paraId="3EF38355">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EC81B">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57A4D">
    <w:pPr>
      <w:pStyle w:val="36"/>
      <w:framePr w:wrap="around" w:vAnchor="text" w:hAnchor="margin" w:xAlign="right" w:y="1"/>
      <w:rPr>
        <w:rStyle w:val="55"/>
      </w:rPr>
    </w:pPr>
    <w:r>
      <w:fldChar w:fldCharType="begin"/>
    </w:r>
    <w:r>
      <w:rPr>
        <w:rStyle w:val="55"/>
      </w:rPr>
      <w:instrText xml:space="preserve">PAGE  </w:instrText>
    </w:r>
    <w:r>
      <w:fldChar w:fldCharType="end"/>
    </w:r>
  </w:p>
  <w:p w14:paraId="0FB8F030">
    <w:pPr>
      <w:pStyle w:val="3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CFD4C">
    <w:pPr>
      <w:pStyle w:val="36"/>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22AA5">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C522AA5">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4A487">
    <w:pPr>
      <w:pStyle w:val="36"/>
      <w:ind w:right="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98FC4D">
                          <w:pPr>
                            <w:pStyle w:val="36"/>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B98FC4D">
                    <w:pPr>
                      <w:pStyle w:val="36"/>
                    </w:pPr>
                    <w:r>
                      <w:fldChar w:fldCharType="begin"/>
                    </w:r>
                    <w:r>
                      <w:instrText xml:space="preserve"> PAGE  \* MERGEFORMAT </w:instrText>
                    </w:r>
                    <w:r>
                      <w:fldChar w:fldCharType="separate"/>
                    </w:r>
                    <w:r>
                      <w:t>8</w:t>
                    </w:r>
                    <w:r>
                      <w:fldChar w:fldCharType="end"/>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BC7A8">
                          <w:pPr>
                            <w:pStyle w:val="36"/>
                            <w:rPr>
                              <w:rFonts w:hint="default" w:eastAsia="黑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4FCBC7A8">
                    <w:pPr>
                      <w:pStyle w:val="36"/>
                      <w:rPr>
                        <w:rFonts w:hint="default" w:eastAsia="黑体"/>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195B6">
    <w:pPr>
      <w:pStyle w:val="36"/>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C1664F">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9C1664F">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958FC">
    <w:pPr>
      <w:pStyle w:val="36"/>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29359A">
                          <w:pPr>
                            <w:pStyle w:val="36"/>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F29359A">
                    <w:pPr>
                      <w:pStyle w:val="3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A3710">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0DA60E83">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296E6">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2CE5A">
    <w:pPr>
      <w:pStyle w:val="3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0FD4F">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53A54088"/>
    <w:multiLevelType w:val="singleLevel"/>
    <w:tmpl w:val="53A54088"/>
    <w:lvl w:ilvl="0" w:tentative="0">
      <w:start w:val="2"/>
      <w:numFmt w:val="chineseCounting"/>
      <w:suff w:val="space"/>
      <w:lvlText w:val="第%1章"/>
      <w:lvlJc w:val="left"/>
      <w:rPr>
        <w:rFonts w:hint="eastAsia"/>
      </w:rPr>
    </w:lvl>
  </w:abstractNum>
  <w:abstractNum w:abstractNumId="5">
    <w:nsid w:val="67CEDC74"/>
    <w:multiLevelType w:val="singleLevel"/>
    <w:tmpl w:val="67CEDC74"/>
    <w:lvl w:ilvl="0" w:tentative="0">
      <w:start w:val="1"/>
      <w:numFmt w:val="decimal"/>
      <w:suff w:val="nothing"/>
      <w:lvlText w:val="（%1）"/>
      <w:lvlJc w:val="left"/>
    </w:lvl>
  </w:abstractNum>
  <w:num w:numId="1">
    <w:abstractNumId w:val="2"/>
  </w:num>
  <w:num w:numId="2">
    <w:abstractNumId w:val="0"/>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8A6"/>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3D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0FF"/>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324A"/>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67DB"/>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076B2"/>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47F0"/>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5FB4"/>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4BB"/>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5C2"/>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EDB"/>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191B"/>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5FA"/>
    <w:rsid w:val="01237EC1"/>
    <w:rsid w:val="016519C1"/>
    <w:rsid w:val="016F45ED"/>
    <w:rsid w:val="017241E3"/>
    <w:rsid w:val="01800ECB"/>
    <w:rsid w:val="018E1BB8"/>
    <w:rsid w:val="01A819DB"/>
    <w:rsid w:val="01AA7D1B"/>
    <w:rsid w:val="01C05C5E"/>
    <w:rsid w:val="02073223"/>
    <w:rsid w:val="02126CD3"/>
    <w:rsid w:val="02315D47"/>
    <w:rsid w:val="023870D5"/>
    <w:rsid w:val="02866093"/>
    <w:rsid w:val="02B30772"/>
    <w:rsid w:val="02CB1CF7"/>
    <w:rsid w:val="030F42DA"/>
    <w:rsid w:val="03385557"/>
    <w:rsid w:val="036D7252"/>
    <w:rsid w:val="037203C5"/>
    <w:rsid w:val="037E4140"/>
    <w:rsid w:val="03B54ED7"/>
    <w:rsid w:val="03FF6272"/>
    <w:rsid w:val="04485493"/>
    <w:rsid w:val="044B1426"/>
    <w:rsid w:val="04945061"/>
    <w:rsid w:val="04F25C61"/>
    <w:rsid w:val="0502531B"/>
    <w:rsid w:val="05216546"/>
    <w:rsid w:val="05663F59"/>
    <w:rsid w:val="059A2B00"/>
    <w:rsid w:val="05A94843"/>
    <w:rsid w:val="05AD7DDA"/>
    <w:rsid w:val="05B13C4F"/>
    <w:rsid w:val="05F132AE"/>
    <w:rsid w:val="05F9301F"/>
    <w:rsid w:val="062067FE"/>
    <w:rsid w:val="06255BC2"/>
    <w:rsid w:val="06272969"/>
    <w:rsid w:val="064B46BF"/>
    <w:rsid w:val="064F10F9"/>
    <w:rsid w:val="066E57BB"/>
    <w:rsid w:val="067B6C86"/>
    <w:rsid w:val="068D3C82"/>
    <w:rsid w:val="06A77237"/>
    <w:rsid w:val="06CD24E2"/>
    <w:rsid w:val="06EE2458"/>
    <w:rsid w:val="073A11C5"/>
    <w:rsid w:val="0797489E"/>
    <w:rsid w:val="07C531B9"/>
    <w:rsid w:val="07FE2B6F"/>
    <w:rsid w:val="080C66E1"/>
    <w:rsid w:val="08163A15"/>
    <w:rsid w:val="08191757"/>
    <w:rsid w:val="082F7CCF"/>
    <w:rsid w:val="08387E2F"/>
    <w:rsid w:val="0842480A"/>
    <w:rsid w:val="08790C9E"/>
    <w:rsid w:val="08B615EF"/>
    <w:rsid w:val="09041F23"/>
    <w:rsid w:val="092E35A5"/>
    <w:rsid w:val="09622C8A"/>
    <w:rsid w:val="09763680"/>
    <w:rsid w:val="098B4C3B"/>
    <w:rsid w:val="099537FB"/>
    <w:rsid w:val="099F33D7"/>
    <w:rsid w:val="09F558AC"/>
    <w:rsid w:val="09F65818"/>
    <w:rsid w:val="0A2E3227"/>
    <w:rsid w:val="0A7710A1"/>
    <w:rsid w:val="0A9A6B7F"/>
    <w:rsid w:val="0AA84C49"/>
    <w:rsid w:val="0AB36104"/>
    <w:rsid w:val="0AC43BFC"/>
    <w:rsid w:val="0AF92FFD"/>
    <w:rsid w:val="0B043FF8"/>
    <w:rsid w:val="0B1219E8"/>
    <w:rsid w:val="0B2802C8"/>
    <w:rsid w:val="0B73122A"/>
    <w:rsid w:val="0B835865"/>
    <w:rsid w:val="0B8E5FB8"/>
    <w:rsid w:val="0B95542D"/>
    <w:rsid w:val="0BE80A73"/>
    <w:rsid w:val="0BF16C73"/>
    <w:rsid w:val="0C095733"/>
    <w:rsid w:val="0C2C32DA"/>
    <w:rsid w:val="0C2C7CAB"/>
    <w:rsid w:val="0C3E178C"/>
    <w:rsid w:val="0C4B0AF2"/>
    <w:rsid w:val="0C4E2658"/>
    <w:rsid w:val="0C5D7592"/>
    <w:rsid w:val="0C952E87"/>
    <w:rsid w:val="0CA25771"/>
    <w:rsid w:val="0CD46A37"/>
    <w:rsid w:val="0CEF0CD8"/>
    <w:rsid w:val="0CF568E1"/>
    <w:rsid w:val="0CFE2CC9"/>
    <w:rsid w:val="0D336CD2"/>
    <w:rsid w:val="0D4D49BB"/>
    <w:rsid w:val="0D936928"/>
    <w:rsid w:val="0D975D53"/>
    <w:rsid w:val="0DAD574B"/>
    <w:rsid w:val="0DD32753"/>
    <w:rsid w:val="0E1327A4"/>
    <w:rsid w:val="0E1A26DA"/>
    <w:rsid w:val="0E67321C"/>
    <w:rsid w:val="0E9953A0"/>
    <w:rsid w:val="0EAB3CCD"/>
    <w:rsid w:val="0ECF018D"/>
    <w:rsid w:val="0F074001"/>
    <w:rsid w:val="0F6B0BDE"/>
    <w:rsid w:val="0F6E7512"/>
    <w:rsid w:val="0FA508BD"/>
    <w:rsid w:val="0FA748AE"/>
    <w:rsid w:val="0FB155D7"/>
    <w:rsid w:val="100A0A85"/>
    <w:rsid w:val="101E5B5C"/>
    <w:rsid w:val="10572E1C"/>
    <w:rsid w:val="108856CC"/>
    <w:rsid w:val="110E6869"/>
    <w:rsid w:val="110F7B9B"/>
    <w:rsid w:val="112147BE"/>
    <w:rsid w:val="11264206"/>
    <w:rsid w:val="117479FE"/>
    <w:rsid w:val="11776C44"/>
    <w:rsid w:val="11E02583"/>
    <w:rsid w:val="11E5626B"/>
    <w:rsid w:val="1202325C"/>
    <w:rsid w:val="12042B30"/>
    <w:rsid w:val="122B09E0"/>
    <w:rsid w:val="12402AAD"/>
    <w:rsid w:val="12507863"/>
    <w:rsid w:val="12633CFA"/>
    <w:rsid w:val="126D6927"/>
    <w:rsid w:val="127A7296"/>
    <w:rsid w:val="127C7ADC"/>
    <w:rsid w:val="128526CB"/>
    <w:rsid w:val="12870DC9"/>
    <w:rsid w:val="12CB75A7"/>
    <w:rsid w:val="12E52961"/>
    <w:rsid w:val="1330644A"/>
    <w:rsid w:val="13490000"/>
    <w:rsid w:val="13712F15"/>
    <w:rsid w:val="13824654"/>
    <w:rsid w:val="139B74C4"/>
    <w:rsid w:val="139E738B"/>
    <w:rsid w:val="13E16B2F"/>
    <w:rsid w:val="13E50081"/>
    <w:rsid w:val="140E413A"/>
    <w:rsid w:val="143652BE"/>
    <w:rsid w:val="144D6A10"/>
    <w:rsid w:val="14504752"/>
    <w:rsid w:val="14582313"/>
    <w:rsid w:val="145E6E7A"/>
    <w:rsid w:val="14697F99"/>
    <w:rsid w:val="14726477"/>
    <w:rsid w:val="14FD2118"/>
    <w:rsid w:val="151E65FF"/>
    <w:rsid w:val="152564B7"/>
    <w:rsid w:val="155142DE"/>
    <w:rsid w:val="15AB60E4"/>
    <w:rsid w:val="15BB3E4D"/>
    <w:rsid w:val="15C30FA8"/>
    <w:rsid w:val="1602382A"/>
    <w:rsid w:val="162C517E"/>
    <w:rsid w:val="165A18B8"/>
    <w:rsid w:val="165A54E4"/>
    <w:rsid w:val="166F6978"/>
    <w:rsid w:val="16810BF3"/>
    <w:rsid w:val="168622B2"/>
    <w:rsid w:val="169C35CA"/>
    <w:rsid w:val="16A448E1"/>
    <w:rsid w:val="170A508C"/>
    <w:rsid w:val="1738489D"/>
    <w:rsid w:val="1740460A"/>
    <w:rsid w:val="179761F4"/>
    <w:rsid w:val="17AC6DCC"/>
    <w:rsid w:val="17AE3C6A"/>
    <w:rsid w:val="17AF3703"/>
    <w:rsid w:val="18062C2E"/>
    <w:rsid w:val="18075128"/>
    <w:rsid w:val="18495C6A"/>
    <w:rsid w:val="184E2D57"/>
    <w:rsid w:val="18523768"/>
    <w:rsid w:val="18BD6099"/>
    <w:rsid w:val="18D53EC8"/>
    <w:rsid w:val="18F97167"/>
    <w:rsid w:val="190F0738"/>
    <w:rsid w:val="19297320"/>
    <w:rsid w:val="192973E5"/>
    <w:rsid w:val="19F426B6"/>
    <w:rsid w:val="1A1E5521"/>
    <w:rsid w:val="1A50725A"/>
    <w:rsid w:val="1A54327C"/>
    <w:rsid w:val="1AFC6A9A"/>
    <w:rsid w:val="1B3426D8"/>
    <w:rsid w:val="1B446693"/>
    <w:rsid w:val="1B79458F"/>
    <w:rsid w:val="1B8A22F8"/>
    <w:rsid w:val="1BB95800"/>
    <w:rsid w:val="1BC1164B"/>
    <w:rsid w:val="1BCB46BE"/>
    <w:rsid w:val="1BE22134"/>
    <w:rsid w:val="1C3C1772"/>
    <w:rsid w:val="1C48018F"/>
    <w:rsid w:val="1C551074"/>
    <w:rsid w:val="1CA65F85"/>
    <w:rsid w:val="1CC55FB3"/>
    <w:rsid w:val="1D0B1216"/>
    <w:rsid w:val="1D1C313C"/>
    <w:rsid w:val="1D1E53EE"/>
    <w:rsid w:val="1D3C3AC6"/>
    <w:rsid w:val="1D497F91"/>
    <w:rsid w:val="1D594678"/>
    <w:rsid w:val="1D935D50"/>
    <w:rsid w:val="1DBE272D"/>
    <w:rsid w:val="1DC13FCB"/>
    <w:rsid w:val="1DC615E1"/>
    <w:rsid w:val="1DDC0675"/>
    <w:rsid w:val="1DE101C9"/>
    <w:rsid w:val="1DF2073F"/>
    <w:rsid w:val="1DFA6CCA"/>
    <w:rsid w:val="1E264301"/>
    <w:rsid w:val="1E4E4B81"/>
    <w:rsid w:val="1E5F6569"/>
    <w:rsid w:val="1EC9504A"/>
    <w:rsid w:val="1F040613"/>
    <w:rsid w:val="1F130856"/>
    <w:rsid w:val="1F1A1BE5"/>
    <w:rsid w:val="1F3401BF"/>
    <w:rsid w:val="1F5E479D"/>
    <w:rsid w:val="1F6C79BA"/>
    <w:rsid w:val="1F6D50F9"/>
    <w:rsid w:val="1FE617AE"/>
    <w:rsid w:val="1FEB076F"/>
    <w:rsid w:val="204F58BE"/>
    <w:rsid w:val="20511636"/>
    <w:rsid w:val="20541126"/>
    <w:rsid w:val="20CA072E"/>
    <w:rsid w:val="216C24A0"/>
    <w:rsid w:val="21845A3B"/>
    <w:rsid w:val="21A8797C"/>
    <w:rsid w:val="21C77B3B"/>
    <w:rsid w:val="21D00C81"/>
    <w:rsid w:val="21F037F0"/>
    <w:rsid w:val="22244EF1"/>
    <w:rsid w:val="223034CD"/>
    <w:rsid w:val="223E3E3C"/>
    <w:rsid w:val="224F6049"/>
    <w:rsid w:val="22625D7D"/>
    <w:rsid w:val="227C58BF"/>
    <w:rsid w:val="22A76F0C"/>
    <w:rsid w:val="22AB790B"/>
    <w:rsid w:val="22BC2271"/>
    <w:rsid w:val="22C13841"/>
    <w:rsid w:val="22F4274D"/>
    <w:rsid w:val="23411152"/>
    <w:rsid w:val="23816328"/>
    <w:rsid w:val="238C5C8C"/>
    <w:rsid w:val="23A10B26"/>
    <w:rsid w:val="23E32EED"/>
    <w:rsid w:val="23F70746"/>
    <w:rsid w:val="243D10E2"/>
    <w:rsid w:val="24575689"/>
    <w:rsid w:val="24594720"/>
    <w:rsid w:val="24612AB0"/>
    <w:rsid w:val="2466767A"/>
    <w:rsid w:val="247022A7"/>
    <w:rsid w:val="247875D1"/>
    <w:rsid w:val="24820020"/>
    <w:rsid w:val="249C00A2"/>
    <w:rsid w:val="249C309C"/>
    <w:rsid w:val="24CD14A7"/>
    <w:rsid w:val="25050C41"/>
    <w:rsid w:val="251D7032"/>
    <w:rsid w:val="252804DE"/>
    <w:rsid w:val="25457290"/>
    <w:rsid w:val="259B0F8C"/>
    <w:rsid w:val="25B14925"/>
    <w:rsid w:val="25DD571A"/>
    <w:rsid w:val="25FC701B"/>
    <w:rsid w:val="260158AC"/>
    <w:rsid w:val="26250480"/>
    <w:rsid w:val="26662541"/>
    <w:rsid w:val="2668592C"/>
    <w:rsid w:val="267425D3"/>
    <w:rsid w:val="26773DC1"/>
    <w:rsid w:val="268C2535"/>
    <w:rsid w:val="26970113"/>
    <w:rsid w:val="26D77A30"/>
    <w:rsid w:val="26E86A6C"/>
    <w:rsid w:val="26F074B1"/>
    <w:rsid w:val="26F43190"/>
    <w:rsid w:val="27174C5C"/>
    <w:rsid w:val="27315D1D"/>
    <w:rsid w:val="273B3040"/>
    <w:rsid w:val="2742278E"/>
    <w:rsid w:val="275A2C7C"/>
    <w:rsid w:val="276D2817"/>
    <w:rsid w:val="27934C2A"/>
    <w:rsid w:val="27B34984"/>
    <w:rsid w:val="27FA0D7D"/>
    <w:rsid w:val="283A32F8"/>
    <w:rsid w:val="283F41D5"/>
    <w:rsid w:val="28550131"/>
    <w:rsid w:val="285F2D5E"/>
    <w:rsid w:val="28813D83"/>
    <w:rsid w:val="28920A3E"/>
    <w:rsid w:val="289E3886"/>
    <w:rsid w:val="28E05C4D"/>
    <w:rsid w:val="292C2C40"/>
    <w:rsid w:val="2948495C"/>
    <w:rsid w:val="29717421"/>
    <w:rsid w:val="29CA2B36"/>
    <w:rsid w:val="29E503DA"/>
    <w:rsid w:val="29EF4E00"/>
    <w:rsid w:val="2A033781"/>
    <w:rsid w:val="2A043BBD"/>
    <w:rsid w:val="2A1D4C7F"/>
    <w:rsid w:val="2A2B4FA7"/>
    <w:rsid w:val="2A3A6BA8"/>
    <w:rsid w:val="2A777809"/>
    <w:rsid w:val="2A7D7F8A"/>
    <w:rsid w:val="2A81520E"/>
    <w:rsid w:val="2AAA2063"/>
    <w:rsid w:val="2AD25A69"/>
    <w:rsid w:val="2ADA23BF"/>
    <w:rsid w:val="2ADE7F6A"/>
    <w:rsid w:val="2B165956"/>
    <w:rsid w:val="2B376D5B"/>
    <w:rsid w:val="2B4017F0"/>
    <w:rsid w:val="2BA32F62"/>
    <w:rsid w:val="2BA94EA2"/>
    <w:rsid w:val="2BC11B68"/>
    <w:rsid w:val="2BC2788C"/>
    <w:rsid w:val="2C182496"/>
    <w:rsid w:val="2C195BCB"/>
    <w:rsid w:val="2C4712B1"/>
    <w:rsid w:val="2C66430D"/>
    <w:rsid w:val="2C6B7F24"/>
    <w:rsid w:val="2C8830ED"/>
    <w:rsid w:val="2C884632"/>
    <w:rsid w:val="2C934D84"/>
    <w:rsid w:val="2CAE1BBE"/>
    <w:rsid w:val="2CAE377A"/>
    <w:rsid w:val="2CC118F2"/>
    <w:rsid w:val="2CC969F8"/>
    <w:rsid w:val="2CE54D5A"/>
    <w:rsid w:val="2CE83322"/>
    <w:rsid w:val="2CF6381F"/>
    <w:rsid w:val="2D2D342B"/>
    <w:rsid w:val="2D421909"/>
    <w:rsid w:val="2D483DC1"/>
    <w:rsid w:val="2D582065"/>
    <w:rsid w:val="2D7050C6"/>
    <w:rsid w:val="2D953B39"/>
    <w:rsid w:val="2DAD00C8"/>
    <w:rsid w:val="2DC3754F"/>
    <w:rsid w:val="2DFB52D7"/>
    <w:rsid w:val="2E020414"/>
    <w:rsid w:val="2E2C36E3"/>
    <w:rsid w:val="2E314855"/>
    <w:rsid w:val="2E4F2F2D"/>
    <w:rsid w:val="2E5E2248"/>
    <w:rsid w:val="2E7D3F3E"/>
    <w:rsid w:val="2EAA3725"/>
    <w:rsid w:val="2EEE0998"/>
    <w:rsid w:val="2F0B779C"/>
    <w:rsid w:val="2F2351F2"/>
    <w:rsid w:val="2F33417F"/>
    <w:rsid w:val="2F337421"/>
    <w:rsid w:val="2F3407C1"/>
    <w:rsid w:val="2F4A02C4"/>
    <w:rsid w:val="2F723377"/>
    <w:rsid w:val="2FA15A0A"/>
    <w:rsid w:val="2FAA48BF"/>
    <w:rsid w:val="2FD858D0"/>
    <w:rsid w:val="2FE34275"/>
    <w:rsid w:val="305111DE"/>
    <w:rsid w:val="30561163"/>
    <w:rsid w:val="307F0D4E"/>
    <w:rsid w:val="30BF25EC"/>
    <w:rsid w:val="30E6401D"/>
    <w:rsid w:val="30EC2386"/>
    <w:rsid w:val="30F310DC"/>
    <w:rsid w:val="310224D9"/>
    <w:rsid w:val="31132938"/>
    <w:rsid w:val="31341EB7"/>
    <w:rsid w:val="31374878"/>
    <w:rsid w:val="31554CFE"/>
    <w:rsid w:val="315C608D"/>
    <w:rsid w:val="318850D4"/>
    <w:rsid w:val="318D0C72"/>
    <w:rsid w:val="31E56082"/>
    <w:rsid w:val="323B2146"/>
    <w:rsid w:val="326C2300"/>
    <w:rsid w:val="327F2033"/>
    <w:rsid w:val="32877139"/>
    <w:rsid w:val="32A93D72"/>
    <w:rsid w:val="32CE2FBA"/>
    <w:rsid w:val="32D43FFF"/>
    <w:rsid w:val="33062754"/>
    <w:rsid w:val="332105E7"/>
    <w:rsid w:val="336F02F9"/>
    <w:rsid w:val="33835B53"/>
    <w:rsid w:val="33A52EB7"/>
    <w:rsid w:val="33E32A95"/>
    <w:rsid w:val="33EB2DC4"/>
    <w:rsid w:val="3417273F"/>
    <w:rsid w:val="3451224B"/>
    <w:rsid w:val="34935E6B"/>
    <w:rsid w:val="34C75F13"/>
    <w:rsid w:val="34E6283D"/>
    <w:rsid w:val="34EE5C80"/>
    <w:rsid w:val="352838C3"/>
    <w:rsid w:val="35605EF6"/>
    <w:rsid w:val="35843E04"/>
    <w:rsid w:val="35A26038"/>
    <w:rsid w:val="35A36B00"/>
    <w:rsid w:val="35D5640E"/>
    <w:rsid w:val="35D80BF0"/>
    <w:rsid w:val="35EF127D"/>
    <w:rsid w:val="360C07A2"/>
    <w:rsid w:val="360C62D3"/>
    <w:rsid w:val="363C7833"/>
    <w:rsid w:val="363D0A95"/>
    <w:rsid w:val="36560FD0"/>
    <w:rsid w:val="36590DED"/>
    <w:rsid w:val="36B04C59"/>
    <w:rsid w:val="36E80182"/>
    <w:rsid w:val="36F1614D"/>
    <w:rsid w:val="374675C3"/>
    <w:rsid w:val="375515B4"/>
    <w:rsid w:val="376E2676"/>
    <w:rsid w:val="377E2316"/>
    <w:rsid w:val="378D4986"/>
    <w:rsid w:val="37B502A5"/>
    <w:rsid w:val="37DA7D0B"/>
    <w:rsid w:val="3814321D"/>
    <w:rsid w:val="3836588A"/>
    <w:rsid w:val="388F4F9A"/>
    <w:rsid w:val="38910C4A"/>
    <w:rsid w:val="391B05DB"/>
    <w:rsid w:val="391D25A6"/>
    <w:rsid w:val="39290F4A"/>
    <w:rsid w:val="39311BAD"/>
    <w:rsid w:val="39461AFC"/>
    <w:rsid w:val="39553AED"/>
    <w:rsid w:val="39697599"/>
    <w:rsid w:val="398E35A1"/>
    <w:rsid w:val="39AC0688"/>
    <w:rsid w:val="39B93FE8"/>
    <w:rsid w:val="3A064F09"/>
    <w:rsid w:val="3A1514CF"/>
    <w:rsid w:val="3A5913BB"/>
    <w:rsid w:val="3A67294A"/>
    <w:rsid w:val="3A7461F5"/>
    <w:rsid w:val="3A8700CF"/>
    <w:rsid w:val="3AA80595"/>
    <w:rsid w:val="3AC50512"/>
    <w:rsid w:val="3AD66286"/>
    <w:rsid w:val="3AF70BD4"/>
    <w:rsid w:val="3B090B06"/>
    <w:rsid w:val="3B2228FF"/>
    <w:rsid w:val="3B3F6CFB"/>
    <w:rsid w:val="3B675D5A"/>
    <w:rsid w:val="3B683931"/>
    <w:rsid w:val="3B845814"/>
    <w:rsid w:val="3B923C50"/>
    <w:rsid w:val="3BE21884"/>
    <w:rsid w:val="3C070839"/>
    <w:rsid w:val="3C203934"/>
    <w:rsid w:val="3C522566"/>
    <w:rsid w:val="3C926E07"/>
    <w:rsid w:val="3C9C7C85"/>
    <w:rsid w:val="3CB15DF3"/>
    <w:rsid w:val="3CB23005"/>
    <w:rsid w:val="3CB52707"/>
    <w:rsid w:val="3CF510A8"/>
    <w:rsid w:val="3D070DF4"/>
    <w:rsid w:val="3D103A6D"/>
    <w:rsid w:val="3D1C7D94"/>
    <w:rsid w:val="3D324146"/>
    <w:rsid w:val="3D4A148F"/>
    <w:rsid w:val="3D517C29"/>
    <w:rsid w:val="3D5E4F3B"/>
    <w:rsid w:val="3D632551"/>
    <w:rsid w:val="3D6C7658"/>
    <w:rsid w:val="3D791D75"/>
    <w:rsid w:val="3DB86D41"/>
    <w:rsid w:val="3DCD1DDA"/>
    <w:rsid w:val="3DFD5379"/>
    <w:rsid w:val="3E060BAA"/>
    <w:rsid w:val="3E4170D2"/>
    <w:rsid w:val="3E5C76CC"/>
    <w:rsid w:val="3E98375A"/>
    <w:rsid w:val="3EBC63BD"/>
    <w:rsid w:val="3ECC2AA4"/>
    <w:rsid w:val="3F340649"/>
    <w:rsid w:val="3F593C0C"/>
    <w:rsid w:val="3F5E56C6"/>
    <w:rsid w:val="3F7B6278"/>
    <w:rsid w:val="3FA052A1"/>
    <w:rsid w:val="3FC217B1"/>
    <w:rsid w:val="3FC578AB"/>
    <w:rsid w:val="402E5098"/>
    <w:rsid w:val="403A3A3D"/>
    <w:rsid w:val="404B79F8"/>
    <w:rsid w:val="40714F85"/>
    <w:rsid w:val="40961988"/>
    <w:rsid w:val="40A8309D"/>
    <w:rsid w:val="40AB3818"/>
    <w:rsid w:val="41103198"/>
    <w:rsid w:val="41321954"/>
    <w:rsid w:val="41354204"/>
    <w:rsid w:val="41913B31"/>
    <w:rsid w:val="41A25D3E"/>
    <w:rsid w:val="420B07D3"/>
    <w:rsid w:val="42470693"/>
    <w:rsid w:val="42876CE2"/>
    <w:rsid w:val="42CD3359"/>
    <w:rsid w:val="42D00689"/>
    <w:rsid w:val="42E303BC"/>
    <w:rsid w:val="42F535F3"/>
    <w:rsid w:val="42FD6B7E"/>
    <w:rsid w:val="433230F1"/>
    <w:rsid w:val="433429C6"/>
    <w:rsid w:val="43693E4C"/>
    <w:rsid w:val="43A371A2"/>
    <w:rsid w:val="43C33D49"/>
    <w:rsid w:val="43E443EC"/>
    <w:rsid w:val="43F839F3"/>
    <w:rsid w:val="442A31B2"/>
    <w:rsid w:val="443169CB"/>
    <w:rsid w:val="44872FC9"/>
    <w:rsid w:val="44C11948"/>
    <w:rsid w:val="44C45FCB"/>
    <w:rsid w:val="44D02BC2"/>
    <w:rsid w:val="44D34460"/>
    <w:rsid w:val="44F06DC0"/>
    <w:rsid w:val="4505555B"/>
    <w:rsid w:val="4553085F"/>
    <w:rsid w:val="45752CFC"/>
    <w:rsid w:val="4585575A"/>
    <w:rsid w:val="45FB137C"/>
    <w:rsid w:val="4605689B"/>
    <w:rsid w:val="461940F5"/>
    <w:rsid w:val="46222FA9"/>
    <w:rsid w:val="4622744D"/>
    <w:rsid w:val="464450EA"/>
    <w:rsid w:val="467779B3"/>
    <w:rsid w:val="469A6FE4"/>
    <w:rsid w:val="478079B2"/>
    <w:rsid w:val="47AC0C41"/>
    <w:rsid w:val="47C702AC"/>
    <w:rsid w:val="47D91D8D"/>
    <w:rsid w:val="47F02381"/>
    <w:rsid w:val="47F70466"/>
    <w:rsid w:val="4817556D"/>
    <w:rsid w:val="483E7E42"/>
    <w:rsid w:val="48594C7C"/>
    <w:rsid w:val="48852A28"/>
    <w:rsid w:val="48CA7200"/>
    <w:rsid w:val="48D32C81"/>
    <w:rsid w:val="48DA5DBD"/>
    <w:rsid w:val="48F52BF7"/>
    <w:rsid w:val="490177EE"/>
    <w:rsid w:val="49132446"/>
    <w:rsid w:val="49172B6D"/>
    <w:rsid w:val="495E079C"/>
    <w:rsid w:val="49B95E4C"/>
    <w:rsid w:val="4A1452FF"/>
    <w:rsid w:val="4A1F0E0D"/>
    <w:rsid w:val="4A35453B"/>
    <w:rsid w:val="4ABC6B66"/>
    <w:rsid w:val="4AF60EA8"/>
    <w:rsid w:val="4B007631"/>
    <w:rsid w:val="4B38501D"/>
    <w:rsid w:val="4B397388"/>
    <w:rsid w:val="4B73566F"/>
    <w:rsid w:val="4B783B89"/>
    <w:rsid w:val="4BAF645E"/>
    <w:rsid w:val="4BBE1F02"/>
    <w:rsid w:val="4BF058F8"/>
    <w:rsid w:val="4BF50EB6"/>
    <w:rsid w:val="4C0118B3"/>
    <w:rsid w:val="4C4874E2"/>
    <w:rsid w:val="4C6B4F7E"/>
    <w:rsid w:val="4C6C31D0"/>
    <w:rsid w:val="4C7634CC"/>
    <w:rsid w:val="4C7A75E7"/>
    <w:rsid w:val="4C8334BB"/>
    <w:rsid w:val="4CC04EA3"/>
    <w:rsid w:val="4CC974C4"/>
    <w:rsid w:val="4D16313C"/>
    <w:rsid w:val="4D3D406D"/>
    <w:rsid w:val="4D5F1960"/>
    <w:rsid w:val="4D636575"/>
    <w:rsid w:val="4D782049"/>
    <w:rsid w:val="4D834C75"/>
    <w:rsid w:val="4DA45EFF"/>
    <w:rsid w:val="4E1D1150"/>
    <w:rsid w:val="4E2C3BBE"/>
    <w:rsid w:val="4E920EE8"/>
    <w:rsid w:val="4EB33338"/>
    <w:rsid w:val="4EC41512"/>
    <w:rsid w:val="4EFD5288"/>
    <w:rsid w:val="4F495972"/>
    <w:rsid w:val="4F5166AD"/>
    <w:rsid w:val="4F5D32A4"/>
    <w:rsid w:val="4F6665FD"/>
    <w:rsid w:val="4F6E54B1"/>
    <w:rsid w:val="4F702FD7"/>
    <w:rsid w:val="4FA7451F"/>
    <w:rsid w:val="4FAD5FDA"/>
    <w:rsid w:val="4FC5307F"/>
    <w:rsid w:val="4FEC4864"/>
    <w:rsid w:val="50616DC4"/>
    <w:rsid w:val="509166B3"/>
    <w:rsid w:val="50C7131D"/>
    <w:rsid w:val="50D37CC2"/>
    <w:rsid w:val="50DF0465"/>
    <w:rsid w:val="50E54C53"/>
    <w:rsid w:val="50F11EDF"/>
    <w:rsid w:val="5100038B"/>
    <w:rsid w:val="51004F71"/>
    <w:rsid w:val="510F5A92"/>
    <w:rsid w:val="513242BC"/>
    <w:rsid w:val="514F4E6E"/>
    <w:rsid w:val="51851D03"/>
    <w:rsid w:val="51BB2504"/>
    <w:rsid w:val="51BC69A8"/>
    <w:rsid w:val="51D6645E"/>
    <w:rsid w:val="51D84E64"/>
    <w:rsid w:val="52035693"/>
    <w:rsid w:val="52256CAE"/>
    <w:rsid w:val="52292F71"/>
    <w:rsid w:val="5248023B"/>
    <w:rsid w:val="5257047F"/>
    <w:rsid w:val="528D20F2"/>
    <w:rsid w:val="52B14033"/>
    <w:rsid w:val="52FC4B82"/>
    <w:rsid w:val="534629EE"/>
    <w:rsid w:val="53486019"/>
    <w:rsid w:val="534C0852"/>
    <w:rsid w:val="5358625C"/>
    <w:rsid w:val="536D322D"/>
    <w:rsid w:val="53713144"/>
    <w:rsid w:val="5378042B"/>
    <w:rsid w:val="53837051"/>
    <w:rsid w:val="53D37FD9"/>
    <w:rsid w:val="53D54EBA"/>
    <w:rsid w:val="53E256E4"/>
    <w:rsid w:val="53F046E7"/>
    <w:rsid w:val="5423620A"/>
    <w:rsid w:val="54295E4B"/>
    <w:rsid w:val="543831A9"/>
    <w:rsid w:val="543F566E"/>
    <w:rsid w:val="544F350F"/>
    <w:rsid w:val="549802F8"/>
    <w:rsid w:val="54A43E0E"/>
    <w:rsid w:val="54A454D1"/>
    <w:rsid w:val="54FE4BE1"/>
    <w:rsid w:val="555D0733"/>
    <w:rsid w:val="55755EE6"/>
    <w:rsid w:val="55812D9D"/>
    <w:rsid w:val="55B265E3"/>
    <w:rsid w:val="55DA38A0"/>
    <w:rsid w:val="55F668FC"/>
    <w:rsid w:val="5613694F"/>
    <w:rsid w:val="562E599A"/>
    <w:rsid w:val="563A1DB1"/>
    <w:rsid w:val="565F7902"/>
    <w:rsid w:val="568C3E5C"/>
    <w:rsid w:val="56A9398C"/>
    <w:rsid w:val="56B04287"/>
    <w:rsid w:val="56E86247"/>
    <w:rsid w:val="56E878F7"/>
    <w:rsid w:val="57AF6667"/>
    <w:rsid w:val="57C6377C"/>
    <w:rsid w:val="57D12A81"/>
    <w:rsid w:val="57D165DD"/>
    <w:rsid w:val="57E502DB"/>
    <w:rsid w:val="57EC3417"/>
    <w:rsid w:val="57EC51A3"/>
    <w:rsid w:val="58070251"/>
    <w:rsid w:val="58421289"/>
    <w:rsid w:val="584566A6"/>
    <w:rsid w:val="58906498"/>
    <w:rsid w:val="58A261CC"/>
    <w:rsid w:val="58AD2618"/>
    <w:rsid w:val="58B82E24"/>
    <w:rsid w:val="58E10AA2"/>
    <w:rsid w:val="592D018B"/>
    <w:rsid w:val="594C6863"/>
    <w:rsid w:val="59561AE4"/>
    <w:rsid w:val="59AD4E28"/>
    <w:rsid w:val="59B6676B"/>
    <w:rsid w:val="59E17BDA"/>
    <w:rsid w:val="59F837C6"/>
    <w:rsid w:val="5A102BB5"/>
    <w:rsid w:val="5A1114F3"/>
    <w:rsid w:val="5A1B7FE4"/>
    <w:rsid w:val="5A2A46CB"/>
    <w:rsid w:val="5A3B24D4"/>
    <w:rsid w:val="5AC0675A"/>
    <w:rsid w:val="5AC97A40"/>
    <w:rsid w:val="5AE57473"/>
    <w:rsid w:val="5B335F2F"/>
    <w:rsid w:val="5B411CCC"/>
    <w:rsid w:val="5B7F4EEA"/>
    <w:rsid w:val="5BC76675"/>
    <w:rsid w:val="5C0E333F"/>
    <w:rsid w:val="5C0F1DCA"/>
    <w:rsid w:val="5C164F06"/>
    <w:rsid w:val="5C1D2B0E"/>
    <w:rsid w:val="5C4B1054"/>
    <w:rsid w:val="5C715058"/>
    <w:rsid w:val="5C8005D2"/>
    <w:rsid w:val="5C8D6B99"/>
    <w:rsid w:val="5C981DBF"/>
    <w:rsid w:val="5CCA08A3"/>
    <w:rsid w:val="5D156F6C"/>
    <w:rsid w:val="5D2635D4"/>
    <w:rsid w:val="5D29418B"/>
    <w:rsid w:val="5D30766A"/>
    <w:rsid w:val="5D6B4A20"/>
    <w:rsid w:val="5D810AA5"/>
    <w:rsid w:val="5DAD53F7"/>
    <w:rsid w:val="5DE16DDB"/>
    <w:rsid w:val="5DEE64D9"/>
    <w:rsid w:val="5E021BE6"/>
    <w:rsid w:val="5E1627FF"/>
    <w:rsid w:val="5E385608"/>
    <w:rsid w:val="5E404546"/>
    <w:rsid w:val="5E63580F"/>
    <w:rsid w:val="5E6B7A0B"/>
    <w:rsid w:val="5E734892"/>
    <w:rsid w:val="5E8720EC"/>
    <w:rsid w:val="5E8B0A0A"/>
    <w:rsid w:val="5E986227"/>
    <w:rsid w:val="5EF53E22"/>
    <w:rsid w:val="5F074FDA"/>
    <w:rsid w:val="5F0C439F"/>
    <w:rsid w:val="5F130119"/>
    <w:rsid w:val="5F294F51"/>
    <w:rsid w:val="5F444C3B"/>
    <w:rsid w:val="5F7A1C50"/>
    <w:rsid w:val="5F980720"/>
    <w:rsid w:val="5FB479A7"/>
    <w:rsid w:val="5FF90F1C"/>
    <w:rsid w:val="60623AEF"/>
    <w:rsid w:val="607A6E23"/>
    <w:rsid w:val="60824919"/>
    <w:rsid w:val="60A65464"/>
    <w:rsid w:val="60C874D3"/>
    <w:rsid w:val="60D678D7"/>
    <w:rsid w:val="60E44C2E"/>
    <w:rsid w:val="616C7377"/>
    <w:rsid w:val="6187432A"/>
    <w:rsid w:val="61D92C5E"/>
    <w:rsid w:val="61EC22BE"/>
    <w:rsid w:val="61EE67ED"/>
    <w:rsid w:val="61F07DAC"/>
    <w:rsid w:val="61F31470"/>
    <w:rsid w:val="61F84B2E"/>
    <w:rsid w:val="62491A44"/>
    <w:rsid w:val="624A7B41"/>
    <w:rsid w:val="62551ED5"/>
    <w:rsid w:val="625E4788"/>
    <w:rsid w:val="62620EA5"/>
    <w:rsid w:val="62801BCD"/>
    <w:rsid w:val="629628FD"/>
    <w:rsid w:val="62B04BA9"/>
    <w:rsid w:val="630325AA"/>
    <w:rsid w:val="631F0B45"/>
    <w:rsid w:val="634467FD"/>
    <w:rsid w:val="639C12D8"/>
    <w:rsid w:val="63B25DCE"/>
    <w:rsid w:val="63C07A53"/>
    <w:rsid w:val="63DF2082"/>
    <w:rsid w:val="63EA73A4"/>
    <w:rsid w:val="63FD6D48"/>
    <w:rsid w:val="640D306A"/>
    <w:rsid w:val="640F6E0B"/>
    <w:rsid w:val="641206A9"/>
    <w:rsid w:val="64127E15"/>
    <w:rsid w:val="64167F63"/>
    <w:rsid w:val="64202DC6"/>
    <w:rsid w:val="643728BE"/>
    <w:rsid w:val="64432611"/>
    <w:rsid w:val="64770B92"/>
    <w:rsid w:val="64A55079"/>
    <w:rsid w:val="64AC465A"/>
    <w:rsid w:val="64E536C8"/>
    <w:rsid w:val="64F7641F"/>
    <w:rsid w:val="652E32C1"/>
    <w:rsid w:val="654E5680"/>
    <w:rsid w:val="65711400"/>
    <w:rsid w:val="657B3DDC"/>
    <w:rsid w:val="6583374A"/>
    <w:rsid w:val="65BF02FA"/>
    <w:rsid w:val="65BF6F8A"/>
    <w:rsid w:val="65D8147F"/>
    <w:rsid w:val="65E25E59"/>
    <w:rsid w:val="65EB4C74"/>
    <w:rsid w:val="65F53DDF"/>
    <w:rsid w:val="661324B7"/>
    <w:rsid w:val="66173D55"/>
    <w:rsid w:val="663D12E2"/>
    <w:rsid w:val="6688431D"/>
    <w:rsid w:val="669843DF"/>
    <w:rsid w:val="66DD4F9F"/>
    <w:rsid w:val="67357E07"/>
    <w:rsid w:val="67372E7D"/>
    <w:rsid w:val="674F3B08"/>
    <w:rsid w:val="674F697B"/>
    <w:rsid w:val="678D5337"/>
    <w:rsid w:val="67BD42B6"/>
    <w:rsid w:val="68057D47"/>
    <w:rsid w:val="68244D76"/>
    <w:rsid w:val="6853074C"/>
    <w:rsid w:val="685A178B"/>
    <w:rsid w:val="688C21D7"/>
    <w:rsid w:val="689A28E4"/>
    <w:rsid w:val="68C81831"/>
    <w:rsid w:val="692E7D33"/>
    <w:rsid w:val="693E784B"/>
    <w:rsid w:val="69482477"/>
    <w:rsid w:val="69636DFE"/>
    <w:rsid w:val="698060B5"/>
    <w:rsid w:val="69936739"/>
    <w:rsid w:val="69C77840"/>
    <w:rsid w:val="69FF522C"/>
    <w:rsid w:val="6A097E59"/>
    <w:rsid w:val="6A3550F2"/>
    <w:rsid w:val="6A384953"/>
    <w:rsid w:val="6A5437CA"/>
    <w:rsid w:val="6A5901AF"/>
    <w:rsid w:val="6A687275"/>
    <w:rsid w:val="6AAB1ED1"/>
    <w:rsid w:val="6AAD0963"/>
    <w:rsid w:val="6ACA7D81"/>
    <w:rsid w:val="6ADE7537"/>
    <w:rsid w:val="6AFE1987"/>
    <w:rsid w:val="6B004A8A"/>
    <w:rsid w:val="6B146AB5"/>
    <w:rsid w:val="6B2667E8"/>
    <w:rsid w:val="6B4C6968"/>
    <w:rsid w:val="6B8067C4"/>
    <w:rsid w:val="6BA37E39"/>
    <w:rsid w:val="6BCF0C2E"/>
    <w:rsid w:val="6BF47849"/>
    <w:rsid w:val="6C05444E"/>
    <w:rsid w:val="6C415F32"/>
    <w:rsid w:val="6C445178"/>
    <w:rsid w:val="6C806F5F"/>
    <w:rsid w:val="6C833BE9"/>
    <w:rsid w:val="6CA34594"/>
    <w:rsid w:val="6CA62866"/>
    <w:rsid w:val="6CBD4F2A"/>
    <w:rsid w:val="6D6B0954"/>
    <w:rsid w:val="6D83764B"/>
    <w:rsid w:val="6DB86AA0"/>
    <w:rsid w:val="6DE60739"/>
    <w:rsid w:val="6DF93D34"/>
    <w:rsid w:val="6DFF1C9E"/>
    <w:rsid w:val="6E1A0886"/>
    <w:rsid w:val="6EA94A01"/>
    <w:rsid w:val="6EDD28A7"/>
    <w:rsid w:val="6F2E654C"/>
    <w:rsid w:val="6F37012A"/>
    <w:rsid w:val="6F392F8E"/>
    <w:rsid w:val="6F561264"/>
    <w:rsid w:val="6F5F3DA5"/>
    <w:rsid w:val="6FD808A4"/>
    <w:rsid w:val="701B0094"/>
    <w:rsid w:val="703A6FBE"/>
    <w:rsid w:val="704F233D"/>
    <w:rsid w:val="70530BB4"/>
    <w:rsid w:val="709D085A"/>
    <w:rsid w:val="70A266F9"/>
    <w:rsid w:val="70C573B0"/>
    <w:rsid w:val="70CE7706"/>
    <w:rsid w:val="70CF030F"/>
    <w:rsid w:val="70E909E4"/>
    <w:rsid w:val="713A123F"/>
    <w:rsid w:val="71456753"/>
    <w:rsid w:val="71746C0B"/>
    <w:rsid w:val="717A163C"/>
    <w:rsid w:val="71A16F5E"/>
    <w:rsid w:val="71C2369B"/>
    <w:rsid w:val="71F178B1"/>
    <w:rsid w:val="71FF6F85"/>
    <w:rsid w:val="7238577F"/>
    <w:rsid w:val="723F0780"/>
    <w:rsid w:val="72477770"/>
    <w:rsid w:val="72A51148"/>
    <w:rsid w:val="72B630BC"/>
    <w:rsid w:val="73131D48"/>
    <w:rsid w:val="73152C0E"/>
    <w:rsid w:val="7355410F"/>
    <w:rsid w:val="73641E2E"/>
    <w:rsid w:val="737C78ED"/>
    <w:rsid w:val="73C50C13"/>
    <w:rsid w:val="73D70A46"/>
    <w:rsid w:val="741E0C5C"/>
    <w:rsid w:val="741E6BF6"/>
    <w:rsid w:val="74580B34"/>
    <w:rsid w:val="745D771F"/>
    <w:rsid w:val="748051BB"/>
    <w:rsid w:val="7487027D"/>
    <w:rsid w:val="74CB44C6"/>
    <w:rsid w:val="74E03EAC"/>
    <w:rsid w:val="74FC55A3"/>
    <w:rsid w:val="751F6782"/>
    <w:rsid w:val="75311A84"/>
    <w:rsid w:val="75412D70"/>
    <w:rsid w:val="75416F2D"/>
    <w:rsid w:val="754E2671"/>
    <w:rsid w:val="755060BC"/>
    <w:rsid w:val="756D573F"/>
    <w:rsid w:val="75DF2C54"/>
    <w:rsid w:val="76390BD5"/>
    <w:rsid w:val="76897EF9"/>
    <w:rsid w:val="77133AE0"/>
    <w:rsid w:val="772207AC"/>
    <w:rsid w:val="775961CA"/>
    <w:rsid w:val="777059BB"/>
    <w:rsid w:val="7824405C"/>
    <w:rsid w:val="784371D7"/>
    <w:rsid w:val="78AD22F7"/>
    <w:rsid w:val="78BA6F59"/>
    <w:rsid w:val="78CC6C21"/>
    <w:rsid w:val="78D808F1"/>
    <w:rsid w:val="78DE0702"/>
    <w:rsid w:val="79140E10"/>
    <w:rsid w:val="791D52BE"/>
    <w:rsid w:val="792151BF"/>
    <w:rsid w:val="79A27982"/>
    <w:rsid w:val="79B02EFD"/>
    <w:rsid w:val="79B576B5"/>
    <w:rsid w:val="79C612FE"/>
    <w:rsid w:val="7A27322F"/>
    <w:rsid w:val="7A2958F1"/>
    <w:rsid w:val="7A2A00A3"/>
    <w:rsid w:val="7A3562E4"/>
    <w:rsid w:val="7A792DD8"/>
    <w:rsid w:val="7ADD0F40"/>
    <w:rsid w:val="7ADD5115"/>
    <w:rsid w:val="7ADD5362"/>
    <w:rsid w:val="7B9E2EED"/>
    <w:rsid w:val="7BD657F1"/>
    <w:rsid w:val="7BE77D8D"/>
    <w:rsid w:val="7BFB5E2C"/>
    <w:rsid w:val="7C0861C2"/>
    <w:rsid w:val="7C5C02BC"/>
    <w:rsid w:val="7C826701"/>
    <w:rsid w:val="7CF05CB6"/>
    <w:rsid w:val="7D2B7EDD"/>
    <w:rsid w:val="7D3D3F06"/>
    <w:rsid w:val="7D44147C"/>
    <w:rsid w:val="7D574981"/>
    <w:rsid w:val="7D5D078F"/>
    <w:rsid w:val="7D8E31B1"/>
    <w:rsid w:val="7D935CBD"/>
    <w:rsid w:val="7DAD14CF"/>
    <w:rsid w:val="7DBD5525"/>
    <w:rsid w:val="7DD5733A"/>
    <w:rsid w:val="7DF60F6D"/>
    <w:rsid w:val="7DFB1A66"/>
    <w:rsid w:val="7E0F40A3"/>
    <w:rsid w:val="7E56106E"/>
    <w:rsid w:val="7E7F4735"/>
    <w:rsid w:val="7ECE231B"/>
    <w:rsid w:val="7ED82CDA"/>
    <w:rsid w:val="7EFB0260"/>
    <w:rsid w:val="7F192494"/>
    <w:rsid w:val="7F1B620C"/>
    <w:rsid w:val="7F6A0F42"/>
    <w:rsid w:val="7FAB20C8"/>
    <w:rsid w:val="7FD840FD"/>
    <w:rsid w:val="7FDC1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5"/>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6"/>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3"/>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3"/>
    <w:autoRedefine/>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4"/>
    <w:autoRedefine/>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8"/>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147"/>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4"/>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7"/>
    <w:autoRedefine/>
    <w:qFormat/>
    <w:uiPriority w:val="0"/>
    <w:pPr>
      <w:ind w:firstLine="420"/>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2"/>
    <w:autoRedefine/>
    <w:qFormat/>
    <w:uiPriority w:val="99"/>
    <w:pPr>
      <w:shd w:val="clear" w:color="auto" w:fill="000080"/>
    </w:pPr>
    <w:rPr>
      <w:kern w:val="0"/>
      <w:sz w:val="20"/>
    </w:rPr>
  </w:style>
  <w:style w:type="paragraph" w:styleId="17">
    <w:name w:val="toa heading"/>
    <w:basedOn w:val="1"/>
    <w:next w:val="1"/>
    <w:link w:val="172"/>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9"/>
    <w:autoRedefine/>
    <w:qFormat/>
    <w:uiPriority w:val="0"/>
    <w:pPr>
      <w:jc w:val="left"/>
    </w:pPr>
    <w:rPr>
      <w:kern w:val="0"/>
      <w:sz w:val="20"/>
    </w:rPr>
  </w:style>
  <w:style w:type="paragraph" w:styleId="19">
    <w:name w:val="Body Text 3"/>
    <w:basedOn w:val="1"/>
    <w:link w:val="112"/>
    <w:autoRedefine/>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0"/>
    <w:autoRedefine/>
    <w:qFormat/>
    <w:uiPriority w:val="0"/>
    <w:pPr>
      <w:spacing w:after="120"/>
    </w:pPr>
    <w:rPr>
      <w:kern w:val="0"/>
      <w:sz w:val="28"/>
    </w:rPr>
  </w:style>
  <w:style w:type="paragraph" w:styleId="21">
    <w:name w:val="toc 4"/>
    <w:basedOn w:val="1"/>
    <w:next w:val="1"/>
    <w:autoRedefine/>
    <w:unhideWhenUsed/>
    <w:qFormat/>
    <w:uiPriority w:val="39"/>
    <w:pPr>
      <w:ind w:left="1260" w:leftChars="600"/>
    </w:pPr>
    <w:rPr>
      <w:rFonts w:ascii="Calibri" w:hAnsi="Calibri"/>
      <w:szCs w:val="22"/>
    </w:rPr>
  </w:style>
  <w:style w:type="paragraph" w:styleId="22">
    <w:name w:val="Body Text Indent"/>
    <w:basedOn w:val="1"/>
    <w:next w:val="23"/>
    <w:link w:val="191"/>
    <w:autoRedefine/>
    <w:qFormat/>
    <w:uiPriority w:val="0"/>
    <w:pPr>
      <w:spacing w:line="200" w:lineRule="exact"/>
      <w:ind w:firstLine="301"/>
    </w:pPr>
    <w:rPr>
      <w:rFonts w:ascii="宋体" w:hAnsi="Courier New"/>
      <w:spacing w:val="-4"/>
      <w:kern w:val="0"/>
      <w:sz w:val="18"/>
      <w:szCs w:val="20"/>
    </w:rPr>
  </w:style>
  <w:style w:type="paragraph" w:styleId="23">
    <w:name w:val="Body Text First Indent 2"/>
    <w:basedOn w:val="22"/>
    <w:autoRedefine/>
    <w:unhideWhenUsed/>
    <w:qFormat/>
    <w:uiPriority w:val="99"/>
    <w:pPr>
      <w:ind w:firstLine="420"/>
      <w:jc w:val="left"/>
    </w:pPr>
    <w:rPr>
      <w:rFonts w:ascii="Times New Roman" w:hAnsi="Times New Roman"/>
      <w:sz w:val="24"/>
    </w:rPr>
  </w:style>
  <w:style w:type="paragraph" w:styleId="24">
    <w:name w:val="List Number 3"/>
    <w:basedOn w:val="1"/>
    <w:autoRedefine/>
    <w:qFormat/>
    <w:uiPriority w:val="0"/>
    <w:pPr>
      <w:tabs>
        <w:tab w:val="left" w:pos="1200"/>
      </w:tabs>
      <w:ind w:left="1200" w:hanging="360"/>
    </w:pPr>
  </w:style>
  <w:style w:type="paragraph" w:styleId="25">
    <w:name w:val="List 2"/>
    <w:basedOn w:val="1"/>
    <w:autoRedefine/>
    <w:qFormat/>
    <w:uiPriority w:val="0"/>
    <w:pPr>
      <w:ind w:left="100" w:leftChars="200" w:hanging="200" w:hangingChars="200"/>
    </w:pPr>
    <w:rPr>
      <w:sz w:val="28"/>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styleId="28">
    <w:name w:val="index 4"/>
    <w:basedOn w:val="1"/>
    <w:next w:val="1"/>
    <w:autoRedefine/>
    <w:semiHidden/>
    <w:qFormat/>
    <w:uiPriority w:val="0"/>
    <w:pPr>
      <w:ind w:left="600" w:leftChars="600"/>
    </w:pPr>
  </w:style>
  <w:style w:type="paragraph" w:styleId="29">
    <w:name w:val="toc 5"/>
    <w:basedOn w:val="1"/>
    <w:next w:val="1"/>
    <w:autoRedefine/>
    <w:qFormat/>
    <w:uiPriority w:val="39"/>
    <w:pPr>
      <w:ind w:left="1680" w:leftChars="800"/>
    </w:pPr>
  </w:style>
  <w:style w:type="paragraph" w:styleId="30">
    <w:name w:val="toc 3"/>
    <w:basedOn w:val="1"/>
    <w:next w:val="1"/>
    <w:autoRedefine/>
    <w:qFormat/>
    <w:uiPriority w:val="39"/>
    <w:pPr>
      <w:ind w:left="840" w:leftChars="400"/>
    </w:pPr>
  </w:style>
  <w:style w:type="paragraph" w:styleId="31">
    <w:name w:val="Plain Text"/>
    <w:basedOn w:val="1"/>
    <w:next w:val="1"/>
    <w:link w:val="179"/>
    <w:autoRedefine/>
    <w:qFormat/>
    <w:uiPriority w:val="0"/>
    <w:pPr>
      <w:spacing w:beforeLines="50" w:afterLines="50" w:line="400" w:lineRule="exact"/>
    </w:pPr>
    <w:rPr>
      <w:rFonts w:ascii="宋体" w:hAnsi="Courier New"/>
      <w:kern w:val="0"/>
      <w:sz w:val="24"/>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Date"/>
    <w:basedOn w:val="1"/>
    <w:next w:val="1"/>
    <w:link w:val="175"/>
    <w:autoRedefine/>
    <w:qFormat/>
    <w:uiPriority w:val="0"/>
    <w:pPr>
      <w:ind w:left="2500" w:leftChars="2500"/>
    </w:pPr>
    <w:rPr>
      <w:rFonts w:eastAsia="楷体_GB2312"/>
      <w:kern w:val="0"/>
      <w:sz w:val="32"/>
      <w:szCs w:val="20"/>
    </w:rPr>
  </w:style>
  <w:style w:type="paragraph" w:styleId="34">
    <w:name w:val="Body Text Indent 2"/>
    <w:basedOn w:val="1"/>
    <w:link w:val="185"/>
    <w:autoRedefine/>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7"/>
    <w:autoRedefine/>
    <w:qFormat/>
    <w:uiPriority w:val="99"/>
    <w:rPr>
      <w:kern w:val="0"/>
      <w:sz w:val="18"/>
      <w:szCs w:val="18"/>
    </w:rPr>
  </w:style>
  <w:style w:type="paragraph" w:styleId="36">
    <w:name w:val="footer"/>
    <w:basedOn w:val="1"/>
    <w:link w:val="174"/>
    <w:autoRedefine/>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08"/>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List"/>
    <w:basedOn w:val="1"/>
    <w:autoRedefine/>
    <w:qFormat/>
    <w:uiPriority w:val="0"/>
    <w:pPr>
      <w:ind w:left="200" w:hanging="200" w:hangingChars="200"/>
    </w:pPr>
    <w:rPr>
      <w:sz w:val="28"/>
    </w:rPr>
  </w:style>
  <w:style w:type="paragraph" w:styleId="40">
    <w:name w:val="toc 6"/>
    <w:basedOn w:val="1"/>
    <w:next w:val="1"/>
    <w:autoRedefine/>
    <w:unhideWhenUsed/>
    <w:qFormat/>
    <w:uiPriority w:val="39"/>
    <w:pPr>
      <w:ind w:left="2100" w:leftChars="1000"/>
    </w:pPr>
    <w:rPr>
      <w:rFonts w:ascii="Calibri" w:hAnsi="Calibri"/>
      <w:szCs w:val="22"/>
    </w:rPr>
  </w:style>
  <w:style w:type="paragraph" w:styleId="41">
    <w:name w:val="Body Text Indent 3"/>
    <w:basedOn w:val="1"/>
    <w:link w:val="94"/>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7"/>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7"/>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6"/>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8"/>
    <w:autoRedefine/>
    <w:qFormat/>
    <w:uiPriority w:val="99"/>
    <w:rPr>
      <w:b/>
      <w:bCs/>
    </w:rPr>
  </w:style>
  <w:style w:type="paragraph" w:styleId="50">
    <w:name w:val="Body Text First Indent"/>
    <w:basedOn w:val="20"/>
    <w:next w:val="40"/>
    <w:link w:val="164"/>
    <w:autoRedefine/>
    <w:qFormat/>
    <w:uiPriority w:val="0"/>
    <w:pPr>
      <w:spacing w:beforeLines="50" w:afterLines="50" w:line="360" w:lineRule="auto"/>
      <w:ind w:firstLine="480" w:firstLineChars="200"/>
    </w:pPr>
    <w:rPr>
      <w:sz w:val="24"/>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autoRedefine/>
    <w:qFormat/>
    <w:uiPriority w:val="99"/>
    <w:rPr>
      <w:color w:val="800080"/>
      <w:u w:val="single"/>
    </w:rPr>
  </w:style>
  <w:style w:type="character" w:styleId="57">
    <w:name w:val="Emphasis"/>
    <w:autoRedefine/>
    <w:qFormat/>
    <w:uiPriority w:val="0"/>
  </w:style>
  <w:style w:type="character" w:styleId="58">
    <w:name w:val="Hyperlink"/>
    <w:autoRedefine/>
    <w:qFormat/>
    <w:uiPriority w:val="99"/>
    <w:rPr>
      <w:color w:val="0000FF"/>
      <w:u w:val="single"/>
    </w:rPr>
  </w:style>
  <w:style w:type="character" w:styleId="59">
    <w:name w:val="annotation reference"/>
    <w:autoRedefine/>
    <w:qFormat/>
    <w:uiPriority w:val="0"/>
    <w:rPr>
      <w:sz w:val="21"/>
      <w:szCs w:val="21"/>
    </w:rPr>
  </w:style>
  <w:style w:type="paragraph" w:customStyle="1" w:styleId="6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1">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62">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3">
    <w:name w:val="[Normal]"/>
    <w:autoRedefine/>
    <w:qFormat/>
    <w:uiPriority w:val="0"/>
    <w:rPr>
      <w:rFonts w:ascii="宋体" w:hAnsi="宋体" w:eastAsia="宋体" w:cs="Times New Roman"/>
      <w:sz w:val="24"/>
      <w:szCs w:val="22"/>
      <w:lang w:val="zh-CN" w:eastAsia="zh-CN" w:bidi="ar-SA"/>
    </w:rPr>
  </w:style>
  <w:style w:type="character" w:customStyle="1" w:styleId="64">
    <w:name w:val="标题 1 字符"/>
    <w:autoRedefine/>
    <w:qFormat/>
    <w:uiPriority w:val="9"/>
    <w:rPr>
      <w:b/>
      <w:bCs/>
      <w:kern w:val="44"/>
      <w:sz w:val="30"/>
      <w:szCs w:val="44"/>
    </w:rPr>
  </w:style>
  <w:style w:type="character" w:customStyle="1" w:styleId="65">
    <w:name w:val="页眉 Char1"/>
    <w:autoRedefine/>
    <w:semiHidden/>
    <w:qFormat/>
    <w:uiPriority w:val="99"/>
    <w:rPr>
      <w:rFonts w:ascii="Times New Roman" w:hAnsi="Times New Roman" w:eastAsia="宋体" w:cs="Times New Roman"/>
      <w:sz w:val="18"/>
      <w:szCs w:val="18"/>
    </w:rPr>
  </w:style>
  <w:style w:type="character" w:customStyle="1" w:styleId="66">
    <w:name w:val="H2 Char"/>
    <w:autoRedefine/>
    <w:qFormat/>
    <w:uiPriority w:val="0"/>
    <w:rPr>
      <w:rFonts w:ascii="Cambria" w:hAnsi="Cambria" w:eastAsia="宋体" w:cs="Times New Roman"/>
      <w:b/>
      <w:bCs/>
      <w:sz w:val="32"/>
      <w:szCs w:val="32"/>
    </w:rPr>
  </w:style>
  <w:style w:type="character" w:customStyle="1" w:styleId="67">
    <w:name w:val="* table text Char"/>
    <w:link w:val="68"/>
    <w:autoRedefine/>
    <w:qFormat/>
    <w:locked/>
    <w:uiPriority w:val="0"/>
    <w:rPr>
      <w:rFonts w:ascii="Arial" w:hAnsi="Arial" w:eastAsia="宋体"/>
      <w:color w:val="333333"/>
      <w:sz w:val="18"/>
      <w:szCs w:val="18"/>
      <w:lang w:bidi="ar-SA"/>
    </w:rPr>
  </w:style>
  <w:style w:type="paragraph" w:customStyle="1" w:styleId="68">
    <w:name w:val="* table text"/>
    <w:basedOn w:val="1"/>
    <w:link w:val="67"/>
    <w:autoRedefine/>
    <w:qFormat/>
    <w:uiPriority w:val="0"/>
    <w:pPr>
      <w:widowControl/>
    </w:pPr>
    <w:rPr>
      <w:rFonts w:ascii="Arial" w:hAnsi="Arial"/>
      <w:color w:val="333333"/>
      <w:kern w:val="0"/>
      <w:sz w:val="18"/>
      <w:szCs w:val="18"/>
    </w:rPr>
  </w:style>
  <w:style w:type="character" w:customStyle="1" w:styleId="69">
    <w:name w:val="批注文字 字符"/>
    <w:link w:val="18"/>
    <w:autoRedefine/>
    <w:qFormat/>
    <w:uiPriority w:val="0"/>
    <w:rPr>
      <w:szCs w:val="24"/>
    </w:rPr>
  </w:style>
  <w:style w:type="character" w:customStyle="1" w:styleId="70">
    <w:name w:val="Char Char12"/>
    <w:autoRedefine/>
    <w:qFormat/>
    <w:uiPriority w:val="0"/>
    <w:rPr>
      <w:rFonts w:ascii="仿宋_GB2312" w:hAnsi="宋体" w:eastAsia="仿宋_GB2312"/>
      <w:color w:val="000000"/>
      <w:kern w:val="2"/>
      <w:sz w:val="24"/>
      <w:szCs w:val="24"/>
    </w:rPr>
  </w:style>
  <w:style w:type="character" w:customStyle="1" w:styleId="71">
    <w:name w:val="Char Char23"/>
    <w:autoRedefine/>
    <w:qFormat/>
    <w:uiPriority w:val="0"/>
    <w:rPr>
      <w:b/>
      <w:bCs/>
      <w:kern w:val="2"/>
      <w:sz w:val="28"/>
      <w:szCs w:val="28"/>
    </w:rPr>
  </w:style>
  <w:style w:type="character" w:customStyle="1" w:styleId="72">
    <w:name w:val="Char Char27"/>
    <w:autoRedefine/>
    <w:qFormat/>
    <w:uiPriority w:val="0"/>
    <w:rPr>
      <w:b/>
      <w:bCs/>
      <w:kern w:val="44"/>
      <w:sz w:val="44"/>
      <w:szCs w:val="44"/>
    </w:rPr>
  </w:style>
  <w:style w:type="character" w:customStyle="1" w:styleId="73">
    <w:name w:val="Char Char1111"/>
    <w:autoRedefine/>
    <w:qFormat/>
    <w:uiPriority w:val="0"/>
    <w:rPr>
      <w:kern w:val="2"/>
      <w:sz w:val="28"/>
      <w:szCs w:val="24"/>
    </w:rPr>
  </w:style>
  <w:style w:type="character" w:customStyle="1" w:styleId="74">
    <w:name w:val="正文文本 字符"/>
    <w:autoRedefine/>
    <w:qFormat/>
    <w:uiPriority w:val="0"/>
    <w:rPr>
      <w:rFonts w:ascii="Times New Roman" w:hAnsi="Times New Roman" w:eastAsia="宋体" w:cs="Times New Roman"/>
      <w:kern w:val="0"/>
      <w:sz w:val="28"/>
      <w:szCs w:val="24"/>
    </w:rPr>
  </w:style>
  <w:style w:type="character" w:customStyle="1" w:styleId="75">
    <w:name w:val="无格式标题 Char"/>
    <w:link w:val="76"/>
    <w:autoRedefine/>
    <w:qFormat/>
    <w:uiPriority w:val="0"/>
    <w:rPr>
      <w:rFonts w:ascii="微软雅黑" w:hAnsi="微软雅黑" w:eastAsia="微软雅黑"/>
      <w:b/>
      <w:szCs w:val="24"/>
      <w:lang w:bidi="ar-SA"/>
    </w:rPr>
  </w:style>
  <w:style w:type="paragraph" w:customStyle="1" w:styleId="76">
    <w:name w:val="无格式标题"/>
    <w:basedOn w:val="1"/>
    <w:link w:val="75"/>
    <w:autoRedefine/>
    <w:qFormat/>
    <w:uiPriority w:val="0"/>
    <w:pPr>
      <w:spacing w:line="360" w:lineRule="auto"/>
    </w:pPr>
    <w:rPr>
      <w:rFonts w:ascii="微软雅黑" w:hAnsi="微软雅黑" w:eastAsia="微软雅黑"/>
      <w:b/>
      <w:kern w:val="0"/>
      <w:sz w:val="20"/>
    </w:rPr>
  </w:style>
  <w:style w:type="character" w:customStyle="1" w:styleId="77">
    <w:name w:val="普通(网站) 字符"/>
    <w:link w:val="46"/>
    <w:autoRedefine/>
    <w:qFormat/>
    <w:uiPriority w:val="0"/>
    <w:rPr>
      <w:rFonts w:ascii="宋体" w:hAnsi="宋体"/>
      <w:sz w:val="24"/>
      <w:szCs w:val="24"/>
    </w:rPr>
  </w:style>
  <w:style w:type="character" w:customStyle="1" w:styleId="78">
    <w:name w:val="标题 3 Char1"/>
    <w:autoRedefine/>
    <w:qFormat/>
    <w:uiPriority w:val="0"/>
    <w:rPr>
      <w:rFonts w:ascii="Times New Roman" w:hAnsi="Times New Roman" w:eastAsia="宋体" w:cs="Times New Roman"/>
      <w:b/>
      <w:bCs/>
      <w:sz w:val="32"/>
      <w:szCs w:val="32"/>
    </w:rPr>
  </w:style>
  <w:style w:type="character" w:customStyle="1" w:styleId="79">
    <w:name w:val="Heading 9 Char"/>
    <w:autoRedefine/>
    <w:semiHidden/>
    <w:qFormat/>
    <w:locked/>
    <w:uiPriority w:val="0"/>
    <w:rPr>
      <w:rFonts w:ascii="Cambria" w:hAnsi="Cambria" w:eastAsia="宋体" w:cs="Times New Roman"/>
      <w:kern w:val="0"/>
      <w:sz w:val="21"/>
      <w:szCs w:val="21"/>
    </w:rPr>
  </w:style>
  <w:style w:type="character" w:customStyle="1" w:styleId="80">
    <w:name w:val="中等深浅网格 2 字符"/>
    <w:link w:val="81"/>
    <w:autoRedefine/>
    <w:qFormat/>
    <w:uiPriority w:val="1"/>
    <w:rPr>
      <w:kern w:val="2"/>
      <w:sz w:val="21"/>
      <w:szCs w:val="24"/>
      <w:lang w:val="en-US" w:eastAsia="zh-CN" w:bidi="ar-SA"/>
    </w:rPr>
  </w:style>
  <w:style w:type="paragraph" w:customStyle="1" w:styleId="81">
    <w:name w:val="中等深浅网格 21"/>
    <w:link w:val="80"/>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autoRedefine/>
    <w:qFormat/>
    <w:uiPriority w:val="0"/>
    <w:rPr>
      <w:rFonts w:eastAsia="宋体"/>
      <w:szCs w:val="21"/>
      <w:lang w:bidi="ar-SA"/>
    </w:rPr>
  </w:style>
  <w:style w:type="paragraph" w:customStyle="1" w:styleId="83">
    <w:name w:val="段落文本"/>
    <w:basedOn w:val="1"/>
    <w:link w:val="82"/>
    <w:autoRedefine/>
    <w:qFormat/>
    <w:uiPriority w:val="0"/>
    <w:pPr>
      <w:spacing w:line="360" w:lineRule="auto"/>
      <w:ind w:firstLine="420"/>
    </w:pPr>
    <w:rPr>
      <w:kern w:val="0"/>
      <w:sz w:val="20"/>
      <w:szCs w:val="21"/>
    </w:rPr>
  </w:style>
  <w:style w:type="character" w:customStyle="1" w:styleId="84">
    <w:name w:val="批注文字 Char1"/>
    <w:autoRedefine/>
    <w:semiHidden/>
    <w:qFormat/>
    <w:uiPriority w:val="99"/>
    <w:rPr>
      <w:rFonts w:ascii="Times New Roman" w:hAnsi="Times New Roman" w:eastAsia="宋体" w:cs="Times New Roman"/>
      <w:szCs w:val="24"/>
    </w:rPr>
  </w:style>
  <w:style w:type="character" w:customStyle="1" w:styleId="85">
    <w:name w:val="￥正文 Char Char"/>
    <w:autoRedefine/>
    <w:qFormat/>
    <w:uiPriority w:val="0"/>
    <w:rPr>
      <w:rFonts w:ascii="Calibri" w:hAnsi="Calibri"/>
      <w:sz w:val="24"/>
    </w:rPr>
  </w:style>
  <w:style w:type="character" w:customStyle="1" w:styleId="86">
    <w:name w:val="Char Char5"/>
    <w:autoRedefine/>
    <w:qFormat/>
    <w:uiPriority w:val="0"/>
    <w:rPr>
      <w:rFonts w:ascii="宋体" w:hAnsi="宋体"/>
      <w:sz w:val="24"/>
      <w:szCs w:val="24"/>
    </w:rPr>
  </w:style>
  <w:style w:type="character" w:customStyle="1" w:styleId="87">
    <w:name w:val="Heading 3 Char"/>
    <w:autoRedefine/>
    <w:semiHidden/>
    <w:qFormat/>
    <w:locked/>
    <w:uiPriority w:val="0"/>
    <w:rPr>
      <w:rFonts w:cs="Times New Roman"/>
      <w:b/>
      <w:bCs/>
      <w:kern w:val="0"/>
      <w:sz w:val="32"/>
      <w:szCs w:val="32"/>
    </w:rPr>
  </w:style>
  <w:style w:type="character" w:customStyle="1" w:styleId="88">
    <w:name w:val="Char Char21"/>
    <w:autoRedefine/>
    <w:qFormat/>
    <w:uiPriority w:val="0"/>
    <w:rPr>
      <w:b/>
      <w:bCs/>
      <w:kern w:val="2"/>
      <w:sz w:val="24"/>
      <w:szCs w:val="24"/>
    </w:rPr>
  </w:style>
  <w:style w:type="character" w:customStyle="1" w:styleId="89">
    <w:name w:val="正文样式 Char"/>
    <w:link w:val="90"/>
    <w:autoRedefine/>
    <w:qFormat/>
    <w:uiPriority w:val="0"/>
    <w:rPr>
      <w:rFonts w:ascii="宋体" w:hAnsi="Calibri" w:eastAsia="宋体" w:cs="宋体"/>
      <w:sz w:val="24"/>
      <w:szCs w:val="24"/>
      <w:lang w:val="zh-CN" w:eastAsia="en-US" w:bidi="he-IL"/>
    </w:rPr>
  </w:style>
  <w:style w:type="paragraph" w:customStyle="1" w:styleId="90">
    <w:name w:val="正文样式"/>
    <w:basedOn w:val="1"/>
    <w:link w:val="89"/>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autoRedefine/>
    <w:semiHidden/>
    <w:qFormat/>
    <w:locked/>
    <w:uiPriority w:val="0"/>
    <w:rPr>
      <w:rFonts w:ascii="Cambria" w:hAnsi="Cambria" w:eastAsia="宋体" w:cs="Times New Roman"/>
      <w:kern w:val="0"/>
      <w:sz w:val="24"/>
      <w:szCs w:val="24"/>
    </w:rPr>
  </w:style>
  <w:style w:type="character" w:customStyle="1" w:styleId="92">
    <w:name w:val="内容文本 Char"/>
    <w:link w:val="93"/>
    <w:autoRedefine/>
    <w:qFormat/>
    <w:uiPriority w:val="0"/>
    <w:rPr>
      <w:rFonts w:ascii="宋体" w:hAnsi="宋体" w:eastAsia="宋体"/>
      <w:kern w:val="2"/>
      <w:sz w:val="24"/>
      <w:szCs w:val="24"/>
      <w:lang w:bidi="ar-SA"/>
    </w:rPr>
  </w:style>
  <w:style w:type="paragraph" w:customStyle="1" w:styleId="93">
    <w:name w:val="内容文本"/>
    <w:basedOn w:val="1"/>
    <w:link w:val="92"/>
    <w:autoRedefine/>
    <w:qFormat/>
    <w:uiPriority w:val="0"/>
    <w:pPr>
      <w:spacing w:line="360" w:lineRule="auto"/>
      <w:ind w:firstLine="480" w:firstLineChars="200"/>
    </w:pPr>
    <w:rPr>
      <w:rFonts w:ascii="宋体" w:hAnsi="宋体"/>
      <w:sz w:val="24"/>
    </w:rPr>
  </w:style>
  <w:style w:type="character" w:customStyle="1" w:styleId="94">
    <w:name w:val="正文文本缩进 3 字符"/>
    <w:link w:val="41"/>
    <w:autoRedefine/>
    <w:qFormat/>
    <w:uiPriority w:val="0"/>
    <w:rPr>
      <w:rFonts w:ascii="仿宋_GB2312" w:hAnsi="宋体" w:eastAsia="仿宋_GB2312"/>
      <w:color w:val="000000"/>
      <w:sz w:val="24"/>
      <w:szCs w:val="24"/>
    </w:rPr>
  </w:style>
  <w:style w:type="character" w:customStyle="1" w:styleId="95">
    <w:name w:val="Char Char3"/>
    <w:autoRedefine/>
    <w:qFormat/>
    <w:uiPriority w:val="0"/>
    <w:rPr>
      <w:kern w:val="2"/>
      <w:sz w:val="24"/>
      <w:szCs w:val="24"/>
    </w:rPr>
  </w:style>
  <w:style w:type="character" w:customStyle="1" w:styleId="96">
    <w:name w:val="Char Char8"/>
    <w:autoRedefine/>
    <w:qFormat/>
    <w:uiPriority w:val="0"/>
    <w:rPr>
      <w:rFonts w:eastAsia="楷体_GB2312"/>
      <w:kern w:val="2"/>
      <w:sz w:val="32"/>
    </w:rPr>
  </w:style>
  <w:style w:type="character" w:customStyle="1" w:styleId="97">
    <w:name w:val="Char Char18"/>
    <w:autoRedefine/>
    <w:qFormat/>
    <w:uiPriority w:val="0"/>
    <w:rPr>
      <w:rFonts w:eastAsia="黑体"/>
      <w:sz w:val="18"/>
      <w:szCs w:val="18"/>
    </w:rPr>
  </w:style>
  <w:style w:type="character" w:customStyle="1" w:styleId="98">
    <w:name w:val="h Char"/>
    <w:autoRedefine/>
    <w:qFormat/>
    <w:uiPriority w:val="0"/>
    <w:rPr>
      <w:rFonts w:ascii="Times New Roman" w:hAnsi="Times New Roman" w:eastAsia="宋体" w:cs="Times New Roman"/>
      <w:sz w:val="18"/>
      <w:szCs w:val="18"/>
    </w:rPr>
  </w:style>
  <w:style w:type="character" w:customStyle="1" w:styleId="99">
    <w:name w:val="Heading 4 Char"/>
    <w:autoRedefine/>
    <w:qFormat/>
    <w:locked/>
    <w:uiPriority w:val="0"/>
    <w:rPr>
      <w:rFonts w:cs="Times New Roman"/>
      <w:b/>
      <w:sz w:val="21"/>
    </w:rPr>
  </w:style>
  <w:style w:type="character" w:customStyle="1" w:styleId="100">
    <w:name w:val="zhenwen14"/>
    <w:autoRedefine/>
    <w:qFormat/>
    <w:uiPriority w:val="0"/>
    <w:rPr>
      <w:color w:val="085994"/>
      <w:sz w:val="18"/>
      <w:szCs w:val="18"/>
    </w:rPr>
  </w:style>
  <w:style w:type="character" w:customStyle="1" w:styleId="101">
    <w:name w:val="中等深浅网格 1 - 强调文字颜色 2 Char"/>
    <w:link w:val="102"/>
    <w:autoRedefine/>
    <w:qFormat/>
    <w:uiPriority w:val="0"/>
    <w:rPr>
      <w:rFonts w:ascii="Calibri" w:hAnsi="Calibri" w:eastAsia="宋体"/>
      <w:sz w:val="24"/>
      <w:lang w:bidi="ar-SA"/>
    </w:rPr>
  </w:style>
  <w:style w:type="paragraph" w:customStyle="1" w:styleId="102">
    <w:name w:val="中等深浅网格 1 - 强调文字颜色 21"/>
    <w:basedOn w:val="1"/>
    <w:link w:val="101"/>
    <w:autoRedefine/>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5"/>
    <w:autoRedefine/>
    <w:qFormat/>
    <w:uiPriority w:val="0"/>
    <w:rPr>
      <w:rFonts w:ascii="Arial" w:hAnsi="Arial" w:eastAsia="黑体" w:cs="Times New Roman"/>
      <w:b/>
      <w:bCs/>
      <w:kern w:val="0"/>
      <w:sz w:val="28"/>
      <w:szCs w:val="28"/>
    </w:rPr>
  </w:style>
  <w:style w:type="character" w:customStyle="1" w:styleId="104">
    <w:name w:val="Char Char2"/>
    <w:autoRedefine/>
    <w:qFormat/>
    <w:uiPriority w:val="0"/>
    <w:rPr>
      <w:rFonts w:ascii="宋体" w:hAnsi="宋体"/>
      <w:color w:val="000000"/>
      <w:kern w:val="2"/>
      <w:sz w:val="24"/>
      <w:szCs w:val="24"/>
    </w:rPr>
  </w:style>
  <w:style w:type="character" w:customStyle="1" w:styleId="105">
    <w:name w:val="Char Char24"/>
    <w:autoRedefine/>
    <w:qFormat/>
    <w:uiPriority w:val="0"/>
    <w:rPr>
      <w:rFonts w:ascii="Arial" w:hAnsi="Arial" w:eastAsia="黑体"/>
      <w:b/>
      <w:bCs/>
      <w:kern w:val="2"/>
      <w:sz w:val="28"/>
      <w:szCs w:val="28"/>
    </w:rPr>
  </w:style>
  <w:style w:type="character" w:customStyle="1" w:styleId="106">
    <w:name w:val="样式 (中文) 放宋 小四号"/>
    <w:autoRedefine/>
    <w:qFormat/>
    <w:uiPriority w:val="0"/>
    <w:rPr>
      <w:rFonts w:eastAsia="仿宋_GB2312"/>
      <w:sz w:val="24"/>
    </w:rPr>
  </w:style>
  <w:style w:type="character" w:customStyle="1" w:styleId="107">
    <w:name w:val="日期 Char1"/>
    <w:autoRedefine/>
    <w:semiHidden/>
    <w:qFormat/>
    <w:uiPriority w:val="99"/>
    <w:rPr>
      <w:rFonts w:ascii="Times New Roman" w:hAnsi="Times New Roman" w:eastAsia="宋体" w:cs="Times New Roman"/>
      <w:szCs w:val="24"/>
    </w:rPr>
  </w:style>
  <w:style w:type="character" w:customStyle="1" w:styleId="108">
    <w:name w:val="font31"/>
    <w:autoRedefine/>
    <w:qFormat/>
    <w:uiPriority w:val="0"/>
    <w:rPr>
      <w:rFonts w:hint="default" w:ascii="Times New Roman" w:hAnsi="Times New Roman" w:cs="Times New Roman"/>
      <w:color w:val="000000"/>
      <w:sz w:val="20"/>
      <w:szCs w:val="20"/>
      <w:u w:val="none"/>
    </w:rPr>
  </w:style>
  <w:style w:type="character" w:customStyle="1" w:styleId="109">
    <w:name w:val="样式 加粗"/>
    <w:autoRedefine/>
    <w:qFormat/>
    <w:uiPriority w:val="0"/>
    <w:rPr>
      <w:rFonts w:eastAsia="仿宋_GB2312"/>
      <w:b/>
      <w:bCs/>
      <w:sz w:val="24"/>
    </w:rPr>
  </w:style>
  <w:style w:type="character" w:customStyle="1" w:styleId="110">
    <w:name w:val="常规 Char"/>
    <w:link w:val="111"/>
    <w:autoRedefine/>
    <w:qFormat/>
    <w:uiPriority w:val="0"/>
    <w:rPr>
      <w:rFonts w:eastAsia="宋体"/>
      <w:szCs w:val="21"/>
      <w:lang w:bidi="ar-SA"/>
    </w:rPr>
  </w:style>
  <w:style w:type="paragraph" w:customStyle="1" w:styleId="111">
    <w:name w:val="常规"/>
    <w:basedOn w:val="1"/>
    <w:link w:val="110"/>
    <w:autoRedefine/>
    <w:qFormat/>
    <w:uiPriority w:val="0"/>
    <w:pPr>
      <w:spacing w:beforeLines="100" w:afterLines="100"/>
      <w:ind w:left="1134"/>
    </w:pPr>
    <w:rPr>
      <w:kern w:val="0"/>
      <w:sz w:val="20"/>
      <w:szCs w:val="21"/>
    </w:rPr>
  </w:style>
  <w:style w:type="character" w:customStyle="1" w:styleId="112">
    <w:name w:val="正文文本 3 字符"/>
    <w:link w:val="19"/>
    <w:autoRedefine/>
    <w:qFormat/>
    <w:uiPriority w:val="0"/>
    <w:rPr>
      <w:rFonts w:hAnsi="宋体" w:eastAsia="仿宋_GB2312"/>
      <w:b/>
      <w:bCs/>
      <w:sz w:val="24"/>
    </w:rPr>
  </w:style>
  <w:style w:type="character" w:customStyle="1" w:styleId="113">
    <w:name w:val="普通 (Web) Char1"/>
    <w:autoRedefine/>
    <w:qFormat/>
    <w:locked/>
    <w:uiPriority w:val="0"/>
    <w:rPr>
      <w:rFonts w:ascii="宋体" w:hAnsi="宋体" w:eastAsia="宋体"/>
      <w:sz w:val="24"/>
      <w:szCs w:val="24"/>
      <w:lang w:val="en-US" w:eastAsia="zh-CN" w:bidi="ar-SA"/>
    </w:rPr>
  </w:style>
  <w:style w:type="character" w:customStyle="1" w:styleId="114">
    <w:name w:val="Heading 2 Char"/>
    <w:autoRedefine/>
    <w:semiHidden/>
    <w:qFormat/>
    <w:locked/>
    <w:uiPriority w:val="0"/>
    <w:rPr>
      <w:rFonts w:ascii="Cambria" w:hAnsi="Cambria" w:eastAsia="宋体" w:cs="Times New Roman"/>
      <w:b/>
      <w:bCs/>
      <w:kern w:val="0"/>
      <w:sz w:val="32"/>
      <w:szCs w:val="32"/>
    </w:rPr>
  </w:style>
  <w:style w:type="character" w:customStyle="1" w:styleId="115">
    <w:name w:val="Body Text Char"/>
    <w:autoRedefine/>
    <w:semiHidden/>
    <w:qFormat/>
    <w:locked/>
    <w:uiPriority w:val="0"/>
    <w:rPr>
      <w:rFonts w:cs="Times New Roman"/>
      <w:kern w:val="0"/>
      <w:sz w:val="21"/>
      <w:szCs w:val="21"/>
    </w:rPr>
  </w:style>
  <w:style w:type="character" w:customStyle="1" w:styleId="116">
    <w:name w:val="正文首行缩进1 Char"/>
    <w:autoRedefine/>
    <w:qFormat/>
    <w:uiPriority w:val="0"/>
    <w:rPr>
      <w:rFonts w:ascii="Arial" w:hAnsi="Arial" w:eastAsia="宋体"/>
      <w:sz w:val="24"/>
      <w:szCs w:val="21"/>
      <w:lang w:bidi="ar-SA"/>
    </w:rPr>
  </w:style>
  <w:style w:type="character" w:customStyle="1" w:styleId="117">
    <w:name w:val="正文缩进 字符1"/>
    <w:link w:val="13"/>
    <w:autoRedefine/>
    <w:qFormat/>
    <w:uiPriority w:val="0"/>
    <w:rPr>
      <w:rFonts w:eastAsia="宋体"/>
    </w:rPr>
  </w:style>
  <w:style w:type="character" w:customStyle="1" w:styleId="118">
    <w:name w:val="标题 7 字符"/>
    <w:link w:val="8"/>
    <w:autoRedefine/>
    <w:qFormat/>
    <w:uiPriority w:val="0"/>
    <w:rPr>
      <w:rFonts w:ascii="Times New Roman" w:hAnsi="Times New Roman" w:eastAsia="宋体" w:cs="Times New Roman"/>
      <w:b/>
      <w:bCs/>
      <w:kern w:val="0"/>
      <w:sz w:val="24"/>
      <w:szCs w:val="24"/>
    </w:rPr>
  </w:style>
  <w:style w:type="character" w:customStyle="1" w:styleId="119">
    <w:name w:val="Char Char6"/>
    <w:autoRedefine/>
    <w:qFormat/>
    <w:uiPriority w:val="0"/>
    <w:rPr>
      <w:rFonts w:ascii="Cambria" w:hAnsi="Cambria"/>
      <w:b/>
      <w:bCs/>
      <w:kern w:val="2"/>
      <w:sz w:val="32"/>
      <w:szCs w:val="32"/>
    </w:rPr>
  </w:style>
  <w:style w:type="character" w:customStyle="1" w:styleId="120">
    <w:name w:val="正文文本 字符1"/>
    <w:link w:val="20"/>
    <w:autoRedefine/>
    <w:qFormat/>
    <w:uiPriority w:val="0"/>
    <w:rPr>
      <w:rFonts w:ascii="Times New Roman" w:hAnsi="Times New Roman" w:eastAsia="宋体" w:cs="Times New Roman"/>
      <w:kern w:val="0"/>
      <w:sz w:val="28"/>
      <w:szCs w:val="24"/>
    </w:rPr>
  </w:style>
  <w:style w:type="character" w:customStyle="1" w:styleId="121">
    <w:name w:val="style171"/>
    <w:autoRedefine/>
    <w:qFormat/>
    <w:uiPriority w:val="0"/>
    <w:rPr>
      <w:sz w:val="20"/>
      <w:szCs w:val="20"/>
    </w:rPr>
  </w:style>
  <w:style w:type="character" w:customStyle="1" w:styleId="122">
    <w:name w:val="标题 1 字符1"/>
    <w:link w:val="2"/>
    <w:autoRedefine/>
    <w:qFormat/>
    <w:uiPriority w:val="9"/>
    <w:rPr>
      <w:rFonts w:ascii="Times New Roman" w:hAnsi="Times New Roman" w:eastAsia="宋体" w:cs="Times New Roman"/>
      <w:b/>
      <w:bCs/>
      <w:kern w:val="44"/>
      <w:sz w:val="44"/>
      <w:szCs w:val="44"/>
    </w:rPr>
  </w:style>
  <w:style w:type="character" w:customStyle="1" w:styleId="123">
    <w:name w:val="newscontent1"/>
    <w:autoRedefine/>
    <w:qFormat/>
    <w:uiPriority w:val="0"/>
    <w:rPr>
      <w:rFonts w:hint="default" w:ascii="Verdana" w:hAnsi="Verdana"/>
      <w:color w:val="333333"/>
      <w:sz w:val="18"/>
      <w:szCs w:val="18"/>
    </w:rPr>
  </w:style>
  <w:style w:type="character" w:customStyle="1" w:styleId="124">
    <w:name w:val="H1 Char"/>
    <w:autoRedefine/>
    <w:qFormat/>
    <w:uiPriority w:val="0"/>
    <w:rPr>
      <w:rFonts w:ascii="Times New Roman" w:hAnsi="Times New Roman" w:eastAsia="宋体" w:cs="Times New Roman"/>
      <w:b/>
      <w:bCs/>
      <w:kern w:val="44"/>
      <w:sz w:val="44"/>
      <w:szCs w:val="44"/>
    </w:rPr>
  </w:style>
  <w:style w:type="character" w:customStyle="1" w:styleId="125">
    <w:name w:val="标题 2 字符"/>
    <w:link w:val="3"/>
    <w:autoRedefine/>
    <w:qFormat/>
    <w:uiPriority w:val="9"/>
    <w:rPr>
      <w:rFonts w:ascii="Arial" w:hAnsi="Arial" w:eastAsia="黑体" w:cs="Times New Roman"/>
      <w:b/>
      <w:bCs/>
      <w:kern w:val="0"/>
      <w:sz w:val="32"/>
      <w:szCs w:val="32"/>
    </w:rPr>
  </w:style>
  <w:style w:type="character" w:customStyle="1" w:styleId="126">
    <w:name w:val="style211"/>
    <w:autoRedefine/>
    <w:qFormat/>
    <w:uiPriority w:val="0"/>
    <w:rPr>
      <w:color w:val="0000FF"/>
    </w:rPr>
  </w:style>
  <w:style w:type="character" w:customStyle="1" w:styleId="127">
    <w:name w:val="con-all2"/>
    <w:autoRedefine/>
    <w:qFormat/>
    <w:uiPriority w:val="0"/>
  </w:style>
  <w:style w:type="character" w:customStyle="1" w:styleId="128">
    <w:name w:val="!标题3 Ctrl+3 Char"/>
    <w:link w:val="129"/>
    <w:autoRedefine/>
    <w:qFormat/>
    <w:locked/>
    <w:uiPriority w:val="0"/>
    <w:rPr>
      <w:rFonts w:ascii="Arial" w:hAnsi="Arial" w:eastAsia="黑体"/>
      <w:b/>
      <w:kern w:val="2"/>
      <w:sz w:val="32"/>
      <w:szCs w:val="32"/>
    </w:rPr>
  </w:style>
  <w:style w:type="paragraph" w:customStyle="1" w:styleId="129">
    <w:name w:val="!标题3 Ctrl+3"/>
    <w:basedOn w:val="4"/>
    <w:next w:val="1"/>
    <w:link w:val="128"/>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autoRedefine/>
    <w:qFormat/>
    <w:uiPriority w:val="0"/>
    <w:rPr>
      <w:rFonts w:hint="eastAsia" w:ascii="宋体" w:hAnsi="宋体" w:eastAsia="宋体" w:cs="宋体"/>
      <w:color w:val="000000"/>
      <w:sz w:val="24"/>
      <w:szCs w:val="24"/>
      <w:u w:val="none"/>
    </w:rPr>
  </w:style>
  <w:style w:type="character" w:customStyle="1" w:styleId="131">
    <w:name w:val="正文文本缩进 Char1"/>
    <w:autoRedefine/>
    <w:semiHidden/>
    <w:qFormat/>
    <w:uiPriority w:val="99"/>
    <w:rPr>
      <w:rFonts w:ascii="Times New Roman" w:hAnsi="Times New Roman" w:eastAsia="宋体" w:cs="Times New Roman"/>
      <w:szCs w:val="24"/>
    </w:rPr>
  </w:style>
  <w:style w:type="character" w:customStyle="1" w:styleId="132">
    <w:name w:val="Char Char25"/>
    <w:autoRedefine/>
    <w:qFormat/>
    <w:uiPriority w:val="0"/>
    <w:rPr>
      <w:rFonts w:eastAsia="楷体_GB2312"/>
      <w:b/>
      <w:bCs/>
      <w:kern w:val="2"/>
      <w:sz w:val="32"/>
      <w:szCs w:val="32"/>
    </w:rPr>
  </w:style>
  <w:style w:type="character" w:customStyle="1" w:styleId="133">
    <w:name w:val="Char Char14"/>
    <w:autoRedefine/>
    <w:qFormat/>
    <w:uiPriority w:val="0"/>
    <w:rPr>
      <w:kern w:val="2"/>
      <w:sz w:val="18"/>
      <w:szCs w:val="18"/>
    </w:rPr>
  </w:style>
  <w:style w:type="character" w:customStyle="1" w:styleId="134">
    <w:name w:val="unnamed21"/>
    <w:autoRedefine/>
    <w:qFormat/>
    <w:uiPriority w:val="0"/>
    <w:rPr>
      <w:b/>
      <w:bCs/>
      <w:spacing w:val="330"/>
      <w:sz w:val="21"/>
      <w:szCs w:val="21"/>
    </w:rPr>
  </w:style>
  <w:style w:type="character" w:customStyle="1" w:styleId="135">
    <w:name w:val="body1"/>
    <w:autoRedefine/>
    <w:qFormat/>
    <w:uiPriority w:val="0"/>
    <w:rPr>
      <w:rFonts w:hint="default"/>
      <w:sz w:val="18"/>
    </w:rPr>
  </w:style>
  <w:style w:type="character" w:customStyle="1" w:styleId="136">
    <w:name w:val="标题 字符"/>
    <w:link w:val="48"/>
    <w:autoRedefine/>
    <w:qFormat/>
    <w:uiPriority w:val="0"/>
    <w:rPr>
      <w:rFonts w:ascii="Cambria" w:hAnsi="Cambria"/>
      <w:b/>
      <w:bCs/>
      <w:sz w:val="32"/>
      <w:szCs w:val="32"/>
    </w:rPr>
  </w:style>
  <w:style w:type="character" w:customStyle="1" w:styleId="137">
    <w:name w:val="批注框文本 字符"/>
    <w:link w:val="35"/>
    <w:autoRedefine/>
    <w:qFormat/>
    <w:uiPriority w:val="99"/>
    <w:rPr>
      <w:sz w:val="18"/>
      <w:szCs w:val="18"/>
    </w:rPr>
  </w:style>
  <w:style w:type="character" w:customStyle="1" w:styleId="138">
    <w:name w:val="表格文本 Char Char"/>
    <w:link w:val="139"/>
    <w:autoRedefine/>
    <w:qFormat/>
    <w:uiPriority w:val="0"/>
    <w:rPr>
      <w:rFonts w:ascii="Arial" w:hAnsi="Arial"/>
      <w:kern w:val="2"/>
      <w:sz w:val="21"/>
      <w:szCs w:val="21"/>
      <w:lang w:val="en-US" w:eastAsia="zh-CN" w:bidi="ar-SA"/>
    </w:rPr>
  </w:style>
  <w:style w:type="paragraph" w:customStyle="1" w:styleId="139">
    <w:name w:val="表格文本 Char"/>
    <w:link w:val="138"/>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autoRedefine/>
    <w:semiHidden/>
    <w:qFormat/>
    <w:uiPriority w:val="99"/>
    <w:rPr>
      <w:rFonts w:ascii="Times New Roman" w:hAnsi="Times New Roman" w:eastAsia="宋体" w:cs="Times New Roman"/>
      <w:b/>
      <w:bCs/>
      <w:szCs w:val="24"/>
    </w:rPr>
  </w:style>
  <w:style w:type="character" w:customStyle="1" w:styleId="141">
    <w:name w:val="页脚 Char1"/>
    <w:autoRedefine/>
    <w:semiHidden/>
    <w:qFormat/>
    <w:uiPriority w:val="99"/>
    <w:rPr>
      <w:rFonts w:ascii="Times New Roman" w:hAnsi="Times New Roman" w:eastAsia="宋体" w:cs="Times New Roman"/>
      <w:sz w:val="18"/>
      <w:szCs w:val="18"/>
    </w:rPr>
  </w:style>
  <w:style w:type="character" w:customStyle="1" w:styleId="142">
    <w:name w:val="文档结构图 字符"/>
    <w:link w:val="16"/>
    <w:autoRedefine/>
    <w:qFormat/>
    <w:uiPriority w:val="99"/>
    <w:rPr>
      <w:szCs w:val="24"/>
      <w:shd w:val="clear" w:color="auto" w:fill="000080"/>
    </w:rPr>
  </w:style>
  <w:style w:type="character" w:customStyle="1" w:styleId="143">
    <w:name w:val="Heading 5 Char"/>
    <w:autoRedefine/>
    <w:semiHidden/>
    <w:qFormat/>
    <w:locked/>
    <w:uiPriority w:val="0"/>
    <w:rPr>
      <w:rFonts w:cs="Times New Roman"/>
      <w:b/>
      <w:bCs/>
      <w:kern w:val="0"/>
      <w:sz w:val="28"/>
      <w:szCs w:val="28"/>
    </w:rPr>
  </w:style>
  <w:style w:type="character" w:customStyle="1" w:styleId="144">
    <w:name w:val="Char Char26"/>
    <w:autoRedefine/>
    <w:qFormat/>
    <w:uiPriority w:val="0"/>
    <w:rPr>
      <w:rFonts w:ascii="Arial" w:hAnsi="Arial" w:eastAsia="黑体"/>
      <w:b/>
      <w:bCs/>
      <w:kern w:val="2"/>
      <w:sz w:val="32"/>
      <w:szCs w:val="32"/>
    </w:rPr>
  </w:style>
  <w:style w:type="character" w:customStyle="1" w:styleId="145">
    <w:name w:val="正文文本 2 Char1"/>
    <w:autoRedefine/>
    <w:semiHidden/>
    <w:qFormat/>
    <w:uiPriority w:val="99"/>
    <w:rPr>
      <w:rFonts w:ascii="Times New Roman" w:hAnsi="Times New Roman" w:eastAsia="宋体" w:cs="Times New Roman"/>
      <w:szCs w:val="24"/>
    </w:rPr>
  </w:style>
  <w:style w:type="character" w:customStyle="1" w:styleId="146">
    <w:name w:val="font41"/>
    <w:autoRedefine/>
    <w:qFormat/>
    <w:uiPriority w:val="0"/>
    <w:rPr>
      <w:rFonts w:hint="eastAsia" w:ascii="宋体" w:hAnsi="宋体" w:eastAsia="宋体" w:cs="宋体"/>
      <w:color w:val="000000"/>
      <w:sz w:val="20"/>
      <w:szCs w:val="20"/>
      <w:u w:val="none"/>
    </w:rPr>
  </w:style>
  <w:style w:type="character" w:customStyle="1" w:styleId="147">
    <w:name w:val="标题 8 字符"/>
    <w:link w:val="9"/>
    <w:autoRedefine/>
    <w:qFormat/>
    <w:uiPriority w:val="0"/>
    <w:rPr>
      <w:rFonts w:ascii="Arial" w:hAnsi="Arial" w:eastAsia="黑体" w:cs="Times New Roman"/>
      <w:kern w:val="0"/>
      <w:sz w:val="24"/>
      <w:szCs w:val="24"/>
    </w:rPr>
  </w:style>
  <w:style w:type="character" w:customStyle="1" w:styleId="148">
    <w:name w:val="BOD 4 Char Char"/>
    <w:autoRedefine/>
    <w:qFormat/>
    <w:uiPriority w:val="0"/>
    <w:rPr>
      <w:rFonts w:ascii="Arial" w:hAnsi="Arial" w:eastAsia="黑体" w:cs="Times New Roman"/>
      <w:b/>
      <w:bCs/>
      <w:sz w:val="24"/>
      <w:szCs w:val="24"/>
    </w:rPr>
  </w:style>
  <w:style w:type="character" w:customStyle="1" w:styleId="149">
    <w:name w:val="Heading 1 Char"/>
    <w:autoRedefine/>
    <w:qFormat/>
    <w:locked/>
    <w:uiPriority w:val="0"/>
    <w:rPr>
      <w:rFonts w:cs="Times New Roman"/>
      <w:b/>
      <w:bCs/>
      <w:kern w:val="44"/>
      <w:sz w:val="44"/>
      <w:szCs w:val="44"/>
    </w:rPr>
  </w:style>
  <w:style w:type="character" w:customStyle="1" w:styleId="150">
    <w:name w:val="txt1"/>
    <w:autoRedefine/>
    <w:qFormat/>
    <w:uiPriority w:val="0"/>
    <w:rPr>
      <w:rFonts w:hint="default" w:ascii="ˎ̥" w:hAnsi="ˎ̥"/>
      <w:sz w:val="18"/>
      <w:szCs w:val="18"/>
    </w:rPr>
  </w:style>
  <w:style w:type="character" w:customStyle="1" w:styleId="151">
    <w:name w:val="Plain Text Char"/>
    <w:autoRedefine/>
    <w:semiHidden/>
    <w:qFormat/>
    <w:locked/>
    <w:uiPriority w:val="0"/>
    <w:rPr>
      <w:rFonts w:ascii="宋体" w:hAnsi="Courier New" w:cs="Courier New"/>
      <w:kern w:val="0"/>
      <w:sz w:val="21"/>
      <w:szCs w:val="21"/>
    </w:rPr>
  </w:style>
  <w:style w:type="character" w:customStyle="1" w:styleId="152">
    <w:name w:val="Char Char1"/>
    <w:autoRedefine/>
    <w:qFormat/>
    <w:uiPriority w:val="0"/>
    <w:rPr>
      <w:kern w:val="2"/>
      <w:sz w:val="21"/>
      <w:szCs w:val="24"/>
    </w:rPr>
  </w:style>
  <w:style w:type="character" w:customStyle="1" w:styleId="153">
    <w:name w:val="标题 5 字符"/>
    <w:link w:val="6"/>
    <w:autoRedefine/>
    <w:qFormat/>
    <w:uiPriority w:val="9"/>
    <w:rPr>
      <w:rFonts w:ascii="Times New Roman" w:hAnsi="Times New Roman" w:eastAsia="宋体" w:cs="Times New Roman"/>
      <w:b/>
      <w:bCs/>
      <w:kern w:val="0"/>
      <w:sz w:val="28"/>
      <w:szCs w:val="28"/>
    </w:rPr>
  </w:style>
  <w:style w:type="character" w:customStyle="1" w:styleId="154">
    <w:name w:val="￥正文 Char"/>
    <w:link w:val="155"/>
    <w:autoRedefine/>
    <w:qFormat/>
    <w:uiPriority w:val="0"/>
    <w:rPr>
      <w:rFonts w:ascii="Calibri" w:hAnsi="Calibri" w:eastAsia="宋体"/>
      <w:sz w:val="24"/>
      <w:lang w:bidi="ar-SA"/>
    </w:rPr>
  </w:style>
  <w:style w:type="paragraph" w:customStyle="1" w:styleId="155">
    <w:name w:val="￥正文"/>
    <w:basedOn w:val="1"/>
    <w:link w:val="154"/>
    <w:autoRedefine/>
    <w:qFormat/>
    <w:uiPriority w:val="0"/>
    <w:pPr>
      <w:spacing w:line="360" w:lineRule="auto"/>
      <w:ind w:firstLine="200" w:firstLineChars="200"/>
    </w:pPr>
    <w:rPr>
      <w:rFonts w:ascii="Calibri" w:hAnsi="Calibri"/>
      <w:kern w:val="0"/>
      <w:sz w:val="24"/>
      <w:szCs w:val="20"/>
    </w:rPr>
  </w:style>
  <w:style w:type="character" w:customStyle="1" w:styleId="156">
    <w:name w:val="Char Char22"/>
    <w:autoRedefine/>
    <w:qFormat/>
    <w:uiPriority w:val="0"/>
    <w:rPr>
      <w:rFonts w:ascii="Arial" w:hAnsi="Arial" w:eastAsia="黑体"/>
      <w:b/>
      <w:bCs/>
      <w:kern w:val="2"/>
      <w:sz w:val="24"/>
      <w:szCs w:val="24"/>
    </w:rPr>
  </w:style>
  <w:style w:type="character" w:customStyle="1" w:styleId="157">
    <w:name w:val="标题 1 Char Char"/>
    <w:autoRedefine/>
    <w:qFormat/>
    <w:uiPriority w:val="0"/>
    <w:rPr>
      <w:rFonts w:eastAsia="宋体"/>
      <w:b/>
      <w:spacing w:val="-2"/>
      <w:sz w:val="24"/>
      <w:lang w:val="en-US" w:eastAsia="zh-CN" w:bidi="ar-SA"/>
    </w:rPr>
  </w:style>
  <w:style w:type="character" w:customStyle="1" w:styleId="158">
    <w:name w:val="Char Char20"/>
    <w:autoRedefine/>
    <w:qFormat/>
    <w:uiPriority w:val="0"/>
    <w:rPr>
      <w:rFonts w:ascii="Arial" w:hAnsi="Arial" w:eastAsia="黑体"/>
      <w:kern w:val="2"/>
      <w:sz w:val="24"/>
      <w:szCs w:val="24"/>
    </w:rPr>
  </w:style>
  <w:style w:type="character" w:customStyle="1" w:styleId="159">
    <w:name w:val="wj1"/>
    <w:autoRedefine/>
    <w:qFormat/>
    <w:uiPriority w:val="0"/>
    <w:rPr>
      <w:color w:val="000000"/>
      <w:sz w:val="18"/>
      <w:szCs w:val="18"/>
      <w:u w:val="none"/>
    </w:rPr>
  </w:style>
  <w:style w:type="character" w:customStyle="1" w:styleId="160">
    <w:name w:val="font91"/>
    <w:autoRedefine/>
    <w:qFormat/>
    <w:uiPriority w:val="0"/>
    <w:rPr>
      <w:rFonts w:hint="default" w:ascii="Arial" w:hAnsi="Arial" w:cs="Arial"/>
      <w:b/>
      <w:color w:val="auto"/>
      <w:sz w:val="20"/>
      <w:szCs w:val="20"/>
      <w:u w:val="none"/>
    </w:rPr>
  </w:style>
  <w:style w:type="character" w:customStyle="1" w:styleId="161">
    <w:name w:val="Char Char17"/>
    <w:autoRedefine/>
    <w:qFormat/>
    <w:uiPriority w:val="0"/>
    <w:rPr>
      <w:rFonts w:ascii="仿宋_GB2312" w:hAnsi="宋体" w:cs="Arial"/>
      <w:b/>
      <w:bCs/>
      <w:color w:val="000000"/>
      <w:kern w:val="2"/>
      <w:sz w:val="24"/>
      <w:szCs w:val="24"/>
    </w:rPr>
  </w:style>
  <w:style w:type="character" w:customStyle="1" w:styleId="162">
    <w:name w:val="font11"/>
    <w:autoRedefine/>
    <w:qFormat/>
    <w:uiPriority w:val="0"/>
    <w:rPr>
      <w:rFonts w:hint="default" w:ascii="Times New Roman" w:hAnsi="Times New Roman" w:cs="Times New Roman"/>
      <w:color w:val="000000"/>
      <w:sz w:val="20"/>
      <w:szCs w:val="20"/>
      <w:u w:val="none"/>
    </w:rPr>
  </w:style>
  <w:style w:type="character" w:customStyle="1" w:styleId="163">
    <w:name w:val="Normal Indent Char"/>
    <w:autoRedefine/>
    <w:qFormat/>
    <w:locked/>
    <w:uiPriority w:val="0"/>
    <w:rPr>
      <w:sz w:val="20"/>
    </w:rPr>
  </w:style>
  <w:style w:type="character" w:customStyle="1" w:styleId="164">
    <w:name w:val="正文首行缩进 字符"/>
    <w:link w:val="50"/>
    <w:autoRedefine/>
    <w:qFormat/>
    <w:uiPriority w:val="0"/>
    <w:rPr>
      <w:sz w:val="24"/>
      <w:szCs w:val="24"/>
    </w:rPr>
  </w:style>
  <w:style w:type="character" w:customStyle="1" w:styleId="165">
    <w:name w:val="正文文本 3 Char1"/>
    <w:autoRedefine/>
    <w:semiHidden/>
    <w:qFormat/>
    <w:uiPriority w:val="99"/>
    <w:rPr>
      <w:rFonts w:ascii="Times New Roman" w:hAnsi="Times New Roman" w:eastAsia="宋体" w:cs="Times New Roman"/>
      <w:sz w:val="16"/>
      <w:szCs w:val="16"/>
    </w:rPr>
  </w:style>
  <w:style w:type="character" w:customStyle="1" w:styleId="166">
    <w:name w:val="表正文 Char"/>
    <w:autoRedefine/>
    <w:qFormat/>
    <w:uiPriority w:val="0"/>
    <w:rPr>
      <w:rFonts w:ascii="Times New Roman" w:hAnsi="Times New Roman" w:eastAsia="宋体" w:cs="Times New Roman"/>
      <w:szCs w:val="24"/>
    </w:rPr>
  </w:style>
  <w:style w:type="character" w:customStyle="1" w:styleId="167">
    <w:name w:val="Header Char"/>
    <w:autoRedefine/>
    <w:qFormat/>
    <w:locked/>
    <w:uiPriority w:val="0"/>
    <w:rPr>
      <w:rFonts w:ascii="Calibri" w:hAnsi="Calibri" w:eastAsia="宋体" w:cs="Times New Roman"/>
      <w:sz w:val="18"/>
      <w:szCs w:val="18"/>
    </w:rPr>
  </w:style>
  <w:style w:type="character" w:customStyle="1" w:styleId="168">
    <w:name w:val="cn1"/>
    <w:autoRedefine/>
    <w:qFormat/>
    <w:uiPriority w:val="0"/>
  </w:style>
  <w:style w:type="character" w:customStyle="1" w:styleId="169">
    <w:name w:val="样式7 Char"/>
    <w:autoRedefine/>
    <w:qFormat/>
    <w:uiPriority w:val="0"/>
    <w:rPr>
      <w:rFonts w:eastAsia="宋体" w:cs="宋体"/>
      <w:kern w:val="2"/>
      <w:sz w:val="24"/>
      <w:szCs w:val="24"/>
      <w:lang w:val="en-US" w:eastAsia="zh-CN" w:bidi="ar-SA"/>
    </w:rPr>
  </w:style>
  <w:style w:type="character" w:customStyle="1" w:styleId="170">
    <w:name w:val="彩色列表 - 强调文字颜色 1 Char"/>
    <w:link w:val="171"/>
    <w:autoRedefine/>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17"/>
    <w:autoRedefine/>
    <w:qFormat/>
    <w:uiPriority w:val="0"/>
    <w:rPr>
      <w:rFonts w:ascii="Arial" w:hAnsi="Arial" w:eastAsia="宋体" w:cs="Times New Roman"/>
      <w:kern w:val="0"/>
      <w:sz w:val="24"/>
      <w:szCs w:val="20"/>
    </w:rPr>
  </w:style>
  <w:style w:type="character" w:customStyle="1" w:styleId="173">
    <w:name w:val="Char Char13"/>
    <w:autoRedefine/>
    <w:qFormat/>
    <w:uiPriority w:val="0"/>
    <w:rPr>
      <w:b/>
      <w:bCs/>
      <w:kern w:val="2"/>
      <w:sz w:val="21"/>
      <w:szCs w:val="24"/>
    </w:rPr>
  </w:style>
  <w:style w:type="character" w:customStyle="1" w:styleId="174">
    <w:name w:val="页脚 字符"/>
    <w:link w:val="36"/>
    <w:autoRedefine/>
    <w:qFormat/>
    <w:uiPriority w:val="99"/>
    <w:rPr>
      <w:rFonts w:eastAsia="黑体"/>
      <w:sz w:val="18"/>
      <w:szCs w:val="18"/>
    </w:rPr>
  </w:style>
  <w:style w:type="character" w:customStyle="1" w:styleId="175">
    <w:name w:val="日期 字符"/>
    <w:link w:val="33"/>
    <w:autoRedefine/>
    <w:qFormat/>
    <w:uiPriority w:val="0"/>
    <w:rPr>
      <w:rFonts w:eastAsia="楷体_GB2312"/>
      <w:sz w:val="32"/>
    </w:rPr>
  </w:style>
  <w:style w:type="character" w:customStyle="1" w:styleId="176">
    <w:name w:val="标题 3 字符"/>
    <w:link w:val="4"/>
    <w:autoRedefine/>
    <w:qFormat/>
    <w:uiPriority w:val="0"/>
    <w:rPr>
      <w:rFonts w:ascii="Times New Roman" w:hAnsi="Times New Roman" w:eastAsia="楷体_GB2312" w:cs="Times New Roman"/>
      <w:b/>
      <w:bCs/>
      <w:kern w:val="0"/>
      <w:sz w:val="32"/>
      <w:szCs w:val="32"/>
    </w:rPr>
  </w:style>
  <w:style w:type="character" w:customStyle="1" w:styleId="177">
    <w:name w:val="纯文本 Char2"/>
    <w:autoRedefine/>
    <w:semiHidden/>
    <w:qFormat/>
    <w:uiPriority w:val="99"/>
    <w:rPr>
      <w:rFonts w:ascii="宋体" w:hAnsi="Courier New" w:eastAsia="宋体" w:cs="Courier New"/>
      <w:szCs w:val="21"/>
    </w:rPr>
  </w:style>
  <w:style w:type="character" w:customStyle="1" w:styleId="178">
    <w:name w:val="Char Char10"/>
    <w:autoRedefine/>
    <w:qFormat/>
    <w:uiPriority w:val="0"/>
    <w:rPr>
      <w:kern w:val="2"/>
      <w:sz w:val="21"/>
      <w:szCs w:val="24"/>
      <w:shd w:val="clear" w:color="auto" w:fill="000080"/>
    </w:rPr>
  </w:style>
  <w:style w:type="character" w:customStyle="1" w:styleId="179">
    <w:name w:val="纯文本 字符2"/>
    <w:link w:val="31"/>
    <w:autoRedefine/>
    <w:qFormat/>
    <w:uiPriority w:val="0"/>
    <w:rPr>
      <w:rFonts w:ascii="宋体" w:hAnsi="Courier New" w:eastAsia="宋体"/>
      <w:sz w:val="24"/>
      <w:szCs w:val="24"/>
    </w:rPr>
  </w:style>
  <w:style w:type="character" w:customStyle="1" w:styleId="180">
    <w:name w:val="未处理的提及"/>
    <w:autoRedefine/>
    <w:unhideWhenUsed/>
    <w:qFormat/>
    <w:uiPriority w:val="99"/>
    <w:rPr>
      <w:color w:val="605E5C"/>
      <w:shd w:val="clear" w:color="auto" w:fill="E1DFDD"/>
    </w:rPr>
  </w:style>
  <w:style w:type="character" w:customStyle="1" w:styleId="181">
    <w:name w:val="普通段落 Char"/>
    <w:link w:val="182"/>
    <w:autoRedefine/>
    <w:qFormat/>
    <w:uiPriority w:val="0"/>
    <w:rPr>
      <w:rFonts w:ascii="Arial" w:hAnsi="Arial" w:eastAsia="宋体"/>
      <w:lang w:bidi="ar-SA"/>
    </w:rPr>
  </w:style>
  <w:style w:type="paragraph" w:customStyle="1" w:styleId="182">
    <w:name w:val="普通段落"/>
    <w:basedOn w:val="1"/>
    <w:link w:val="181"/>
    <w:autoRedefine/>
    <w:qFormat/>
    <w:uiPriority w:val="0"/>
    <w:pPr>
      <w:spacing w:after="240" w:line="276" w:lineRule="auto"/>
    </w:pPr>
    <w:rPr>
      <w:rFonts w:ascii="Arial" w:hAnsi="Arial"/>
      <w:kern w:val="0"/>
      <w:sz w:val="20"/>
      <w:szCs w:val="20"/>
    </w:rPr>
  </w:style>
  <w:style w:type="character" w:customStyle="1" w:styleId="183">
    <w:name w:val="纯文本 Char1"/>
    <w:autoRedefine/>
    <w:qFormat/>
    <w:uiPriority w:val="0"/>
    <w:rPr>
      <w:rFonts w:ascii="宋体" w:hAnsi="Courier New" w:eastAsia="宋体"/>
      <w:kern w:val="2"/>
      <w:sz w:val="24"/>
      <w:szCs w:val="24"/>
      <w:lang w:val="en-US" w:eastAsia="zh-CN" w:bidi="ar-SA"/>
    </w:rPr>
  </w:style>
  <w:style w:type="character" w:customStyle="1" w:styleId="184">
    <w:name w:val="页脚 Char"/>
    <w:autoRedefine/>
    <w:qFormat/>
    <w:uiPriority w:val="99"/>
    <w:rPr>
      <w:rFonts w:eastAsia="Calibri"/>
      <w:sz w:val="21"/>
    </w:rPr>
  </w:style>
  <w:style w:type="character" w:customStyle="1" w:styleId="185">
    <w:name w:val="正文文本缩进 2 字符"/>
    <w:link w:val="34"/>
    <w:autoRedefine/>
    <w:qFormat/>
    <w:uiPriority w:val="0"/>
    <w:rPr>
      <w:rFonts w:ascii="仿宋_GB2312" w:hAnsi="宋体" w:cs="Arial"/>
      <w:b/>
      <w:bCs/>
      <w:color w:val="000000"/>
      <w:sz w:val="24"/>
      <w:szCs w:val="24"/>
    </w:rPr>
  </w:style>
  <w:style w:type="character" w:customStyle="1" w:styleId="186">
    <w:name w:val="正文文字缩进4字符 Char"/>
    <w:autoRedefine/>
    <w:qFormat/>
    <w:uiPriority w:val="0"/>
    <w:rPr>
      <w:rFonts w:ascii="Times New Roman" w:hAnsi="Times New Roman" w:eastAsia="宋体" w:cs="Times New Roman"/>
      <w:sz w:val="24"/>
      <w:szCs w:val="24"/>
    </w:rPr>
  </w:style>
  <w:style w:type="character" w:customStyle="1" w:styleId="187">
    <w:name w:val="正文文本缩进 字符"/>
    <w:autoRedefine/>
    <w:qFormat/>
    <w:uiPriority w:val="0"/>
    <w:rPr>
      <w:rFonts w:ascii="宋体" w:hAnsi="Courier New"/>
      <w:spacing w:val="-4"/>
      <w:sz w:val="18"/>
    </w:rPr>
  </w:style>
  <w:style w:type="character" w:customStyle="1" w:styleId="188">
    <w:name w:val="Heading 3 - old Char"/>
    <w:autoRedefine/>
    <w:qFormat/>
    <w:uiPriority w:val="0"/>
    <w:rPr>
      <w:rFonts w:ascii="Times New Roman" w:hAnsi="Times New Roman" w:eastAsia="宋体" w:cs="Times New Roman"/>
      <w:b/>
      <w:bCs/>
      <w:sz w:val="32"/>
      <w:szCs w:val="32"/>
    </w:rPr>
  </w:style>
  <w:style w:type="character" w:customStyle="1" w:styleId="189">
    <w:name w:val="H4 Char"/>
    <w:autoRedefine/>
    <w:qFormat/>
    <w:uiPriority w:val="0"/>
    <w:rPr>
      <w:rFonts w:ascii="Arial" w:hAnsi="Arial" w:eastAsia="黑体" w:cs="Times New Roman"/>
      <w:b/>
      <w:bCs/>
      <w:sz w:val="28"/>
      <w:szCs w:val="28"/>
    </w:rPr>
  </w:style>
  <w:style w:type="character" w:customStyle="1" w:styleId="190">
    <w:name w:val="纯文本 字符"/>
    <w:autoRedefine/>
    <w:qFormat/>
    <w:uiPriority w:val="0"/>
    <w:rPr>
      <w:rFonts w:ascii="宋体" w:hAnsi="Courier New"/>
      <w:sz w:val="24"/>
      <w:szCs w:val="24"/>
    </w:rPr>
  </w:style>
  <w:style w:type="character" w:customStyle="1" w:styleId="191">
    <w:name w:val="正文文本缩进 字符1"/>
    <w:link w:val="22"/>
    <w:autoRedefine/>
    <w:qFormat/>
    <w:uiPriority w:val="0"/>
    <w:rPr>
      <w:rFonts w:ascii="宋体" w:hAnsi="Courier New"/>
      <w:spacing w:val="-4"/>
      <w:sz w:val="18"/>
    </w:rPr>
  </w:style>
  <w:style w:type="character" w:customStyle="1" w:styleId="192">
    <w:name w:val="Char Char15"/>
    <w:autoRedefine/>
    <w:qFormat/>
    <w:uiPriority w:val="0"/>
    <w:rPr>
      <w:rFonts w:hAnsi="宋体" w:eastAsia="仿宋_GB2312"/>
      <w:b/>
      <w:bCs/>
      <w:kern w:val="2"/>
      <w:sz w:val="24"/>
    </w:rPr>
  </w:style>
  <w:style w:type="character" w:customStyle="1" w:styleId="193">
    <w:name w:val="Footer Char"/>
    <w:autoRedefine/>
    <w:qFormat/>
    <w:locked/>
    <w:uiPriority w:val="0"/>
    <w:rPr>
      <w:rFonts w:ascii="Calibri" w:hAnsi="Calibri" w:eastAsia="宋体" w:cs="Times New Roman"/>
      <w:sz w:val="18"/>
      <w:szCs w:val="18"/>
    </w:rPr>
  </w:style>
  <w:style w:type="character" w:customStyle="1" w:styleId="194">
    <w:name w:val="标题 9 字符"/>
    <w:link w:val="10"/>
    <w:autoRedefine/>
    <w:qFormat/>
    <w:uiPriority w:val="0"/>
    <w:rPr>
      <w:rFonts w:ascii="Arial" w:hAnsi="Arial" w:eastAsia="黑体" w:cs="Times New Roman"/>
      <w:kern w:val="0"/>
      <w:sz w:val="20"/>
      <w:szCs w:val="21"/>
    </w:rPr>
  </w:style>
  <w:style w:type="character" w:customStyle="1" w:styleId="195">
    <w:name w:val="def正文 Char Char"/>
    <w:link w:val="196"/>
    <w:autoRedefine/>
    <w:qFormat/>
    <w:uiPriority w:val="0"/>
    <w:rPr>
      <w:sz w:val="24"/>
      <w:szCs w:val="24"/>
    </w:rPr>
  </w:style>
  <w:style w:type="paragraph" w:customStyle="1" w:styleId="196">
    <w:name w:val="def正文"/>
    <w:basedOn w:val="20"/>
    <w:link w:val="195"/>
    <w:autoRedefine/>
    <w:qFormat/>
    <w:uiPriority w:val="0"/>
    <w:pPr>
      <w:widowControl/>
      <w:spacing w:after="0" w:line="360" w:lineRule="auto"/>
      <w:ind w:firstLine="510"/>
      <w:jc w:val="left"/>
    </w:pPr>
    <w:rPr>
      <w:sz w:val="24"/>
    </w:rPr>
  </w:style>
  <w:style w:type="character" w:customStyle="1" w:styleId="197">
    <w:name w:val="font51"/>
    <w:autoRedefine/>
    <w:qFormat/>
    <w:uiPriority w:val="0"/>
    <w:rPr>
      <w:rFonts w:hint="eastAsia" w:ascii="宋体" w:hAnsi="宋体" w:eastAsia="宋体" w:cs="宋体"/>
      <w:color w:val="auto"/>
      <w:sz w:val="18"/>
      <w:szCs w:val="18"/>
      <w:u w:val="none"/>
    </w:rPr>
  </w:style>
  <w:style w:type="character" w:customStyle="1" w:styleId="198">
    <w:name w:val="普通文字 Char Char"/>
    <w:autoRedefine/>
    <w:qFormat/>
    <w:uiPriority w:val="0"/>
    <w:rPr>
      <w:rFonts w:ascii="宋体" w:hAnsi="Courier New" w:eastAsia="宋体" w:cs="Times New Roman"/>
      <w:szCs w:val="20"/>
    </w:rPr>
  </w:style>
  <w:style w:type="character" w:customStyle="1" w:styleId="199">
    <w:name w:val="正文文本 Char"/>
    <w:autoRedefine/>
    <w:qFormat/>
    <w:uiPriority w:val="0"/>
    <w:rPr>
      <w:rFonts w:ascii="Times New Roman" w:hAnsi="Times New Roman" w:eastAsia="宋体" w:cs="Times New Roman"/>
      <w:szCs w:val="24"/>
    </w:rPr>
  </w:style>
  <w:style w:type="character" w:customStyle="1" w:styleId="200">
    <w:name w:val="3zw"/>
    <w:autoRedefine/>
    <w:qFormat/>
    <w:uiPriority w:val="0"/>
  </w:style>
  <w:style w:type="character" w:customStyle="1" w:styleId="201">
    <w:name w:val="font71"/>
    <w:autoRedefine/>
    <w:qFormat/>
    <w:uiPriority w:val="0"/>
    <w:rPr>
      <w:rFonts w:hint="default" w:ascii="Arial" w:hAnsi="Arial" w:cs="Arial"/>
      <w:color w:val="auto"/>
      <w:sz w:val="20"/>
      <w:szCs w:val="20"/>
      <w:u w:val="none"/>
    </w:rPr>
  </w:style>
  <w:style w:type="character" w:customStyle="1" w:styleId="202">
    <w:name w:val="标题 Char1"/>
    <w:autoRedefine/>
    <w:qFormat/>
    <w:uiPriority w:val="10"/>
    <w:rPr>
      <w:rFonts w:ascii="Cambria" w:hAnsi="Cambria" w:eastAsia="宋体" w:cs="Times New Roman"/>
      <w:b/>
      <w:bCs/>
      <w:sz w:val="32"/>
      <w:szCs w:val="32"/>
    </w:rPr>
  </w:style>
  <w:style w:type="character" w:customStyle="1" w:styleId="203">
    <w:name w:val="标书正文格式 Char"/>
    <w:link w:val="204"/>
    <w:autoRedefine/>
    <w:qFormat/>
    <w:uiPriority w:val="0"/>
    <w:rPr>
      <w:rFonts w:eastAsia="楷体_GB2312"/>
      <w:kern w:val="2"/>
      <w:sz w:val="24"/>
      <w:szCs w:val="24"/>
      <w:lang w:val="en-US" w:eastAsia="zh-CN" w:bidi="ar-SA"/>
    </w:rPr>
  </w:style>
  <w:style w:type="paragraph" w:customStyle="1" w:styleId="204">
    <w:name w:val="标书正文格式"/>
    <w:link w:val="203"/>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autoRedefine/>
    <w:qFormat/>
    <w:uiPriority w:val="0"/>
    <w:rPr>
      <w:rFonts w:eastAsia="宋体"/>
    </w:rPr>
  </w:style>
  <w:style w:type="character" w:customStyle="1" w:styleId="206">
    <w:name w:val="A7"/>
    <w:autoRedefine/>
    <w:qFormat/>
    <w:uiPriority w:val="0"/>
    <w:rPr>
      <w:rFonts w:ascii="HelveticaNeueLT Std Lt" w:eastAsia="HelveticaNeueLT Std Lt" w:cs="HelveticaNeueLT Std Lt"/>
      <w:color w:val="000000"/>
      <w:sz w:val="20"/>
      <w:szCs w:val="20"/>
    </w:rPr>
  </w:style>
  <w:style w:type="character" w:customStyle="1" w:styleId="207">
    <w:name w:val="Balloon Text Char"/>
    <w:autoRedefine/>
    <w:qFormat/>
    <w:locked/>
    <w:uiPriority w:val="0"/>
    <w:rPr>
      <w:rFonts w:cs="Times New Roman"/>
      <w:sz w:val="18"/>
      <w:szCs w:val="18"/>
    </w:rPr>
  </w:style>
  <w:style w:type="character" w:customStyle="1" w:styleId="208">
    <w:name w:val="页眉 字符"/>
    <w:link w:val="37"/>
    <w:autoRedefine/>
    <w:qFormat/>
    <w:uiPriority w:val="99"/>
    <w:rPr>
      <w:rFonts w:eastAsia="仿宋_GB2312"/>
      <w:sz w:val="18"/>
    </w:rPr>
  </w:style>
  <w:style w:type="character" w:customStyle="1" w:styleId="209">
    <w:name w:val="批注框文本 Char1"/>
    <w:autoRedefine/>
    <w:semiHidden/>
    <w:qFormat/>
    <w:uiPriority w:val="99"/>
    <w:rPr>
      <w:rFonts w:ascii="Times New Roman" w:hAnsi="Times New Roman" w:eastAsia="宋体" w:cs="Times New Roman"/>
      <w:sz w:val="18"/>
      <w:szCs w:val="18"/>
    </w:rPr>
  </w:style>
  <w:style w:type="character" w:customStyle="1" w:styleId="210">
    <w:name w:val="彩色列表 - 着色 1 字符"/>
    <w:link w:val="211"/>
    <w:autoRedefine/>
    <w:qFormat/>
    <w:locked/>
    <w:uiPriority w:val="34"/>
    <w:rPr>
      <w:rFonts w:ascii="Times New Roman" w:hAnsi="Times New Roman"/>
      <w:kern w:val="2"/>
      <w:sz w:val="21"/>
      <w:szCs w:val="24"/>
    </w:rPr>
  </w:style>
  <w:style w:type="paragraph" w:customStyle="1" w:styleId="211">
    <w:name w:val="彩色列表 - 着色 11"/>
    <w:basedOn w:val="1"/>
    <w:link w:val="210"/>
    <w:autoRedefine/>
    <w:qFormat/>
    <w:uiPriority w:val="34"/>
    <w:pPr>
      <w:ind w:firstLine="420" w:firstLineChars="200"/>
    </w:pPr>
  </w:style>
  <w:style w:type="character" w:customStyle="1" w:styleId="212">
    <w:name w:val="正文文本缩进 2 Char1"/>
    <w:autoRedefine/>
    <w:semiHidden/>
    <w:qFormat/>
    <w:uiPriority w:val="99"/>
    <w:rPr>
      <w:rFonts w:ascii="Times New Roman" w:hAnsi="Times New Roman" w:eastAsia="宋体" w:cs="Times New Roman"/>
      <w:szCs w:val="24"/>
    </w:rPr>
  </w:style>
  <w:style w:type="character" w:customStyle="1" w:styleId="213">
    <w:name w:val="普通 (Web) Char"/>
    <w:autoRedefine/>
    <w:qFormat/>
    <w:uiPriority w:val="0"/>
    <w:rPr>
      <w:rFonts w:ascii="宋体" w:hAnsi="宋体" w:eastAsia="宋体" w:cs="Times New Roman"/>
      <w:kern w:val="0"/>
      <w:sz w:val="24"/>
      <w:szCs w:val="24"/>
    </w:rPr>
  </w:style>
  <w:style w:type="character" w:customStyle="1" w:styleId="214">
    <w:name w:val="标题 6 字符"/>
    <w:link w:val="7"/>
    <w:autoRedefine/>
    <w:qFormat/>
    <w:uiPriority w:val="0"/>
    <w:rPr>
      <w:rFonts w:ascii="Arial" w:hAnsi="Arial" w:eastAsia="黑体" w:cs="Times New Roman"/>
      <w:b/>
      <w:bCs/>
      <w:kern w:val="0"/>
      <w:sz w:val="24"/>
      <w:szCs w:val="24"/>
    </w:rPr>
  </w:style>
  <w:style w:type="character" w:customStyle="1" w:styleId="215">
    <w:name w:val="纯文本 Char3"/>
    <w:autoRedefine/>
    <w:qFormat/>
    <w:uiPriority w:val="0"/>
    <w:rPr>
      <w:rFonts w:ascii="宋体" w:hAnsi="Courier New" w:eastAsia="宋体"/>
      <w:sz w:val="24"/>
      <w:szCs w:val="24"/>
    </w:rPr>
  </w:style>
  <w:style w:type="character" w:customStyle="1" w:styleId="216">
    <w:name w:val="正文首行缩进 Char1"/>
    <w:autoRedefine/>
    <w:semiHidden/>
    <w:qFormat/>
    <w:uiPriority w:val="99"/>
    <w:rPr>
      <w:rFonts w:ascii="Times New Roman" w:hAnsi="Times New Roman" w:eastAsia="宋体" w:cs="Times New Roman"/>
      <w:szCs w:val="24"/>
    </w:rPr>
  </w:style>
  <w:style w:type="character" w:customStyle="1" w:styleId="217">
    <w:name w:val="正文文本 2 字符"/>
    <w:link w:val="45"/>
    <w:autoRedefine/>
    <w:qFormat/>
    <w:uiPriority w:val="99"/>
    <w:rPr>
      <w:rFonts w:ascii="宋体" w:hAnsi="宋体"/>
      <w:color w:val="000000"/>
      <w:sz w:val="24"/>
      <w:szCs w:val="24"/>
    </w:rPr>
  </w:style>
  <w:style w:type="character" w:customStyle="1" w:styleId="218">
    <w:name w:val="style551"/>
    <w:autoRedefine/>
    <w:qFormat/>
    <w:uiPriority w:val="0"/>
    <w:rPr>
      <w:rFonts w:hint="default" w:ascii="Arial" w:hAnsi="Arial" w:cs="Arial"/>
      <w:color w:val="333333"/>
      <w:sz w:val="18"/>
      <w:szCs w:val="18"/>
    </w:rPr>
  </w:style>
  <w:style w:type="character" w:customStyle="1" w:styleId="219">
    <w:name w:val="文章正文 Char Char"/>
    <w:link w:val="220"/>
    <w:autoRedefine/>
    <w:qFormat/>
    <w:uiPriority w:val="0"/>
    <w:rPr>
      <w:rFonts w:ascii="宋体" w:hAnsi="宋体"/>
      <w:sz w:val="24"/>
      <w:szCs w:val="24"/>
    </w:rPr>
  </w:style>
  <w:style w:type="paragraph" w:customStyle="1" w:styleId="220">
    <w:name w:val="文章正文"/>
    <w:basedOn w:val="1"/>
    <w:link w:val="219"/>
    <w:autoRedefine/>
    <w:qFormat/>
    <w:uiPriority w:val="0"/>
    <w:pPr>
      <w:spacing w:line="360" w:lineRule="auto"/>
      <w:ind w:firstLine="200" w:firstLineChars="200"/>
      <w:jc w:val="left"/>
    </w:pPr>
    <w:rPr>
      <w:rFonts w:ascii="宋体" w:hAnsi="宋体"/>
      <w:kern w:val="0"/>
      <w:sz w:val="24"/>
    </w:rPr>
  </w:style>
  <w:style w:type="character" w:customStyle="1" w:styleId="221">
    <w:name w:val="font81"/>
    <w:autoRedefine/>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autoRedefine/>
    <w:qFormat/>
    <w:locked/>
    <w:uiPriority w:val="0"/>
    <w:rPr>
      <w:rFonts w:cs="Times New Roman"/>
      <w:kern w:val="2"/>
      <w:sz w:val="16"/>
      <w:szCs w:val="16"/>
    </w:rPr>
  </w:style>
  <w:style w:type="character" w:customStyle="1" w:styleId="223">
    <w:name w:val="Char Char16"/>
    <w:autoRedefine/>
    <w:qFormat/>
    <w:uiPriority w:val="0"/>
    <w:rPr>
      <w:rFonts w:ascii="宋体" w:hAnsi="Courier New"/>
      <w:spacing w:val="-4"/>
      <w:kern w:val="2"/>
      <w:sz w:val="18"/>
    </w:rPr>
  </w:style>
  <w:style w:type="character" w:customStyle="1" w:styleId="224">
    <w:name w:val="Char Char4"/>
    <w:autoRedefine/>
    <w:qFormat/>
    <w:uiPriority w:val="0"/>
    <w:rPr>
      <w:rFonts w:ascii="宋体" w:hAnsi="Courier New" w:eastAsia="宋体"/>
      <w:kern w:val="2"/>
      <w:sz w:val="24"/>
      <w:szCs w:val="24"/>
      <w:lang w:val="en-US" w:eastAsia="zh-CN" w:bidi="ar-SA"/>
    </w:rPr>
  </w:style>
  <w:style w:type="character" w:customStyle="1" w:styleId="225">
    <w:name w:val="正文文本缩进 3 Char1"/>
    <w:autoRedefine/>
    <w:semiHidden/>
    <w:qFormat/>
    <w:uiPriority w:val="99"/>
    <w:rPr>
      <w:rFonts w:ascii="Times New Roman" w:hAnsi="Times New Roman" w:eastAsia="宋体" w:cs="Times New Roman"/>
      <w:sz w:val="16"/>
      <w:szCs w:val="16"/>
    </w:rPr>
  </w:style>
  <w:style w:type="character" w:customStyle="1" w:styleId="226">
    <w:name w:val="Char Char7"/>
    <w:autoRedefine/>
    <w:qFormat/>
    <w:uiPriority w:val="0"/>
    <w:rPr>
      <w:rFonts w:eastAsia="宋体"/>
      <w:kern w:val="2"/>
      <w:sz w:val="21"/>
      <w:lang w:val="en-US" w:eastAsia="zh-CN" w:bidi="ar-SA"/>
    </w:rPr>
  </w:style>
  <w:style w:type="character" w:customStyle="1" w:styleId="227">
    <w:name w:val="A正文 Char"/>
    <w:link w:val="228"/>
    <w:autoRedefine/>
    <w:qFormat/>
    <w:uiPriority w:val="0"/>
    <w:rPr>
      <w:szCs w:val="24"/>
    </w:rPr>
  </w:style>
  <w:style w:type="paragraph" w:customStyle="1" w:styleId="228">
    <w:name w:val="A正文"/>
    <w:basedOn w:val="1"/>
    <w:link w:val="227"/>
    <w:autoRedefine/>
    <w:qFormat/>
    <w:uiPriority w:val="0"/>
    <w:pPr>
      <w:spacing w:line="360" w:lineRule="auto"/>
      <w:ind w:firstLine="200" w:firstLineChars="200"/>
    </w:pPr>
    <w:rPr>
      <w:kern w:val="0"/>
      <w:sz w:val="20"/>
    </w:rPr>
  </w:style>
  <w:style w:type="character" w:customStyle="1" w:styleId="229">
    <w:name w:val="正文1 Char Char"/>
    <w:link w:val="230"/>
    <w:autoRedefine/>
    <w:qFormat/>
    <w:uiPriority w:val="0"/>
    <w:rPr>
      <w:rFonts w:ascii="宋体" w:hAnsi="宋体" w:eastAsia="宋体"/>
      <w:color w:val="000000"/>
      <w:sz w:val="24"/>
    </w:rPr>
  </w:style>
  <w:style w:type="paragraph" w:customStyle="1" w:styleId="230">
    <w:name w:val="正文1"/>
    <w:basedOn w:val="1"/>
    <w:link w:val="229"/>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autoRedefine/>
    <w:qFormat/>
    <w:uiPriority w:val="0"/>
    <w:rPr>
      <w:kern w:val="2"/>
      <w:sz w:val="28"/>
      <w:szCs w:val="24"/>
    </w:rPr>
  </w:style>
  <w:style w:type="character" w:customStyle="1" w:styleId="232">
    <w:name w:val="粘贴正文 Char"/>
    <w:link w:val="233"/>
    <w:autoRedefine/>
    <w:qFormat/>
    <w:uiPriority w:val="0"/>
    <w:rPr>
      <w:kern w:val="2"/>
      <w:sz w:val="24"/>
      <w:szCs w:val="21"/>
      <w:lang w:val="en-US" w:eastAsia="zh-CN" w:bidi="ar-SA"/>
    </w:rPr>
  </w:style>
  <w:style w:type="paragraph" w:customStyle="1" w:styleId="233">
    <w:name w:val="粘贴正文"/>
    <w:link w:val="232"/>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autoRedefine/>
    <w:qFormat/>
    <w:uiPriority w:val="0"/>
    <w:rPr>
      <w:rFonts w:ascii="Arial" w:hAnsi="Arial"/>
      <w:szCs w:val="21"/>
    </w:rPr>
  </w:style>
  <w:style w:type="paragraph" w:customStyle="1" w:styleId="235">
    <w:name w:val="缺省文本"/>
    <w:basedOn w:val="1"/>
    <w:link w:val="234"/>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autoRedefine/>
    <w:semiHidden/>
    <w:qFormat/>
    <w:locked/>
    <w:uiPriority w:val="0"/>
    <w:rPr>
      <w:rFonts w:cs="Times New Roman"/>
      <w:b/>
      <w:bCs/>
      <w:kern w:val="0"/>
      <w:sz w:val="24"/>
      <w:szCs w:val="24"/>
    </w:rPr>
  </w:style>
  <w:style w:type="character" w:customStyle="1" w:styleId="237">
    <w:name w:val="font21"/>
    <w:autoRedefine/>
    <w:qFormat/>
    <w:uiPriority w:val="0"/>
    <w:rPr>
      <w:rFonts w:hint="eastAsia" w:ascii="宋体" w:hAnsi="宋体" w:eastAsia="宋体" w:cs="宋体"/>
      <w:color w:val="000000"/>
      <w:sz w:val="20"/>
      <w:szCs w:val="20"/>
      <w:u w:val="none"/>
    </w:rPr>
  </w:style>
  <w:style w:type="character" w:customStyle="1" w:styleId="238">
    <w:name w:val="批注主题 字符"/>
    <w:link w:val="49"/>
    <w:autoRedefine/>
    <w:qFormat/>
    <w:uiPriority w:val="99"/>
    <w:rPr>
      <w:b/>
      <w:bCs/>
      <w:szCs w:val="24"/>
    </w:rPr>
  </w:style>
  <w:style w:type="character" w:customStyle="1" w:styleId="239">
    <w:name w:val="文档结构图 Char1"/>
    <w:autoRedefine/>
    <w:semiHidden/>
    <w:qFormat/>
    <w:uiPriority w:val="99"/>
    <w:rPr>
      <w:rFonts w:ascii="宋体" w:hAnsi="Times New Roman" w:eastAsia="宋体" w:cs="Times New Roman"/>
      <w:sz w:val="18"/>
      <w:szCs w:val="18"/>
    </w:rPr>
  </w:style>
  <w:style w:type="character" w:customStyle="1" w:styleId="240">
    <w:name w:val="纯文本 字符1"/>
    <w:autoRedefine/>
    <w:semiHidden/>
    <w:qFormat/>
    <w:locked/>
    <w:uiPriority w:val="0"/>
    <w:rPr>
      <w:rFonts w:ascii="宋体" w:hAnsi="Courier New"/>
      <w:sz w:val="24"/>
      <w:szCs w:val="24"/>
    </w:rPr>
  </w:style>
  <w:style w:type="character" w:customStyle="1" w:styleId="241">
    <w:name w:val="Char Char19"/>
    <w:autoRedefine/>
    <w:qFormat/>
    <w:uiPriority w:val="0"/>
    <w:rPr>
      <w:rFonts w:ascii="Arial" w:hAnsi="Arial" w:eastAsia="黑体"/>
      <w:kern w:val="2"/>
      <w:sz w:val="21"/>
      <w:szCs w:val="21"/>
    </w:rPr>
  </w:style>
  <w:style w:type="character" w:customStyle="1" w:styleId="242">
    <w:name w:val="Item List Char"/>
    <w:link w:val="243"/>
    <w:autoRedefine/>
    <w:qFormat/>
    <w:uiPriority w:val="0"/>
    <w:rPr>
      <w:rFonts w:cs="Arial"/>
      <w:kern w:val="2"/>
      <w:sz w:val="21"/>
      <w:szCs w:val="21"/>
      <w:lang w:val="en-US" w:eastAsia="zh-CN" w:bidi="ar-SA"/>
    </w:rPr>
  </w:style>
  <w:style w:type="paragraph" w:customStyle="1" w:styleId="243">
    <w:name w:val="Item List"/>
    <w:link w:val="242"/>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autoRedefine/>
    <w:qFormat/>
    <w:uiPriority w:val="0"/>
    <w:rPr>
      <w:rFonts w:eastAsia="仿宋_GB2312"/>
      <w:kern w:val="2"/>
      <w:sz w:val="18"/>
    </w:rPr>
  </w:style>
  <w:style w:type="character" w:customStyle="1" w:styleId="245">
    <w:name w:val="Heading 6 Char"/>
    <w:autoRedefine/>
    <w:semiHidden/>
    <w:qFormat/>
    <w:locked/>
    <w:uiPriority w:val="0"/>
    <w:rPr>
      <w:rFonts w:ascii="Cambria" w:hAnsi="Cambria" w:eastAsia="宋体" w:cs="Times New Roman"/>
      <w:b/>
      <w:bCs/>
      <w:kern w:val="0"/>
      <w:sz w:val="24"/>
      <w:szCs w:val="24"/>
    </w:rPr>
  </w:style>
  <w:style w:type="paragraph" w:customStyle="1" w:styleId="246">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autoRedefine/>
    <w:qFormat/>
    <w:uiPriority w:val="0"/>
    <w:pPr>
      <w:widowControl/>
      <w:numPr>
        <w:ilvl w:val="0"/>
        <w:numId w:val="1"/>
      </w:numPr>
      <w:spacing w:afterLines="50"/>
      <w:jc w:val="left"/>
    </w:pPr>
  </w:style>
  <w:style w:type="paragraph" w:customStyle="1" w:styleId="249">
    <w:name w:val="Char11"/>
    <w:basedOn w:val="1"/>
    <w:autoRedefine/>
    <w:qFormat/>
    <w:uiPriority w:val="0"/>
    <w:rPr>
      <w:rFonts w:ascii="仿宋_GB2312" w:hAnsi="宋体" w:eastAsia="仿宋_GB2312" w:cs="宋体"/>
      <w:b/>
      <w:sz w:val="32"/>
      <w:szCs w:val="32"/>
    </w:rPr>
  </w:style>
  <w:style w:type="paragraph" w:customStyle="1" w:styleId="250">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autoRedefine/>
    <w:qFormat/>
    <w:uiPriority w:val="0"/>
    <w:pPr>
      <w:tabs>
        <w:tab w:val="left" w:pos="0"/>
      </w:tabs>
    </w:pPr>
    <w:rPr>
      <w:rFonts w:ascii="Arial" w:hAnsi="Arial" w:eastAsia="楷体_GB2312"/>
      <w:color w:val="000080"/>
      <w:sz w:val="28"/>
      <w:szCs w:val="28"/>
    </w:rPr>
  </w:style>
  <w:style w:type="paragraph" w:customStyle="1" w:styleId="255">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6">
    <w:name w:val="列出段落1"/>
    <w:basedOn w:val="1"/>
    <w:autoRedefine/>
    <w:qFormat/>
    <w:uiPriority w:val="34"/>
    <w:pPr>
      <w:ind w:firstLine="420" w:firstLineChars="200"/>
    </w:pPr>
  </w:style>
  <w:style w:type="paragraph" w:customStyle="1" w:styleId="267">
    <w:name w:val="列出段落11"/>
    <w:basedOn w:val="1"/>
    <w:autoRedefine/>
    <w:qFormat/>
    <w:uiPriority w:val="0"/>
    <w:pPr>
      <w:spacing w:line="360" w:lineRule="auto"/>
      <w:ind w:firstLine="420" w:firstLineChars="200"/>
    </w:pPr>
    <w:rPr>
      <w:rFonts w:ascii="宋体" w:hAnsi="宋体"/>
      <w:sz w:val="24"/>
    </w:rPr>
  </w:style>
  <w:style w:type="paragraph" w:customStyle="1" w:styleId="268">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autoRedefine/>
    <w:qFormat/>
    <w:uiPriority w:val="0"/>
    <w:rPr>
      <w:szCs w:val="20"/>
    </w:rPr>
  </w:style>
  <w:style w:type="paragraph" w:customStyle="1" w:styleId="272">
    <w:name w:val="样式23"/>
    <w:basedOn w:val="273"/>
    <w:autoRedefine/>
    <w:qFormat/>
    <w:uiPriority w:val="0"/>
    <w:pPr>
      <w:tabs>
        <w:tab w:val="left" w:pos="420"/>
      </w:tabs>
      <w:adjustRightInd w:val="0"/>
      <w:snapToGrid w:val="0"/>
      <w:spacing w:after="0" w:line="240" w:lineRule="auto"/>
    </w:pPr>
    <w:rPr>
      <w:szCs w:val="20"/>
    </w:rPr>
  </w:style>
  <w:style w:type="paragraph" w:customStyle="1" w:styleId="273">
    <w:name w:val="小点说明"/>
    <w:basedOn w:val="1"/>
    <w:autoRedefine/>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9">
    <w:name w:val="首行缩进"/>
    <w:basedOn w:val="1"/>
    <w:autoRedefine/>
    <w:qFormat/>
    <w:uiPriority w:val="0"/>
    <w:pPr>
      <w:spacing w:line="360" w:lineRule="auto"/>
      <w:ind w:firstLine="720"/>
    </w:pPr>
    <w:rPr>
      <w:szCs w:val="21"/>
    </w:rPr>
  </w:style>
  <w:style w:type="paragraph" w:customStyle="1" w:styleId="280">
    <w:name w:val="正文段"/>
    <w:basedOn w:val="1"/>
    <w:autoRedefine/>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autoRedefine/>
    <w:qFormat/>
    <w:uiPriority w:val="0"/>
    <w:pPr>
      <w:spacing w:line="240" w:lineRule="auto"/>
      <w:ind w:firstLine="0" w:firstLineChars="0"/>
    </w:pPr>
    <w:rPr>
      <w:rFonts w:cs="宋体"/>
      <w:szCs w:val="20"/>
    </w:rPr>
  </w:style>
  <w:style w:type="paragraph" w:customStyle="1" w:styleId="282">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autoRedefine/>
    <w:qFormat/>
    <w:uiPriority w:val="0"/>
    <w:pPr>
      <w:tabs>
        <w:tab w:val="left" w:pos="851"/>
      </w:tabs>
      <w:spacing w:line="360" w:lineRule="auto"/>
      <w:jc w:val="left"/>
    </w:pPr>
    <w:rPr>
      <w:rFonts w:cs="宋体"/>
      <w:sz w:val="24"/>
      <w:szCs w:val="20"/>
    </w:rPr>
  </w:style>
  <w:style w:type="paragraph" w:customStyle="1" w:styleId="290">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autoRedefine/>
    <w:qFormat/>
    <w:uiPriority w:val="0"/>
    <w:pPr>
      <w:widowControl/>
      <w:jc w:val="left"/>
    </w:pPr>
    <w:rPr>
      <w:rFonts w:ascii="宋体" w:hAnsi="宋体"/>
      <w:kern w:val="0"/>
      <w:sz w:val="20"/>
      <w:szCs w:val="20"/>
    </w:rPr>
  </w:style>
  <w:style w:type="paragraph" w:customStyle="1" w:styleId="295">
    <w:name w:val="Char Char"/>
    <w:basedOn w:val="1"/>
    <w:autoRedefine/>
    <w:qFormat/>
    <w:uiPriority w:val="0"/>
    <w:pPr>
      <w:jc w:val="center"/>
    </w:pPr>
    <w:rPr>
      <w:rFonts w:ascii="仿宋_GB2312" w:eastAsia="仿宋_GB2312"/>
      <w:b/>
      <w:kern w:val="0"/>
      <w:sz w:val="32"/>
      <w:szCs w:val="32"/>
      <w:lang w:val="en-GB"/>
    </w:rPr>
  </w:style>
  <w:style w:type="paragraph" w:customStyle="1" w:styleId="296">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autoRedefine/>
    <w:qFormat/>
    <w:uiPriority w:val="0"/>
    <w:pPr>
      <w:widowControl/>
    </w:pPr>
    <w:rPr>
      <w:rFonts w:ascii="Arial" w:hAnsi="Arial" w:cs="Arial"/>
      <w:color w:val="333333"/>
      <w:kern w:val="0"/>
      <w:sz w:val="18"/>
      <w:szCs w:val="18"/>
    </w:rPr>
  </w:style>
  <w:style w:type="paragraph" w:customStyle="1" w:styleId="301">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autoRedefine/>
    <w:qFormat/>
    <w:uiPriority w:val="0"/>
    <w:rPr>
      <w:rFonts w:ascii="Tahoma" w:hAnsi="Tahoma"/>
      <w:sz w:val="24"/>
      <w:szCs w:val="20"/>
    </w:rPr>
  </w:style>
  <w:style w:type="paragraph" w:customStyle="1" w:styleId="304">
    <w:name w:val="样式26"/>
    <w:basedOn w:val="305"/>
    <w:autoRedefine/>
    <w:qFormat/>
    <w:uiPriority w:val="0"/>
    <w:pPr>
      <w:tabs>
        <w:tab w:val="left" w:pos="180"/>
        <w:tab w:val="left" w:pos="1580"/>
      </w:tabs>
      <w:ind w:left="1603" w:hanging="363"/>
    </w:pPr>
  </w:style>
  <w:style w:type="paragraph" w:customStyle="1" w:styleId="305">
    <w:name w:val="样式25"/>
    <w:basedOn w:val="1"/>
    <w:autoRedefine/>
    <w:qFormat/>
    <w:uiPriority w:val="0"/>
    <w:pPr>
      <w:tabs>
        <w:tab w:val="left" w:pos="180"/>
      </w:tabs>
      <w:ind w:left="1260" w:hanging="720"/>
    </w:pPr>
    <w:rPr>
      <w:sz w:val="24"/>
      <w:szCs w:val="20"/>
    </w:rPr>
  </w:style>
  <w:style w:type="paragraph" w:customStyle="1" w:styleId="306">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7">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autoRedefine/>
    <w:qFormat/>
    <w:uiPriority w:val="0"/>
    <w:pPr>
      <w:ind w:firstLine="200" w:firstLineChars="200"/>
    </w:pPr>
    <w:rPr>
      <w:szCs w:val="20"/>
    </w:rPr>
  </w:style>
  <w:style w:type="paragraph" w:customStyle="1" w:styleId="311">
    <w:name w:val="样式 标题 3列表编号3h33rd level + 段前: 1 行"/>
    <w:basedOn w:val="4"/>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3"/>
    <w:autoRedefine/>
    <w:qFormat/>
    <w:uiPriority w:val="0"/>
    <w:pPr>
      <w:spacing w:after="80" w:line="360" w:lineRule="auto"/>
      <w:ind w:firstLine="480" w:firstLineChars="200"/>
    </w:pPr>
    <w:rPr>
      <w:sz w:val="24"/>
    </w:rPr>
  </w:style>
  <w:style w:type="paragraph" w:customStyle="1" w:styleId="317">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4"/>
    <w:autoRedefine/>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autoRedefine/>
    <w:qFormat/>
    <w:uiPriority w:val="0"/>
    <w:rPr>
      <w:rFonts w:ascii="仿宋_GB2312" w:eastAsia="仿宋_GB2312"/>
      <w:b/>
      <w:sz w:val="32"/>
      <w:szCs w:val="32"/>
    </w:rPr>
  </w:style>
  <w:style w:type="paragraph" w:customStyle="1" w:styleId="33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2"/>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5">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autoRedefine/>
    <w:qFormat/>
    <w:uiPriority w:val="0"/>
    <w:pPr>
      <w:keepNext/>
      <w:keepLines/>
      <w:ind w:left="1134"/>
      <w:jc w:val="center"/>
    </w:pPr>
  </w:style>
  <w:style w:type="paragraph" w:customStyle="1" w:styleId="337">
    <w:name w:val="Figure Description"/>
    <w:basedOn w:val="336"/>
    <w:next w:val="111"/>
    <w:autoRedefine/>
    <w:qFormat/>
    <w:uiPriority w:val="0"/>
    <w:pPr>
      <w:tabs>
        <w:tab w:val="left" w:pos="680"/>
      </w:tabs>
      <w:spacing w:afterLines="100"/>
    </w:pPr>
    <w:rPr>
      <w:sz w:val="18"/>
    </w:rPr>
  </w:style>
  <w:style w:type="paragraph" w:customStyle="1" w:styleId="33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1">
    <w:name w:val="p19"/>
    <w:basedOn w:val="1"/>
    <w:autoRedefine/>
    <w:qFormat/>
    <w:uiPriority w:val="0"/>
    <w:pPr>
      <w:widowControl/>
      <w:spacing w:beforeLines="100" w:afterLines="100"/>
      <w:ind w:left="1134"/>
    </w:pPr>
    <w:rPr>
      <w:kern w:val="0"/>
      <w:szCs w:val="21"/>
    </w:rPr>
  </w:style>
  <w:style w:type="paragraph" w:customStyle="1" w:styleId="342">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autoRedefine/>
    <w:qFormat/>
    <w:uiPriority w:val="0"/>
    <w:pPr>
      <w:widowControl/>
      <w:jc w:val="left"/>
    </w:pPr>
    <w:rPr>
      <w:sz w:val="36"/>
    </w:rPr>
  </w:style>
  <w:style w:type="paragraph" w:customStyle="1" w:styleId="348">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autoRedefine/>
    <w:qFormat/>
    <w:uiPriority w:val="0"/>
    <w:pPr>
      <w:tabs>
        <w:tab w:val="left" w:pos="1080"/>
      </w:tabs>
      <w:ind w:left="1134" w:firstLine="0" w:firstLineChars="0"/>
    </w:pPr>
  </w:style>
  <w:style w:type="paragraph" w:customStyle="1" w:styleId="351">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autoRedefine/>
    <w:qFormat/>
    <w:uiPriority w:val="0"/>
    <w:pPr>
      <w:jc w:val="center"/>
    </w:pPr>
  </w:style>
  <w:style w:type="paragraph" w:customStyle="1" w:styleId="360">
    <w:name w:val="Item Step in Table"/>
    <w:basedOn w:val="1"/>
    <w:autoRedefine/>
    <w:qFormat/>
    <w:uiPriority w:val="0"/>
    <w:pPr>
      <w:tabs>
        <w:tab w:val="left" w:pos="420"/>
      </w:tabs>
      <w:ind w:left="420" w:hanging="420"/>
      <w:jc w:val="left"/>
    </w:pPr>
  </w:style>
  <w:style w:type="paragraph" w:customStyle="1" w:styleId="361">
    <w:name w:val="默认段落字体 Para Char"/>
    <w:basedOn w:val="1"/>
    <w:autoRedefine/>
    <w:qFormat/>
    <w:uiPriority w:val="0"/>
    <w:rPr>
      <w:szCs w:val="20"/>
    </w:rPr>
  </w:style>
  <w:style w:type="paragraph" w:customStyle="1" w:styleId="362">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autoRedefine/>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autoRedefine/>
    <w:qFormat/>
    <w:uiPriority w:val="0"/>
    <w:rPr>
      <w:rFonts w:ascii="仿宋_GB2312" w:hAnsi="宋体" w:eastAsia="仿宋_GB2312" w:cs="宋体"/>
      <w:b/>
      <w:sz w:val="32"/>
      <w:szCs w:val="32"/>
    </w:rPr>
  </w:style>
  <w:style w:type="paragraph" w:customStyle="1" w:styleId="368">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autoRedefine/>
    <w:qFormat/>
    <w:uiPriority w:val="0"/>
    <w:pPr>
      <w:numPr>
        <w:ilvl w:val="0"/>
        <w:numId w:val="3"/>
      </w:numPr>
      <w:jc w:val="left"/>
    </w:pPr>
  </w:style>
  <w:style w:type="paragraph" w:customStyle="1" w:styleId="370">
    <w:name w:val="Table Heading"/>
    <w:basedOn w:val="1"/>
    <w:autoRedefine/>
    <w:qFormat/>
    <w:uiPriority w:val="0"/>
    <w:pPr>
      <w:jc w:val="center"/>
    </w:pPr>
    <w:rPr>
      <w:rFonts w:ascii="Arial" w:hAnsi="Arial" w:eastAsia="黑体"/>
      <w:b/>
    </w:rPr>
  </w:style>
  <w:style w:type="paragraph" w:customStyle="1" w:styleId="371">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2">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autoRedefine/>
    <w:qFormat/>
    <w:uiPriority w:val="34"/>
    <w:pPr>
      <w:spacing w:line="360" w:lineRule="auto"/>
      <w:ind w:firstLine="420" w:firstLineChars="200"/>
    </w:pPr>
    <w:rPr>
      <w:rFonts w:ascii="Calibri" w:hAnsi="Calibri"/>
      <w:szCs w:val="22"/>
    </w:rPr>
  </w:style>
  <w:style w:type="paragraph" w:customStyle="1" w:styleId="37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autoRedefine/>
    <w:qFormat/>
    <w:uiPriority w:val="0"/>
    <w:rPr>
      <w:sz w:val="18"/>
    </w:rPr>
  </w:style>
  <w:style w:type="paragraph" w:customStyle="1" w:styleId="377">
    <w:name w:val="次小点说明"/>
    <w:basedOn w:val="13"/>
    <w:autoRedefine/>
    <w:qFormat/>
    <w:uiPriority w:val="0"/>
    <w:pPr>
      <w:tabs>
        <w:tab w:val="left" w:pos="720"/>
      </w:tabs>
      <w:spacing w:line="360" w:lineRule="auto"/>
      <w:ind w:left="777" w:hanging="417"/>
    </w:pPr>
    <w:rPr>
      <w:sz w:val="24"/>
    </w:rPr>
  </w:style>
  <w:style w:type="paragraph" w:customStyle="1" w:styleId="378">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autoRedefine/>
    <w:qFormat/>
    <w:uiPriority w:val="0"/>
    <w:pPr>
      <w:spacing w:line="360" w:lineRule="auto"/>
      <w:ind w:firstLine="200" w:firstLineChars="200"/>
    </w:pPr>
    <w:rPr>
      <w:sz w:val="24"/>
    </w:rPr>
  </w:style>
  <w:style w:type="paragraph" w:customStyle="1" w:styleId="380">
    <w:name w:val="方案标题4"/>
    <w:basedOn w:val="5"/>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autoRedefine/>
    <w:qFormat/>
    <w:uiPriority w:val="0"/>
    <w:pPr>
      <w:ind w:left="420" w:hanging="420"/>
    </w:pPr>
    <w:rPr>
      <w:sz w:val="28"/>
      <w:szCs w:val="20"/>
    </w:rPr>
  </w:style>
  <w:style w:type="paragraph" w:customStyle="1" w:styleId="385">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autoRedefine/>
    <w:qFormat/>
    <w:uiPriority w:val="0"/>
    <w:pPr>
      <w:spacing w:line="360" w:lineRule="auto"/>
      <w:ind w:firstLine="461" w:firstLineChars="192"/>
    </w:pPr>
    <w:rPr>
      <w:rFonts w:ascii="宋体" w:hAnsi="宋体"/>
      <w:sz w:val="24"/>
    </w:rPr>
  </w:style>
  <w:style w:type="paragraph" w:customStyle="1" w:styleId="389">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autoRedefine/>
    <w:qFormat/>
    <w:uiPriority w:val="0"/>
    <w:pPr>
      <w:widowControl/>
      <w:spacing w:afterLines="100"/>
      <w:ind w:left="1134"/>
      <w:jc w:val="center"/>
    </w:pPr>
    <w:rPr>
      <w:kern w:val="0"/>
      <w:sz w:val="18"/>
      <w:szCs w:val="18"/>
    </w:rPr>
  </w:style>
  <w:style w:type="paragraph" w:customStyle="1" w:styleId="391">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autoRedefine/>
    <w:qFormat/>
    <w:uiPriority w:val="0"/>
    <w:pPr>
      <w:spacing w:line="240" w:lineRule="atLeast"/>
      <w:ind w:left="420" w:firstLine="420"/>
    </w:pPr>
  </w:style>
  <w:style w:type="paragraph" w:customStyle="1" w:styleId="395">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autoRedefine/>
    <w:semiHidden/>
    <w:qFormat/>
    <w:uiPriority w:val="0"/>
    <w:rPr>
      <w:kern w:val="2"/>
      <w:sz w:val="21"/>
      <w:szCs w:val="24"/>
      <w:lang w:val="en-US" w:eastAsia="zh-CN" w:bidi="ar-SA"/>
    </w:rPr>
  </w:style>
  <w:style w:type="character" w:customStyle="1" w:styleId="398">
    <w:name w:val="font121"/>
    <w:basedOn w:val="53"/>
    <w:autoRedefine/>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0"/>
    <w:autoRedefine/>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autoRedefine/>
    <w:qFormat/>
    <w:uiPriority w:val="34"/>
    <w:pPr>
      <w:ind w:firstLine="420" w:firstLineChars="200"/>
    </w:pPr>
  </w:style>
  <w:style w:type="table" w:customStyle="1" w:styleId="401">
    <w:name w:val="Table Normal"/>
    <w:autoRedefine/>
    <w:semiHidden/>
    <w:unhideWhenUsed/>
    <w:qFormat/>
    <w:uiPriority w:val="0"/>
    <w:tblPr>
      <w:tblCellMar>
        <w:top w:w="0" w:type="dxa"/>
        <w:left w:w="0" w:type="dxa"/>
        <w:bottom w:w="0" w:type="dxa"/>
        <w:right w:w="0" w:type="dxa"/>
      </w:tblCellMar>
    </w:tblPr>
  </w:style>
  <w:style w:type="paragraph" w:customStyle="1" w:styleId="402">
    <w:name w:val="章正文"/>
    <w:basedOn w:val="1"/>
    <w:autoRedefine/>
    <w:qFormat/>
    <w:uiPriority w:val="0"/>
    <w:pPr>
      <w:spacing w:beforeLines="50" w:after="120" w:line="300" w:lineRule="auto"/>
      <w:ind w:firstLine="480"/>
    </w:pPr>
    <w:rPr>
      <w:rFonts w:ascii="Helvetica" w:hAnsi="Helvetica"/>
    </w:rPr>
  </w:style>
  <w:style w:type="paragraph" w:customStyle="1" w:styleId="403">
    <w:name w:val="Table Paragraph"/>
    <w:basedOn w:val="1"/>
    <w:autoRedefine/>
    <w:qFormat/>
    <w:uiPriority w:val="1"/>
    <w:rPr>
      <w:rFonts w:ascii="宋体" w:hAnsi="宋体" w:eastAsia="宋体" w:cs="宋体"/>
    </w:rPr>
  </w:style>
  <w:style w:type="paragraph" w:customStyle="1" w:styleId="404">
    <w:name w:val="表格正文"/>
    <w:basedOn w:val="1"/>
    <w:qFormat/>
    <w:uiPriority w:val="0"/>
    <w:pPr>
      <w:spacing w:line="240" w:lineRule="auto"/>
    </w:pPr>
    <w:rPr>
      <w:rFonts w:cs="宋体"/>
      <w:szCs w:val="20"/>
    </w:rPr>
  </w:style>
  <w:style w:type="paragraph" w:customStyle="1" w:styleId="4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6">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32.png"/><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footer" Target="footer1.xml"/><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header" Target="header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58</Pages>
  <Words>2262</Words>
  <Characters>2520</Characters>
  <Lines>265</Lines>
  <Paragraphs>74</Paragraphs>
  <TotalTime>4</TotalTime>
  <ScaleCrop>false</ScaleCrop>
  <LinksUpToDate>false</LinksUpToDate>
  <CharactersWithSpaces>2630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W.wk</cp:lastModifiedBy>
  <cp:lastPrinted>2026-05-20T04:46:00Z</cp:lastPrinted>
  <dcterms:modified xsi:type="dcterms:W3CDTF">2026-05-26T01:14:04Z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C968EE3F61B844D7A9793D64A7BDFF41_13</vt:lpwstr>
  </property>
  <property fmtid="{D5CDD505-2E9C-101B-9397-08002B2CF9AE}" pid="4" name="KSOTemplateDocerSaveRecord">
    <vt:lpwstr>eyJoZGlkIjoiYjljMTgwMTE4ZDQ4ZThkMDA3N2YzNjc3ODA5ODdhMzkiLCJ1c2VySWQiOiIyOTA5NDI3NDUifQ==</vt:lpwstr>
  </property>
</Properties>
</file>