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6BF03D">
      <w:pPr>
        <w:pStyle w:val="61"/>
        <w:rPr>
          <w:rFonts w:hint="eastAsia"/>
          <w:color w:val="auto"/>
          <w:highlight w:val="none"/>
          <w:lang w:eastAsia="zh-CN"/>
        </w:rPr>
      </w:pPr>
    </w:p>
    <w:p w14:paraId="597BC726">
      <w:pPr>
        <w:pStyle w:val="61"/>
        <w:jc w:val="right"/>
        <w:rPr>
          <w:rFonts w:hint="eastAsia"/>
          <w:color w:val="auto"/>
          <w:highlight w:val="none"/>
          <w:lang w:eastAsia="zh-CN"/>
        </w:rPr>
      </w:pPr>
    </w:p>
    <w:p w14:paraId="201006E8">
      <w:pPr>
        <w:adjustRightInd w:val="0"/>
        <w:snapToGrid w:val="0"/>
        <w:spacing w:line="1200" w:lineRule="exact"/>
        <w:jc w:val="center"/>
        <w:rPr>
          <w:rFonts w:hint="eastAsia" w:ascii="宋体" w:hAnsi="宋体" w:eastAsia="宋体" w:cs="宋体"/>
          <w:b/>
          <w:bCs/>
          <w:color w:val="auto"/>
          <w:sz w:val="72"/>
          <w:highlight w:val="none"/>
        </w:rPr>
      </w:pPr>
      <w:r>
        <w:rPr>
          <w:rFonts w:hint="eastAsia" w:ascii="宋体" w:hAnsi="宋体" w:eastAsia="宋体" w:cs="宋体"/>
          <w:b/>
          <w:bCs/>
          <w:color w:val="auto"/>
          <w:sz w:val="72"/>
          <w:highlight w:val="none"/>
        </w:rPr>
        <w:t>临海市非政府采购项目</w:t>
      </w:r>
    </w:p>
    <w:p w14:paraId="52A9AEE3">
      <w:pPr>
        <w:adjustRightInd w:val="0"/>
        <w:snapToGrid w:val="0"/>
        <w:spacing w:line="1200" w:lineRule="exact"/>
        <w:jc w:val="center"/>
        <w:rPr>
          <w:rFonts w:hint="eastAsia" w:ascii="宋体" w:hAnsi="宋体" w:eastAsia="宋体" w:cs="宋体"/>
          <w:b/>
          <w:bCs/>
          <w:color w:val="auto"/>
          <w:sz w:val="84"/>
          <w:szCs w:val="84"/>
          <w:highlight w:val="none"/>
        </w:rPr>
      </w:pPr>
      <w:r>
        <w:rPr>
          <w:rFonts w:hint="eastAsia" w:ascii="宋体" w:hAnsi="宋体" w:eastAsia="宋体" w:cs="宋体"/>
          <w:b/>
          <w:bCs/>
          <w:color w:val="auto"/>
          <w:sz w:val="84"/>
          <w:szCs w:val="84"/>
          <w:highlight w:val="none"/>
        </w:rPr>
        <w:t>招  标  文  件</w:t>
      </w:r>
    </w:p>
    <w:p w14:paraId="4B311B3C">
      <w:pPr>
        <w:adjustRightInd w:val="0"/>
        <w:snapToGrid w:val="0"/>
        <w:rPr>
          <w:rFonts w:hint="eastAsia" w:ascii="宋体" w:hAnsi="宋体" w:eastAsia="宋体" w:cs="宋体"/>
          <w:b/>
          <w:bCs/>
          <w:color w:val="auto"/>
          <w:sz w:val="32"/>
          <w:szCs w:val="32"/>
          <w:highlight w:val="none"/>
        </w:rPr>
      </w:pPr>
    </w:p>
    <w:p w14:paraId="5D03F190">
      <w:pPr>
        <w:adjustRightInd w:val="0"/>
        <w:snapToGrid w:val="0"/>
        <w:spacing w:line="360" w:lineRule="auto"/>
        <w:ind w:left="1955" w:hanging="1955" w:hangingChars="541"/>
        <w:jc w:val="center"/>
        <w:rPr>
          <w:rFonts w:hint="eastAsia" w:ascii="宋体" w:hAnsi="宋体" w:eastAsia="宋体" w:cs="宋体"/>
          <w:b/>
          <w:bCs/>
          <w:color w:val="auto"/>
          <w:sz w:val="36"/>
          <w:szCs w:val="36"/>
          <w:highlight w:val="none"/>
        </w:rPr>
      </w:pPr>
    </w:p>
    <w:p w14:paraId="076016AE">
      <w:pPr>
        <w:adjustRightInd w:val="0"/>
        <w:snapToGrid w:val="0"/>
        <w:spacing w:line="360" w:lineRule="auto"/>
        <w:ind w:left="1955" w:hanging="1955" w:hangingChars="541"/>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36"/>
          <w:szCs w:val="36"/>
          <w:highlight w:val="none"/>
        </w:rPr>
        <w:t>（电子投标、不见面开标方式）</w:t>
      </w:r>
    </w:p>
    <w:p w14:paraId="6E13368D">
      <w:pPr>
        <w:adjustRightInd w:val="0"/>
        <w:snapToGrid w:val="0"/>
        <w:spacing w:line="360" w:lineRule="auto"/>
        <w:ind w:left="1521" w:hanging="1086" w:hangingChars="541"/>
        <w:rPr>
          <w:rFonts w:hint="eastAsia" w:ascii="宋体" w:hAnsi="宋体" w:eastAsia="宋体" w:cs="宋体"/>
          <w:b/>
          <w:bCs/>
          <w:color w:val="auto"/>
          <w:sz w:val="20"/>
          <w:szCs w:val="20"/>
          <w:highlight w:val="none"/>
        </w:rPr>
      </w:pPr>
    </w:p>
    <w:p w14:paraId="00995847">
      <w:pPr>
        <w:pageBreakBefore w:val="0"/>
        <w:widowControl w:val="0"/>
        <w:kinsoku/>
        <w:wordWrap/>
        <w:overflowPunct/>
        <w:topLinePunct w:val="0"/>
        <w:autoSpaceDE/>
        <w:autoSpaceDN/>
        <w:bidi w:val="0"/>
        <w:adjustRightInd w:val="0"/>
        <w:snapToGrid w:val="0"/>
        <w:spacing w:line="480" w:lineRule="auto"/>
        <w:jc w:val="left"/>
        <w:textAlignment w:val="auto"/>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highlight w:val="none"/>
          <w:lang w:eastAsia="zh-CN"/>
        </w:rPr>
        <w:t>项目编号：</w:t>
      </w:r>
      <w:r>
        <w:rPr>
          <w:rFonts w:hint="eastAsia" w:ascii="宋体" w:hAnsi="宋体" w:cs="宋体"/>
          <w:b/>
          <w:bCs/>
          <w:color w:val="auto"/>
          <w:sz w:val="28"/>
          <w:highlight w:val="none"/>
          <w:lang w:eastAsia="zh-CN"/>
        </w:rPr>
        <w:t>HXTZ-202605</w:t>
      </w:r>
    </w:p>
    <w:p w14:paraId="038E3EED">
      <w:pPr>
        <w:pageBreakBefore w:val="0"/>
        <w:widowControl w:val="0"/>
        <w:kinsoku/>
        <w:wordWrap/>
        <w:overflowPunct/>
        <w:topLinePunct w:val="0"/>
        <w:autoSpaceDE/>
        <w:autoSpaceDN/>
        <w:bidi w:val="0"/>
        <w:snapToGrid w:val="0"/>
        <w:spacing w:line="360" w:lineRule="auto"/>
        <w:textAlignment w:val="auto"/>
        <w:rPr>
          <w:rFonts w:hint="eastAsia" w:ascii="宋体" w:hAnsi="宋体" w:eastAsia="宋体" w:cs="宋体"/>
          <w:b/>
          <w:color w:val="auto"/>
          <w:sz w:val="28"/>
          <w:highlight w:val="none"/>
          <w:u w:val="none"/>
          <w:lang w:eastAsia="zh-CN"/>
        </w:rPr>
      </w:pPr>
      <w:r>
        <w:rPr>
          <w:rFonts w:hint="eastAsia" w:ascii="宋体" w:hAnsi="宋体" w:eastAsia="宋体" w:cs="宋体"/>
          <w:b/>
          <w:bCs/>
          <w:color w:val="auto"/>
          <w:sz w:val="28"/>
          <w:highlight w:val="none"/>
        </w:rPr>
        <w:t>招标项目</w:t>
      </w:r>
      <w:r>
        <w:rPr>
          <w:rFonts w:hint="eastAsia" w:ascii="宋体" w:hAnsi="宋体" w:eastAsia="宋体" w:cs="宋体"/>
          <w:b/>
          <w:bCs/>
          <w:color w:val="auto"/>
          <w:sz w:val="28"/>
          <w:highlight w:val="none"/>
          <w:u w:val="none"/>
        </w:rPr>
        <w:t>：</w:t>
      </w:r>
      <w:r>
        <w:rPr>
          <w:rFonts w:hint="eastAsia" w:ascii="宋体" w:hAnsi="宋体" w:cs="宋体"/>
          <w:b/>
          <w:bCs/>
          <w:color w:val="auto"/>
          <w:sz w:val="28"/>
          <w:highlight w:val="none"/>
          <w:u w:val="none"/>
          <w:lang w:eastAsia="zh-CN"/>
        </w:rPr>
        <w:t>邵家渡共富小微企业创业园（一期）项目气体灭火系统</w:t>
      </w:r>
    </w:p>
    <w:p w14:paraId="1D1D59BE">
      <w:pPr>
        <w:adjustRightInd w:val="0"/>
        <w:snapToGrid w:val="0"/>
        <w:spacing w:line="360" w:lineRule="auto"/>
        <w:outlineLvl w:val="0"/>
        <w:rPr>
          <w:rFonts w:hint="eastAsia" w:ascii="宋体" w:hAnsi="宋体" w:cs="宋体"/>
          <w:b/>
          <w:color w:val="auto"/>
          <w:sz w:val="28"/>
          <w:highlight w:val="none"/>
          <w:lang w:val="en-US" w:eastAsia="zh-CN"/>
        </w:rPr>
      </w:pPr>
    </w:p>
    <w:p w14:paraId="519F35D8">
      <w:pPr>
        <w:adjustRightInd w:val="0"/>
        <w:snapToGrid w:val="0"/>
        <w:spacing w:line="360" w:lineRule="auto"/>
        <w:outlineLvl w:val="0"/>
        <w:rPr>
          <w:rFonts w:hint="eastAsia" w:ascii="宋体" w:hAnsi="宋体" w:cs="宋体"/>
          <w:b/>
          <w:color w:val="auto"/>
          <w:sz w:val="28"/>
          <w:highlight w:val="none"/>
          <w:lang w:val="en-US" w:eastAsia="zh-CN"/>
        </w:rPr>
      </w:pPr>
    </w:p>
    <w:p w14:paraId="035C8FF5">
      <w:pPr>
        <w:adjustRightInd w:val="0"/>
        <w:snapToGrid w:val="0"/>
        <w:spacing w:line="360" w:lineRule="auto"/>
        <w:outlineLvl w:val="0"/>
        <w:rPr>
          <w:rFonts w:hint="eastAsia" w:ascii="宋体" w:hAnsi="宋体" w:cs="宋体"/>
          <w:b/>
          <w:color w:val="auto"/>
          <w:sz w:val="28"/>
          <w:highlight w:val="none"/>
          <w:lang w:val="en-US" w:eastAsia="zh-CN"/>
        </w:rPr>
      </w:pPr>
    </w:p>
    <w:p w14:paraId="23AC3C4C">
      <w:pPr>
        <w:pageBreakBefore w:val="0"/>
        <w:widowControl w:val="0"/>
        <w:kinsoku/>
        <w:wordWrap/>
        <w:overflowPunct/>
        <w:topLinePunct w:val="0"/>
        <w:autoSpaceDE/>
        <w:autoSpaceDN/>
        <w:bidi w:val="0"/>
        <w:snapToGrid w:val="0"/>
        <w:spacing w:line="360" w:lineRule="auto"/>
        <w:textAlignment w:val="auto"/>
        <w:rPr>
          <w:rFonts w:hint="eastAsia" w:ascii="宋体" w:hAnsi="宋体" w:eastAsia="宋体" w:cs="宋体"/>
          <w:b/>
          <w:color w:val="auto"/>
          <w:sz w:val="28"/>
          <w:highlight w:val="none"/>
          <w:lang w:eastAsia="zh-CN"/>
        </w:rPr>
      </w:pPr>
      <w:r>
        <w:rPr>
          <w:rFonts w:hint="eastAsia" w:ascii="宋体" w:hAnsi="宋体" w:eastAsia="宋体" w:cs="宋体"/>
          <w:b/>
          <w:color w:val="auto"/>
          <w:sz w:val="28"/>
          <w:highlight w:val="none"/>
          <w:lang w:eastAsia="zh-CN"/>
        </w:rPr>
        <w:t>招标人</w:t>
      </w:r>
      <w:r>
        <w:rPr>
          <w:rFonts w:hint="eastAsia" w:ascii="宋体" w:hAnsi="宋体" w:cs="宋体"/>
          <w:b/>
          <w:color w:val="auto"/>
          <w:sz w:val="28"/>
          <w:highlight w:val="none"/>
          <w:lang w:eastAsia="zh-CN"/>
        </w:rPr>
        <w:t>：</w:t>
      </w:r>
      <w:r>
        <w:rPr>
          <w:rFonts w:hint="eastAsia" w:ascii="宋体" w:hAnsi="宋体" w:eastAsia="宋体" w:cs="宋体"/>
          <w:b/>
          <w:color w:val="auto"/>
          <w:sz w:val="28"/>
          <w:highlight w:val="none"/>
          <w:lang w:eastAsia="zh-CN"/>
        </w:rPr>
        <w:t>临海市工创实业有限公司（盖章）</w:t>
      </w:r>
    </w:p>
    <w:p w14:paraId="11211506">
      <w:pPr>
        <w:pageBreakBefore w:val="0"/>
        <w:widowControl w:val="0"/>
        <w:kinsoku/>
        <w:wordWrap/>
        <w:overflowPunct/>
        <w:topLinePunct w:val="0"/>
        <w:autoSpaceDE/>
        <w:autoSpaceDN/>
        <w:bidi w:val="0"/>
        <w:snapToGrid w:val="0"/>
        <w:spacing w:line="480" w:lineRule="auto"/>
        <w:textAlignment w:val="auto"/>
        <w:rPr>
          <w:rFonts w:hint="eastAsia" w:ascii="宋体" w:hAnsi="宋体" w:eastAsia="宋体" w:cs="宋体"/>
          <w:b/>
          <w:color w:val="auto"/>
          <w:sz w:val="36"/>
          <w:szCs w:val="32"/>
          <w:highlight w:val="none"/>
          <w:u w:val="none"/>
        </w:rPr>
      </w:pPr>
    </w:p>
    <w:p w14:paraId="3B0C38FC">
      <w:pPr>
        <w:pageBreakBefore w:val="0"/>
        <w:widowControl w:val="0"/>
        <w:kinsoku/>
        <w:wordWrap/>
        <w:overflowPunct/>
        <w:topLinePunct w:val="0"/>
        <w:autoSpaceDE/>
        <w:autoSpaceDN/>
        <w:bidi w:val="0"/>
        <w:snapToGrid w:val="0"/>
        <w:spacing w:line="480" w:lineRule="auto"/>
        <w:textAlignment w:val="auto"/>
        <w:rPr>
          <w:rFonts w:hint="eastAsia" w:ascii="宋体" w:hAnsi="宋体" w:eastAsia="宋体" w:cs="宋体"/>
          <w:b/>
          <w:color w:val="auto"/>
          <w:sz w:val="28"/>
          <w:highlight w:val="none"/>
          <w:u w:val="none"/>
          <w:lang w:eastAsia="zh-CN"/>
        </w:rPr>
      </w:pPr>
      <w:r>
        <w:rPr>
          <w:rFonts w:hint="eastAsia" w:ascii="宋体" w:hAnsi="宋体" w:eastAsia="宋体" w:cs="宋体"/>
          <w:b/>
          <w:color w:val="auto"/>
          <w:sz w:val="28"/>
          <w:highlight w:val="none"/>
          <w:u w:val="none"/>
        </w:rPr>
        <w:t xml:space="preserve">招标代理机构： </w:t>
      </w:r>
      <w:r>
        <w:rPr>
          <w:rFonts w:hint="eastAsia" w:ascii="宋体" w:hAnsi="宋体" w:cs="宋体"/>
          <w:b/>
          <w:color w:val="auto"/>
          <w:sz w:val="28"/>
          <w:highlight w:val="none"/>
          <w:u w:val="none"/>
          <w:lang w:eastAsia="zh-CN"/>
        </w:rPr>
        <w:t>浙江华夏工程管理有限公司（盖章</w:t>
      </w:r>
      <w:r>
        <w:rPr>
          <w:rFonts w:hint="eastAsia" w:ascii="宋体" w:hAnsi="宋体" w:cs="宋体"/>
          <w:b/>
          <w:color w:val="auto"/>
          <w:sz w:val="28"/>
          <w:highlight w:val="none"/>
          <w:u w:val="none"/>
          <w:lang w:val="en-US" w:eastAsia="zh-CN"/>
        </w:rPr>
        <w:t>)</w:t>
      </w:r>
    </w:p>
    <w:p w14:paraId="50B20906">
      <w:pPr>
        <w:pStyle w:val="5"/>
        <w:rPr>
          <w:rFonts w:hint="eastAsia" w:ascii="宋体" w:hAnsi="宋体" w:eastAsia="宋体" w:cs="宋体"/>
          <w:color w:val="auto"/>
          <w:sz w:val="21"/>
          <w:szCs w:val="21"/>
          <w:highlight w:val="none"/>
          <w:u w:val="none"/>
          <w:lang w:val="en-US" w:eastAsia="zh-CN"/>
        </w:rPr>
      </w:pPr>
    </w:p>
    <w:p w14:paraId="00469137">
      <w:pPr>
        <w:spacing w:line="360" w:lineRule="auto"/>
        <w:ind w:left="376" w:leftChars="179"/>
        <w:rPr>
          <w:rFonts w:hint="eastAsia" w:ascii="宋体" w:hAnsi="宋体" w:eastAsia="宋体" w:cs="宋体"/>
          <w:color w:val="auto"/>
          <w:sz w:val="28"/>
          <w:highlight w:val="none"/>
        </w:rPr>
      </w:pPr>
      <w:r>
        <w:rPr>
          <w:rFonts w:hint="eastAsia" w:ascii="宋体" w:hAnsi="宋体" w:eastAsia="宋体" w:cs="宋体"/>
          <w:color w:val="auto"/>
          <w:sz w:val="30"/>
          <w:highlight w:val="none"/>
        </w:rPr>
        <w:t xml:space="preserve">    </w:t>
      </w:r>
    </w:p>
    <w:p w14:paraId="348DA617">
      <w:pPr>
        <w:spacing w:line="500" w:lineRule="atLeast"/>
        <w:jc w:val="center"/>
        <w:rPr>
          <w:rFonts w:hint="eastAsia" w:ascii="宋体" w:hAnsi="宋体" w:eastAsia="宋体" w:cs="宋体"/>
          <w:color w:val="auto"/>
          <w:sz w:val="44"/>
          <w:szCs w:val="44"/>
          <w:highlight w:val="none"/>
        </w:rPr>
        <w:sectPr>
          <w:headerReference r:id="rId3" w:type="default"/>
          <w:footerReference r:id="rId4" w:type="default"/>
          <w:footerReference r:id="rId5" w:type="even"/>
          <w:pgSz w:w="11906" w:h="16838"/>
          <w:pgMar w:top="850" w:right="1587" w:bottom="850" w:left="1587" w:header="567" w:footer="454" w:gutter="0"/>
          <w:pgNumType w:fmt="decimal"/>
          <w:cols w:space="0" w:num="1"/>
          <w:rtlGutter w:val="0"/>
          <w:docGrid w:linePitch="286" w:charSpace="0"/>
        </w:sectPr>
      </w:pPr>
      <w:r>
        <w:rPr>
          <w:rFonts w:hint="eastAsia" w:ascii="宋体" w:hAnsi="宋体" w:cs="宋体"/>
          <w:b/>
          <w:color w:val="auto"/>
          <w:sz w:val="28"/>
          <w:highlight w:val="none"/>
          <w:lang w:val="en-US" w:eastAsia="zh-CN"/>
        </w:rPr>
        <w:t>2026</w:t>
      </w:r>
      <w:r>
        <w:rPr>
          <w:rFonts w:hint="eastAsia" w:ascii="宋体" w:hAnsi="宋体" w:eastAsia="宋体" w:cs="宋体"/>
          <w:b/>
          <w:color w:val="auto"/>
          <w:sz w:val="28"/>
          <w:highlight w:val="none"/>
        </w:rPr>
        <w:t>年</w:t>
      </w:r>
      <w:r>
        <w:rPr>
          <w:rFonts w:hint="eastAsia" w:ascii="宋体" w:hAnsi="宋体" w:cs="宋体"/>
          <w:b/>
          <w:color w:val="auto"/>
          <w:sz w:val="28"/>
          <w:highlight w:val="none"/>
          <w:lang w:val="en-US" w:eastAsia="zh-CN"/>
        </w:rPr>
        <w:t xml:space="preserve"> 4 </w:t>
      </w:r>
      <w:r>
        <w:rPr>
          <w:rFonts w:hint="eastAsia" w:ascii="宋体" w:hAnsi="宋体" w:eastAsia="宋体" w:cs="宋体"/>
          <w:b/>
          <w:color w:val="auto"/>
          <w:sz w:val="28"/>
          <w:highlight w:val="none"/>
        </w:rPr>
        <w:t>月</w:t>
      </w:r>
    </w:p>
    <w:p w14:paraId="7889BFA5">
      <w:pPr>
        <w:pStyle w:val="30"/>
        <w:spacing w:beforeLines="0" w:afterLines="0" w:line="360" w:lineRule="auto"/>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目    录</w:t>
      </w:r>
    </w:p>
    <w:p w14:paraId="50219EF3">
      <w:pPr>
        <w:pStyle w:val="37"/>
        <w:tabs>
          <w:tab w:val="left" w:pos="6120"/>
        </w:tabs>
        <w:spacing w:line="480" w:lineRule="auto"/>
        <w:rPr>
          <w:rFonts w:hint="eastAsia" w:ascii="宋体" w:hAnsi="宋体" w:eastAsia="宋体" w:cs="宋体"/>
          <w:b/>
          <w:color w:val="auto"/>
          <w:sz w:val="28"/>
          <w:szCs w:val="28"/>
          <w:highlight w:val="none"/>
        </w:rPr>
      </w:pPr>
    </w:p>
    <w:p w14:paraId="7FE2B22A">
      <w:pPr>
        <w:pStyle w:val="37"/>
        <w:tabs>
          <w:tab w:val="right" w:leader="dot" w:pos="8730"/>
        </w:tabs>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TOC \o "1-3" \h \z \u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"_Toc24977"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第一章  </w:t>
      </w:r>
      <w:r>
        <w:rPr>
          <w:rFonts w:hint="eastAsia" w:ascii="宋体" w:hAnsi="宋体" w:eastAsia="宋体" w:cs="宋体"/>
          <w:color w:val="auto"/>
          <w:sz w:val="28"/>
          <w:szCs w:val="28"/>
          <w:highlight w:val="none"/>
          <w:lang w:eastAsia="zh-CN"/>
        </w:rPr>
        <w:t>投标邀请</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_Toc24977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50850F9F">
      <w:pPr>
        <w:pStyle w:val="37"/>
        <w:tabs>
          <w:tab w:val="right" w:leader="dot" w:pos="8730"/>
        </w:tabs>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"_Toc18961"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第二章  招标需求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_Toc18961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64E126C3">
      <w:pPr>
        <w:pStyle w:val="37"/>
        <w:tabs>
          <w:tab w:val="right" w:leader="dot" w:pos="8730"/>
        </w:tabs>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"_Toc21154"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第三章  </w:t>
      </w:r>
      <w:r>
        <w:rPr>
          <w:rFonts w:hint="eastAsia" w:ascii="宋体" w:hAnsi="宋体" w:eastAsia="宋体" w:cs="宋体"/>
          <w:color w:val="auto"/>
          <w:sz w:val="28"/>
          <w:szCs w:val="28"/>
          <w:highlight w:val="none"/>
          <w:lang w:eastAsia="zh-CN"/>
        </w:rPr>
        <w:t>谈判</w:t>
      </w:r>
      <w:r>
        <w:rPr>
          <w:rFonts w:hint="eastAsia" w:ascii="宋体" w:hAnsi="宋体" w:eastAsia="宋体" w:cs="宋体"/>
          <w:color w:val="auto"/>
          <w:sz w:val="28"/>
          <w:szCs w:val="28"/>
          <w:highlight w:val="none"/>
        </w:rPr>
        <w:t>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lang w:val="en-US" w:eastAsia="zh-CN"/>
        </w:rPr>
        <w:t>9</w:t>
      </w:r>
      <w:r>
        <w:rPr>
          <w:rFonts w:hint="eastAsia" w:ascii="宋体" w:hAnsi="宋体" w:eastAsia="宋体" w:cs="宋体"/>
          <w:color w:val="auto"/>
          <w:sz w:val="28"/>
          <w:szCs w:val="28"/>
          <w:highlight w:val="none"/>
        </w:rPr>
        <w:fldChar w:fldCharType="end"/>
      </w:r>
    </w:p>
    <w:p w14:paraId="03B82E5B">
      <w:pPr>
        <w:pStyle w:val="37"/>
        <w:tabs>
          <w:tab w:val="right" w:leader="dot" w:pos="8730"/>
        </w:tabs>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"_Toc25711"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第四章  评标办法</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lang w:val="en-US" w:eastAsia="zh-CN"/>
        </w:rPr>
        <w:t>1</w:t>
      </w:r>
    </w:p>
    <w:p w14:paraId="39226822">
      <w:pPr>
        <w:pStyle w:val="37"/>
        <w:tabs>
          <w:tab w:val="right" w:leader="dot" w:pos="8730"/>
        </w:tabs>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"_Toc6015"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第五章  合同主要条款</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lang w:val="en-US" w:eastAsia="zh-CN"/>
        </w:rPr>
        <w:t>2</w:t>
      </w:r>
    </w:p>
    <w:p w14:paraId="6AA58144">
      <w:pPr>
        <w:pStyle w:val="37"/>
        <w:tabs>
          <w:tab w:val="right" w:leader="dot" w:pos="8730"/>
        </w:tabs>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"_Toc17436"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第六章　供应商谈判文件格式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lang w:val="en-US" w:eastAsia="zh-CN"/>
        </w:rPr>
        <w:t>5</w:t>
      </w:r>
    </w:p>
    <w:p w14:paraId="6A8736D3">
      <w:pPr>
        <w:pStyle w:val="37"/>
        <w:spacing w:line="480" w:lineRule="auto"/>
        <w:rPr>
          <w:rFonts w:hint="eastAsia" w:ascii="宋体" w:hAnsi="宋体" w:eastAsia="宋体" w:cs="宋体"/>
          <w:b/>
          <w:color w:val="auto"/>
          <w:sz w:val="28"/>
          <w:szCs w:val="28"/>
          <w:highlight w:val="none"/>
        </w:rPr>
      </w:pPr>
      <w:r>
        <w:rPr>
          <w:rFonts w:hint="eastAsia" w:ascii="宋体" w:hAnsi="宋体" w:eastAsia="宋体" w:cs="宋体"/>
          <w:color w:val="auto"/>
          <w:szCs w:val="28"/>
          <w:highlight w:val="none"/>
        </w:rPr>
        <w:fldChar w:fldCharType="end"/>
      </w:r>
    </w:p>
    <w:p w14:paraId="5F6A62FE">
      <w:pPr>
        <w:pStyle w:val="37"/>
        <w:tabs>
          <w:tab w:val="right" w:leader="dot" w:pos="8720"/>
        </w:tabs>
        <w:spacing w:line="800" w:lineRule="exact"/>
        <w:rPr>
          <w:rFonts w:hint="eastAsia" w:ascii="宋体" w:hAnsi="宋体" w:eastAsia="宋体" w:cs="宋体"/>
          <w:color w:val="auto"/>
          <w:szCs w:val="22"/>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TOC \o "1-3" \h \z \u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  </w:t>
      </w:r>
    </w:p>
    <w:p w14:paraId="580762CA">
      <w:pPr>
        <w:spacing w:before="120" w:beforeLines="50" w:line="360" w:lineRule="auto"/>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fldChar w:fldCharType="end"/>
      </w:r>
    </w:p>
    <w:p w14:paraId="7B31DD81">
      <w:pPr>
        <w:rPr>
          <w:rFonts w:hint="eastAsia" w:ascii="宋体" w:hAnsi="宋体" w:eastAsia="宋体" w:cs="宋体"/>
          <w:color w:val="auto"/>
          <w:highlight w:val="none"/>
        </w:rPr>
      </w:pPr>
    </w:p>
    <w:p w14:paraId="23FF4F6A">
      <w:pPr>
        <w:rPr>
          <w:rFonts w:hint="eastAsia" w:ascii="宋体" w:hAnsi="宋体" w:eastAsia="宋体" w:cs="宋体"/>
          <w:color w:val="auto"/>
          <w:highlight w:val="none"/>
        </w:rPr>
      </w:pPr>
    </w:p>
    <w:p w14:paraId="3061D0D2">
      <w:pPr>
        <w:rPr>
          <w:rFonts w:hint="eastAsia" w:ascii="宋体" w:hAnsi="宋体" w:eastAsia="宋体" w:cs="宋体"/>
          <w:color w:val="auto"/>
          <w:highlight w:val="none"/>
        </w:rPr>
      </w:pPr>
    </w:p>
    <w:p w14:paraId="6375ECD7">
      <w:pPr>
        <w:rPr>
          <w:rFonts w:hint="eastAsia" w:ascii="宋体" w:hAnsi="宋体" w:eastAsia="宋体" w:cs="宋体"/>
          <w:color w:val="auto"/>
          <w:highlight w:val="none"/>
        </w:rPr>
      </w:pPr>
    </w:p>
    <w:p w14:paraId="138BFB7D">
      <w:pPr>
        <w:rPr>
          <w:rFonts w:hint="eastAsia" w:ascii="宋体" w:hAnsi="宋体" w:eastAsia="宋体" w:cs="宋体"/>
          <w:color w:val="auto"/>
          <w:highlight w:val="none"/>
        </w:rPr>
      </w:pPr>
    </w:p>
    <w:p w14:paraId="1F3F81DA">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jc w:val="center"/>
        <w:textAlignment w:val="auto"/>
        <w:outlineLvl w:val="0"/>
        <w:rPr>
          <w:rFonts w:hint="eastAsia" w:ascii="宋体" w:hAnsi="宋体" w:eastAsia="宋体" w:cs="宋体"/>
          <w:b/>
          <w:color w:val="auto"/>
          <w:sz w:val="30"/>
          <w:szCs w:val="30"/>
          <w:highlight w:val="none"/>
        </w:rPr>
      </w:pPr>
      <w:r>
        <w:rPr>
          <w:rFonts w:hint="eastAsia" w:ascii="宋体" w:hAnsi="宋体" w:eastAsia="宋体" w:cs="宋体"/>
          <w:color w:val="auto"/>
          <w:highlight w:val="none"/>
        </w:rPr>
        <w:br w:type="page"/>
      </w:r>
      <w:bookmarkStart w:id="0" w:name="_Toc466534747"/>
      <w:bookmarkStart w:id="1" w:name="_Toc24977"/>
      <w:r>
        <w:rPr>
          <w:rFonts w:hint="eastAsia" w:ascii="宋体" w:hAnsi="宋体" w:eastAsia="宋体" w:cs="宋体"/>
          <w:b/>
          <w:color w:val="auto"/>
          <w:sz w:val="30"/>
          <w:szCs w:val="30"/>
          <w:highlight w:val="none"/>
        </w:rPr>
        <w:t xml:space="preserve">第一章  </w:t>
      </w:r>
      <w:bookmarkEnd w:id="0"/>
      <w:bookmarkEnd w:id="1"/>
      <w:r>
        <w:rPr>
          <w:rFonts w:hint="eastAsia" w:ascii="宋体" w:hAnsi="宋体" w:eastAsia="宋体" w:cs="宋体"/>
          <w:b/>
          <w:color w:val="auto"/>
          <w:kern w:val="0"/>
          <w:sz w:val="30"/>
          <w:szCs w:val="30"/>
          <w:highlight w:val="none"/>
        </w:rPr>
        <w:t>投标邀请</w:t>
      </w:r>
    </w:p>
    <w:p w14:paraId="5288736A">
      <w:pPr>
        <w:keepNext w:val="0"/>
        <w:keepLines w:val="0"/>
        <w:pageBreakBefore w:val="0"/>
        <w:kinsoku/>
        <w:wordWrap/>
        <w:overflowPunct/>
        <w:topLinePunct w:val="0"/>
        <w:autoSpaceDE/>
        <w:autoSpaceDN/>
        <w:bidi w:val="0"/>
        <w:adjustRightInd/>
        <w:snapToGrid w:val="0"/>
        <w:spacing w:line="344" w:lineRule="auto"/>
        <w:ind w:firstLine="496"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pacing w:val="4"/>
          <w:sz w:val="24"/>
          <w:highlight w:val="none"/>
        </w:rPr>
        <w:t>本项目为</w:t>
      </w:r>
      <w:r>
        <w:rPr>
          <w:rFonts w:hint="eastAsia" w:ascii="宋体" w:hAnsi="宋体" w:eastAsia="宋体" w:cs="宋体"/>
          <w:b/>
          <w:bCs/>
          <w:color w:val="auto"/>
          <w:spacing w:val="4"/>
          <w:sz w:val="24"/>
          <w:highlight w:val="none"/>
        </w:rPr>
        <w:t>非政府采购</w:t>
      </w:r>
      <w:r>
        <w:rPr>
          <w:rFonts w:hint="eastAsia" w:ascii="宋体" w:hAnsi="宋体" w:eastAsia="宋体" w:cs="宋体"/>
          <w:color w:val="auto"/>
          <w:spacing w:val="4"/>
          <w:sz w:val="24"/>
          <w:highlight w:val="none"/>
        </w:rPr>
        <w:t>项目，根据招标投标有关法律法规及采购人单位内控制度等规定</w:t>
      </w:r>
      <w:r>
        <w:rPr>
          <w:rFonts w:hint="eastAsia" w:ascii="宋体" w:hAnsi="宋体" w:eastAsia="宋体" w:cs="宋体"/>
          <w:color w:val="auto"/>
          <w:sz w:val="24"/>
          <w:highlight w:val="none"/>
        </w:rPr>
        <w:t>，受</w:t>
      </w:r>
      <w:r>
        <w:rPr>
          <w:rFonts w:hint="eastAsia" w:ascii="宋体" w:hAnsi="宋体" w:cs="宋体"/>
          <w:color w:val="auto"/>
          <w:sz w:val="24"/>
          <w:highlight w:val="none"/>
          <w:u w:val="single"/>
          <w:lang w:eastAsia="zh-CN"/>
        </w:rPr>
        <w:t>临海市工创实业有限公司</w:t>
      </w:r>
      <w:r>
        <w:rPr>
          <w:rFonts w:hint="eastAsia" w:ascii="宋体" w:hAnsi="宋体" w:eastAsia="宋体" w:cs="宋体"/>
          <w:color w:val="auto"/>
          <w:sz w:val="24"/>
          <w:highlight w:val="none"/>
        </w:rPr>
        <w:t>委托，现就</w:t>
      </w:r>
      <w:r>
        <w:rPr>
          <w:rFonts w:hint="eastAsia" w:ascii="宋体" w:hAnsi="宋体" w:cs="宋体"/>
          <w:color w:val="auto"/>
          <w:sz w:val="24"/>
          <w:highlight w:val="none"/>
          <w:u w:val="single"/>
          <w:lang w:eastAsia="zh-CN"/>
        </w:rPr>
        <w:t>邵家渡共富小微企业创业园（一期）项目气体灭火系统</w:t>
      </w:r>
      <w:r>
        <w:rPr>
          <w:rFonts w:hint="eastAsia" w:ascii="宋体" w:hAnsi="宋体" w:eastAsia="宋体" w:cs="宋体"/>
          <w:color w:val="auto"/>
          <w:sz w:val="24"/>
          <w:highlight w:val="none"/>
        </w:rPr>
        <w:t>进行</w:t>
      </w:r>
      <w:r>
        <w:rPr>
          <w:rFonts w:hint="eastAsia" w:ascii="宋体" w:hAnsi="宋体" w:eastAsia="宋体" w:cs="宋体"/>
          <w:color w:val="auto"/>
          <w:sz w:val="24"/>
          <w:highlight w:val="none"/>
          <w:lang w:eastAsia="zh-CN"/>
        </w:rPr>
        <w:t>竞争性谈判</w:t>
      </w:r>
      <w:r>
        <w:rPr>
          <w:rFonts w:hint="eastAsia" w:ascii="宋体" w:hAnsi="宋体" w:eastAsia="宋体" w:cs="宋体"/>
          <w:color w:val="auto"/>
          <w:sz w:val="24"/>
          <w:highlight w:val="none"/>
        </w:rPr>
        <w:t>，</w:t>
      </w:r>
      <w:r>
        <w:rPr>
          <w:rFonts w:hint="eastAsia" w:ascii="宋体" w:hAnsi="宋体" w:eastAsia="宋体" w:cs="宋体"/>
          <w:color w:val="auto"/>
          <w:kern w:val="0"/>
          <w:sz w:val="24"/>
          <w:highlight w:val="none"/>
        </w:rPr>
        <w:t>欢迎具备本项目投标人的资格要求且能够及时提供相关货物及服务的投标人前来投标。</w:t>
      </w:r>
    </w:p>
    <w:p w14:paraId="718C1542">
      <w:pPr>
        <w:pStyle w:val="46"/>
        <w:keepNext w:val="0"/>
        <w:keepLines w:val="0"/>
        <w:pageBreakBefore w:val="0"/>
        <w:kinsoku/>
        <w:wordWrap/>
        <w:overflowPunct/>
        <w:topLinePunct w:val="0"/>
        <w:autoSpaceDE/>
        <w:autoSpaceDN/>
        <w:bidi w:val="0"/>
        <w:adjustRightInd/>
        <w:snapToGrid w:val="0"/>
        <w:spacing w:before="0" w:beforeAutospacing="0" w:after="0" w:afterAutospacing="0" w:line="344" w:lineRule="auto"/>
        <w:ind w:firstLine="482" w:firstLineChars="200"/>
        <w:textAlignment w:val="auto"/>
        <w:rPr>
          <w:rFonts w:hint="eastAsia" w:ascii="宋体" w:hAnsi="宋体" w:eastAsia="宋体" w:cs="宋体"/>
          <w:color w:val="auto"/>
          <w:highlight w:val="none"/>
        </w:rPr>
      </w:pPr>
      <w:r>
        <w:rPr>
          <w:rFonts w:hint="eastAsia" w:ascii="宋体" w:hAnsi="宋体" w:eastAsia="宋体" w:cs="宋体"/>
          <w:b/>
          <w:bCs/>
          <w:color w:val="auto"/>
          <w:highlight w:val="none"/>
        </w:rPr>
        <w:t>1</w:t>
      </w:r>
      <w:r>
        <w:rPr>
          <w:rFonts w:hint="eastAsia" w:ascii="宋体" w:hAnsi="宋体" w:eastAsia="宋体" w:cs="宋体"/>
          <w:color w:val="auto"/>
          <w:highlight w:val="none"/>
        </w:rPr>
        <w:t>.</w:t>
      </w:r>
      <w:r>
        <w:rPr>
          <w:rFonts w:hint="eastAsia" w:ascii="宋体" w:hAnsi="宋体" w:eastAsia="宋体" w:cs="宋体"/>
          <w:b/>
          <w:bCs/>
          <w:color w:val="auto"/>
          <w:highlight w:val="none"/>
        </w:rPr>
        <w:t>项目概况</w:t>
      </w:r>
    </w:p>
    <w:p w14:paraId="03F149B6">
      <w:pPr>
        <w:pStyle w:val="46"/>
        <w:keepNext w:val="0"/>
        <w:keepLines w:val="0"/>
        <w:pageBreakBefore w:val="0"/>
        <w:kinsoku/>
        <w:wordWrap/>
        <w:overflowPunct/>
        <w:topLinePunct w:val="0"/>
        <w:autoSpaceDE/>
        <w:autoSpaceDN/>
        <w:bidi w:val="0"/>
        <w:adjustRightInd/>
        <w:snapToGrid w:val="0"/>
        <w:spacing w:before="0" w:beforeAutospacing="0" w:after="0" w:afterAutospacing="0" w:line="344" w:lineRule="auto"/>
        <w:ind w:firstLine="48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项目名称：</w:t>
      </w:r>
      <w:r>
        <w:rPr>
          <w:rFonts w:hint="eastAsia" w:cs="宋体"/>
          <w:color w:val="auto"/>
          <w:highlight w:val="none"/>
          <w:lang w:eastAsia="zh-CN"/>
        </w:rPr>
        <w:t>邵家渡共富小微企业创业园（一期）项目气体灭火系统</w:t>
      </w:r>
    </w:p>
    <w:p w14:paraId="274A50DC">
      <w:pPr>
        <w:pStyle w:val="46"/>
        <w:keepNext w:val="0"/>
        <w:keepLines w:val="0"/>
        <w:pageBreakBefore w:val="0"/>
        <w:kinsoku/>
        <w:wordWrap/>
        <w:overflowPunct/>
        <w:topLinePunct w:val="0"/>
        <w:autoSpaceDE/>
        <w:autoSpaceDN/>
        <w:bidi w:val="0"/>
        <w:adjustRightInd/>
        <w:snapToGrid w:val="0"/>
        <w:spacing w:before="0" w:beforeAutospacing="0" w:after="0" w:afterAutospacing="0" w:line="344" w:lineRule="auto"/>
        <w:ind w:firstLine="48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采购人：</w:t>
      </w:r>
      <w:r>
        <w:rPr>
          <w:rFonts w:hint="eastAsia" w:cs="宋体"/>
          <w:color w:val="auto"/>
          <w:highlight w:val="none"/>
          <w:lang w:eastAsia="zh-CN"/>
        </w:rPr>
        <w:t>临海市工创实业有限公司</w:t>
      </w:r>
    </w:p>
    <w:p w14:paraId="5983B0D0">
      <w:pPr>
        <w:pStyle w:val="46"/>
        <w:keepNext w:val="0"/>
        <w:keepLines w:val="0"/>
        <w:pageBreakBefore w:val="0"/>
        <w:kinsoku/>
        <w:wordWrap/>
        <w:overflowPunct/>
        <w:topLinePunct w:val="0"/>
        <w:autoSpaceDE/>
        <w:autoSpaceDN/>
        <w:bidi w:val="0"/>
        <w:adjustRightInd/>
        <w:snapToGrid w:val="0"/>
        <w:spacing w:before="0" w:beforeAutospacing="0" w:after="0" w:afterAutospacing="0" w:line="344"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采购规模及内容概述：</w:t>
      </w:r>
      <w:r>
        <w:rPr>
          <w:rFonts w:hint="eastAsia" w:cs="宋体"/>
          <w:color w:val="auto"/>
          <w:highlight w:val="none"/>
          <w:lang w:eastAsia="zh-CN"/>
        </w:rPr>
        <w:t>邵家渡共富小微企业创业园（一期）项目气体灭火系统的设备供应、安装、调试等（详见招标需求）</w:t>
      </w:r>
      <w:r>
        <w:rPr>
          <w:rFonts w:hint="eastAsia" w:ascii="宋体" w:hAnsi="宋体" w:eastAsia="宋体" w:cs="宋体"/>
          <w:color w:val="auto"/>
          <w:highlight w:val="none"/>
        </w:rPr>
        <w:t xml:space="preserve">。 </w:t>
      </w:r>
    </w:p>
    <w:p w14:paraId="260D09EE">
      <w:pPr>
        <w:pStyle w:val="46"/>
        <w:keepNext w:val="0"/>
        <w:keepLines w:val="0"/>
        <w:pageBreakBefore w:val="0"/>
        <w:kinsoku/>
        <w:wordWrap/>
        <w:overflowPunct/>
        <w:topLinePunct w:val="0"/>
        <w:autoSpaceDE/>
        <w:autoSpaceDN/>
        <w:bidi w:val="0"/>
        <w:adjustRightInd/>
        <w:snapToGrid w:val="0"/>
        <w:spacing w:before="0" w:beforeAutospacing="0" w:after="0" w:afterAutospacing="0" w:line="344" w:lineRule="auto"/>
        <w:ind w:firstLine="48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采购预算：</w:t>
      </w:r>
      <w:r>
        <w:rPr>
          <w:rFonts w:hint="eastAsia" w:cs="宋体"/>
          <w:color w:val="auto"/>
          <w:highlight w:val="none"/>
          <w:lang w:val="en-US" w:eastAsia="zh-CN"/>
        </w:rPr>
        <w:t>487920</w:t>
      </w:r>
      <w:r>
        <w:rPr>
          <w:rFonts w:hint="eastAsia" w:cs="宋体"/>
          <w:color w:val="auto"/>
          <w:highlight w:val="none"/>
          <w:lang w:eastAsia="zh-CN"/>
        </w:rPr>
        <w:t>元</w:t>
      </w:r>
    </w:p>
    <w:p w14:paraId="587B7693">
      <w:pPr>
        <w:keepNext w:val="0"/>
        <w:keepLines w:val="0"/>
        <w:pageBreakBefore w:val="0"/>
        <w:kinsoku/>
        <w:wordWrap/>
        <w:overflowPunct/>
        <w:topLinePunct w:val="0"/>
        <w:autoSpaceDE/>
        <w:autoSpaceDN/>
        <w:bidi w:val="0"/>
        <w:adjustRightInd/>
        <w:snapToGrid w:val="0"/>
        <w:spacing w:line="344" w:lineRule="auto"/>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采购组织类型：分散采购</w:t>
      </w:r>
    </w:p>
    <w:p w14:paraId="0ED9198B">
      <w:pPr>
        <w:pStyle w:val="46"/>
        <w:keepNext w:val="0"/>
        <w:keepLines w:val="0"/>
        <w:pageBreakBefore w:val="0"/>
        <w:kinsoku/>
        <w:wordWrap/>
        <w:overflowPunct/>
        <w:topLinePunct w:val="0"/>
        <w:autoSpaceDE/>
        <w:autoSpaceDN/>
        <w:bidi w:val="0"/>
        <w:adjustRightInd/>
        <w:snapToGrid w:val="0"/>
        <w:spacing w:before="0" w:beforeAutospacing="0" w:after="0" w:afterAutospacing="0" w:line="344"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采购标段数：1</w:t>
      </w:r>
    </w:p>
    <w:p w14:paraId="3C068F7C">
      <w:pPr>
        <w:pStyle w:val="46"/>
        <w:keepNext w:val="0"/>
        <w:keepLines w:val="0"/>
        <w:pageBreakBefore w:val="0"/>
        <w:kinsoku/>
        <w:wordWrap/>
        <w:overflowPunct/>
        <w:topLinePunct w:val="0"/>
        <w:autoSpaceDE/>
        <w:autoSpaceDN/>
        <w:bidi w:val="0"/>
        <w:adjustRightInd/>
        <w:snapToGrid w:val="0"/>
        <w:spacing w:before="0" w:beforeAutospacing="0" w:after="0" w:afterAutospacing="0" w:line="344" w:lineRule="auto"/>
        <w:ind w:firstLine="48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采购方式：</w:t>
      </w:r>
      <w:r>
        <w:rPr>
          <w:rFonts w:hint="eastAsia" w:ascii="宋体" w:hAnsi="宋体" w:eastAsia="宋体" w:cs="宋体"/>
          <w:color w:val="auto"/>
          <w:highlight w:val="none"/>
          <w:lang w:eastAsia="zh-CN"/>
        </w:rPr>
        <w:t>竞争性谈判</w:t>
      </w:r>
    </w:p>
    <w:p w14:paraId="757A36DF">
      <w:pPr>
        <w:pStyle w:val="46"/>
        <w:keepNext w:val="0"/>
        <w:keepLines w:val="0"/>
        <w:pageBreakBefore w:val="0"/>
        <w:kinsoku/>
        <w:wordWrap/>
        <w:overflowPunct/>
        <w:topLinePunct w:val="0"/>
        <w:autoSpaceDE/>
        <w:autoSpaceDN/>
        <w:bidi w:val="0"/>
        <w:adjustRightInd/>
        <w:snapToGrid w:val="0"/>
        <w:spacing w:before="0" w:beforeAutospacing="0" w:after="0" w:afterAutospacing="0" w:line="344" w:lineRule="auto"/>
        <w:ind w:firstLine="480" w:firstLineChars="200"/>
        <w:textAlignment w:val="auto"/>
        <w:rPr>
          <w:rFonts w:hint="eastAsia" w:ascii="宋体" w:hAnsi="宋体" w:eastAsia="宋体" w:cs="宋体"/>
          <w:color w:val="auto"/>
          <w:highlight w:val="none"/>
        </w:rPr>
      </w:pPr>
      <w:r>
        <w:rPr>
          <w:rFonts w:hint="eastAsia" w:ascii="宋体" w:hAnsi="宋体" w:cs="宋体"/>
          <w:sz w:val="24"/>
          <w:szCs w:val="24"/>
          <w:highlight w:val="none"/>
          <w:lang w:bidi="ar-SA"/>
        </w:rPr>
        <w:t>▲</w:t>
      </w:r>
      <w:r>
        <w:rPr>
          <w:rFonts w:hint="eastAsia" w:ascii="宋体" w:hAnsi="宋体" w:eastAsia="宋体" w:cs="宋体"/>
          <w:color w:val="auto"/>
          <w:highlight w:val="none"/>
        </w:rPr>
        <w:t>服务期：</w:t>
      </w:r>
      <w:r>
        <w:rPr>
          <w:rFonts w:hint="eastAsia" w:cs="宋体"/>
          <w:color w:val="auto"/>
          <w:highlight w:val="none"/>
          <w:lang w:val="en-US" w:eastAsia="zh-CN"/>
        </w:rPr>
        <w:t>根据工程进度，配合总承包单位同步完成全部工作内容</w:t>
      </w:r>
      <w:r>
        <w:rPr>
          <w:rFonts w:hint="eastAsia" w:ascii="宋体" w:hAnsi="宋体" w:eastAsia="宋体" w:cs="宋体"/>
          <w:color w:val="auto"/>
          <w:highlight w:val="none"/>
        </w:rPr>
        <w:t>。</w:t>
      </w:r>
    </w:p>
    <w:p w14:paraId="2B743552">
      <w:pPr>
        <w:pStyle w:val="46"/>
        <w:keepNext w:val="0"/>
        <w:keepLines w:val="0"/>
        <w:pageBreakBefore w:val="0"/>
        <w:kinsoku/>
        <w:wordWrap/>
        <w:overflowPunct/>
        <w:topLinePunct w:val="0"/>
        <w:autoSpaceDE/>
        <w:autoSpaceDN/>
        <w:bidi w:val="0"/>
        <w:adjustRightInd/>
        <w:snapToGrid w:val="0"/>
        <w:spacing w:before="0" w:beforeAutospacing="0" w:after="0" w:afterAutospacing="0" w:line="344" w:lineRule="auto"/>
        <w:ind w:firstLine="482" w:firstLineChars="200"/>
        <w:textAlignment w:val="auto"/>
        <w:rPr>
          <w:rFonts w:hint="eastAsia" w:ascii="宋体" w:hAnsi="宋体" w:eastAsia="宋体" w:cs="宋体"/>
          <w:b/>
          <w:color w:val="auto"/>
          <w:highlight w:val="none"/>
        </w:rPr>
      </w:pPr>
      <w:r>
        <w:rPr>
          <w:rFonts w:hint="eastAsia" w:ascii="宋体" w:hAnsi="宋体" w:eastAsia="宋体" w:cs="宋体"/>
          <w:b/>
          <w:color w:val="auto"/>
          <w:highlight w:val="none"/>
        </w:rPr>
        <w:t>采购文件公告期限：</w:t>
      </w:r>
      <w:r>
        <w:rPr>
          <w:rFonts w:hint="eastAsia" w:ascii="宋体" w:hAnsi="宋体" w:eastAsia="宋体" w:cs="宋体"/>
          <w:b/>
          <w:color w:val="auto"/>
          <w:highlight w:val="none"/>
          <w:lang w:val="en-US" w:eastAsia="zh-CN"/>
        </w:rPr>
        <w:t>3</w:t>
      </w:r>
      <w:r>
        <w:rPr>
          <w:rFonts w:hint="eastAsia" w:ascii="宋体" w:hAnsi="宋体" w:eastAsia="宋体" w:cs="宋体"/>
          <w:b/>
          <w:color w:val="auto"/>
          <w:highlight w:val="none"/>
        </w:rPr>
        <w:t>个工作日</w:t>
      </w:r>
    </w:p>
    <w:p w14:paraId="61EF0061">
      <w:pPr>
        <w:pStyle w:val="46"/>
        <w:keepNext w:val="0"/>
        <w:keepLines w:val="0"/>
        <w:pageBreakBefore w:val="0"/>
        <w:kinsoku/>
        <w:wordWrap/>
        <w:overflowPunct/>
        <w:topLinePunct w:val="0"/>
        <w:autoSpaceDE/>
        <w:autoSpaceDN/>
        <w:bidi w:val="0"/>
        <w:adjustRightInd/>
        <w:snapToGrid w:val="0"/>
        <w:spacing w:before="0" w:beforeAutospacing="0" w:after="0" w:afterAutospacing="0" w:line="344"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该项目已具备条件，现对该项目进行</w:t>
      </w:r>
      <w:r>
        <w:rPr>
          <w:rFonts w:hint="eastAsia" w:ascii="宋体" w:hAnsi="宋体" w:eastAsia="宋体" w:cs="宋体"/>
          <w:color w:val="auto"/>
          <w:highlight w:val="none"/>
          <w:lang w:eastAsia="zh-CN"/>
        </w:rPr>
        <w:t>竞争性谈判</w:t>
      </w:r>
      <w:r>
        <w:rPr>
          <w:rFonts w:hint="eastAsia" w:ascii="宋体" w:hAnsi="宋体" w:eastAsia="宋体" w:cs="宋体"/>
          <w:color w:val="auto"/>
          <w:highlight w:val="none"/>
        </w:rPr>
        <w:t>。</w:t>
      </w:r>
    </w:p>
    <w:p w14:paraId="37449196">
      <w:pPr>
        <w:keepNext w:val="0"/>
        <w:keepLines w:val="0"/>
        <w:pageBreakBefore w:val="0"/>
        <w:kinsoku/>
        <w:wordWrap/>
        <w:overflowPunct/>
        <w:topLinePunct w:val="0"/>
        <w:autoSpaceDE/>
        <w:autoSpaceDN/>
        <w:bidi w:val="0"/>
        <w:adjustRightInd/>
        <w:snapToGrid w:val="0"/>
        <w:spacing w:line="344" w:lineRule="auto"/>
        <w:ind w:firstLine="482" w:firstLineChars="200"/>
        <w:textAlignment w:val="auto"/>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2.投标人资格要求</w:t>
      </w:r>
    </w:p>
    <w:p w14:paraId="6C3B277A">
      <w:pPr>
        <w:keepNext w:val="0"/>
        <w:keepLines w:val="0"/>
        <w:pageBreakBefore w:val="0"/>
        <w:kinsoku/>
        <w:wordWrap/>
        <w:overflowPunct/>
        <w:topLinePunct w:val="0"/>
        <w:autoSpaceDE/>
        <w:autoSpaceDN/>
        <w:bidi w:val="0"/>
        <w:adjustRightInd/>
        <w:snapToGrid w:val="0"/>
        <w:spacing w:line="344" w:lineRule="auto"/>
        <w:ind w:firstLine="480" w:firstLineChars="200"/>
        <w:textAlignment w:val="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（1）未被“信用中国”（www.creditchina.gov.cn)、中国政府采购网（www.ccgp.gov.cn）列入失信被执行人、税收违法黑名单、政府采购严重违法失信行为记录名单</w:t>
      </w:r>
      <w:r>
        <w:rPr>
          <w:rFonts w:hint="eastAsia" w:ascii="宋体" w:hAnsi="宋体" w:cs="宋体"/>
          <w:color w:val="auto"/>
          <w:kern w:val="0"/>
          <w:sz w:val="24"/>
          <w:highlight w:val="none"/>
          <w:lang w:eastAsia="zh-CN"/>
        </w:rPr>
        <w:t>；</w:t>
      </w:r>
    </w:p>
    <w:p w14:paraId="2171FAC0">
      <w:pPr>
        <w:keepNext w:val="0"/>
        <w:keepLines w:val="0"/>
        <w:pageBreakBefore w:val="0"/>
        <w:kinsoku/>
        <w:wordWrap/>
        <w:overflowPunct/>
        <w:topLinePunct w:val="0"/>
        <w:autoSpaceDE/>
        <w:autoSpaceDN/>
        <w:bidi w:val="0"/>
        <w:adjustRightInd/>
        <w:snapToGrid w:val="0"/>
        <w:spacing w:line="344" w:lineRule="auto"/>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（2）具有与本采购项目相适应的商品经营或服务能力的投标人；</w:t>
      </w:r>
    </w:p>
    <w:p w14:paraId="57C3EA1B">
      <w:pPr>
        <w:keepNext w:val="0"/>
        <w:keepLines w:val="0"/>
        <w:pageBreakBefore w:val="0"/>
        <w:kinsoku/>
        <w:wordWrap/>
        <w:overflowPunct/>
        <w:topLinePunct w:val="0"/>
        <w:autoSpaceDE/>
        <w:autoSpaceDN/>
        <w:bidi w:val="0"/>
        <w:adjustRightInd/>
        <w:snapToGrid w:val="0"/>
        <w:spacing w:line="344" w:lineRule="auto"/>
        <w:ind w:firstLine="480" w:firstLineChars="200"/>
        <w:textAlignment w:val="auto"/>
        <w:rPr>
          <w:rFonts w:hint="eastAsia" w:ascii="宋体" w:hAnsi="宋体" w:eastAsia="宋体" w:cs="宋体"/>
          <w:color w:val="auto"/>
          <w:kern w:val="0"/>
          <w:sz w:val="24"/>
          <w:highlight w:val="yellow"/>
        </w:rPr>
      </w:pPr>
      <w:r>
        <w:rPr>
          <w:rFonts w:hint="eastAsia" w:ascii="宋体" w:hAnsi="宋体" w:eastAsia="宋体" w:cs="宋体"/>
          <w:color w:val="auto"/>
          <w:kern w:val="0"/>
          <w:sz w:val="24"/>
          <w:highlight w:val="none"/>
        </w:rPr>
        <w:t>（3）</w:t>
      </w:r>
      <w:bookmarkStart w:id="160" w:name="_GoBack"/>
      <w:r>
        <w:rPr>
          <w:rFonts w:hint="eastAsia" w:ascii="宋体" w:hAnsi="宋体" w:eastAsia="宋体" w:cs="宋体"/>
          <w:color w:val="auto"/>
          <w:kern w:val="0"/>
          <w:sz w:val="24"/>
          <w:highlight w:val="none"/>
        </w:rPr>
        <w:t>本项目不接受联合体投标</w:t>
      </w:r>
      <w:bookmarkEnd w:id="160"/>
      <w:r>
        <w:rPr>
          <w:rFonts w:hint="eastAsia" w:ascii="宋体" w:hAnsi="宋体" w:eastAsia="宋体" w:cs="宋体"/>
          <w:color w:val="auto"/>
          <w:kern w:val="0"/>
          <w:sz w:val="24"/>
          <w:highlight w:val="none"/>
        </w:rPr>
        <w:t>。</w:t>
      </w:r>
    </w:p>
    <w:p w14:paraId="287B8828">
      <w:pPr>
        <w:keepNext w:val="0"/>
        <w:keepLines w:val="0"/>
        <w:pageBreakBefore w:val="0"/>
        <w:kinsoku/>
        <w:wordWrap/>
        <w:overflowPunct/>
        <w:topLinePunct w:val="0"/>
        <w:autoSpaceDE/>
        <w:autoSpaceDN/>
        <w:bidi w:val="0"/>
        <w:adjustRightInd/>
        <w:snapToGrid w:val="0"/>
        <w:spacing w:line="344" w:lineRule="auto"/>
        <w:ind w:firstLine="482" w:firstLineChars="200"/>
        <w:textAlignment w:val="auto"/>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3.报名</w:t>
      </w:r>
    </w:p>
    <w:p w14:paraId="7B19E773">
      <w:pPr>
        <w:keepNext w:val="0"/>
        <w:keepLines w:val="0"/>
        <w:pageBreakBefore w:val="0"/>
        <w:kinsoku/>
        <w:wordWrap/>
        <w:overflowPunct/>
        <w:topLinePunct w:val="0"/>
        <w:autoSpaceDE/>
        <w:autoSpaceDN/>
        <w:bidi w:val="0"/>
        <w:adjustRightInd/>
        <w:snapToGrid w:val="0"/>
        <w:spacing w:line="344" w:lineRule="auto"/>
        <w:ind w:firstLine="482" w:firstLineChars="200"/>
        <w:textAlignment w:val="auto"/>
        <w:rPr>
          <w:rFonts w:hint="eastAsia" w:ascii="宋体" w:hAnsi="宋体" w:eastAsia="宋体" w:cs="宋体"/>
          <w:b/>
          <w:bCs/>
          <w:color w:val="auto"/>
          <w:kern w:val="0"/>
          <w:sz w:val="24"/>
          <w:highlight w:val="none"/>
          <w:u w:val="single"/>
          <w:shd w:val="pct10" w:color="auto" w:fill="FFFFFF"/>
        </w:rPr>
      </w:pPr>
      <w:r>
        <w:rPr>
          <w:rFonts w:hint="eastAsia" w:ascii="宋体" w:hAnsi="宋体" w:eastAsia="宋体" w:cs="宋体"/>
          <w:b/>
          <w:bCs/>
          <w:color w:val="auto"/>
          <w:kern w:val="0"/>
          <w:sz w:val="24"/>
          <w:highlight w:val="none"/>
          <w:u w:val="single"/>
          <w:shd w:val="pct10" w:color="auto" w:fill="FFFFFF"/>
        </w:rPr>
        <w:t>本项目无需报名，</w:t>
      </w:r>
      <w:bookmarkStart w:id="2" w:name="_Hlk59307647"/>
      <w:r>
        <w:rPr>
          <w:rFonts w:hint="eastAsia" w:ascii="宋体" w:hAnsi="宋体" w:eastAsia="宋体" w:cs="宋体"/>
          <w:b/>
          <w:bCs/>
          <w:color w:val="auto"/>
          <w:kern w:val="0"/>
          <w:sz w:val="24"/>
          <w:highlight w:val="none"/>
          <w:u w:val="single"/>
          <w:shd w:val="pct10" w:color="auto" w:fill="FFFFFF"/>
        </w:rPr>
        <w:t>投标人须到临海市限额以下公共资源交易区域平台</w:t>
      </w:r>
    </w:p>
    <w:p w14:paraId="202354AA">
      <w:pPr>
        <w:keepNext w:val="0"/>
        <w:keepLines w:val="0"/>
        <w:pageBreakBefore w:val="0"/>
        <w:kinsoku/>
        <w:wordWrap/>
        <w:overflowPunct/>
        <w:topLinePunct w:val="0"/>
        <w:autoSpaceDE/>
        <w:autoSpaceDN/>
        <w:bidi w:val="0"/>
        <w:adjustRightInd/>
        <w:snapToGrid w:val="0"/>
        <w:spacing w:line="344" w:lineRule="auto"/>
        <w:ind w:firstLine="482" w:firstLineChars="200"/>
        <w:textAlignment w:val="auto"/>
        <w:rPr>
          <w:rFonts w:hint="eastAsia" w:ascii="宋体" w:hAnsi="宋体" w:eastAsia="宋体" w:cs="宋体"/>
          <w:b/>
          <w:bCs/>
          <w:color w:val="auto"/>
          <w:kern w:val="0"/>
          <w:sz w:val="24"/>
          <w:highlight w:val="none"/>
          <w:u w:val="single"/>
          <w:shd w:val="pct10" w:color="auto" w:fill="FFFFFF"/>
        </w:rPr>
      </w:pPr>
      <w:r>
        <w:rPr>
          <w:rFonts w:hint="eastAsia" w:ascii="宋体" w:hAnsi="宋体" w:eastAsia="宋体" w:cs="宋体"/>
          <w:b/>
          <w:bCs/>
          <w:color w:val="auto"/>
          <w:kern w:val="0"/>
          <w:sz w:val="24"/>
          <w:highlight w:val="none"/>
          <w:u w:val="single"/>
          <w:shd w:val="pct10" w:color="auto" w:fill="FFFFFF"/>
        </w:rPr>
        <w:t>（https://www.lhcqjy.com.cn/home）注册</w:t>
      </w:r>
      <w:bookmarkEnd w:id="2"/>
      <w:r>
        <w:rPr>
          <w:rFonts w:hint="eastAsia" w:ascii="宋体" w:hAnsi="宋体" w:eastAsia="宋体" w:cs="宋体"/>
          <w:b/>
          <w:bCs/>
          <w:color w:val="auto"/>
          <w:kern w:val="0"/>
          <w:sz w:val="24"/>
          <w:highlight w:val="none"/>
          <w:u w:val="single"/>
          <w:shd w:val="pct10" w:color="auto" w:fill="FFFFFF"/>
        </w:rPr>
        <w:t>、提交审核通过后可参加投标，注册咨询联系人：梁工，联系电话：0576-85407095；</w:t>
      </w:r>
    </w:p>
    <w:p w14:paraId="34AA8EA0">
      <w:pPr>
        <w:keepNext w:val="0"/>
        <w:keepLines w:val="0"/>
        <w:pageBreakBefore w:val="0"/>
        <w:kinsoku/>
        <w:wordWrap/>
        <w:overflowPunct/>
        <w:topLinePunct w:val="0"/>
        <w:autoSpaceDE/>
        <w:autoSpaceDN/>
        <w:bidi w:val="0"/>
        <w:adjustRightInd/>
        <w:snapToGrid w:val="0"/>
        <w:spacing w:line="344" w:lineRule="auto"/>
        <w:ind w:firstLine="482" w:firstLineChars="200"/>
        <w:textAlignment w:val="auto"/>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4.</w:t>
      </w:r>
      <w:r>
        <w:rPr>
          <w:rFonts w:hint="eastAsia" w:ascii="宋体" w:hAnsi="宋体" w:eastAsia="宋体" w:cs="宋体"/>
          <w:b/>
          <w:bCs/>
          <w:color w:val="auto"/>
          <w:kern w:val="0"/>
          <w:sz w:val="24"/>
          <w:highlight w:val="none"/>
          <w:lang w:val="en-US" w:eastAsia="zh-CN"/>
        </w:rPr>
        <w:t>谈判</w:t>
      </w:r>
      <w:r>
        <w:rPr>
          <w:rFonts w:hint="eastAsia" w:ascii="宋体" w:hAnsi="宋体" w:eastAsia="宋体" w:cs="宋体"/>
          <w:b/>
          <w:bCs/>
          <w:color w:val="auto"/>
          <w:kern w:val="0"/>
          <w:sz w:val="24"/>
          <w:highlight w:val="none"/>
          <w:lang w:eastAsia="zh-CN"/>
        </w:rPr>
        <w:t>文件</w:t>
      </w:r>
      <w:r>
        <w:rPr>
          <w:rFonts w:hint="eastAsia" w:ascii="宋体" w:hAnsi="宋体" w:eastAsia="宋体" w:cs="宋体"/>
          <w:b/>
          <w:bCs/>
          <w:color w:val="auto"/>
          <w:kern w:val="0"/>
          <w:sz w:val="24"/>
          <w:highlight w:val="none"/>
        </w:rPr>
        <w:t>的获取</w:t>
      </w:r>
    </w:p>
    <w:p w14:paraId="3BB37459">
      <w:pPr>
        <w:keepNext w:val="0"/>
        <w:keepLines w:val="0"/>
        <w:pageBreakBefore w:val="0"/>
        <w:kinsoku/>
        <w:wordWrap/>
        <w:overflowPunct/>
        <w:topLinePunct w:val="0"/>
        <w:autoSpaceDE/>
        <w:autoSpaceDN/>
        <w:bidi w:val="0"/>
        <w:adjustRightInd/>
        <w:snapToGrid w:val="0"/>
        <w:spacing w:line="344" w:lineRule="auto"/>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采购文件售价：免费</w:t>
      </w:r>
    </w:p>
    <w:p w14:paraId="557E5BE5">
      <w:pPr>
        <w:keepNext w:val="0"/>
        <w:keepLines w:val="0"/>
        <w:pageBreakBefore w:val="0"/>
        <w:kinsoku/>
        <w:wordWrap/>
        <w:overflowPunct/>
        <w:topLinePunct w:val="0"/>
        <w:autoSpaceDE/>
        <w:autoSpaceDN/>
        <w:bidi w:val="0"/>
        <w:adjustRightInd/>
        <w:snapToGrid w:val="0"/>
        <w:spacing w:line="344"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获取方式：凡有意参加投标者，在202</w:t>
      </w:r>
      <w:r>
        <w:rPr>
          <w:rFonts w:hint="eastAsia" w:ascii="宋体" w:hAnsi="宋体" w:cs="宋体"/>
          <w:bCs/>
          <w:color w:val="auto"/>
          <w:sz w:val="24"/>
          <w:highlight w:val="none"/>
          <w:lang w:val="en-US" w:eastAsia="zh-CN"/>
        </w:rPr>
        <w:t>6</w:t>
      </w:r>
      <w:r>
        <w:rPr>
          <w:rFonts w:hint="eastAsia" w:ascii="宋体" w:hAnsi="宋体" w:eastAsia="宋体" w:cs="宋体"/>
          <w:bCs/>
          <w:color w:val="auto"/>
          <w:sz w:val="24"/>
          <w:highlight w:val="none"/>
        </w:rPr>
        <w:t>年</w:t>
      </w:r>
      <w:r>
        <w:rPr>
          <w:rFonts w:hint="eastAsia" w:ascii="宋体" w:hAnsi="宋体" w:cs="宋体"/>
          <w:bCs/>
          <w:color w:val="auto"/>
          <w:sz w:val="24"/>
          <w:highlight w:val="none"/>
          <w:lang w:val="en-US" w:eastAsia="zh-CN"/>
        </w:rPr>
        <w:t xml:space="preserve">5 </w:t>
      </w:r>
      <w:r>
        <w:rPr>
          <w:rFonts w:hint="eastAsia" w:ascii="宋体" w:hAnsi="宋体" w:eastAsia="宋体" w:cs="宋体"/>
          <w:bCs/>
          <w:color w:val="auto"/>
          <w:sz w:val="24"/>
          <w:highlight w:val="none"/>
        </w:rPr>
        <w:t>月</w:t>
      </w:r>
      <w:r>
        <w:rPr>
          <w:rFonts w:hint="eastAsia" w:ascii="宋体" w:hAnsi="宋体" w:cs="宋体"/>
          <w:bCs/>
          <w:color w:val="auto"/>
          <w:sz w:val="24"/>
          <w:highlight w:val="none"/>
          <w:lang w:val="en-US" w:eastAsia="zh-CN"/>
        </w:rPr>
        <w:t xml:space="preserve">13 </w:t>
      </w:r>
      <w:r>
        <w:rPr>
          <w:rFonts w:hint="eastAsia" w:ascii="宋体" w:hAnsi="宋体" w:eastAsia="宋体" w:cs="宋体"/>
          <w:bCs/>
          <w:color w:val="auto"/>
          <w:sz w:val="24"/>
          <w:highlight w:val="none"/>
        </w:rPr>
        <w:t>日</w:t>
      </w:r>
      <w:r>
        <w:rPr>
          <w:rFonts w:hint="eastAsia" w:ascii="宋体" w:hAnsi="宋体" w:cs="宋体"/>
          <w:bCs/>
          <w:color w:val="auto"/>
          <w:sz w:val="24"/>
          <w:highlight w:val="none"/>
          <w:lang w:val="en-US" w:eastAsia="zh-CN"/>
        </w:rPr>
        <w:t>8</w:t>
      </w:r>
      <w:r>
        <w:rPr>
          <w:rFonts w:hint="eastAsia" w:ascii="宋体" w:hAnsi="宋体" w:eastAsia="宋体" w:cs="宋体"/>
          <w:bCs/>
          <w:color w:val="auto"/>
          <w:sz w:val="24"/>
          <w:highlight w:val="none"/>
        </w:rPr>
        <w:t>时</w:t>
      </w:r>
      <w:r>
        <w:rPr>
          <w:rFonts w:hint="eastAsia" w:ascii="宋体" w:hAnsi="宋体" w:cs="宋体"/>
          <w:bCs/>
          <w:color w:val="auto"/>
          <w:sz w:val="24"/>
          <w:highlight w:val="none"/>
          <w:lang w:val="en-US" w:eastAsia="zh-CN"/>
        </w:rPr>
        <w:t>30</w:t>
      </w:r>
      <w:r>
        <w:rPr>
          <w:rFonts w:hint="eastAsia" w:ascii="宋体" w:hAnsi="宋体" w:eastAsia="宋体" w:cs="宋体"/>
          <w:bCs/>
          <w:color w:val="auto"/>
          <w:sz w:val="24"/>
          <w:highlight w:val="none"/>
        </w:rPr>
        <w:t>分00秒前，到临海市限额以下公共资源交易区域平台可自行下载采购文件。</w:t>
      </w:r>
    </w:p>
    <w:p w14:paraId="0145AE6F">
      <w:pPr>
        <w:pStyle w:val="46"/>
        <w:keepNext w:val="0"/>
        <w:keepLines w:val="0"/>
        <w:pageBreakBefore w:val="0"/>
        <w:kinsoku/>
        <w:wordWrap/>
        <w:overflowPunct/>
        <w:topLinePunct w:val="0"/>
        <w:autoSpaceDE/>
        <w:autoSpaceDN/>
        <w:bidi w:val="0"/>
        <w:adjustRightInd/>
        <w:snapToGrid w:val="0"/>
        <w:spacing w:before="0" w:beforeAutospacing="0" w:after="0" w:afterAutospacing="0" w:line="344" w:lineRule="auto"/>
        <w:ind w:firstLine="482" w:firstLineChars="200"/>
        <w:textAlignment w:val="auto"/>
        <w:rPr>
          <w:rFonts w:hint="eastAsia" w:ascii="宋体" w:hAnsi="宋体" w:eastAsia="宋体" w:cs="宋体"/>
          <w:color w:val="auto"/>
          <w:highlight w:val="none"/>
        </w:rPr>
      </w:pPr>
      <w:r>
        <w:rPr>
          <w:rFonts w:hint="eastAsia" w:ascii="宋体" w:hAnsi="宋体" w:eastAsia="宋体" w:cs="宋体"/>
          <w:b/>
          <w:color w:val="auto"/>
          <w:highlight w:val="none"/>
          <w:shd w:val="clear" w:color="auto" w:fill="auto"/>
        </w:rPr>
        <w:t>谈判文件答疑：投标人对谈判文件提出质疑的，应在投标截止前1天提出问题及要求澄清招标文件，否则被质疑人可不予接受。</w:t>
      </w:r>
    </w:p>
    <w:p w14:paraId="1B373A80">
      <w:pPr>
        <w:pStyle w:val="46"/>
        <w:keepNext w:val="0"/>
        <w:keepLines w:val="0"/>
        <w:pageBreakBefore w:val="0"/>
        <w:kinsoku/>
        <w:wordWrap/>
        <w:overflowPunct/>
        <w:topLinePunct w:val="0"/>
        <w:autoSpaceDE/>
        <w:autoSpaceDN/>
        <w:bidi w:val="0"/>
        <w:adjustRightInd/>
        <w:snapToGrid w:val="0"/>
        <w:spacing w:before="0" w:beforeAutospacing="0" w:after="0" w:afterAutospacing="0" w:line="344" w:lineRule="auto"/>
        <w:ind w:firstLine="482" w:firstLineChars="200"/>
        <w:textAlignment w:val="auto"/>
        <w:rPr>
          <w:rFonts w:hint="eastAsia" w:ascii="宋体" w:hAnsi="宋体" w:eastAsia="宋体" w:cs="宋体"/>
          <w:color w:val="auto"/>
          <w:highlight w:val="none"/>
        </w:rPr>
      </w:pPr>
      <w:r>
        <w:rPr>
          <w:rFonts w:hint="eastAsia" w:ascii="宋体" w:hAnsi="宋体" w:eastAsia="宋体" w:cs="宋体"/>
          <w:b/>
          <w:bCs/>
          <w:color w:val="auto"/>
          <w:highlight w:val="none"/>
        </w:rPr>
        <w:t>5.投标保证金</w:t>
      </w:r>
    </w:p>
    <w:p w14:paraId="4213BC79">
      <w:pPr>
        <w:keepNext w:val="0"/>
        <w:keepLines w:val="0"/>
        <w:pageBreakBefore w:val="0"/>
        <w:kinsoku/>
        <w:wordWrap/>
        <w:overflowPunct/>
        <w:topLinePunct w:val="0"/>
        <w:autoSpaceDE/>
        <w:autoSpaceDN/>
        <w:bidi w:val="0"/>
        <w:adjustRightInd/>
        <w:snapToGrid w:val="0"/>
        <w:spacing w:line="344" w:lineRule="auto"/>
        <w:ind w:firstLine="482" w:firstLineChars="200"/>
        <w:textAlignment w:val="auto"/>
        <w:rPr>
          <w:rFonts w:hint="eastAsia" w:ascii="宋体" w:hAnsi="宋体" w:eastAsia="宋体" w:cs="宋体"/>
          <w:b/>
          <w:color w:val="auto"/>
          <w:sz w:val="24"/>
          <w:highlight w:val="none"/>
        </w:rPr>
      </w:pPr>
      <w:r>
        <w:rPr>
          <w:rStyle w:val="54"/>
          <w:rFonts w:hint="eastAsia" w:ascii="宋体" w:hAnsi="宋体" w:eastAsia="宋体" w:cs="宋体"/>
          <w:b/>
          <w:bCs/>
          <w:i w:val="0"/>
          <w:iCs w:val="0"/>
          <w:caps w:val="0"/>
          <w:color w:val="auto"/>
          <w:spacing w:val="0"/>
          <w:sz w:val="24"/>
          <w:szCs w:val="24"/>
          <w:highlight w:val="none"/>
          <w:shd w:val="clear" w:fill="FFFFFF"/>
        </w:rPr>
        <w:t>本项目不收取投标保证金。</w:t>
      </w:r>
    </w:p>
    <w:p w14:paraId="3DEFA6C8">
      <w:pPr>
        <w:keepNext w:val="0"/>
        <w:keepLines w:val="0"/>
        <w:pageBreakBefore w:val="0"/>
        <w:kinsoku/>
        <w:wordWrap/>
        <w:overflowPunct/>
        <w:topLinePunct w:val="0"/>
        <w:autoSpaceDE/>
        <w:autoSpaceDN/>
        <w:bidi w:val="0"/>
        <w:adjustRightInd/>
        <w:snapToGrid w:val="0"/>
        <w:spacing w:line="344" w:lineRule="auto"/>
        <w:ind w:firstLine="482" w:firstLineChars="200"/>
        <w:textAlignment w:val="auto"/>
        <w:rPr>
          <w:rFonts w:hint="eastAsia" w:ascii="宋体" w:hAnsi="宋体" w:eastAsia="宋体" w:cs="宋体"/>
          <w:b/>
          <w:bCs/>
          <w:color w:val="auto"/>
          <w:kern w:val="0"/>
          <w:sz w:val="24"/>
          <w:highlight w:val="none"/>
        </w:rPr>
      </w:pPr>
      <w:r>
        <w:rPr>
          <w:rFonts w:hint="eastAsia" w:ascii="宋体" w:hAnsi="宋体" w:eastAsia="宋体" w:cs="宋体"/>
          <w:b/>
          <w:color w:val="auto"/>
          <w:sz w:val="24"/>
          <w:highlight w:val="none"/>
        </w:rPr>
        <w:t>6</w:t>
      </w:r>
      <w:r>
        <w:rPr>
          <w:rFonts w:hint="eastAsia" w:ascii="宋体" w:hAnsi="宋体" w:eastAsia="宋体" w:cs="宋体"/>
          <w:b/>
          <w:bCs/>
          <w:color w:val="auto"/>
          <w:kern w:val="0"/>
          <w:sz w:val="24"/>
          <w:highlight w:val="none"/>
        </w:rPr>
        <w:t>.投标说明</w:t>
      </w:r>
    </w:p>
    <w:p w14:paraId="41235AD1">
      <w:pPr>
        <w:keepNext w:val="0"/>
        <w:keepLines w:val="0"/>
        <w:pageBreakBefore w:val="0"/>
        <w:kinsoku/>
        <w:wordWrap/>
        <w:overflowPunct/>
        <w:topLinePunct w:val="0"/>
        <w:autoSpaceDE/>
        <w:autoSpaceDN/>
        <w:bidi w:val="0"/>
        <w:adjustRightInd/>
        <w:snapToGrid w:val="0"/>
        <w:spacing w:line="344"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（1）本项目实行电子投标，投标人应按照本项目谈判文件求编制、加密并递交响应文件。投标人在使用系统进行投标的过程中遇到涉及平台使用的任何问题，可致电平台技术支持联系方式：15267291759。</w:t>
      </w:r>
    </w:p>
    <w:p w14:paraId="28B1887D">
      <w:pPr>
        <w:keepNext w:val="0"/>
        <w:keepLines w:val="0"/>
        <w:pageBreakBefore w:val="0"/>
        <w:kinsoku/>
        <w:wordWrap/>
        <w:overflowPunct/>
        <w:topLinePunct w:val="0"/>
        <w:autoSpaceDE/>
        <w:autoSpaceDN/>
        <w:bidi w:val="0"/>
        <w:adjustRightInd/>
        <w:snapToGrid w:val="0"/>
        <w:spacing w:line="344"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人通过临海市限额以下公共资源交易区域平台投标编制工具制作电子响应文件，投标编制工具请投标人自行前往临海市限额以下公共资源交易区域平台交易系统下载（https://tyrzzx.lhcqjy.com.cn/login），电子投标具体流程详见临海市限额以下公共资源交易区域平台-办事指南的操作说明。</w:t>
      </w:r>
    </w:p>
    <w:p w14:paraId="198F4B98">
      <w:pPr>
        <w:keepNext w:val="0"/>
        <w:keepLines w:val="0"/>
        <w:pageBreakBefore w:val="0"/>
        <w:kinsoku/>
        <w:wordWrap/>
        <w:overflowPunct/>
        <w:topLinePunct w:val="0"/>
        <w:autoSpaceDE/>
        <w:autoSpaceDN/>
        <w:bidi w:val="0"/>
        <w:adjustRightInd/>
        <w:snapToGrid w:val="0"/>
        <w:spacing w:line="344"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（3）投标人应在开标前完成CA数字证书办理。（办理流程详见临海市限额以下公共资源交易区域平台-办事指南的操作说明）。</w:t>
      </w:r>
    </w:p>
    <w:p w14:paraId="60D708D0">
      <w:pPr>
        <w:keepNext w:val="0"/>
        <w:keepLines w:val="0"/>
        <w:pageBreakBefore w:val="0"/>
        <w:kinsoku/>
        <w:wordWrap/>
        <w:overflowPunct/>
        <w:topLinePunct w:val="0"/>
        <w:autoSpaceDE/>
        <w:autoSpaceDN/>
        <w:bidi w:val="0"/>
        <w:adjustRightInd/>
        <w:snapToGrid w:val="0"/>
        <w:spacing w:line="344"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投标人应当在投标截止时间前完成电子响应文件的传输递交，并可以补充、修改或者撤回电子响应文件。补充或者修改电子响应文件的，应当先行撤回原文件，补充、修改后重新传输递交。投标截止时间后传输、递交的响应文件，将被拒收。</w:t>
      </w:r>
    </w:p>
    <w:p w14:paraId="62674C15">
      <w:pPr>
        <w:keepNext w:val="0"/>
        <w:keepLines w:val="0"/>
        <w:pageBreakBefore w:val="0"/>
        <w:kinsoku/>
        <w:wordWrap/>
        <w:overflowPunct/>
        <w:topLinePunct w:val="0"/>
        <w:autoSpaceDE/>
        <w:autoSpaceDN/>
        <w:bidi w:val="0"/>
        <w:adjustRightInd/>
        <w:snapToGrid w:val="0"/>
        <w:spacing w:line="344"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（5）本谈判文件中关于电子招投标内容、流程如与临海市限额以下公共资源交易区域平台中最新的内容、操作不一致的，以平台中的要求为准。</w:t>
      </w:r>
    </w:p>
    <w:p w14:paraId="6CD4E359">
      <w:pPr>
        <w:keepNext w:val="0"/>
        <w:keepLines w:val="0"/>
        <w:pageBreakBefore w:val="0"/>
        <w:kinsoku/>
        <w:wordWrap/>
        <w:overflowPunct/>
        <w:topLinePunct w:val="0"/>
        <w:autoSpaceDE/>
        <w:autoSpaceDN/>
        <w:bidi w:val="0"/>
        <w:adjustRightInd/>
        <w:snapToGrid w:val="0"/>
        <w:spacing w:line="344" w:lineRule="auto"/>
        <w:ind w:firstLine="482" w:firstLineChars="200"/>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7</w:t>
      </w:r>
      <w:r>
        <w:rPr>
          <w:rFonts w:hint="eastAsia" w:ascii="宋体" w:hAnsi="宋体" w:eastAsia="宋体" w:cs="宋体"/>
          <w:b/>
          <w:color w:val="auto"/>
          <w:kern w:val="0"/>
          <w:sz w:val="24"/>
          <w:highlight w:val="none"/>
        </w:rPr>
        <w:t>.</w:t>
      </w:r>
      <w:r>
        <w:rPr>
          <w:rFonts w:hint="eastAsia" w:ascii="宋体" w:hAnsi="宋体" w:eastAsia="宋体" w:cs="宋体"/>
          <w:b/>
          <w:color w:val="auto"/>
          <w:sz w:val="24"/>
          <w:highlight w:val="none"/>
          <w:lang w:eastAsia="zh-CN"/>
        </w:rPr>
        <w:t>响应</w:t>
      </w:r>
      <w:r>
        <w:rPr>
          <w:rFonts w:hint="eastAsia" w:ascii="宋体" w:hAnsi="宋体" w:eastAsia="宋体" w:cs="宋体"/>
          <w:b/>
          <w:color w:val="auto"/>
          <w:sz w:val="24"/>
          <w:highlight w:val="none"/>
        </w:rPr>
        <w:t>文件的组成、效力</w:t>
      </w:r>
    </w:p>
    <w:p w14:paraId="7DDA6379">
      <w:pPr>
        <w:keepNext w:val="0"/>
        <w:keepLines w:val="0"/>
        <w:pageBreakBefore w:val="0"/>
        <w:kinsoku/>
        <w:wordWrap/>
        <w:overflowPunct/>
        <w:topLinePunct w:val="0"/>
        <w:autoSpaceDE/>
        <w:autoSpaceDN/>
        <w:bidi w:val="0"/>
        <w:adjustRightInd/>
        <w:snapToGrid w:val="0"/>
        <w:spacing w:line="344"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（1）本项目实行电子投标，投标人应准备电子投标文件，本项目线下无需提供任何备份投标文件。电子投标文件应按本招标文件要求编制。</w:t>
      </w:r>
    </w:p>
    <w:p w14:paraId="2BA0A08F">
      <w:pPr>
        <w:keepNext w:val="0"/>
        <w:keepLines w:val="0"/>
        <w:pageBreakBefore w:val="0"/>
        <w:kinsoku/>
        <w:wordWrap/>
        <w:overflowPunct/>
        <w:topLinePunct w:val="0"/>
        <w:autoSpaceDE/>
        <w:autoSpaceDN/>
        <w:bidi w:val="0"/>
        <w:adjustRightInd/>
        <w:snapToGrid w:val="0"/>
        <w:spacing w:line="344"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（2）未在</w:t>
      </w:r>
      <w:r>
        <w:rPr>
          <w:rFonts w:hint="eastAsia" w:ascii="宋体" w:hAnsi="宋体" w:eastAsia="宋体" w:cs="宋体"/>
          <w:color w:val="auto"/>
          <w:kern w:val="0"/>
          <w:sz w:val="24"/>
          <w:highlight w:val="none"/>
        </w:rPr>
        <w:t>“临海市限额以下公共资源交易区域平台”</w:t>
      </w:r>
      <w:r>
        <w:rPr>
          <w:rFonts w:hint="eastAsia" w:ascii="宋体" w:hAnsi="宋体" w:eastAsia="宋体" w:cs="宋体"/>
          <w:color w:val="auto"/>
          <w:sz w:val="24"/>
          <w:highlight w:val="none"/>
        </w:rPr>
        <w:t>传输递交电子投标文件的，投标无效。</w:t>
      </w:r>
    </w:p>
    <w:p w14:paraId="244CF3B0">
      <w:pPr>
        <w:keepNext w:val="0"/>
        <w:keepLines w:val="0"/>
        <w:pageBreakBefore w:val="0"/>
        <w:kinsoku/>
        <w:wordWrap/>
        <w:overflowPunct/>
        <w:topLinePunct w:val="0"/>
        <w:autoSpaceDE/>
        <w:autoSpaceDN/>
        <w:bidi w:val="0"/>
        <w:adjustRightInd/>
        <w:snapToGrid w:val="0"/>
        <w:spacing w:line="344" w:lineRule="auto"/>
        <w:ind w:firstLine="482" w:firstLineChars="200"/>
        <w:textAlignment w:val="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8.投标截止时间及电子投标文件的递交</w:t>
      </w:r>
    </w:p>
    <w:p w14:paraId="7C520B19">
      <w:pPr>
        <w:keepNext w:val="0"/>
        <w:keepLines w:val="0"/>
        <w:pageBreakBefore w:val="0"/>
        <w:kinsoku/>
        <w:wordWrap/>
        <w:overflowPunct/>
        <w:topLinePunct w:val="0"/>
        <w:autoSpaceDE/>
        <w:autoSpaceDN/>
        <w:bidi w:val="0"/>
        <w:adjustRightInd/>
        <w:snapToGrid w:val="0"/>
        <w:spacing w:line="344" w:lineRule="auto"/>
        <w:ind w:firstLine="482" w:firstLineChars="200"/>
        <w:textAlignment w:val="auto"/>
        <w:rPr>
          <w:rFonts w:hint="eastAsia" w:ascii="宋体" w:hAnsi="宋体" w:eastAsia="宋体" w:cs="宋体"/>
          <w:color w:val="auto"/>
          <w:kern w:val="0"/>
          <w:sz w:val="24"/>
          <w:highlight w:val="none"/>
        </w:rPr>
      </w:pPr>
      <w:r>
        <w:rPr>
          <w:rFonts w:hint="eastAsia" w:ascii="宋体" w:hAnsi="宋体" w:eastAsia="宋体" w:cs="宋体"/>
          <w:b/>
          <w:bCs/>
          <w:color w:val="auto"/>
          <w:kern w:val="0"/>
          <w:sz w:val="24"/>
          <w:highlight w:val="none"/>
        </w:rPr>
        <w:t>电子投标文件</w:t>
      </w:r>
      <w:r>
        <w:rPr>
          <w:rFonts w:hint="eastAsia" w:ascii="宋体" w:hAnsi="宋体" w:eastAsia="宋体" w:cs="宋体"/>
          <w:b/>
          <w:color w:val="auto"/>
          <w:sz w:val="24"/>
          <w:highlight w:val="none"/>
        </w:rPr>
        <w:t>投标截止时间：</w:t>
      </w:r>
      <w:r>
        <w:rPr>
          <w:rFonts w:hint="eastAsia" w:ascii="宋体" w:hAnsi="宋体" w:cs="宋体"/>
          <w:b/>
          <w:color w:val="auto"/>
          <w:sz w:val="24"/>
          <w:highlight w:val="none"/>
          <w:lang w:eastAsia="zh-CN"/>
        </w:rPr>
        <w:t>2026年 5 月 13 日8时30分00秒</w:t>
      </w:r>
      <w:r>
        <w:rPr>
          <w:rFonts w:hint="eastAsia" w:ascii="宋体" w:hAnsi="宋体" w:eastAsia="宋体" w:cs="宋体"/>
          <w:b/>
          <w:color w:val="auto"/>
          <w:sz w:val="24"/>
          <w:highlight w:val="none"/>
        </w:rPr>
        <w:t>，</w:t>
      </w:r>
      <w:r>
        <w:rPr>
          <w:rFonts w:hint="eastAsia" w:ascii="宋体" w:hAnsi="宋体" w:eastAsia="宋体" w:cs="宋体"/>
          <w:color w:val="auto"/>
          <w:kern w:val="0"/>
          <w:sz w:val="24"/>
          <w:highlight w:val="none"/>
        </w:rPr>
        <w:t>投标人应于投标截止时间之前将电子投标文件上传到“临海市限额以下公共资源交易区域平台”。投标截止时间前未完成传输电子投标文件的</w:t>
      </w:r>
      <w:r>
        <w:rPr>
          <w:rFonts w:hint="eastAsia" w:ascii="宋体" w:hAnsi="宋体" w:eastAsia="宋体" w:cs="宋体"/>
          <w:color w:val="auto"/>
          <w:sz w:val="24"/>
          <w:highlight w:val="none"/>
        </w:rPr>
        <w:t>，投标无效。</w:t>
      </w:r>
    </w:p>
    <w:p w14:paraId="227AD65C">
      <w:pPr>
        <w:keepNext w:val="0"/>
        <w:keepLines w:val="0"/>
        <w:pageBreakBefore w:val="0"/>
        <w:kinsoku/>
        <w:wordWrap/>
        <w:overflowPunct/>
        <w:topLinePunct w:val="0"/>
        <w:autoSpaceDE/>
        <w:autoSpaceDN/>
        <w:bidi w:val="0"/>
        <w:adjustRightInd/>
        <w:snapToGrid w:val="0"/>
        <w:spacing w:line="344" w:lineRule="auto"/>
        <w:ind w:firstLine="480" w:firstLineChars="200"/>
        <w:textAlignment w:val="auto"/>
        <w:rPr>
          <w:rFonts w:hint="eastAsia" w:ascii="宋体" w:hAnsi="宋体" w:eastAsia="宋体" w:cs="宋体"/>
          <w:b/>
          <w:color w:val="auto"/>
          <w:sz w:val="24"/>
          <w:highlight w:val="none"/>
        </w:rPr>
      </w:pPr>
      <w:r>
        <w:rPr>
          <w:rFonts w:hint="eastAsia" w:ascii="宋体" w:hAnsi="宋体" w:eastAsia="宋体" w:cs="宋体"/>
          <w:b w:val="0"/>
          <w:bCs/>
          <w:color w:val="auto"/>
          <w:sz w:val="24"/>
          <w:highlight w:val="none"/>
        </w:rPr>
        <w:t>9.</w:t>
      </w:r>
      <w:r>
        <w:rPr>
          <w:rFonts w:hint="eastAsia" w:ascii="宋体" w:hAnsi="宋体" w:eastAsia="宋体" w:cs="宋体"/>
          <w:color w:val="auto"/>
          <w:kern w:val="0"/>
          <w:sz w:val="24"/>
          <w:highlight w:val="none"/>
        </w:rPr>
        <w:t>临海市限额以下公共资源交易区域平台</w:t>
      </w:r>
      <w:r>
        <w:rPr>
          <w:rFonts w:hint="eastAsia" w:ascii="宋体" w:hAnsi="宋体" w:eastAsia="宋体" w:cs="宋体"/>
          <w:b/>
          <w:color w:val="auto"/>
          <w:sz w:val="24"/>
          <w:highlight w:val="none"/>
        </w:rPr>
        <w:t xml:space="preserve">及开评标期间出现网络故障或停电时的应急处理措施：      </w:t>
      </w:r>
    </w:p>
    <w:p w14:paraId="08EFEDF8">
      <w:pPr>
        <w:keepNext w:val="0"/>
        <w:keepLines w:val="0"/>
        <w:pageBreakBefore w:val="0"/>
        <w:kinsoku/>
        <w:wordWrap/>
        <w:overflowPunct/>
        <w:topLinePunct w:val="0"/>
        <w:autoSpaceDE/>
        <w:autoSpaceDN/>
        <w:bidi w:val="0"/>
        <w:adjustRightInd/>
        <w:snapToGrid w:val="0"/>
        <w:spacing w:line="344"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（1）开评标期间出现网络故障或停电如短时间内（半天内）可以排除并能恢复正常使用的，为不耽误项目进度，招标人（代理机构）可宣布待故障排除后再进行正常开标活动；</w:t>
      </w:r>
    </w:p>
    <w:p w14:paraId="3107B4CB">
      <w:pPr>
        <w:keepNext w:val="0"/>
        <w:keepLines w:val="0"/>
        <w:pageBreakBefore w:val="0"/>
        <w:kinsoku/>
        <w:wordWrap/>
        <w:overflowPunct/>
        <w:topLinePunct w:val="0"/>
        <w:autoSpaceDE/>
        <w:autoSpaceDN/>
        <w:bidi w:val="0"/>
        <w:adjustRightInd/>
        <w:snapToGrid w:val="0"/>
        <w:spacing w:line="344"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（2）开评标期间出现网络故障或停电在短时间内不能排除，且无法恢复正常使用的，招标人（代理机构）可宣布暂停招标活动，招标人（代理机构）应办理延期开标手续，并及时发布更正公告择日另行开标。</w:t>
      </w:r>
    </w:p>
    <w:p w14:paraId="20ACEFC5">
      <w:pPr>
        <w:keepNext w:val="0"/>
        <w:keepLines w:val="0"/>
        <w:pageBreakBefore w:val="0"/>
        <w:kinsoku/>
        <w:wordWrap/>
        <w:overflowPunct/>
        <w:topLinePunct w:val="0"/>
        <w:autoSpaceDE/>
        <w:autoSpaceDN/>
        <w:bidi w:val="0"/>
        <w:adjustRightInd/>
        <w:snapToGrid w:val="0"/>
        <w:spacing w:line="344" w:lineRule="auto"/>
        <w:ind w:firstLine="482" w:firstLineChars="200"/>
        <w:textAlignment w:val="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10.开标</w:t>
      </w:r>
    </w:p>
    <w:p w14:paraId="3C5E5C1C">
      <w:pPr>
        <w:keepNext w:val="0"/>
        <w:keepLines w:val="0"/>
        <w:pageBreakBefore w:val="0"/>
        <w:kinsoku/>
        <w:wordWrap/>
        <w:overflowPunct/>
        <w:topLinePunct w:val="0"/>
        <w:autoSpaceDE/>
        <w:autoSpaceDN/>
        <w:bidi w:val="0"/>
        <w:adjustRightInd/>
        <w:snapToGrid w:val="0"/>
        <w:spacing w:line="344"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开标时间：</w:t>
      </w:r>
      <w:r>
        <w:rPr>
          <w:rFonts w:hint="eastAsia" w:ascii="宋体" w:hAnsi="宋体" w:eastAsia="宋体" w:cs="宋体"/>
          <w:b/>
          <w:color w:val="auto"/>
          <w:sz w:val="24"/>
          <w:highlight w:val="none"/>
        </w:rPr>
        <w:t>202</w:t>
      </w:r>
      <w:r>
        <w:rPr>
          <w:rFonts w:hint="eastAsia" w:ascii="宋体" w:hAnsi="宋体" w:cs="宋体"/>
          <w:b/>
          <w:color w:val="auto"/>
          <w:sz w:val="24"/>
          <w:highlight w:val="none"/>
          <w:lang w:val="en-US" w:eastAsia="zh-CN"/>
        </w:rPr>
        <w:t>6</w:t>
      </w:r>
      <w:r>
        <w:rPr>
          <w:rFonts w:hint="eastAsia" w:ascii="宋体" w:hAnsi="宋体" w:eastAsia="宋体" w:cs="宋体"/>
          <w:b/>
          <w:color w:val="auto"/>
          <w:sz w:val="24"/>
          <w:highlight w:val="none"/>
        </w:rPr>
        <w:t>年</w:t>
      </w:r>
      <w:r>
        <w:rPr>
          <w:rFonts w:hint="eastAsia" w:ascii="宋体" w:hAnsi="宋体" w:cs="宋体"/>
          <w:b/>
          <w:color w:val="auto"/>
          <w:sz w:val="24"/>
          <w:highlight w:val="none"/>
          <w:lang w:val="en-US" w:eastAsia="zh-CN"/>
        </w:rPr>
        <w:t xml:space="preserve">5 </w:t>
      </w:r>
      <w:r>
        <w:rPr>
          <w:rFonts w:hint="eastAsia" w:ascii="宋体" w:hAnsi="宋体" w:eastAsia="宋体" w:cs="宋体"/>
          <w:b/>
          <w:color w:val="auto"/>
          <w:sz w:val="24"/>
          <w:highlight w:val="none"/>
        </w:rPr>
        <w:t>月</w:t>
      </w:r>
      <w:r>
        <w:rPr>
          <w:rFonts w:hint="eastAsia" w:ascii="宋体" w:hAnsi="宋体" w:cs="宋体"/>
          <w:b/>
          <w:color w:val="auto"/>
          <w:sz w:val="24"/>
          <w:highlight w:val="none"/>
          <w:lang w:val="en-US" w:eastAsia="zh-CN"/>
        </w:rPr>
        <w:t xml:space="preserve"> 13 </w:t>
      </w:r>
      <w:r>
        <w:rPr>
          <w:rFonts w:hint="eastAsia" w:ascii="宋体" w:hAnsi="宋体" w:eastAsia="宋体" w:cs="宋体"/>
          <w:b/>
          <w:color w:val="auto"/>
          <w:sz w:val="24"/>
          <w:highlight w:val="none"/>
        </w:rPr>
        <w:t>日</w:t>
      </w:r>
      <w:r>
        <w:rPr>
          <w:rFonts w:hint="eastAsia" w:ascii="宋体" w:hAnsi="宋体" w:cs="宋体"/>
          <w:b/>
          <w:color w:val="auto"/>
          <w:sz w:val="24"/>
          <w:highlight w:val="none"/>
          <w:lang w:val="en-US" w:eastAsia="zh-CN"/>
        </w:rPr>
        <w:t>8</w:t>
      </w:r>
      <w:r>
        <w:rPr>
          <w:rFonts w:hint="eastAsia" w:ascii="宋体" w:hAnsi="宋体" w:eastAsia="宋体" w:cs="宋体"/>
          <w:b/>
          <w:color w:val="auto"/>
          <w:sz w:val="24"/>
          <w:highlight w:val="none"/>
        </w:rPr>
        <w:t>时</w:t>
      </w:r>
      <w:r>
        <w:rPr>
          <w:rFonts w:hint="eastAsia" w:ascii="宋体" w:hAnsi="宋体" w:cs="宋体"/>
          <w:b/>
          <w:color w:val="auto"/>
          <w:sz w:val="24"/>
          <w:highlight w:val="none"/>
          <w:lang w:val="en-US" w:eastAsia="zh-CN"/>
        </w:rPr>
        <w:t>30</w:t>
      </w:r>
      <w:r>
        <w:rPr>
          <w:rFonts w:hint="eastAsia" w:ascii="宋体" w:hAnsi="宋体" w:eastAsia="宋体" w:cs="宋体"/>
          <w:b/>
          <w:color w:val="auto"/>
          <w:sz w:val="24"/>
          <w:highlight w:val="none"/>
        </w:rPr>
        <w:t>分00秒</w:t>
      </w:r>
      <w:r>
        <w:rPr>
          <w:rFonts w:hint="eastAsia" w:ascii="宋体" w:hAnsi="宋体" w:eastAsia="宋体" w:cs="宋体"/>
          <w:color w:val="auto"/>
          <w:sz w:val="24"/>
          <w:highlight w:val="none"/>
        </w:rPr>
        <w:t>。</w:t>
      </w:r>
    </w:p>
    <w:p w14:paraId="15761C03">
      <w:pPr>
        <w:keepNext w:val="0"/>
        <w:keepLines w:val="0"/>
        <w:pageBreakBefore w:val="0"/>
        <w:kinsoku/>
        <w:wordWrap/>
        <w:overflowPunct/>
        <w:topLinePunct w:val="0"/>
        <w:autoSpaceDE/>
        <w:autoSpaceDN/>
        <w:bidi w:val="0"/>
        <w:adjustRightInd/>
        <w:snapToGrid w:val="0"/>
        <w:spacing w:line="344"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开标地点：</w:t>
      </w:r>
      <w:r>
        <w:rPr>
          <w:rFonts w:hint="eastAsia" w:ascii="宋体" w:hAnsi="宋体" w:eastAsia="宋体" w:cs="宋体"/>
          <w:color w:val="auto"/>
          <w:sz w:val="24"/>
          <w:highlight w:val="none"/>
          <w:u w:val="single"/>
        </w:rPr>
        <w:t>临海市限额以下公共资源交易区域平台线上开标、</w:t>
      </w:r>
      <w:r>
        <w:rPr>
          <w:rFonts w:hint="eastAsia" w:ascii="宋体" w:hAnsi="宋体" w:cs="宋体"/>
          <w:color w:val="auto"/>
          <w:sz w:val="24"/>
          <w:highlight w:val="none"/>
          <w:u w:val="single"/>
          <w:lang w:val="en-US" w:eastAsia="zh-CN"/>
        </w:rPr>
        <w:t>临海市限额以下公共资源交易平台南部平台</w:t>
      </w:r>
      <w:r>
        <w:rPr>
          <w:rFonts w:hint="eastAsia" w:ascii="宋体" w:hAnsi="宋体"/>
          <w:color w:val="auto"/>
          <w:sz w:val="24"/>
          <w:highlight w:val="none"/>
          <w:u w:val="single"/>
          <w:lang w:eastAsia="zh-CN"/>
        </w:rPr>
        <w:t>（临海市江南街道春和路下岙余村办公大楼2楼开标室</w:t>
      </w:r>
      <w:r>
        <w:rPr>
          <w:rFonts w:hint="eastAsia" w:ascii="宋体" w:hAnsi="宋体"/>
          <w:color w:val="auto"/>
          <w:sz w:val="24"/>
          <w:highlight w:val="none"/>
          <w:u w:val="single"/>
          <w:lang w:val="en-US" w:eastAsia="zh-CN"/>
        </w:rPr>
        <w:t xml:space="preserve"> 1号</w:t>
      </w:r>
      <w:r>
        <w:rPr>
          <w:rFonts w:hint="eastAsia" w:ascii="宋体" w:hAnsi="宋体"/>
          <w:color w:val="auto"/>
          <w:sz w:val="24"/>
          <w:highlight w:val="none"/>
          <w:u w:val="single"/>
          <w:lang w:eastAsia="zh-CN"/>
        </w:rPr>
        <w:t>）</w:t>
      </w:r>
      <w:r>
        <w:rPr>
          <w:rFonts w:hint="eastAsia" w:ascii="宋体" w:hAnsi="宋体" w:eastAsia="宋体" w:cs="宋体"/>
          <w:color w:val="auto"/>
          <w:sz w:val="24"/>
          <w:highlight w:val="none"/>
        </w:rPr>
        <w:t>（不见面开标大厅）</w:t>
      </w:r>
    </w:p>
    <w:p w14:paraId="0F7BA951">
      <w:pPr>
        <w:keepNext w:val="0"/>
        <w:keepLines w:val="0"/>
        <w:pageBreakBefore w:val="0"/>
        <w:widowControl w:val="0"/>
        <w:numPr>
          <w:ilvl w:val="0"/>
          <w:numId w:val="0"/>
        </w:numPr>
        <w:kinsoku/>
        <w:wordWrap/>
        <w:overflowPunct/>
        <w:topLinePunct w:val="0"/>
        <w:autoSpaceDE/>
        <w:autoSpaceDN/>
        <w:bidi w:val="0"/>
        <w:adjustRightInd/>
        <w:snapToGrid w:val="0"/>
        <w:spacing w:line="344" w:lineRule="auto"/>
        <w:ind w:firstLine="482" w:firstLineChars="200"/>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11.</w:t>
      </w:r>
      <w:r>
        <w:rPr>
          <w:rFonts w:hint="eastAsia" w:ascii="宋体" w:hAnsi="宋体" w:eastAsia="宋体" w:cs="宋体"/>
          <w:b/>
          <w:color w:val="auto"/>
          <w:sz w:val="24"/>
          <w:highlight w:val="none"/>
        </w:rPr>
        <w:t>发布公告的媒介</w:t>
      </w:r>
    </w:p>
    <w:p w14:paraId="7D430BD7">
      <w:pPr>
        <w:keepNext w:val="0"/>
        <w:keepLines w:val="0"/>
        <w:pageBreakBefore w:val="0"/>
        <w:widowControl w:val="0"/>
        <w:numPr>
          <w:ilvl w:val="0"/>
          <w:numId w:val="0"/>
        </w:numPr>
        <w:kinsoku/>
        <w:wordWrap/>
        <w:overflowPunct/>
        <w:topLinePunct w:val="0"/>
        <w:autoSpaceDE/>
        <w:autoSpaceDN/>
        <w:bidi w:val="0"/>
        <w:adjustRightInd/>
        <w:snapToGrid w:val="0"/>
        <w:spacing w:line="344"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本次招标公告在</w:t>
      </w:r>
      <w:r>
        <w:rPr>
          <w:rFonts w:hint="eastAsia" w:ascii="宋体" w:hAnsi="宋体" w:eastAsia="宋体" w:cs="宋体"/>
          <w:color w:val="auto"/>
          <w:kern w:val="0"/>
          <w:sz w:val="24"/>
          <w:highlight w:val="none"/>
        </w:rPr>
        <w:t>临海市限额以下公共资源交易区域平台</w:t>
      </w:r>
      <w:r>
        <w:rPr>
          <w:rFonts w:hint="eastAsia" w:ascii="宋体" w:hAnsi="宋体" w:eastAsia="宋体" w:cs="宋体"/>
          <w:color w:val="auto"/>
          <w:sz w:val="24"/>
          <w:highlight w:val="none"/>
        </w:rPr>
        <w:t>上发布。</w:t>
      </w:r>
    </w:p>
    <w:p w14:paraId="61E358C9">
      <w:pPr>
        <w:keepNext w:val="0"/>
        <w:keepLines w:val="0"/>
        <w:pageBreakBefore w:val="0"/>
        <w:kinsoku/>
        <w:wordWrap/>
        <w:overflowPunct/>
        <w:topLinePunct w:val="0"/>
        <w:autoSpaceDE/>
        <w:autoSpaceDN/>
        <w:bidi w:val="0"/>
        <w:adjustRightInd/>
        <w:snapToGrid w:val="0"/>
        <w:spacing w:line="344" w:lineRule="auto"/>
        <w:ind w:firstLine="482" w:firstLineChars="200"/>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12.其他事项</w:t>
      </w:r>
    </w:p>
    <w:p w14:paraId="6D5615AE">
      <w:pPr>
        <w:keepNext w:val="0"/>
        <w:keepLines w:val="0"/>
        <w:pageBreakBefore w:val="0"/>
        <w:kinsoku/>
        <w:wordWrap/>
        <w:overflowPunct/>
        <w:topLinePunct w:val="0"/>
        <w:autoSpaceDE/>
        <w:autoSpaceDN/>
        <w:bidi w:val="0"/>
        <w:adjustRightInd/>
        <w:snapToGrid w:val="0"/>
        <w:spacing w:line="344"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（1）接标截止时间以平台服务器时间为准，请准时提交响应文件。</w:t>
      </w:r>
    </w:p>
    <w:p w14:paraId="3A10C1A7">
      <w:pPr>
        <w:keepNext w:val="0"/>
        <w:keepLines w:val="0"/>
        <w:pageBreakBefore w:val="0"/>
        <w:kinsoku/>
        <w:wordWrap/>
        <w:overflowPunct/>
        <w:topLinePunct w:val="0"/>
        <w:autoSpaceDE/>
        <w:autoSpaceDN/>
        <w:bidi w:val="0"/>
        <w:adjustRightInd/>
        <w:snapToGrid w:val="0"/>
        <w:spacing w:line="344" w:lineRule="auto"/>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13.联系方式</w:t>
      </w:r>
    </w:p>
    <w:p w14:paraId="2996B756">
      <w:pPr>
        <w:spacing w:line="400" w:lineRule="exact"/>
        <w:rPr>
          <w:rFonts w:hint="eastAsia" w:ascii="宋体" w:hAnsi="宋体" w:cs="宋体"/>
          <w:b/>
          <w:bCs/>
          <w:sz w:val="24"/>
          <w:szCs w:val="24"/>
          <w:highlight w:val="none"/>
          <w:lang w:bidi="ar-SA"/>
        </w:rPr>
      </w:pPr>
      <w:r>
        <w:rPr>
          <w:rFonts w:hint="eastAsia" w:ascii="宋体" w:hAnsi="宋体" w:cs="宋体"/>
          <w:b/>
          <w:bCs/>
          <w:sz w:val="24"/>
          <w:szCs w:val="24"/>
          <w:highlight w:val="none"/>
          <w:lang w:bidi="ar-SA"/>
        </w:rPr>
        <w:t>（1）招标人信息</w:t>
      </w:r>
    </w:p>
    <w:p w14:paraId="02D7E807">
      <w:pPr>
        <w:spacing w:line="400" w:lineRule="exact"/>
        <w:rPr>
          <w:rFonts w:hint="eastAsia" w:ascii="宋体" w:hAnsi="宋体" w:eastAsia="宋体" w:cs="宋体"/>
          <w:bCs/>
          <w:sz w:val="24"/>
          <w:szCs w:val="24"/>
          <w:highlight w:val="none"/>
          <w:lang w:eastAsia="zh-CN" w:bidi="ar-SA"/>
        </w:rPr>
      </w:pPr>
      <w:r>
        <w:rPr>
          <w:rFonts w:hint="eastAsia" w:ascii="宋体" w:hAnsi="宋体" w:cs="宋体"/>
          <w:bCs/>
          <w:sz w:val="24"/>
          <w:szCs w:val="24"/>
          <w:highlight w:val="none"/>
          <w:lang w:bidi="ar-SA"/>
        </w:rPr>
        <w:t>名称：</w:t>
      </w:r>
      <w:r>
        <w:rPr>
          <w:rFonts w:hint="eastAsia" w:ascii="宋体" w:hAnsi="宋体" w:cs="宋体"/>
          <w:bCs/>
          <w:sz w:val="24"/>
          <w:szCs w:val="24"/>
          <w:highlight w:val="none"/>
          <w:lang w:eastAsia="zh-CN" w:bidi="ar-SA"/>
        </w:rPr>
        <w:t>临海市工创实业有限公司</w:t>
      </w:r>
    </w:p>
    <w:p w14:paraId="23C25AE3">
      <w:pPr>
        <w:spacing w:line="400" w:lineRule="exact"/>
        <w:rPr>
          <w:rFonts w:hint="eastAsia" w:ascii="宋体" w:hAnsi="宋体" w:eastAsia="宋体"/>
          <w:bCs/>
          <w:sz w:val="24"/>
          <w:szCs w:val="24"/>
          <w:highlight w:val="none"/>
          <w:lang w:eastAsia="zh-CN"/>
        </w:rPr>
      </w:pPr>
      <w:r>
        <w:rPr>
          <w:rFonts w:hint="eastAsia" w:ascii="宋体" w:hAnsi="宋体"/>
          <w:bCs/>
          <w:sz w:val="24"/>
          <w:szCs w:val="24"/>
          <w:highlight w:val="none"/>
        </w:rPr>
        <w:t>项目联系人：</w:t>
      </w:r>
      <w:r>
        <w:rPr>
          <w:rFonts w:hint="eastAsia" w:ascii="宋体" w:hAnsi="宋体"/>
          <w:bCs/>
          <w:sz w:val="24"/>
          <w:szCs w:val="24"/>
          <w:highlight w:val="none"/>
          <w:lang w:eastAsia="zh-CN"/>
        </w:rPr>
        <w:t>王先生</w:t>
      </w:r>
    </w:p>
    <w:p w14:paraId="4D853B04">
      <w:pPr>
        <w:spacing w:line="400" w:lineRule="exact"/>
        <w:rPr>
          <w:rFonts w:hint="eastAsia" w:ascii="宋体" w:hAnsi="宋体" w:eastAsia="宋体"/>
          <w:bCs/>
          <w:sz w:val="24"/>
          <w:szCs w:val="24"/>
          <w:highlight w:val="none"/>
          <w:lang w:eastAsia="zh-CN"/>
        </w:rPr>
      </w:pPr>
      <w:r>
        <w:rPr>
          <w:rFonts w:hint="eastAsia" w:ascii="宋体" w:hAnsi="宋体"/>
          <w:bCs/>
          <w:sz w:val="24"/>
          <w:szCs w:val="24"/>
          <w:highlight w:val="none"/>
        </w:rPr>
        <w:t>项目联系方式：</w:t>
      </w:r>
      <w:r>
        <w:rPr>
          <w:rFonts w:hint="eastAsia" w:ascii="宋体" w:hAnsi="宋体"/>
          <w:bCs/>
          <w:sz w:val="24"/>
          <w:szCs w:val="24"/>
          <w:highlight w:val="none"/>
          <w:lang w:eastAsia="zh-CN"/>
        </w:rPr>
        <w:t>0576-85180068</w:t>
      </w:r>
    </w:p>
    <w:p w14:paraId="7977A6DB">
      <w:pPr>
        <w:spacing w:line="400" w:lineRule="exact"/>
        <w:rPr>
          <w:rFonts w:hint="eastAsia" w:ascii="宋体" w:hAnsi="宋体" w:cs="宋体"/>
          <w:b/>
          <w:bCs/>
          <w:sz w:val="24"/>
          <w:szCs w:val="24"/>
          <w:highlight w:val="none"/>
          <w:lang w:bidi="ar-SA"/>
        </w:rPr>
      </w:pPr>
      <w:r>
        <w:rPr>
          <w:rFonts w:hint="eastAsia" w:ascii="宋体" w:hAnsi="宋体" w:cs="宋体"/>
          <w:b/>
          <w:bCs/>
          <w:sz w:val="24"/>
          <w:szCs w:val="24"/>
          <w:highlight w:val="none"/>
          <w:lang w:bidi="ar-SA"/>
        </w:rPr>
        <w:t>（2）代理机构信息</w:t>
      </w:r>
    </w:p>
    <w:p w14:paraId="31785982">
      <w:pPr>
        <w:spacing w:line="400" w:lineRule="exact"/>
        <w:rPr>
          <w:rFonts w:hint="eastAsia" w:ascii="宋体" w:hAnsi="宋体" w:cs="宋体"/>
          <w:bCs/>
          <w:sz w:val="24"/>
          <w:szCs w:val="24"/>
          <w:highlight w:val="none"/>
          <w:lang w:bidi="ar-SA"/>
        </w:rPr>
      </w:pPr>
      <w:r>
        <w:rPr>
          <w:rFonts w:hint="eastAsia" w:ascii="宋体" w:hAnsi="宋体" w:cs="宋体"/>
          <w:bCs/>
          <w:sz w:val="24"/>
          <w:szCs w:val="24"/>
          <w:highlight w:val="none"/>
          <w:lang w:bidi="ar-SA"/>
        </w:rPr>
        <w:t>名 称：</w:t>
      </w:r>
      <w:r>
        <w:rPr>
          <w:rFonts w:hint="eastAsia" w:ascii="宋体" w:hAnsi="宋体" w:cs="宋体"/>
          <w:bCs/>
          <w:sz w:val="24"/>
          <w:szCs w:val="24"/>
          <w:highlight w:val="none"/>
          <w:lang w:eastAsia="zh-CN" w:bidi="ar-SA"/>
        </w:rPr>
        <w:t>浙江华夏工程管理有限公司</w:t>
      </w:r>
      <w:r>
        <w:rPr>
          <w:rFonts w:hint="eastAsia" w:ascii="宋体" w:hAnsi="宋体" w:cs="宋体"/>
          <w:bCs/>
          <w:sz w:val="24"/>
          <w:szCs w:val="24"/>
          <w:highlight w:val="none"/>
          <w:lang w:bidi="ar-SA"/>
        </w:rPr>
        <w:t xml:space="preserve"> </w:t>
      </w:r>
    </w:p>
    <w:p w14:paraId="046A9B9C">
      <w:pPr>
        <w:spacing w:line="400" w:lineRule="exact"/>
        <w:rPr>
          <w:rFonts w:hint="eastAsia" w:ascii="宋体" w:hAnsi="宋体" w:eastAsia="宋体" w:cs="宋体"/>
          <w:bCs/>
          <w:sz w:val="24"/>
          <w:szCs w:val="24"/>
          <w:highlight w:val="none"/>
          <w:lang w:eastAsia="zh-CN" w:bidi="ar-SA"/>
        </w:rPr>
      </w:pPr>
      <w:r>
        <w:rPr>
          <w:rFonts w:hint="eastAsia" w:ascii="宋体" w:hAnsi="宋体" w:cs="宋体"/>
          <w:bCs/>
          <w:sz w:val="24"/>
          <w:szCs w:val="24"/>
          <w:highlight w:val="none"/>
          <w:lang w:bidi="ar-SA"/>
        </w:rPr>
        <w:t>项目联系人：</w:t>
      </w:r>
      <w:r>
        <w:rPr>
          <w:rFonts w:hint="eastAsia" w:ascii="宋体" w:hAnsi="宋体" w:cs="宋体"/>
          <w:bCs/>
          <w:sz w:val="24"/>
          <w:szCs w:val="24"/>
          <w:highlight w:val="none"/>
          <w:lang w:eastAsia="zh-CN" w:bidi="ar-SA"/>
        </w:rPr>
        <w:t>杨先生</w:t>
      </w:r>
    </w:p>
    <w:p w14:paraId="3E8B6319">
      <w:pPr>
        <w:spacing w:line="400" w:lineRule="exact"/>
        <w:rPr>
          <w:rFonts w:hint="eastAsia" w:hAnsi="宋体" w:cs="宋体"/>
          <w:b/>
          <w:sz w:val="24"/>
          <w:szCs w:val="24"/>
          <w:highlight w:val="none"/>
          <w:lang w:bidi="ar-SA"/>
        </w:rPr>
      </w:pPr>
      <w:r>
        <w:rPr>
          <w:rFonts w:hint="eastAsia" w:ascii="宋体" w:hAnsi="宋体" w:cs="宋体"/>
          <w:bCs/>
          <w:sz w:val="24"/>
          <w:szCs w:val="24"/>
          <w:highlight w:val="none"/>
          <w:lang w:bidi="ar-SA"/>
        </w:rPr>
        <w:t>项目联系方式：</w:t>
      </w:r>
      <w:r>
        <w:rPr>
          <w:rFonts w:hint="eastAsia" w:ascii="宋体" w:hAnsi="宋体" w:cs="宋体"/>
          <w:bCs/>
          <w:sz w:val="24"/>
          <w:szCs w:val="24"/>
          <w:highlight w:val="none"/>
          <w:lang w:eastAsia="zh-CN" w:bidi="ar-SA"/>
        </w:rPr>
        <w:t>18358662578</w:t>
      </w:r>
    </w:p>
    <w:p w14:paraId="30CA8E49">
      <w:pPr>
        <w:widowControl/>
        <w:jc w:val="left"/>
        <w:rPr>
          <w:sz w:val="24"/>
          <w:szCs w:val="24"/>
          <w:highlight w:val="none"/>
        </w:rPr>
      </w:pPr>
      <w:r>
        <w:rPr>
          <w:rFonts w:hint="eastAsia" w:ascii="宋体" w:hAnsi="宋体" w:cs="宋体"/>
          <w:b/>
          <w:bCs/>
          <w:color w:val="000000"/>
          <w:kern w:val="0"/>
          <w:sz w:val="24"/>
          <w:szCs w:val="24"/>
          <w:highlight w:val="none"/>
          <w:lang w:bidi="ar"/>
        </w:rPr>
        <w:t xml:space="preserve">（3）监管机构信息 </w:t>
      </w:r>
    </w:p>
    <w:p w14:paraId="602F1080">
      <w:pPr>
        <w:spacing w:line="400" w:lineRule="exact"/>
        <w:rPr>
          <w:rFonts w:hint="eastAsia" w:ascii="宋体" w:hAnsi="宋体" w:eastAsia="宋体" w:cs="宋体"/>
          <w:bCs/>
          <w:sz w:val="24"/>
          <w:szCs w:val="24"/>
          <w:highlight w:val="none"/>
          <w:lang w:bidi="ar-SA"/>
        </w:rPr>
      </w:pPr>
      <w:r>
        <w:rPr>
          <w:rFonts w:hint="eastAsia" w:ascii="宋体" w:hAnsi="宋体" w:eastAsia="宋体" w:cs="宋体"/>
          <w:bCs/>
          <w:sz w:val="24"/>
          <w:szCs w:val="24"/>
          <w:highlight w:val="none"/>
          <w:lang w:bidi="ar-SA"/>
        </w:rPr>
        <w:t>名 称：</w:t>
      </w:r>
      <w:bookmarkStart w:id="3" w:name="OLE_LINK3"/>
      <w:r>
        <w:rPr>
          <w:rFonts w:hint="eastAsia" w:ascii="宋体" w:hAnsi="宋体" w:eastAsia="宋体" w:cs="宋体"/>
          <w:bCs/>
          <w:sz w:val="24"/>
          <w:szCs w:val="24"/>
          <w:highlight w:val="none"/>
          <w:lang w:bidi="ar-SA"/>
        </w:rPr>
        <w:t>临海市工业投资集团有限公司</w:t>
      </w:r>
      <w:bookmarkEnd w:id="3"/>
    </w:p>
    <w:p w14:paraId="5CEFBF01">
      <w:pPr>
        <w:spacing w:line="400" w:lineRule="exact"/>
        <w:rPr>
          <w:rFonts w:hint="eastAsia" w:ascii="宋体" w:hAnsi="宋体" w:eastAsia="宋体" w:cs="宋体"/>
          <w:bCs/>
          <w:sz w:val="24"/>
          <w:szCs w:val="24"/>
          <w:highlight w:val="none"/>
          <w:lang w:bidi="ar-SA"/>
        </w:rPr>
      </w:pPr>
      <w:r>
        <w:rPr>
          <w:rFonts w:hint="eastAsia" w:ascii="宋体" w:hAnsi="宋体" w:eastAsia="宋体" w:cs="宋体"/>
          <w:bCs/>
          <w:sz w:val="24"/>
          <w:szCs w:val="24"/>
          <w:highlight w:val="none"/>
          <w:lang w:bidi="ar-SA"/>
        </w:rPr>
        <w:t>联系电话：0576-85129505</w:t>
      </w:r>
    </w:p>
    <w:p w14:paraId="6D9937AC">
      <w:pPr>
        <w:pageBreakBefore w:val="0"/>
        <w:widowControl w:val="0"/>
        <w:kinsoku/>
        <w:wordWrap/>
        <w:overflowPunct/>
        <w:topLinePunct w:val="0"/>
        <w:autoSpaceDE/>
        <w:autoSpaceDN/>
        <w:bidi w:val="0"/>
        <w:snapToGrid w:val="0"/>
        <w:spacing w:line="264"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br w:type="page"/>
      </w:r>
      <w:bookmarkStart w:id="4" w:name="_Toc18961"/>
      <w:bookmarkStart w:id="5" w:name="_Toc467749357"/>
      <w:bookmarkStart w:id="6" w:name="_Toc466534748"/>
      <w:r>
        <w:rPr>
          <w:rStyle w:val="120"/>
          <w:rFonts w:hint="eastAsia" w:ascii="宋体" w:hAnsi="宋体" w:eastAsia="宋体" w:cs="宋体"/>
          <w:color w:val="auto"/>
          <w:sz w:val="30"/>
          <w:szCs w:val="30"/>
          <w:highlight w:val="none"/>
        </w:rPr>
        <w:t>第二章  招标需求</w:t>
      </w:r>
      <w:bookmarkEnd w:id="4"/>
    </w:p>
    <w:bookmarkEnd w:id="5"/>
    <w:bookmarkEnd w:id="6"/>
    <w:p w14:paraId="265ACB49">
      <w:pPr>
        <w:keepNext w:val="0"/>
        <w:keepLines w:val="0"/>
        <w:pageBreakBefore w:val="0"/>
        <w:kinsoku/>
        <w:wordWrap/>
        <w:overflowPunct/>
        <w:topLinePunct w:val="0"/>
        <w:bidi w:val="0"/>
        <w:rPr>
          <w:rFonts w:hint="eastAsia" w:ascii="宋体" w:hAnsi="宋体"/>
          <w:b/>
          <w:szCs w:val="21"/>
          <w:highlight w:val="none"/>
        </w:rPr>
      </w:pPr>
      <w:bookmarkStart w:id="7" w:name="_Toc21154"/>
      <w:bookmarkStart w:id="8" w:name="_Toc466534749"/>
      <w:r>
        <w:rPr>
          <w:rFonts w:hint="eastAsia" w:ascii="宋体" w:hAnsi="宋体"/>
          <w:b/>
          <w:szCs w:val="21"/>
          <w:highlight w:val="none"/>
          <w:lang w:val="en-US" w:eastAsia="zh-CN"/>
        </w:rPr>
        <w:t>一</w:t>
      </w:r>
      <w:r>
        <w:rPr>
          <w:rFonts w:hint="eastAsia" w:ascii="宋体" w:hAnsi="宋体"/>
          <w:b/>
          <w:szCs w:val="21"/>
          <w:highlight w:val="none"/>
        </w:rPr>
        <w:t>、采购清单</w:t>
      </w:r>
    </w:p>
    <w:tbl>
      <w:tblPr>
        <w:tblStyle w:val="51"/>
        <w:tblW w:w="1041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44"/>
        <w:gridCol w:w="3158"/>
        <w:gridCol w:w="1287"/>
        <w:gridCol w:w="2103"/>
        <w:gridCol w:w="776"/>
        <w:gridCol w:w="776"/>
        <w:gridCol w:w="1669"/>
      </w:tblGrid>
      <w:tr w14:paraId="26E19D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644" w:type="dxa"/>
            <w:tcBorders>
              <w:top w:val="single" w:color="000000" w:sz="4" w:space="0"/>
              <w:left w:val="single" w:color="000000" w:sz="8" w:space="0"/>
              <w:bottom w:val="single" w:color="000000" w:sz="4" w:space="0"/>
              <w:right w:val="single" w:color="000000" w:sz="4" w:space="0"/>
            </w:tcBorders>
            <w:noWrap w:val="0"/>
            <w:vAlign w:val="center"/>
          </w:tcPr>
          <w:p w14:paraId="653A0D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222B35"/>
                <w:sz w:val="22"/>
                <w:szCs w:val="20"/>
                <w:u w:val="none"/>
              </w:rPr>
            </w:pPr>
            <w:r>
              <w:rPr>
                <w:rFonts w:hint="eastAsia" w:ascii="宋体" w:hAnsi="宋体" w:eastAsia="宋体" w:cs="宋体"/>
                <w:b/>
                <w:i w:val="0"/>
                <w:iCs w:val="0"/>
                <w:color w:val="222B35"/>
                <w:kern w:val="0"/>
                <w:sz w:val="22"/>
                <w:szCs w:val="20"/>
                <w:u w:val="none"/>
                <w:lang w:val="en-US" w:eastAsia="zh-CN" w:bidi="ar"/>
              </w:rPr>
              <w:t>序号</w:t>
            </w:r>
          </w:p>
        </w:tc>
        <w:tc>
          <w:tcPr>
            <w:tcW w:w="0" w:type="auto"/>
            <w:tcBorders>
              <w:top w:val="single" w:color="000000" w:sz="4" w:space="0"/>
              <w:left w:val="nil"/>
              <w:bottom w:val="single" w:color="000000" w:sz="4" w:space="0"/>
              <w:right w:val="nil"/>
            </w:tcBorders>
            <w:noWrap w:val="0"/>
            <w:vAlign w:val="center"/>
          </w:tcPr>
          <w:p w14:paraId="2908B1C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222B35"/>
                <w:sz w:val="22"/>
                <w:szCs w:val="22"/>
                <w:u w:val="none"/>
              </w:rPr>
            </w:pPr>
            <w:r>
              <w:rPr>
                <w:rFonts w:hint="eastAsia" w:ascii="宋体" w:hAnsi="宋体" w:eastAsia="宋体" w:cs="宋体"/>
                <w:b/>
                <w:bCs/>
                <w:i w:val="0"/>
                <w:iCs w:val="0"/>
                <w:color w:val="222B35"/>
                <w:kern w:val="0"/>
                <w:sz w:val="22"/>
                <w:szCs w:val="22"/>
                <w:u w:val="none"/>
                <w:lang w:val="en-US" w:eastAsia="zh-CN" w:bidi="ar"/>
              </w:rPr>
              <w:t>防护区</w:t>
            </w:r>
          </w:p>
        </w:tc>
        <w:tc>
          <w:tcPr>
            <w:tcW w:w="1287" w:type="dxa"/>
            <w:tcBorders>
              <w:top w:val="single" w:color="000000" w:sz="4" w:space="0"/>
              <w:left w:val="single" w:color="000000" w:sz="4" w:space="0"/>
              <w:bottom w:val="single" w:color="000000" w:sz="4" w:space="0"/>
              <w:right w:val="single" w:color="000000" w:sz="4" w:space="0"/>
            </w:tcBorders>
            <w:noWrap w:val="0"/>
            <w:vAlign w:val="center"/>
          </w:tcPr>
          <w:p w14:paraId="426A62B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222B35"/>
                <w:sz w:val="22"/>
                <w:szCs w:val="22"/>
                <w:u w:val="none"/>
              </w:rPr>
            </w:pPr>
            <w:r>
              <w:rPr>
                <w:rFonts w:hint="eastAsia" w:ascii="宋体" w:hAnsi="宋体" w:eastAsia="宋体" w:cs="宋体"/>
                <w:b/>
                <w:bCs/>
                <w:i w:val="0"/>
                <w:iCs w:val="0"/>
                <w:color w:val="222B35"/>
                <w:kern w:val="0"/>
                <w:sz w:val="22"/>
                <w:szCs w:val="22"/>
                <w:u w:val="none"/>
                <w:lang w:val="en-US" w:eastAsia="zh-CN" w:bidi="ar"/>
              </w:rPr>
              <w:t>产品名称</w:t>
            </w:r>
          </w:p>
        </w:tc>
        <w:tc>
          <w:tcPr>
            <w:tcW w:w="2103" w:type="dxa"/>
            <w:tcBorders>
              <w:top w:val="single" w:color="000000" w:sz="4" w:space="0"/>
              <w:left w:val="single" w:color="000000" w:sz="4" w:space="0"/>
              <w:bottom w:val="single" w:color="000000" w:sz="4" w:space="0"/>
              <w:right w:val="single" w:color="000000" w:sz="4" w:space="0"/>
            </w:tcBorders>
            <w:noWrap w:val="0"/>
            <w:vAlign w:val="center"/>
          </w:tcPr>
          <w:p w14:paraId="7B3BBCC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222B35"/>
                <w:sz w:val="22"/>
                <w:szCs w:val="22"/>
                <w:u w:val="none"/>
              </w:rPr>
            </w:pPr>
            <w:r>
              <w:rPr>
                <w:rFonts w:hint="eastAsia" w:ascii="宋体" w:hAnsi="宋体" w:eastAsia="宋体" w:cs="宋体"/>
                <w:b/>
                <w:bCs/>
                <w:i w:val="0"/>
                <w:iCs w:val="0"/>
                <w:color w:val="222B35"/>
                <w:kern w:val="0"/>
                <w:sz w:val="22"/>
                <w:szCs w:val="22"/>
                <w:u w:val="none"/>
                <w:lang w:val="en-US" w:eastAsia="zh-CN" w:bidi="ar"/>
              </w:rPr>
              <w:t>型号</w:t>
            </w:r>
          </w:p>
        </w:tc>
        <w:tc>
          <w:tcPr>
            <w:tcW w:w="776" w:type="dxa"/>
            <w:tcBorders>
              <w:top w:val="single" w:color="000000" w:sz="4" w:space="0"/>
              <w:left w:val="single" w:color="000000" w:sz="4" w:space="0"/>
              <w:bottom w:val="single" w:color="000000" w:sz="4" w:space="0"/>
              <w:right w:val="single" w:color="000000" w:sz="4" w:space="0"/>
            </w:tcBorders>
            <w:noWrap w:val="0"/>
            <w:vAlign w:val="center"/>
          </w:tcPr>
          <w:p w14:paraId="78EF3B9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222B35"/>
                <w:sz w:val="22"/>
                <w:szCs w:val="22"/>
                <w:u w:val="none"/>
              </w:rPr>
            </w:pPr>
            <w:r>
              <w:rPr>
                <w:rFonts w:hint="eastAsia" w:ascii="宋体" w:hAnsi="宋体" w:eastAsia="宋体" w:cs="宋体"/>
                <w:b/>
                <w:bCs/>
                <w:i w:val="0"/>
                <w:iCs w:val="0"/>
                <w:color w:val="222B35"/>
                <w:kern w:val="0"/>
                <w:sz w:val="22"/>
                <w:szCs w:val="22"/>
                <w:u w:val="none"/>
                <w:lang w:val="en-US" w:eastAsia="zh-CN" w:bidi="ar"/>
              </w:rPr>
              <w:t>单位</w:t>
            </w:r>
          </w:p>
        </w:tc>
        <w:tc>
          <w:tcPr>
            <w:tcW w:w="776" w:type="dxa"/>
            <w:tcBorders>
              <w:top w:val="single" w:color="000000" w:sz="4" w:space="0"/>
              <w:left w:val="single" w:color="000000" w:sz="4" w:space="0"/>
              <w:bottom w:val="single" w:color="000000" w:sz="4" w:space="0"/>
              <w:right w:val="single" w:color="000000" w:sz="4" w:space="0"/>
            </w:tcBorders>
            <w:noWrap w:val="0"/>
            <w:vAlign w:val="center"/>
          </w:tcPr>
          <w:p w14:paraId="53E678A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222B35"/>
                <w:sz w:val="22"/>
                <w:szCs w:val="22"/>
                <w:u w:val="none"/>
              </w:rPr>
            </w:pPr>
            <w:r>
              <w:rPr>
                <w:rFonts w:hint="eastAsia" w:ascii="宋体" w:hAnsi="宋体" w:eastAsia="宋体" w:cs="宋体"/>
                <w:b/>
                <w:bCs/>
                <w:i w:val="0"/>
                <w:iCs w:val="0"/>
                <w:color w:val="222B35"/>
                <w:kern w:val="0"/>
                <w:sz w:val="22"/>
                <w:szCs w:val="22"/>
                <w:u w:val="none"/>
                <w:lang w:val="en-US" w:eastAsia="zh-CN" w:bidi="ar"/>
              </w:rPr>
              <w:t>数量</w:t>
            </w:r>
          </w:p>
        </w:tc>
        <w:tc>
          <w:tcPr>
            <w:tcW w:w="1669" w:type="dxa"/>
            <w:tcBorders>
              <w:top w:val="single" w:color="000000" w:sz="4" w:space="0"/>
              <w:left w:val="single" w:color="000000" w:sz="4" w:space="0"/>
              <w:bottom w:val="single" w:color="000000" w:sz="4" w:space="0"/>
              <w:right w:val="single" w:color="000000" w:sz="8" w:space="0"/>
            </w:tcBorders>
            <w:noWrap w:val="0"/>
            <w:vAlign w:val="center"/>
          </w:tcPr>
          <w:p w14:paraId="05B3846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222B35"/>
                <w:sz w:val="22"/>
                <w:szCs w:val="22"/>
                <w:u w:val="none"/>
              </w:rPr>
            </w:pPr>
            <w:r>
              <w:rPr>
                <w:rFonts w:hint="eastAsia" w:ascii="宋体" w:hAnsi="宋体" w:eastAsia="宋体" w:cs="宋体"/>
                <w:b/>
                <w:bCs/>
                <w:i w:val="0"/>
                <w:iCs w:val="0"/>
                <w:color w:val="222B35"/>
                <w:kern w:val="0"/>
                <w:sz w:val="22"/>
                <w:szCs w:val="22"/>
                <w:u w:val="none"/>
                <w:lang w:val="en-US" w:eastAsia="zh-CN" w:bidi="ar"/>
              </w:rPr>
              <w:t>备注</w:t>
            </w:r>
          </w:p>
        </w:tc>
      </w:tr>
      <w:tr w14:paraId="216AAC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44" w:type="dxa"/>
            <w:vMerge w:val="restart"/>
            <w:tcBorders>
              <w:top w:val="single" w:color="000000" w:sz="4" w:space="0"/>
              <w:left w:val="single" w:color="000000" w:sz="8" w:space="0"/>
              <w:bottom w:val="single" w:color="000000" w:sz="4" w:space="0"/>
              <w:right w:val="single" w:color="000000" w:sz="4" w:space="0"/>
            </w:tcBorders>
            <w:noWrap w:val="0"/>
            <w:vAlign w:val="center"/>
          </w:tcPr>
          <w:p w14:paraId="2565C4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vMerge w:val="restart"/>
            <w:tcBorders>
              <w:top w:val="single" w:color="000000" w:sz="4" w:space="0"/>
              <w:left w:val="nil"/>
              <w:bottom w:val="single" w:color="000000" w:sz="4" w:space="0"/>
              <w:right w:val="nil"/>
            </w:tcBorders>
            <w:noWrap w:val="0"/>
            <w:vAlign w:val="center"/>
          </w:tcPr>
          <w:p w14:paraId="008A9C6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开关站（01#厂房一层）</w:t>
            </w:r>
          </w:p>
        </w:tc>
        <w:tc>
          <w:tcPr>
            <w:tcW w:w="1287" w:type="dxa"/>
            <w:tcBorders>
              <w:top w:val="single" w:color="000000" w:sz="4" w:space="0"/>
              <w:left w:val="single" w:color="000000" w:sz="4" w:space="0"/>
              <w:bottom w:val="single" w:color="000000" w:sz="4" w:space="0"/>
              <w:right w:val="single" w:color="000000" w:sz="4" w:space="0"/>
            </w:tcBorders>
            <w:noWrap w:val="0"/>
            <w:vAlign w:val="center"/>
          </w:tcPr>
          <w:p w14:paraId="16D4EBF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柜式七氟丙烷灭火装置</w:t>
            </w:r>
          </w:p>
        </w:tc>
        <w:tc>
          <w:tcPr>
            <w:tcW w:w="2103" w:type="dxa"/>
            <w:tcBorders>
              <w:top w:val="single" w:color="000000" w:sz="4" w:space="0"/>
              <w:left w:val="single" w:color="000000" w:sz="4" w:space="0"/>
              <w:bottom w:val="single" w:color="000000" w:sz="4" w:space="0"/>
              <w:right w:val="single" w:color="000000" w:sz="4" w:space="0"/>
            </w:tcBorders>
            <w:noWrap w:val="0"/>
            <w:vAlign w:val="center"/>
          </w:tcPr>
          <w:p w14:paraId="50EFB3D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GQQ120/2.5</w:t>
            </w:r>
          </w:p>
        </w:tc>
        <w:tc>
          <w:tcPr>
            <w:tcW w:w="776" w:type="dxa"/>
            <w:tcBorders>
              <w:top w:val="single" w:color="000000" w:sz="4" w:space="0"/>
              <w:left w:val="single" w:color="000000" w:sz="4" w:space="0"/>
              <w:bottom w:val="single" w:color="000000" w:sz="4" w:space="0"/>
              <w:right w:val="single" w:color="000000" w:sz="4" w:space="0"/>
            </w:tcBorders>
            <w:noWrap w:val="0"/>
            <w:vAlign w:val="center"/>
          </w:tcPr>
          <w:p w14:paraId="7C68190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76" w:type="dxa"/>
            <w:tcBorders>
              <w:top w:val="single" w:color="000000" w:sz="4" w:space="0"/>
              <w:left w:val="single" w:color="000000" w:sz="4" w:space="0"/>
              <w:bottom w:val="single" w:color="000000" w:sz="4" w:space="0"/>
              <w:right w:val="single" w:color="000000" w:sz="4" w:space="0"/>
            </w:tcBorders>
            <w:noWrap w:val="0"/>
            <w:vAlign w:val="center"/>
          </w:tcPr>
          <w:p w14:paraId="58A8D1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669" w:type="dxa"/>
            <w:tcBorders>
              <w:top w:val="single" w:color="000000" w:sz="4" w:space="0"/>
              <w:left w:val="single" w:color="000000" w:sz="4" w:space="0"/>
              <w:bottom w:val="single" w:color="000000" w:sz="4" w:space="0"/>
              <w:right w:val="single" w:color="000000" w:sz="8" w:space="0"/>
            </w:tcBorders>
            <w:noWrap w:val="0"/>
            <w:vAlign w:val="center"/>
          </w:tcPr>
          <w:p w14:paraId="694B317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每台充装116公斤灭火剂</w:t>
            </w:r>
          </w:p>
        </w:tc>
      </w:tr>
      <w:tr w14:paraId="0662F3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44" w:type="dxa"/>
            <w:vMerge w:val="continue"/>
            <w:tcBorders>
              <w:top w:val="single" w:color="000000" w:sz="4" w:space="0"/>
              <w:left w:val="single" w:color="000000" w:sz="8" w:space="0"/>
              <w:bottom w:val="single" w:color="000000" w:sz="4" w:space="0"/>
              <w:right w:val="single" w:color="000000" w:sz="4" w:space="0"/>
            </w:tcBorders>
            <w:noWrap w:val="0"/>
            <w:vAlign w:val="center"/>
          </w:tcPr>
          <w:p w14:paraId="3C1661F4">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nil"/>
              <w:bottom w:val="single" w:color="000000" w:sz="4" w:space="0"/>
              <w:right w:val="nil"/>
            </w:tcBorders>
            <w:noWrap w:val="0"/>
            <w:vAlign w:val="center"/>
          </w:tcPr>
          <w:p w14:paraId="15DED1BE">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287" w:type="dxa"/>
            <w:tcBorders>
              <w:top w:val="single" w:color="000000" w:sz="4" w:space="0"/>
              <w:left w:val="single" w:color="000000" w:sz="4" w:space="0"/>
              <w:bottom w:val="single" w:color="000000" w:sz="4" w:space="0"/>
              <w:right w:val="single" w:color="000000" w:sz="4" w:space="0"/>
            </w:tcBorders>
            <w:noWrap w:val="0"/>
            <w:vAlign w:val="center"/>
          </w:tcPr>
          <w:p w14:paraId="4EE8F07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七氟丙烷</w:t>
            </w:r>
          </w:p>
        </w:tc>
        <w:tc>
          <w:tcPr>
            <w:tcW w:w="2103" w:type="dxa"/>
            <w:tcBorders>
              <w:top w:val="single" w:color="000000" w:sz="4" w:space="0"/>
              <w:left w:val="single" w:color="000000" w:sz="4" w:space="0"/>
              <w:bottom w:val="single" w:color="000000" w:sz="4" w:space="0"/>
              <w:right w:val="single" w:color="000000" w:sz="4" w:space="0"/>
            </w:tcBorders>
            <w:noWrap w:val="0"/>
            <w:vAlign w:val="center"/>
          </w:tcPr>
          <w:p w14:paraId="4483626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HFC-227ea</w:t>
            </w:r>
          </w:p>
        </w:tc>
        <w:tc>
          <w:tcPr>
            <w:tcW w:w="776" w:type="dxa"/>
            <w:tcBorders>
              <w:top w:val="single" w:color="000000" w:sz="4" w:space="0"/>
              <w:left w:val="single" w:color="000000" w:sz="4" w:space="0"/>
              <w:bottom w:val="single" w:color="000000" w:sz="4" w:space="0"/>
              <w:right w:val="single" w:color="000000" w:sz="4" w:space="0"/>
            </w:tcBorders>
            <w:noWrap w:val="0"/>
            <w:vAlign w:val="center"/>
          </w:tcPr>
          <w:p w14:paraId="4650B94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Kg</w:t>
            </w:r>
          </w:p>
        </w:tc>
        <w:tc>
          <w:tcPr>
            <w:tcW w:w="776" w:type="dxa"/>
            <w:tcBorders>
              <w:top w:val="single" w:color="000000" w:sz="4" w:space="0"/>
              <w:left w:val="single" w:color="000000" w:sz="4" w:space="0"/>
              <w:bottom w:val="single" w:color="000000" w:sz="4" w:space="0"/>
              <w:right w:val="single" w:color="000000" w:sz="4" w:space="0"/>
            </w:tcBorders>
            <w:noWrap w:val="0"/>
            <w:vAlign w:val="center"/>
          </w:tcPr>
          <w:p w14:paraId="148DEF1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580</w:t>
            </w:r>
          </w:p>
        </w:tc>
        <w:tc>
          <w:tcPr>
            <w:tcW w:w="1669" w:type="dxa"/>
            <w:tcBorders>
              <w:top w:val="single" w:color="000000" w:sz="4" w:space="0"/>
              <w:left w:val="single" w:color="000000" w:sz="4" w:space="0"/>
              <w:bottom w:val="single" w:color="000000" w:sz="4" w:space="0"/>
              <w:right w:val="single" w:color="000000" w:sz="8" w:space="0"/>
            </w:tcBorders>
            <w:noWrap w:val="0"/>
            <w:vAlign w:val="center"/>
          </w:tcPr>
          <w:p w14:paraId="14678723">
            <w:pPr>
              <w:snapToGrid w:val="0"/>
              <w:ind w:left="0" w:leftChars="0" w:right="0" w:rightChars="0" w:firstLine="0" w:firstLineChars="0"/>
              <w:jc w:val="center"/>
              <w:rPr>
                <w:rFonts w:hint="eastAsia" w:ascii="宋体" w:hAnsi="宋体" w:eastAsia="宋体" w:cs="宋体"/>
                <w:i w:val="0"/>
                <w:iCs w:val="0"/>
                <w:color w:val="000000"/>
                <w:sz w:val="21"/>
                <w:szCs w:val="24"/>
                <w:u w:val="none"/>
              </w:rPr>
            </w:pPr>
          </w:p>
        </w:tc>
      </w:tr>
      <w:tr w14:paraId="20D626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44" w:type="dxa"/>
            <w:vMerge w:val="continue"/>
            <w:tcBorders>
              <w:top w:val="single" w:color="000000" w:sz="4" w:space="0"/>
              <w:left w:val="single" w:color="000000" w:sz="8" w:space="0"/>
              <w:bottom w:val="single" w:color="000000" w:sz="4" w:space="0"/>
              <w:right w:val="single" w:color="000000" w:sz="4" w:space="0"/>
            </w:tcBorders>
            <w:noWrap w:val="0"/>
            <w:vAlign w:val="center"/>
          </w:tcPr>
          <w:p w14:paraId="34B46B46">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nil"/>
              <w:bottom w:val="single" w:color="000000" w:sz="4" w:space="0"/>
              <w:right w:val="nil"/>
            </w:tcBorders>
            <w:noWrap w:val="0"/>
            <w:vAlign w:val="center"/>
          </w:tcPr>
          <w:p w14:paraId="53F3D04A">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287" w:type="dxa"/>
            <w:tcBorders>
              <w:top w:val="single" w:color="000000" w:sz="4" w:space="0"/>
              <w:left w:val="single" w:color="000000" w:sz="4" w:space="0"/>
              <w:bottom w:val="single" w:color="000000" w:sz="4" w:space="0"/>
              <w:right w:val="single" w:color="000000" w:sz="4" w:space="0"/>
            </w:tcBorders>
            <w:noWrap w:val="0"/>
            <w:vAlign w:val="center"/>
          </w:tcPr>
          <w:p w14:paraId="250EAFC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泄压口</w:t>
            </w:r>
          </w:p>
        </w:tc>
        <w:tc>
          <w:tcPr>
            <w:tcW w:w="2103" w:type="dxa"/>
            <w:tcBorders>
              <w:top w:val="single" w:color="000000" w:sz="4" w:space="0"/>
              <w:left w:val="single" w:color="000000" w:sz="4" w:space="0"/>
              <w:bottom w:val="single" w:color="000000" w:sz="4" w:space="0"/>
              <w:right w:val="single" w:color="000000" w:sz="4" w:space="0"/>
            </w:tcBorders>
            <w:noWrap w:val="0"/>
            <w:vAlign w:val="center"/>
          </w:tcPr>
          <w:p w14:paraId="1D62B35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0.25-J</w:t>
            </w:r>
          </w:p>
        </w:tc>
        <w:tc>
          <w:tcPr>
            <w:tcW w:w="776" w:type="dxa"/>
            <w:tcBorders>
              <w:top w:val="single" w:color="000000" w:sz="4" w:space="0"/>
              <w:left w:val="single" w:color="000000" w:sz="4" w:space="0"/>
              <w:bottom w:val="single" w:color="000000" w:sz="4" w:space="0"/>
              <w:right w:val="single" w:color="000000" w:sz="4" w:space="0"/>
            </w:tcBorders>
            <w:noWrap w:val="0"/>
            <w:vAlign w:val="center"/>
          </w:tcPr>
          <w:p w14:paraId="5F5150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76" w:type="dxa"/>
            <w:tcBorders>
              <w:top w:val="single" w:color="000000" w:sz="4" w:space="0"/>
              <w:left w:val="single" w:color="000000" w:sz="4" w:space="0"/>
              <w:bottom w:val="single" w:color="000000" w:sz="4" w:space="0"/>
              <w:right w:val="single" w:color="000000" w:sz="4" w:space="0"/>
            </w:tcBorders>
            <w:noWrap w:val="0"/>
            <w:vAlign w:val="center"/>
          </w:tcPr>
          <w:p w14:paraId="0C0322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669" w:type="dxa"/>
            <w:tcBorders>
              <w:top w:val="single" w:color="000000" w:sz="4" w:space="0"/>
              <w:left w:val="single" w:color="000000" w:sz="4" w:space="0"/>
              <w:bottom w:val="single" w:color="000000" w:sz="4" w:space="0"/>
              <w:right w:val="single" w:color="000000" w:sz="8" w:space="0"/>
            </w:tcBorders>
            <w:noWrap w:val="0"/>
            <w:vAlign w:val="center"/>
          </w:tcPr>
          <w:p w14:paraId="5DFD8F9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含百叶和阀体,开孔尺寸800*400</w:t>
            </w:r>
          </w:p>
        </w:tc>
      </w:tr>
      <w:tr w14:paraId="32BF4F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44" w:type="dxa"/>
            <w:vMerge w:val="restart"/>
            <w:tcBorders>
              <w:top w:val="single" w:color="000000" w:sz="4" w:space="0"/>
              <w:left w:val="single" w:color="000000" w:sz="8" w:space="0"/>
              <w:bottom w:val="single" w:color="000000" w:sz="4" w:space="0"/>
              <w:right w:val="single" w:color="000000" w:sz="4" w:space="0"/>
            </w:tcBorders>
            <w:noWrap w:val="0"/>
            <w:vAlign w:val="center"/>
          </w:tcPr>
          <w:p w14:paraId="4125B9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vMerge w:val="restart"/>
            <w:tcBorders>
              <w:top w:val="single" w:color="000000" w:sz="4" w:space="0"/>
              <w:left w:val="nil"/>
              <w:bottom w:val="single" w:color="000000" w:sz="4" w:space="0"/>
              <w:right w:val="nil"/>
            </w:tcBorders>
            <w:noWrap w:val="0"/>
            <w:vAlign w:val="center"/>
          </w:tcPr>
          <w:p w14:paraId="05A8E9A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配电房（01#厂房一层）</w:t>
            </w:r>
          </w:p>
        </w:tc>
        <w:tc>
          <w:tcPr>
            <w:tcW w:w="1287" w:type="dxa"/>
            <w:tcBorders>
              <w:top w:val="single" w:color="000000" w:sz="4" w:space="0"/>
              <w:left w:val="single" w:color="000000" w:sz="4" w:space="0"/>
              <w:bottom w:val="single" w:color="000000" w:sz="4" w:space="0"/>
              <w:right w:val="single" w:color="000000" w:sz="4" w:space="0"/>
            </w:tcBorders>
            <w:noWrap w:val="0"/>
            <w:vAlign w:val="center"/>
          </w:tcPr>
          <w:p w14:paraId="02F42A0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柜式七氟丙烷灭火装置</w:t>
            </w:r>
          </w:p>
        </w:tc>
        <w:tc>
          <w:tcPr>
            <w:tcW w:w="2103" w:type="dxa"/>
            <w:tcBorders>
              <w:top w:val="single" w:color="000000" w:sz="4" w:space="0"/>
              <w:left w:val="single" w:color="000000" w:sz="4" w:space="0"/>
              <w:bottom w:val="single" w:color="000000" w:sz="4" w:space="0"/>
              <w:right w:val="single" w:color="000000" w:sz="4" w:space="0"/>
            </w:tcBorders>
            <w:noWrap w:val="0"/>
            <w:vAlign w:val="center"/>
          </w:tcPr>
          <w:p w14:paraId="1436282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GQQ120/2.5</w:t>
            </w:r>
          </w:p>
        </w:tc>
        <w:tc>
          <w:tcPr>
            <w:tcW w:w="776" w:type="dxa"/>
            <w:tcBorders>
              <w:top w:val="single" w:color="000000" w:sz="4" w:space="0"/>
              <w:left w:val="single" w:color="000000" w:sz="4" w:space="0"/>
              <w:bottom w:val="single" w:color="000000" w:sz="4" w:space="0"/>
              <w:right w:val="single" w:color="000000" w:sz="4" w:space="0"/>
            </w:tcBorders>
            <w:noWrap w:val="0"/>
            <w:vAlign w:val="center"/>
          </w:tcPr>
          <w:p w14:paraId="385372B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76" w:type="dxa"/>
            <w:tcBorders>
              <w:top w:val="single" w:color="000000" w:sz="4" w:space="0"/>
              <w:left w:val="single" w:color="000000" w:sz="4" w:space="0"/>
              <w:bottom w:val="single" w:color="000000" w:sz="4" w:space="0"/>
              <w:right w:val="single" w:color="000000" w:sz="4" w:space="0"/>
            </w:tcBorders>
            <w:noWrap w:val="0"/>
            <w:vAlign w:val="center"/>
          </w:tcPr>
          <w:p w14:paraId="480D1DA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669" w:type="dxa"/>
            <w:tcBorders>
              <w:top w:val="single" w:color="000000" w:sz="4" w:space="0"/>
              <w:left w:val="single" w:color="000000" w:sz="4" w:space="0"/>
              <w:bottom w:val="single" w:color="000000" w:sz="4" w:space="0"/>
              <w:right w:val="single" w:color="000000" w:sz="8" w:space="0"/>
            </w:tcBorders>
            <w:noWrap w:val="0"/>
            <w:vAlign w:val="center"/>
          </w:tcPr>
          <w:p w14:paraId="52420ED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每台充装116公斤灭火剂</w:t>
            </w:r>
          </w:p>
        </w:tc>
      </w:tr>
      <w:tr w14:paraId="4AFBF7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44" w:type="dxa"/>
            <w:vMerge w:val="continue"/>
            <w:tcBorders>
              <w:top w:val="single" w:color="000000" w:sz="4" w:space="0"/>
              <w:left w:val="single" w:color="000000" w:sz="8" w:space="0"/>
              <w:bottom w:val="single" w:color="000000" w:sz="4" w:space="0"/>
              <w:right w:val="single" w:color="000000" w:sz="4" w:space="0"/>
            </w:tcBorders>
            <w:noWrap w:val="0"/>
            <w:vAlign w:val="center"/>
          </w:tcPr>
          <w:p w14:paraId="5E9E833C">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nil"/>
              <w:bottom w:val="single" w:color="000000" w:sz="4" w:space="0"/>
              <w:right w:val="nil"/>
            </w:tcBorders>
            <w:noWrap w:val="0"/>
            <w:vAlign w:val="center"/>
          </w:tcPr>
          <w:p w14:paraId="23C74ECC">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287" w:type="dxa"/>
            <w:tcBorders>
              <w:top w:val="single" w:color="000000" w:sz="4" w:space="0"/>
              <w:left w:val="single" w:color="000000" w:sz="4" w:space="0"/>
              <w:bottom w:val="single" w:color="000000" w:sz="4" w:space="0"/>
              <w:right w:val="single" w:color="000000" w:sz="4" w:space="0"/>
            </w:tcBorders>
            <w:noWrap w:val="0"/>
            <w:vAlign w:val="center"/>
          </w:tcPr>
          <w:p w14:paraId="50DF115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七氟丙烷</w:t>
            </w:r>
          </w:p>
        </w:tc>
        <w:tc>
          <w:tcPr>
            <w:tcW w:w="2103" w:type="dxa"/>
            <w:tcBorders>
              <w:top w:val="single" w:color="000000" w:sz="4" w:space="0"/>
              <w:left w:val="single" w:color="000000" w:sz="4" w:space="0"/>
              <w:bottom w:val="single" w:color="000000" w:sz="4" w:space="0"/>
              <w:right w:val="single" w:color="000000" w:sz="4" w:space="0"/>
            </w:tcBorders>
            <w:noWrap w:val="0"/>
            <w:vAlign w:val="center"/>
          </w:tcPr>
          <w:p w14:paraId="18CE461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HFC-227ea</w:t>
            </w:r>
          </w:p>
        </w:tc>
        <w:tc>
          <w:tcPr>
            <w:tcW w:w="776" w:type="dxa"/>
            <w:tcBorders>
              <w:top w:val="single" w:color="000000" w:sz="4" w:space="0"/>
              <w:left w:val="single" w:color="000000" w:sz="4" w:space="0"/>
              <w:bottom w:val="single" w:color="000000" w:sz="4" w:space="0"/>
              <w:right w:val="single" w:color="000000" w:sz="4" w:space="0"/>
            </w:tcBorders>
            <w:noWrap w:val="0"/>
            <w:vAlign w:val="center"/>
          </w:tcPr>
          <w:p w14:paraId="37E454A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Kg</w:t>
            </w:r>
          </w:p>
        </w:tc>
        <w:tc>
          <w:tcPr>
            <w:tcW w:w="776" w:type="dxa"/>
            <w:tcBorders>
              <w:top w:val="single" w:color="000000" w:sz="4" w:space="0"/>
              <w:left w:val="single" w:color="000000" w:sz="4" w:space="0"/>
              <w:bottom w:val="single" w:color="000000" w:sz="4" w:space="0"/>
              <w:right w:val="single" w:color="000000" w:sz="4" w:space="0"/>
            </w:tcBorders>
            <w:noWrap w:val="0"/>
            <w:vAlign w:val="center"/>
          </w:tcPr>
          <w:p w14:paraId="3074F4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580</w:t>
            </w:r>
          </w:p>
        </w:tc>
        <w:tc>
          <w:tcPr>
            <w:tcW w:w="1669" w:type="dxa"/>
            <w:tcBorders>
              <w:top w:val="single" w:color="000000" w:sz="4" w:space="0"/>
              <w:left w:val="single" w:color="000000" w:sz="4" w:space="0"/>
              <w:bottom w:val="single" w:color="000000" w:sz="4" w:space="0"/>
              <w:right w:val="single" w:color="000000" w:sz="8" w:space="0"/>
            </w:tcBorders>
            <w:noWrap w:val="0"/>
            <w:vAlign w:val="center"/>
          </w:tcPr>
          <w:p w14:paraId="4C7FB1B0">
            <w:pPr>
              <w:snapToGrid w:val="0"/>
              <w:ind w:left="0" w:leftChars="0" w:right="0" w:rightChars="0" w:firstLine="0" w:firstLineChars="0"/>
              <w:jc w:val="center"/>
              <w:rPr>
                <w:rFonts w:hint="eastAsia" w:ascii="宋体" w:hAnsi="宋体" w:eastAsia="宋体" w:cs="宋体"/>
                <w:i w:val="0"/>
                <w:iCs w:val="0"/>
                <w:color w:val="000000"/>
                <w:sz w:val="21"/>
                <w:szCs w:val="24"/>
                <w:u w:val="none"/>
              </w:rPr>
            </w:pPr>
          </w:p>
        </w:tc>
      </w:tr>
      <w:tr w14:paraId="74573D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44" w:type="dxa"/>
            <w:vMerge w:val="continue"/>
            <w:tcBorders>
              <w:top w:val="single" w:color="000000" w:sz="4" w:space="0"/>
              <w:left w:val="single" w:color="000000" w:sz="8" w:space="0"/>
              <w:bottom w:val="single" w:color="000000" w:sz="4" w:space="0"/>
              <w:right w:val="single" w:color="000000" w:sz="4" w:space="0"/>
            </w:tcBorders>
            <w:noWrap w:val="0"/>
            <w:vAlign w:val="center"/>
          </w:tcPr>
          <w:p w14:paraId="480E2872">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nil"/>
              <w:bottom w:val="single" w:color="000000" w:sz="4" w:space="0"/>
              <w:right w:val="nil"/>
            </w:tcBorders>
            <w:noWrap w:val="0"/>
            <w:vAlign w:val="center"/>
          </w:tcPr>
          <w:p w14:paraId="7A6BC0DD">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287" w:type="dxa"/>
            <w:tcBorders>
              <w:top w:val="single" w:color="000000" w:sz="4" w:space="0"/>
              <w:left w:val="single" w:color="000000" w:sz="4" w:space="0"/>
              <w:bottom w:val="single" w:color="000000" w:sz="4" w:space="0"/>
              <w:right w:val="single" w:color="000000" w:sz="4" w:space="0"/>
            </w:tcBorders>
            <w:noWrap w:val="0"/>
            <w:vAlign w:val="center"/>
          </w:tcPr>
          <w:p w14:paraId="0F04BC8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泄压口</w:t>
            </w:r>
          </w:p>
        </w:tc>
        <w:tc>
          <w:tcPr>
            <w:tcW w:w="2103" w:type="dxa"/>
            <w:tcBorders>
              <w:top w:val="single" w:color="000000" w:sz="4" w:space="0"/>
              <w:left w:val="single" w:color="000000" w:sz="4" w:space="0"/>
              <w:bottom w:val="single" w:color="000000" w:sz="4" w:space="0"/>
              <w:right w:val="single" w:color="000000" w:sz="4" w:space="0"/>
            </w:tcBorders>
            <w:noWrap w:val="0"/>
            <w:vAlign w:val="center"/>
          </w:tcPr>
          <w:p w14:paraId="78E2F49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0.25-J</w:t>
            </w:r>
          </w:p>
        </w:tc>
        <w:tc>
          <w:tcPr>
            <w:tcW w:w="776" w:type="dxa"/>
            <w:tcBorders>
              <w:top w:val="single" w:color="000000" w:sz="4" w:space="0"/>
              <w:left w:val="single" w:color="000000" w:sz="4" w:space="0"/>
              <w:bottom w:val="single" w:color="000000" w:sz="4" w:space="0"/>
              <w:right w:val="single" w:color="000000" w:sz="4" w:space="0"/>
            </w:tcBorders>
            <w:noWrap w:val="0"/>
            <w:vAlign w:val="center"/>
          </w:tcPr>
          <w:p w14:paraId="5220296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76" w:type="dxa"/>
            <w:tcBorders>
              <w:top w:val="single" w:color="000000" w:sz="4" w:space="0"/>
              <w:left w:val="single" w:color="000000" w:sz="4" w:space="0"/>
              <w:bottom w:val="single" w:color="000000" w:sz="4" w:space="0"/>
              <w:right w:val="single" w:color="000000" w:sz="4" w:space="0"/>
            </w:tcBorders>
            <w:noWrap w:val="0"/>
            <w:vAlign w:val="center"/>
          </w:tcPr>
          <w:p w14:paraId="112D03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669" w:type="dxa"/>
            <w:tcBorders>
              <w:top w:val="single" w:color="000000" w:sz="4" w:space="0"/>
              <w:left w:val="single" w:color="000000" w:sz="4" w:space="0"/>
              <w:bottom w:val="single" w:color="000000" w:sz="4" w:space="0"/>
              <w:right w:val="single" w:color="000000" w:sz="8" w:space="0"/>
            </w:tcBorders>
            <w:noWrap w:val="0"/>
            <w:vAlign w:val="center"/>
          </w:tcPr>
          <w:p w14:paraId="79071D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含百叶和阀体,开孔尺寸800*400</w:t>
            </w:r>
          </w:p>
        </w:tc>
      </w:tr>
      <w:tr w14:paraId="31EEAC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44" w:type="dxa"/>
            <w:vMerge w:val="restart"/>
            <w:tcBorders>
              <w:top w:val="single" w:color="000000" w:sz="4" w:space="0"/>
              <w:left w:val="single" w:color="000000" w:sz="8" w:space="0"/>
              <w:bottom w:val="single" w:color="000000" w:sz="4" w:space="0"/>
              <w:right w:val="single" w:color="000000" w:sz="4" w:space="0"/>
            </w:tcBorders>
            <w:noWrap w:val="0"/>
            <w:vAlign w:val="center"/>
          </w:tcPr>
          <w:p w14:paraId="539822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0" w:type="auto"/>
            <w:vMerge w:val="restart"/>
            <w:tcBorders>
              <w:top w:val="single" w:color="000000" w:sz="4" w:space="0"/>
              <w:left w:val="nil"/>
              <w:bottom w:val="single" w:color="000000" w:sz="4" w:space="0"/>
              <w:right w:val="nil"/>
            </w:tcBorders>
            <w:noWrap w:val="0"/>
            <w:vAlign w:val="center"/>
          </w:tcPr>
          <w:p w14:paraId="788AAE9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配电房（03#厂房一层）</w:t>
            </w:r>
          </w:p>
        </w:tc>
        <w:tc>
          <w:tcPr>
            <w:tcW w:w="1287" w:type="dxa"/>
            <w:tcBorders>
              <w:top w:val="single" w:color="000000" w:sz="4" w:space="0"/>
              <w:left w:val="single" w:color="000000" w:sz="4" w:space="0"/>
              <w:bottom w:val="single" w:color="000000" w:sz="4" w:space="0"/>
              <w:right w:val="single" w:color="000000" w:sz="4" w:space="0"/>
            </w:tcBorders>
            <w:noWrap w:val="0"/>
            <w:vAlign w:val="center"/>
          </w:tcPr>
          <w:p w14:paraId="70DF104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柜式七氟丙烷灭火装置</w:t>
            </w:r>
          </w:p>
        </w:tc>
        <w:tc>
          <w:tcPr>
            <w:tcW w:w="2103" w:type="dxa"/>
            <w:tcBorders>
              <w:top w:val="single" w:color="000000" w:sz="4" w:space="0"/>
              <w:left w:val="single" w:color="000000" w:sz="4" w:space="0"/>
              <w:bottom w:val="single" w:color="000000" w:sz="4" w:space="0"/>
              <w:right w:val="single" w:color="000000" w:sz="4" w:space="0"/>
            </w:tcBorders>
            <w:noWrap w:val="0"/>
            <w:vAlign w:val="center"/>
          </w:tcPr>
          <w:p w14:paraId="37275B6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GQQ120/2.5</w:t>
            </w:r>
          </w:p>
        </w:tc>
        <w:tc>
          <w:tcPr>
            <w:tcW w:w="776" w:type="dxa"/>
            <w:tcBorders>
              <w:top w:val="single" w:color="000000" w:sz="4" w:space="0"/>
              <w:left w:val="single" w:color="000000" w:sz="4" w:space="0"/>
              <w:bottom w:val="single" w:color="000000" w:sz="4" w:space="0"/>
              <w:right w:val="single" w:color="000000" w:sz="4" w:space="0"/>
            </w:tcBorders>
            <w:noWrap w:val="0"/>
            <w:vAlign w:val="center"/>
          </w:tcPr>
          <w:p w14:paraId="50CB948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76" w:type="dxa"/>
            <w:tcBorders>
              <w:top w:val="single" w:color="000000" w:sz="4" w:space="0"/>
              <w:left w:val="single" w:color="000000" w:sz="4" w:space="0"/>
              <w:bottom w:val="single" w:color="000000" w:sz="4" w:space="0"/>
              <w:right w:val="single" w:color="000000" w:sz="4" w:space="0"/>
            </w:tcBorders>
            <w:noWrap w:val="0"/>
            <w:vAlign w:val="center"/>
          </w:tcPr>
          <w:p w14:paraId="452DE55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669" w:type="dxa"/>
            <w:tcBorders>
              <w:top w:val="single" w:color="000000" w:sz="4" w:space="0"/>
              <w:left w:val="single" w:color="000000" w:sz="4" w:space="0"/>
              <w:bottom w:val="single" w:color="000000" w:sz="4" w:space="0"/>
              <w:right w:val="single" w:color="000000" w:sz="8" w:space="0"/>
            </w:tcBorders>
            <w:noWrap w:val="0"/>
            <w:vAlign w:val="center"/>
          </w:tcPr>
          <w:p w14:paraId="20D0E3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每台充装127公斤灭火剂</w:t>
            </w:r>
          </w:p>
        </w:tc>
      </w:tr>
      <w:tr w14:paraId="3D8D23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44" w:type="dxa"/>
            <w:vMerge w:val="continue"/>
            <w:tcBorders>
              <w:top w:val="single" w:color="000000" w:sz="4" w:space="0"/>
              <w:left w:val="single" w:color="000000" w:sz="8" w:space="0"/>
              <w:bottom w:val="single" w:color="000000" w:sz="4" w:space="0"/>
              <w:right w:val="single" w:color="000000" w:sz="4" w:space="0"/>
            </w:tcBorders>
            <w:noWrap w:val="0"/>
            <w:vAlign w:val="center"/>
          </w:tcPr>
          <w:p w14:paraId="01F30887">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nil"/>
              <w:bottom w:val="single" w:color="000000" w:sz="4" w:space="0"/>
              <w:right w:val="nil"/>
            </w:tcBorders>
            <w:noWrap w:val="0"/>
            <w:vAlign w:val="center"/>
          </w:tcPr>
          <w:p w14:paraId="03779ACF">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287" w:type="dxa"/>
            <w:tcBorders>
              <w:top w:val="single" w:color="000000" w:sz="4" w:space="0"/>
              <w:left w:val="single" w:color="000000" w:sz="4" w:space="0"/>
              <w:bottom w:val="single" w:color="000000" w:sz="4" w:space="0"/>
              <w:right w:val="single" w:color="000000" w:sz="4" w:space="0"/>
            </w:tcBorders>
            <w:noWrap w:val="0"/>
            <w:vAlign w:val="center"/>
          </w:tcPr>
          <w:p w14:paraId="339D0A2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七氟丙烷</w:t>
            </w:r>
          </w:p>
        </w:tc>
        <w:tc>
          <w:tcPr>
            <w:tcW w:w="2103" w:type="dxa"/>
            <w:tcBorders>
              <w:top w:val="single" w:color="000000" w:sz="4" w:space="0"/>
              <w:left w:val="single" w:color="000000" w:sz="4" w:space="0"/>
              <w:bottom w:val="single" w:color="000000" w:sz="4" w:space="0"/>
              <w:right w:val="single" w:color="000000" w:sz="4" w:space="0"/>
            </w:tcBorders>
            <w:noWrap w:val="0"/>
            <w:vAlign w:val="center"/>
          </w:tcPr>
          <w:p w14:paraId="7C84F9C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HFC-227ea</w:t>
            </w:r>
          </w:p>
        </w:tc>
        <w:tc>
          <w:tcPr>
            <w:tcW w:w="776" w:type="dxa"/>
            <w:tcBorders>
              <w:top w:val="single" w:color="000000" w:sz="4" w:space="0"/>
              <w:left w:val="single" w:color="000000" w:sz="4" w:space="0"/>
              <w:bottom w:val="single" w:color="000000" w:sz="4" w:space="0"/>
              <w:right w:val="single" w:color="000000" w:sz="4" w:space="0"/>
            </w:tcBorders>
            <w:noWrap w:val="0"/>
            <w:vAlign w:val="center"/>
          </w:tcPr>
          <w:p w14:paraId="33704E3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Kg</w:t>
            </w:r>
          </w:p>
        </w:tc>
        <w:tc>
          <w:tcPr>
            <w:tcW w:w="776" w:type="dxa"/>
            <w:tcBorders>
              <w:top w:val="single" w:color="000000" w:sz="4" w:space="0"/>
              <w:left w:val="single" w:color="000000" w:sz="4" w:space="0"/>
              <w:bottom w:val="single" w:color="000000" w:sz="4" w:space="0"/>
              <w:right w:val="single" w:color="000000" w:sz="4" w:space="0"/>
            </w:tcBorders>
            <w:noWrap w:val="0"/>
            <w:vAlign w:val="center"/>
          </w:tcPr>
          <w:p w14:paraId="06C908A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635</w:t>
            </w:r>
          </w:p>
        </w:tc>
        <w:tc>
          <w:tcPr>
            <w:tcW w:w="1669" w:type="dxa"/>
            <w:tcBorders>
              <w:top w:val="single" w:color="000000" w:sz="4" w:space="0"/>
              <w:left w:val="single" w:color="000000" w:sz="4" w:space="0"/>
              <w:bottom w:val="single" w:color="000000" w:sz="4" w:space="0"/>
              <w:right w:val="single" w:color="000000" w:sz="8" w:space="0"/>
            </w:tcBorders>
            <w:noWrap w:val="0"/>
            <w:vAlign w:val="center"/>
          </w:tcPr>
          <w:p w14:paraId="18493739">
            <w:pPr>
              <w:snapToGrid w:val="0"/>
              <w:ind w:left="0" w:leftChars="0" w:right="0" w:rightChars="0" w:firstLine="0" w:firstLineChars="0"/>
              <w:jc w:val="center"/>
              <w:rPr>
                <w:rFonts w:hint="eastAsia" w:ascii="宋体" w:hAnsi="宋体" w:eastAsia="宋体" w:cs="宋体"/>
                <w:i w:val="0"/>
                <w:iCs w:val="0"/>
                <w:color w:val="000000"/>
                <w:sz w:val="21"/>
                <w:szCs w:val="24"/>
                <w:u w:val="none"/>
              </w:rPr>
            </w:pPr>
          </w:p>
        </w:tc>
      </w:tr>
      <w:tr w14:paraId="2CA394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44" w:type="dxa"/>
            <w:vMerge w:val="continue"/>
            <w:tcBorders>
              <w:top w:val="single" w:color="000000" w:sz="4" w:space="0"/>
              <w:left w:val="single" w:color="000000" w:sz="8" w:space="0"/>
              <w:bottom w:val="single" w:color="000000" w:sz="4" w:space="0"/>
              <w:right w:val="single" w:color="000000" w:sz="4" w:space="0"/>
            </w:tcBorders>
            <w:noWrap w:val="0"/>
            <w:vAlign w:val="center"/>
          </w:tcPr>
          <w:p w14:paraId="65B095AF">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nil"/>
              <w:bottom w:val="single" w:color="000000" w:sz="4" w:space="0"/>
              <w:right w:val="nil"/>
            </w:tcBorders>
            <w:noWrap w:val="0"/>
            <w:vAlign w:val="center"/>
          </w:tcPr>
          <w:p w14:paraId="59EFED6A">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287" w:type="dxa"/>
            <w:tcBorders>
              <w:top w:val="single" w:color="000000" w:sz="4" w:space="0"/>
              <w:left w:val="single" w:color="000000" w:sz="4" w:space="0"/>
              <w:bottom w:val="single" w:color="000000" w:sz="4" w:space="0"/>
              <w:right w:val="single" w:color="000000" w:sz="4" w:space="0"/>
            </w:tcBorders>
            <w:noWrap w:val="0"/>
            <w:vAlign w:val="center"/>
          </w:tcPr>
          <w:p w14:paraId="22D4251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泄压口</w:t>
            </w:r>
          </w:p>
        </w:tc>
        <w:tc>
          <w:tcPr>
            <w:tcW w:w="2103" w:type="dxa"/>
            <w:tcBorders>
              <w:top w:val="single" w:color="000000" w:sz="4" w:space="0"/>
              <w:left w:val="single" w:color="000000" w:sz="4" w:space="0"/>
              <w:bottom w:val="single" w:color="000000" w:sz="4" w:space="0"/>
              <w:right w:val="single" w:color="000000" w:sz="4" w:space="0"/>
            </w:tcBorders>
            <w:noWrap w:val="0"/>
            <w:vAlign w:val="center"/>
          </w:tcPr>
          <w:p w14:paraId="29EEA19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0.36-J</w:t>
            </w:r>
          </w:p>
        </w:tc>
        <w:tc>
          <w:tcPr>
            <w:tcW w:w="776" w:type="dxa"/>
            <w:tcBorders>
              <w:top w:val="single" w:color="000000" w:sz="4" w:space="0"/>
              <w:left w:val="single" w:color="000000" w:sz="4" w:space="0"/>
              <w:bottom w:val="single" w:color="000000" w:sz="4" w:space="0"/>
              <w:right w:val="single" w:color="000000" w:sz="4" w:space="0"/>
            </w:tcBorders>
            <w:noWrap w:val="0"/>
            <w:vAlign w:val="center"/>
          </w:tcPr>
          <w:p w14:paraId="7204F1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76" w:type="dxa"/>
            <w:tcBorders>
              <w:top w:val="single" w:color="000000" w:sz="4" w:space="0"/>
              <w:left w:val="single" w:color="000000" w:sz="4" w:space="0"/>
              <w:bottom w:val="single" w:color="000000" w:sz="4" w:space="0"/>
              <w:right w:val="single" w:color="000000" w:sz="4" w:space="0"/>
            </w:tcBorders>
            <w:noWrap w:val="0"/>
            <w:vAlign w:val="center"/>
          </w:tcPr>
          <w:p w14:paraId="234731E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669" w:type="dxa"/>
            <w:tcBorders>
              <w:top w:val="single" w:color="000000" w:sz="4" w:space="0"/>
              <w:left w:val="single" w:color="000000" w:sz="4" w:space="0"/>
              <w:bottom w:val="single" w:color="000000" w:sz="4" w:space="0"/>
              <w:right w:val="single" w:color="000000" w:sz="8" w:space="0"/>
            </w:tcBorders>
            <w:noWrap w:val="0"/>
            <w:vAlign w:val="center"/>
          </w:tcPr>
          <w:p w14:paraId="6F1361A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含百叶和阀体,开孔尺寸850*500</w:t>
            </w:r>
          </w:p>
        </w:tc>
      </w:tr>
      <w:tr w14:paraId="200390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44" w:type="dxa"/>
            <w:vMerge w:val="restart"/>
            <w:tcBorders>
              <w:top w:val="single" w:color="000000" w:sz="4" w:space="0"/>
              <w:left w:val="single" w:color="000000" w:sz="8" w:space="0"/>
              <w:bottom w:val="single" w:color="000000" w:sz="4" w:space="0"/>
              <w:right w:val="single" w:color="000000" w:sz="4" w:space="0"/>
            </w:tcBorders>
            <w:noWrap w:val="0"/>
            <w:vAlign w:val="center"/>
          </w:tcPr>
          <w:p w14:paraId="1EC507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vMerge w:val="restart"/>
            <w:tcBorders>
              <w:top w:val="single" w:color="000000" w:sz="4" w:space="0"/>
              <w:left w:val="nil"/>
              <w:bottom w:val="single" w:color="000000" w:sz="4" w:space="0"/>
              <w:right w:val="nil"/>
            </w:tcBorders>
            <w:noWrap w:val="0"/>
            <w:vAlign w:val="center"/>
          </w:tcPr>
          <w:p w14:paraId="07392DA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配电房（02#厂房一层）</w:t>
            </w:r>
          </w:p>
        </w:tc>
        <w:tc>
          <w:tcPr>
            <w:tcW w:w="1287" w:type="dxa"/>
            <w:tcBorders>
              <w:top w:val="single" w:color="000000" w:sz="4" w:space="0"/>
              <w:left w:val="single" w:color="000000" w:sz="4" w:space="0"/>
              <w:bottom w:val="single" w:color="000000" w:sz="4" w:space="0"/>
              <w:right w:val="single" w:color="000000" w:sz="4" w:space="0"/>
            </w:tcBorders>
            <w:noWrap w:val="0"/>
            <w:vAlign w:val="center"/>
          </w:tcPr>
          <w:p w14:paraId="1D5FD3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柜式七氟丙烷灭火装置</w:t>
            </w:r>
          </w:p>
        </w:tc>
        <w:tc>
          <w:tcPr>
            <w:tcW w:w="2103" w:type="dxa"/>
            <w:tcBorders>
              <w:top w:val="single" w:color="000000" w:sz="4" w:space="0"/>
              <w:left w:val="single" w:color="000000" w:sz="4" w:space="0"/>
              <w:bottom w:val="single" w:color="000000" w:sz="4" w:space="0"/>
              <w:right w:val="single" w:color="000000" w:sz="4" w:space="0"/>
            </w:tcBorders>
            <w:noWrap w:val="0"/>
            <w:vAlign w:val="center"/>
          </w:tcPr>
          <w:p w14:paraId="725A5EC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GQQ120/2.5</w:t>
            </w:r>
          </w:p>
        </w:tc>
        <w:tc>
          <w:tcPr>
            <w:tcW w:w="776" w:type="dxa"/>
            <w:tcBorders>
              <w:top w:val="single" w:color="000000" w:sz="4" w:space="0"/>
              <w:left w:val="single" w:color="000000" w:sz="4" w:space="0"/>
              <w:bottom w:val="single" w:color="000000" w:sz="4" w:space="0"/>
              <w:right w:val="single" w:color="000000" w:sz="4" w:space="0"/>
            </w:tcBorders>
            <w:noWrap w:val="0"/>
            <w:vAlign w:val="center"/>
          </w:tcPr>
          <w:p w14:paraId="407041E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76" w:type="dxa"/>
            <w:tcBorders>
              <w:top w:val="single" w:color="000000" w:sz="4" w:space="0"/>
              <w:left w:val="single" w:color="000000" w:sz="4" w:space="0"/>
              <w:bottom w:val="single" w:color="000000" w:sz="4" w:space="0"/>
              <w:right w:val="single" w:color="000000" w:sz="4" w:space="0"/>
            </w:tcBorders>
            <w:noWrap w:val="0"/>
            <w:vAlign w:val="center"/>
          </w:tcPr>
          <w:p w14:paraId="2648F84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669" w:type="dxa"/>
            <w:tcBorders>
              <w:top w:val="single" w:color="000000" w:sz="4" w:space="0"/>
              <w:left w:val="single" w:color="000000" w:sz="4" w:space="0"/>
              <w:bottom w:val="single" w:color="000000" w:sz="4" w:space="0"/>
              <w:right w:val="single" w:color="000000" w:sz="8" w:space="0"/>
            </w:tcBorders>
            <w:noWrap w:val="0"/>
            <w:vAlign w:val="center"/>
          </w:tcPr>
          <w:p w14:paraId="1326AF4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每台充装122公斤灭火剂</w:t>
            </w:r>
          </w:p>
        </w:tc>
      </w:tr>
      <w:tr w14:paraId="192F9D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44" w:type="dxa"/>
            <w:vMerge w:val="continue"/>
            <w:tcBorders>
              <w:top w:val="single" w:color="000000" w:sz="4" w:space="0"/>
              <w:left w:val="single" w:color="000000" w:sz="8" w:space="0"/>
              <w:bottom w:val="single" w:color="000000" w:sz="4" w:space="0"/>
              <w:right w:val="single" w:color="000000" w:sz="4" w:space="0"/>
            </w:tcBorders>
            <w:noWrap w:val="0"/>
            <w:vAlign w:val="center"/>
          </w:tcPr>
          <w:p w14:paraId="582595CD">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nil"/>
              <w:bottom w:val="single" w:color="000000" w:sz="4" w:space="0"/>
              <w:right w:val="nil"/>
            </w:tcBorders>
            <w:noWrap w:val="0"/>
            <w:vAlign w:val="center"/>
          </w:tcPr>
          <w:p w14:paraId="4AAA106E">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287" w:type="dxa"/>
            <w:tcBorders>
              <w:top w:val="single" w:color="000000" w:sz="4" w:space="0"/>
              <w:left w:val="single" w:color="000000" w:sz="4" w:space="0"/>
              <w:bottom w:val="single" w:color="000000" w:sz="4" w:space="0"/>
              <w:right w:val="single" w:color="000000" w:sz="4" w:space="0"/>
            </w:tcBorders>
            <w:noWrap w:val="0"/>
            <w:vAlign w:val="center"/>
          </w:tcPr>
          <w:p w14:paraId="0201A7C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七氟丙烷</w:t>
            </w:r>
          </w:p>
        </w:tc>
        <w:tc>
          <w:tcPr>
            <w:tcW w:w="2103" w:type="dxa"/>
            <w:tcBorders>
              <w:top w:val="single" w:color="000000" w:sz="4" w:space="0"/>
              <w:left w:val="single" w:color="000000" w:sz="4" w:space="0"/>
              <w:bottom w:val="single" w:color="000000" w:sz="4" w:space="0"/>
              <w:right w:val="single" w:color="000000" w:sz="4" w:space="0"/>
            </w:tcBorders>
            <w:noWrap w:val="0"/>
            <w:vAlign w:val="center"/>
          </w:tcPr>
          <w:p w14:paraId="5247A2D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HFC-227ea</w:t>
            </w:r>
          </w:p>
        </w:tc>
        <w:tc>
          <w:tcPr>
            <w:tcW w:w="776" w:type="dxa"/>
            <w:tcBorders>
              <w:top w:val="single" w:color="000000" w:sz="4" w:space="0"/>
              <w:left w:val="single" w:color="000000" w:sz="4" w:space="0"/>
              <w:bottom w:val="single" w:color="000000" w:sz="4" w:space="0"/>
              <w:right w:val="single" w:color="000000" w:sz="4" w:space="0"/>
            </w:tcBorders>
            <w:noWrap w:val="0"/>
            <w:vAlign w:val="center"/>
          </w:tcPr>
          <w:p w14:paraId="17783D2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Kg</w:t>
            </w:r>
          </w:p>
        </w:tc>
        <w:tc>
          <w:tcPr>
            <w:tcW w:w="776" w:type="dxa"/>
            <w:tcBorders>
              <w:top w:val="single" w:color="000000" w:sz="4" w:space="0"/>
              <w:left w:val="single" w:color="000000" w:sz="4" w:space="0"/>
              <w:bottom w:val="single" w:color="000000" w:sz="4" w:space="0"/>
              <w:right w:val="single" w:color="000000" w:sz="4" w:space="0"/>
            </w:tcBorders>
            <w:noWrap w:val="0"/>
            <w:vAlign w:val="center"/>
          </w:tcPr>
          <w:p w14:paraId="2E5EF9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610</w:t>
            </w:r>
          </w:p>
        </w:tc>
        <w:tc>
          <w:tcPr>
            <w:tcW w:w="1669" w:type="dxa"/>
            <w:tcBorders>
              <w:top w:val="single" w:color="000000" w:sz="4" w:space="0"/>
              <w:left w:val="single" w:color="000000" w:sz="4" w:space="0"/>
              <w:bottom w:val="single" w:color="000000" w:sz="4" w:space="0"/>
              <w:right w:val="single" w:color="000000" w:sz="8" w:space="0"/>
            </w:tcBorders>
            <w:noWrap w:val="0"/>
            <w:vAlign w:val="center"/>
          </w:tcPr>
          <w:p w14:paraId="7B6ACA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4"/>
                <w:u w:val="none"/>
              </w:rPr>
            </w:pPr>
          </w:p>
        </w:tc>
      </w:tr>
      <w:tr w14:paraId="275B05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44" w:type="dxa"/>
            <w:vMerge w:val="continue"/>
            <w:tcBorders>
              <w:top w:val="single" w:color="000000" w:sz="4" w:space="0"/>
              <w:left w:val="single" w:color="000000" w:sz="8" w:space="0"/>
              <w:bottom w:val="single" w:color="000000" w:sz="4" w:space="0"/>
              <w:right w:val="single" w:color="000000" w:sz="4" w:space="0"/>
            </w:tcBorders>
            <w:noWrap w:val="0"/>
            <w:vAlign w:val="center"/>
          </w:tcPr>
          <w:p w14:paraId="2BCFD230">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nil"/>
              <w:bottom w:val="single" w:color="000000" w:sz="4" w:space="0"/>
              <w:right w:val="nil"/>
            </w:tcBorders>
            <w:noWrap w:val="0"/>
            <w:vAlign w:val="center"/>
          </w:tcPr>
          <w:p w14:paraId="47C44015">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287" w:type="dxa"/>
            <w:tcBorders>
              <w:top w:val="single" w:color="000000" w:sz="4" w:space="0"/>
              <w:left w:val="single" w:color="000000" w:sz="4" w:space="0"/>
              <w:bottom w:val="single" w:color="000000" w:sz="4" w:space="0"/>
              <w:right w:val="single" w:color="000000" w:sz="4" w:space="0"/>
            </w:tcBorders>
            <w:noWrap w:val="0"/>
            <w:vAlign w:val="center"/>
          </w:tcPr>
          <w:p w14:paraId="271E6BA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泄压口</w:t>
            </w:r>
          </w:p>
        </w:tc>
        <w:tc>
          <w:tcPr>
            <w:tcW w:w="2103" w:type="dxa"/>
            <w:tcBorders>
              <w:top w:val="single" w:color="000000" w:sz="4" w:space="0"/>
              <w:left w:val="single" w:color="000000" w:sz="4" w:space="0"/>
              <w:bottom w:val="single" w:color="000000" w:sz="4" w:space="0"/>
              <w:right w:val="single" w:color="000000" w:sz="4" w:space="0"/>
            </w:tcBorders>
            <w:noWrap w:val="0"/>
            <w:vAlign w:val="center"/>
          </w:tcPr>
          <w:p w14:paraId="439DC33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0.36-J</w:t>
            </w:r>
          </w:p>
        </w:tc>
        <w:tc>
          <w:tcPr>
            <w:tcW w:w="776" w:type="dxa"/>
            <w:tcBorders>
              <w:top w:val="single" w:color="000000" w:sz="4" w:space="0"/>
              <w:left w:val="single" w:color="000000" w:sz="4" w:space="0"/>
              <w:bottom w:val="single" w:color="000000" w:sz="4" w:space="0"/>
              <w:right w:val="single" w:color="000000" w:sz="4" w:space="0"/>
            </w:tcBorders>
            <w:noWrap w:val="0"/>
            <w:vAlign w:val="center"/>
          </w:tcPr>
          <w:p w14:paraId="22631B4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76" w:type="dxa"/>
            <w:tcBorders>
              <w:top w:val="single" w:color="000000" w:sz="4" w:space="0"/>
              <w:left w:val="single" w:color="000000" w:sz="4" w:space="0"/>
              <w:bottom w:val="single" w:color="000000" w:sz="4" w:space="0"/>
              <w:right w:val="single" w:color="000000" w:sz="4" w:space="0"/>
            </w:tcBorders>
            <w:noWrap w:val="0"/>
            <w:vAlign w:val="center"/>
          </w:tcPr>
          <w:p w14:paraId="23BAE35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669" w:type="dxa"/>
            <w:tcBorders>
              <w:top w:val="single" w:color="000000" w:sz="4" w:space="0"/>
              <w:left w:val="single" w:color="000000" w:sz="4" w:space="0"/>
              <w:bottom w:val="single" w:color="000000" w:sz="4" w:space="0"/>
              <w:right w:val="single" w:color="000000" w:sz="8" w:space="0"/>
            </w:tcBorders>
            <w:noWrap w:val="0"/>
            <w:vAlign w:val="center"/>
          </w:tcPr>
          <w:p w14:paraId="16D7B57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含百叶和阀体,开孔尺寸850*500</w:t>
            </w:r>
          </w:p>
        </w:tc>
      </w:tr>
      <w:tr w14:paraId="6595E8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44" w:type="dxa"/>
            <w:vMerge w:val="restart"/>
            <w:tcBorders>
              <w:top w:val="single" w:color="000000" w:sz="4" w:space="0"/>
              <w:left w:val="single" w:color="000000" w:sz="8" w:space="0"/>
              <w:bottom w:val="single" w:color="000000" w:sz="4" w:space="0"/>
              <w:right w:val="single" w:color="000000" w:sz="4" w:space="0"/>
            </w:tcBorders>
            <w:noWrap w:val="0"/>
            <w:vAlign w:val="center"/>
          </w:tcPr>
          <w:p w14:paraId="762666A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0" w:type="auto"/>
            <w:vMerge w:val="restart"/>
            <w:tcBorders>
              <w:top w:val="single" w:color="000000" w:sz="4" w:space="0"/>
              <w:left w:val="nil"/>
              <w:bottom w:val="single" w:color="000000" w:sz="4" w:space="0"/>
              <w:right w:val="nil"/>
            </w:tcBorders>
            <w:noWrap w:val="0"/>
            <w:vAlign w:val="center"/>
          </w:tcPr>
          <w:p w14:paraId="5F8B9AF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配电房（04#厂房一层）</w:t>
            </w:r>
          </w:p>
        </w:tc>
        <w:tc>
          <w:tcPr>
            <w:tcW w:w="1287" w:type="dxa"/>
            <w:tcBorders>
              <w:top w:val="single" w:color="000000" w:sz="4" w:space="0"/>
              <w:left w:val="single" w:color="000000" w:sz="4" w:space="0"/>
              <w:bottom w:val="single" w:color="000000" w:sz="4" w:space="0"/>
              <w:right w:val="single" w:color="000000" w:sz="4" w:space="0"/>
            </w:tcBorders>
            <w:noWrap w:val="0"/>
            <w:vAlign w:val="center"/>
          </w:tcPr>
          <w:p w14:paraId="605DDF9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柜式七氟丙烷灭火装置</w:t>
            </w:r>
          </w:p>
        </w:tc>
        <w:tc>
          <w:tcPr>
            <w:tcW w:w="2103" w:type="dxa"/>
            <w:tcBorders>
              <w:top w:val="single" w:color="000000" w:sz="4" w:space="0"/>
              <w:left w:val="single" w:color="000000" w:sz="4" w:space="0"/>
              <w:bottom w:val="single" w:color="000000" w:sz="4" w:space="0"/>
              <w:right w:val="single" w:color="000000" w:sz="4" w:space="0"/>
            </w:tcBorders>
            <w:noWrap w:val="0"/>
            <w:vAlign w:val="center"/>
          </w:tcPr>
          <w:p w14:paraId="54AF237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GQQ120/2.5</w:t>
            </w:r>
          </w:p>
        </w:tc>
        <w:tc>
          <w:tcPr>
            <w:tcW w:w="776" w:type="dxa"/>
            <w:tcBorders>
              <w:top w:val="single" w:color="000000" w:sz="4" w:space="0"/>
              <w:left w:val="single" w:color="000000" w:sz="4" w:space="0"/>
              <w:bottom w:val="single" w:color="000000" w:sz="4" w:space="0"/>
              <w:right w:val="single" w:color="000000" w:sz="4" w:space="0"/>
            </w:tcBorders>
            <w:noWrap w:val="0"/>
            <w:vAlign w:val="center"/>
          </w:tcPr>
          <w:p w14:paraId="3B3FF2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76" w:type="dxa"/>
            <w:tcBorders>
              <w:top w:val="single" w:color="000000" w:sz="4" w:space="0"/>
              <w:left w:val="single" w:color="000000" w:sz="4" w:space="0"/>
              <w:bottom w:val="single" w:color="000000" w:sz="4" w:space="0"/>
              <w:right w:val="single" w:color="000000" w:sz="4" w:space="0"/>
            </w:tcBorders>
            <w:noWrap w:val="0"/>
            <w:vAlign w:val="center"/>
          </w:tcPr>
          <w:p w14:paraId="6DEE053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669" w:type="dxa"/>
            <w:tcBorders>
              <w:top w:val="single" w:color="000000" w:sz="4" w:space="0"/>
              <w:left w:val="single" w:color="000000" w:sz="4" w:space="0"/>
              <w:bottom w:val="single" w:color="000000" w:sz="4" w:space="0"/>
              <w:right w:val="single" w:color="000000" w:sz="8" w:space="0"/>
            </w:tcBorders>
            <w:noWrap w:val="0"/>
            <w:vAlign w:val="center"/>
          </w:tcPr>
          <w:p w14:paraId="006568B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每台充装127公斤灭火剂</w:t>
            </w:r>
          </w:p>
        </w:tc>
      </w:tr>
      <w:tr w14:paraId="5C8A60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44" w:type="dxa"/>
            <w:vMerge w:val="continue"/>
            <w:tcBorders>
              <w:top w:val="single" w:color="000000" w:sz="4" w:space="0"/>
              <w:left w:val="single" w:color="000000" w:sz="8" w:space="0"/>
              <w:bottom w:val="single" w:color="000000" w:sz="4" w:space="0"/>
              <w:right w:val="single" w:color="000000" w:sz="4" w:space="0"/>
            </w:tcBorders>
            <w:noWrap w:val="0"/>
            <w:vAlign w:val="center"/>
          </w:tcPr>
          <w:p w14:paraId="2C60C8E5">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nil"/>
              <w:bottom w:val="single" w:color="000000" w:sz="4" w:space="0"/>
              <w:right w:val="nil"/>
            </w:tcBorders>
            <w:noWrap w:val="0"/>
            <w:vAlign w:val="center"/>
          </w:tcPr>
          <w:p w14:paraId="222FAD8A">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287" w:type="dxa"/>
            <w:tcBorders>
              <w:top w:val="single" w:color="000000" w:sz="4" w:space="0"/>
              <w:left w:val="single" w:color="000000" w:sz="4" w:space="0"/>
              <w:bottom w:val="single" w:color="000000" w:sz="4" w:space="0"/>
              <w:right w:val="single" w:color="000000" w:sz="4" w:space="0"/>
            </w:tcBorders>
            <w:noWrap w:val="0"/>
            <w:vAlign w:val="center"/>
          </w:tcPr>
          <w:p w14:paraId="761BDE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七氟丙烷</w:t>
            </w:r>
          </w:p>
        </w:tc>
        <w:tc>
          <w:tcPr>
            <w:tcW w:w="2103" w:type="dxa"/>
            <w:tcBorders>
              <w:top w:val="single" w:color="000000" w:sz="4" w:space="0"/>
              <w:left w:val="single" w:color="000000" w:sz="4" w:space="0"/>
              <w:bottom w:val="single" w:color="000000" w:sz="4" w:space="0"/>
              <w:right w:val="single" w:color="000000" w:sz="4" w:space="0"/>
            </w:tcBorders>
            <w:noWrap w:val="0"/>
            <w:vAlign w:val="center"/>
          </w:tcPr>
          <w:p w14:paraId="4B8DA6F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HFC-227ea</w:t>
            </w:r>
          </w:p>
        </w:tc>
        <w:tc>
          <w:tcPr>
            <w:tcW w:w="776" w:type="dxa"/>
            <w:tcBorders>
              <w:top w:val="single" w:color="000000" w:sz="4" w:space="0"/>
              <w:left w:val="single" w:color="000000" w:sz="4" w:space="0"/>
              <w:bottom w:val="single" w:color="000000" w:sz="4" w:space="0"/>
              <w:right w:val="single" w:color="000000" w:sz="4" w:space="0"/>
            </w:tcBorders>
            <w:noWrap w:val="0"/>
            <w:vAlign w:val="center"/>
          </w:tcPr>
          <w:p w14:paraId="18B9339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Kg</w:t>
            </w:r>
          </w:p>
        </w:tc>
        <w:tc>
          <w:tcPr>
            <w:tcW w:w="776" w:type="dxa"/>
            <w:tcBorders>
              <w:top w:val="single" w:color="000000" w:sz="4" w:space="0"/>
              <w:left w:val="single" w:color="000000" w:sz="4" w:space="0"/>
              <w:bottom w:val="single" w:color="000000" w:sz="4" w:space="0"/>
              <w:right w:val="single" w:color="000000" w:sz="4" w:space="0"/>
            </w:tcBorders>
            <w:noWrap w:val="0"/>
            <w:vAlign w:val="center"/>
          </w:tcPr>
          <w:p w14:paraId="52005D9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508</w:t>
            </w:r>
          </w:p>
        </w:tc>
        <w:tc>
          <w:tcPr>
            <w:tcW w:w="1669" w:type="dxa"/>
            <w:tcBorders>
              <w:top w:val="single" w:color="000000" w:sz="4" w:space="0"/>
              <w:left w:val="single" w:color="000000" w:sz="4" w:space="0"/>
              <w:bottom w:val="single" w:color="000000" w:sz="4" w:space="0"/>
              <w:right w:val="single" w:color="000000" w:sz="8" w:space="0"/>
            </w:tcBorders>
            <w:noWrap w:val="0"/>
            <w:vAlign w:val="center"/>
          </w:tcPr>
          <w:p w14:paraId="64533F7E">
            <w:pPr>
              <w:snapToGrid w:val="0"/>
              <w:ind w:left="0" w:leftChars="0" w:right="0" w:rightChars="0" w:firstLine="0" w:firstLineChars="0"/>
              <w:jc w:val="center"/>
              <w:rPr>
                <w:rFonts w:hint="eastAsia" w:ascii="宋体" w:hAnsi="宋体" w:eastAsia="宋体" w:cs="宋体"/>
                <w:i w:val="0"/>
                <w:iCs w:val="0"/>
                <w:color w:val="000000"/>
                <w:sz w:val="21"/>
                <w:szCs w:val="24"/>
                <w:u w:val="none"/>
              </w:rPr>
            </w:pPr>
          </w:p>
        </w:tc>
      </w:tr>
      <w:tr w14:paraId="2C019E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44" w:type="dxa"/>
            <w:vMerge w:val="continue"/>
            <w:tcBorders>
              <w:top w:val="single" w:color="000000" w:sz="4" w:space="0"/>
              <w:left w:val="single" w:color="000000" w:sz="8" w:space="0"/>
              <w:bottom w:val="single" w:color="000000" w:sz="4" w:space="0"/>
              <w:right w:val="single" w:color="000000" w:sz="4" w:space="0"/>
            </w:tcBorders>
            <w:noWrap w:val="0"/>
            <w:vAlign w:val="center"/>
          </w:tcPr>
          <w:p w14:paraId="1F508618">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nil"/>
              <w:bottom w:val="single" w:color="000000" w:sz="4" w:space="0"/>
              <w:right w:val="nil"/>
            </w:tcBorders>
            <w:noWrap w:val="0"/>
            <w:vAlign w:val="center"/>
          </w:tcPr>
          <w:p w14:paraId="5D9D0D7B">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287" w:type="dxa"/>
            <w:tcBorders>
              <w:top w:val="single" w:color="000000" w:sz="4" w:space="0"/>
              <w:left w:val="single" w:color="000000" w:sz="4" w:space="0"/>
              <w:bottom w:val="single" w:color="000000" w:sz="4" w:space="0"/>
              <w:right w:val="single" w:color="000000" w:sz="4" w:space="0"/>
            </w:tcBorders>
            <w:noWrap w:val="0"/>
            <w:vAlign w:val="center"/>
          </w:tcPr>
          <w:p w14:paraId="572AB0F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泄压口</w:t>
            </w:r>
          </w:p>
        </w:tc>
        <w:tc>
          <w:tcPr>
            <w:tcW w:w="2103" w:type="dxa"/>
            <w:tcBorders>
              <w:top w:val="single" w:color="000000" w:sz="4" w:space="0"/>
              <w:left w:val="single" w:color="000000" w:sz="4" w:space="0"/>
              <w:bottom w:val="single" w:color="000000" w:sz="4" w:space="0"/>
              <w:right w:val="single" w:color="000000" w:sz="4" w:space="0"/>
            </w:tcBorders>
            <w:noWrap w:val="0"/>
            <w:vAlign w:val="center"/>
          </w:tcPr>
          <w:p w14:paraId="3F464E4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0.25-J</w:t>
            </w:r>
          </w:p>
        </w:tc>
        <w:tc>
          <w:tcPr>
            <w:tcW w:w="776" w:type="dxa"/>
            <w:tcBorders>
              <w:top w:val="single" w:color="000000" w:sz="4" w:space="0"/>
              <w:left w:val="single" w:color="000000" w:sz="4" w:space="0"/>
              <w:bottom w:val="single" w:color="000000" w:sz="4" w:space="0"/>
              <w:right w:val="single" w:color="000000" w:sz="4" w:space="0"/>
            </w:tcBorders>
            <w:noWrap w:val="0"/>
            <w:vAlign w:val="center"/>
          </w:tcPr>
          <w:p w14:paraId="00C3306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76" w:type="dxa"/>
            <w:tcBorders>
              <w:top w:val="single" w:color="000000" w:sz="4" w:space="0"/>
              <w:left w:val="single" w:color="000000" w:sz="4" w:space="0"/>
              <w:bottom w:val="single" w:color="000000" w:sz="4" w:space="0"/>
              <w:right w:val="single" w:color="000000" w:sz="4" w:space="0"/>
            </w:tcBorders>
            <w:noWrap w:val="0"/>
            <w:vAlign w:val="center"/>
          </w:tcPr>
          <w:p w14:paraId="584060C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669" w:type="dxa"/>
            <w:tcBorders>
              <w:top w:val="single" w:color="000000" w:sz="4" w:space="0"/>
              <w:left w:val="single" w:color="000000" w:sz="4" w:space="0"/>
              <w:bottom w:val="single" w:color="000000" w:sz="4" w:space="0"/>
              <w:right w:val="single" w:color="000000" w:sz="8" w:space="0"/>
            </w:tcBorders>
            <w:noWrap w:val="0"/>
            <w:vAlign w:val="center"/>
          </w:tcPr>
          <w:p w14:paraId="3F28481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含百叶和阀体,开孔尺寸800*400</w:t>
            </w:r>
          </w:p>
        </w:tc>
      </w:tr>
      <w:tr w14:paraId="231BAC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44" w:type="dxa"/>
            <w:vMerge w:val="restart"/>
            <w:tcBorders>
              <w:top w:val="single" w:color="000000" w:sz="4" w:space="0"/>
              <w:left w:val="single" w:color="000000" w:sz="8" w:space="0"/>
              <w:bottom w:val="single" w:color="000000" w:sz="4" w:space="0"/>
              <w:right w:val="single" w:color="000000" w:sz="4" w:space="0"/>
            </w:tcBorders>
            <w:noWrap w:val="0"/>
            <w:vAlign w:val="center"/>
          </w:tcPr>
          <w:p w14:paraId="634180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0" w:type="auto"/>
            <w:vMerge w:val="restart"/>
            <w:tcBorders>
              <w:top w:val="single" w:color="000000" w:sz="4" w:space="0"/>
              <w:left w:val="nil"/>
              <w:bottom w:val="single" w:color="000000" w:sz="4" w:space="0"/>
              <w:right w:val="nil"/>
            </w:tcBorders>
            <w:noWrap w:val="0"/>
            <w:vAlign w:val="center"/>
          </w:tcPr>
          <w:p w14:paraId="19B2975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配电房1（宿舍楼及配套用房一层）</w:t>
            </w:r>
          </w:p>
        </w:tc>
        <w:tc>
          <w:tcPr>
            <w:tcW w:w="1287" w:type="dxa"/>
            <w:tcBorders>
              <w:top w:val="single" w:color="000000" w:sz="4" w:space="0"/>
              <w:left w:val="single" w:color="000000" w:sz="4" w:space="0"/>
              <w:bottom w:val="single" w:color="000000" w:sz="4" w:space="0"/>
              <w:right w:val="single" w:color="000000" w:sz="4" w:space="0"/>
            </w:tcBorders>
            <w:noWrap w:val="0"/>
            <w:vAlign w:val="center"/>
          </w:tcPr>
          <w:p w14:paraId="0FC524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柜式七氟丙烷灭火装置</w:t>
            </w:r>
          </w:p>
        </w:tc>
        <w:tc>
          <w:tcPr>
            <w:tcW w:w="2103" w:type="dxa"/>
            <w:tcBorders>
              <w:top w:val="single" w:color="000000" w:sz="4" w:space="0"/>
              <w:left w:val="single" w:color="000000" w:sz="4" w:space="0"/>
              <w:bottom w:val="single" w:color="000000" w:sz="4" w:space="0"/>
              <w:right w:val="single" w:color="000000" w:sz="4" w:space="0"/>
            </w:tcBorders>
            <w:noWrap w:val="0"/>
            <w:vAlign w:val="center"/>
          </w:tcPr>
          <w:p w14:paraId="3EE4C3D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GQQ120/2.5</w:t>
            </w:r>
          </w:p>
        </w:tc>
        <w:tc>
          <w:tcPr>
            <w:tcW w:w="776" w:type="dxa"/>
            <w:tcBorders>
              <w:top w:val="single" w:color="000000" w:sz="4" w:space="0"/>
              <w:left w:val="single" w:color="000000" w:sz="4" w:space="0"/>
              <w:bottom w:val="single" w:color="000000" w:sz="4" w:space="0"/>
              <w:right w:val="single" w:color="000000" w:sz="4" w:space="0"/>
            </w:tcBorders>
            <w:noWrap w:val="0"/>
            <w:vAlign w:val="center"/>
          </w:tcPr>
          <w:p w14:paraId="124D22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76" w:type="dxa"/>
            <w:tcBorders>
              <w:top w:val="single" w:color="000000" w:sz="4" w:space="0"/>
              <w:left w:val="single" w:color="000000" w:sz="4" w:space="0"/>
              <w:bottom w:val="single" w:color="000000" w:sz="4" w:space="0"/>
              <w:right w:val="single" w:color="000000" w:sz="4" w:space="0"/>
            </w:tcBorders>
            <w:noWrap w:val="0"/>
            <w:vAlign w:val="center"/>
          </w:tcPr>
          <w:p w14:paraId="2C14FA3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669" w:type="dxa"/>
            <w:tcBorders>
              <w:top w:val="single" w:color="000000" w:sz="4" w:space="0"/>
              <w:left w:val="single" w:color="000000" w:sz="4" w:space="0"/>
              <w:bottom w:val="single" w:color="000000" w:sz="4" w:space="0"/>
              <w:right w:val="single" w:color="000000" w:sz="8" w:space="0"/>
            </w:tcBorders>
            <w:noWrap w:val="0"/>
            <w:vAlign w:val="center"/>
          </w:tcPr>
          <w:p w14:paraId="26F8D28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每台充装109公斤灭火剂</w:t>
            </w:r>
          </w:p>
        </w:tc>
      </w:tr>
      <w:tr w14:paraId="6BF084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44" w:type="dxa"/>
            <w:vMerge w:val="continue"/>
            <w:tcBorders>
              <w:top w:val="single" w:color="000000" w:sz="4" w:space="0"/>
              <w:left w:val="single" w:color="000000" w:sz="8" w:space="0"/>
              <w:bottom w:val="single" w:color="000000" w:sz="4" w:space="0"/>
              <w:right w:val="single" w:color="000000" w:sz="4" w:space="0"/>
            </w:tcBorders>
            <w:noWrap w:val="0"/>
            <w:vAlign w:val="center"/>
          </w:tcPr>
          <w:p w14:paraId="5C0B6514">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nil"/>
              <w:bottom w:val="single" w:color="000000" w:sz="4" w:space="0"/>
              <w:right w:val="nil"/>
            </w:tcBorders>
            <w:noWrap w:val="0"/>
            <w:vAlign w:val="center"/>
          </w:tcPr>
          <w:p w14:paraId="2DC4BA50">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287" w:type="dxa"/>
            <w:tcBorders>
              <w:top w:val="single" w:color="000000" w:sz="4" w:space="0"/>
              <w:left w:val="single" w:color="000000" w:sz="4" w:space="0"/>
              <w:bottom w:val="single" w:color="000000" w:sz="4" w:space="0"/>
              <w:right w:val="single" w:color="000000" w:sz="4" w:space="0"/>
            </w:tcBorders>
            <w:noWrap w:val="0"/>
            <w:vAlign w:val="center"/>
          </w:tcPr>
          <w:p w14:paraId="2EF292E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七氟丙烷</w:t>
            </w:r>
          </w:p>
        </w:tc>
        <w:tc>
          <w:tcPr>
            <w:tcW w:w="2103" w:type="dxa"/>
            <w:tcBorders>
              <w:top w:val="single" w:color="000000" w:sz="4" w:space="0"/>
              <w:left w:val="single" w:color="000000" w:sz="4" w:space="0"/>
              <w:bottom w:val="single" w:color="000000" w:sz="4" w:space="0"/>
              <w:right w:val="single" w:color="000000" w:sz="4" w:space="0"/>
            </w:tcBorders>
            <w:noWrap w:val="0"/>
            <w:vAlign w:val="center"/>
          </w:tcPr>
          <w:p w14:paraId="43BA4CE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HFC-227ea</w:t>
            </w:r>
          </w:p>
        </w:tc>
        <w:tc>
          <w:tcPr>
            <w:tcW w:w="776" w:type="dxa"/>
            <w:tcBorders>
              <w:top w:val="single" w:color="000000" w:sz="4" w:space="0"/>
              <w:left w:val="single" w:color="000000" w:sz="4" w:space="0"/>
              <w:bottom w:val="single" w:color="000000" w:sz="4" w:space="0"/>
              <w:right w:val="single" w:color="000000" w:sz="4" w:space="0"/>
            </w:tcBorders>
            <w:noWrap w:val="0"/>
            <w:vAlign w:val="center"/>
          </w:tcPr>
          <w:p w14:paraId="3DEF2D8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Kg</w:t>
            </w:r>
          </w:p>
        </w:tc>
        <w:tc>
          <w:tcPr>
            <w:tcW w:w="776" w:type="dxa"/>
            <w:tcBorders>
              <w:top w:val="single" w:color="000000" w:sz="4" w:space="0"/>
              <w:left w:val="single" w:color="000000" w:sz="4" w:space="0"/>
              <w:bottom w:val="single" w:color="000000" w:sz="4" w:space="0"/>
              <w:right w:val="single" w:color="000000" w:sz="4" w:space="0"/>
            </w:tcBorders>
            <w:noWrap w:val="0"/>
            <w:vAlign w:val="center"/>
          </w:tcPr>
          <w:p w14:paraId="23CFCB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327</w:t>
            </w:r>
          </w:p>
        </w:tc>
        <w:tc>
          <w:tcPr>
            <w:tcW w:w="1669" w:type="dxa"/>
            <w:tcBorders>
              <w:top w:val="single" w:color="000000" w:sz="4" w:space="0"/>
              <w:left w:val="single" w:color="000000" w:sz="4" w:space="0"/>
              <w:bottom w:val="single" w:color="000000" w:sz="4" w:space="0"/>
              <w:right w:val="single" w:color="000000" w:sz="8" w:space="0"/>
            </w:tcBorders>
            <w:noWrap w:val="0"/>
            <w:vAlign w:val="center"/>
          </w:tcPr>
          <w:p w14:paraId="1BD1C4D8">
            <w:pPr>
              <w:snapToGrid w:val="0"/>
              <w:ind w:left="0" w:leftChars="0" w:right="0" w:rightChars="0" w:firstLine="0" w:firstLineChars="0"/>
              <w:jc w:val="center"/>
              <w:rPr>
                <w:rFonts w:hint="eastAsia" w:ascii="宋体" w:hAnsi="宋体" w:eastAsia="宋体" w:cs="宋体"/>
                <w:i w:val="0"/>
                <w:iCs w:val="0"/>
                <w:color w:val="000000"/>
                <w:sz w:val="21"/>
                <w:szCs w:val="24"/>
                <w:u w:val="none"/>
              </w:rPr>
            </w:pPr>
          </w:p>
        </w:tc>
      </w:tr>
      <w:tr w14:paraId="196E9E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44" w:type="dxa"/>
            <w:vMerge w:val="continue"/>
            <w:tcBorders>
              <w:top w:val="single" w:color="000000" w:sz="4" w:space="0"/>
              <w:left w:val="single" w:color="000000" w:sz="8" w:space="0"/>
              <w:bottom w:val="single" w:color="000000" w:sz="4" w:space="0"/>
              <w:right w:val="single" w:color="000000" w:sz="4" w:space="0"/>
            </w:tcBorders>
            <w:noWrap w:val="0"/>
            <w:vAlign w:val="center"/>
          </w:tcPr>
          <w:p w14:paraId="36467CFB">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nil"/>
              <w:bottom w:val="single" w:color="000000" w:sz="4" w:space="0"/>
              <w:right w:val="nil"/>
            </w:tcBorders>
            <w:noWrap w:val="0"/>
            <w:vAlign w:val="center"/>
          </w:tcPr>
          <w:p w14:paraId="449FF25D">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287" w:type="dxa"/>
            <w:tcBorders>
              <w:top w:val="single" w:color="000000" w:sz="4" w:space="0"/>
              <w:left w:val="single" w:color="000000" w:sz="4" w:space="0"/>
              <w:bottom w:val="single" w:color="000000" w:sz="4" w:space="0"/>
              <w:right w:val="single" w:color="000000" w:sz="4" w:space="0"/>
            </w:tcBorders>
            <w:noWrap w:val="0"/>
            <w:vAlign w:val="center"/>
          </w:tcPr>
          <w:p w14:paraId="6841D4D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泄压口</w:t>
            </w:r>
          </w:p>
        </w:tc>
        <w:tc>
          <w:tcPr>
            <w:tcW w:w="2103" w:type="dxa"/>
            <w:tcBorders>
              <w:top w:val="single" w:color="000000" w:sz="4" w:space="0"/>
              <w:left w:val="single" w:color="000000" w:sz="4" w:space="0"/>
              <w:bottom w:val="single" w:color="000000" w:sz="4" w:space="0"/>
              <w:right w:val="single" w:color="000000" w:sz="4" w:space="0"/>
            </w:tcBorders>
            <w:noWrap w:val="0"/>
            <w:vAlign w:val="center"/>
          </w:tcPr>
          <w:p w14:paraId="5E790AB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0.25-J</w:t>
            </w:r>
          </w:p>
        </w:tc>
        <w:tc>
          <w:tcPr>
            <w:tcW w:w="776" w:type="dxa"/>
            <w:tcBorders>
              <w:top w:val="single" w:color="000000" w:sz="4" w:space="0"/>
              <w:left w:val="single" w:color="000000" w:sz="4" w:space="0"/>
              <w:bottom w:val="single" w:color="000000" w:sz="4" w:space="0"/>
              <w:right w:val="single" w:color="000000" w:sz="4" w:space="0"/>
            </w:tcBorders>
            <w:noWrap w:val="0"/>
            <w:vAlign w:val="center"/>
          </w:tcPr>
          <w:p w14:paraId="0B5DFBF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76" w:type="dxa"/>
            <w:tcBorders>
              <w:top w:val="single" w:color="000000" w:sz="4" w:space="0"/>
              <w:left w:val="single" w:color="000000" w:sz="4" w:space="0"/>
              <w:bottom w:val="single" w:color="000000" w:sz="4" w:space="0"/>
              <w:right w:val="single" w:color="000000" w:sz="4" w:space="0"/>
            </w:tcBorders>
            <w:noWrap w:val="0"/>
            <w:vAlign w:val="center"/>
          </w:tcPr>
          <w:p w14:paraId="65072A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669" w:type="dxa"/>
            <w:tcBorders>
              <w:top w:val="single" w:color="000000" w:sz="4" w:space="0"/>
              <w:left w:val="single" w:color="000000" w:sz="4" w:space="0"/>
              <w:bottom w:val="single" w:color="000000" w:sz="4" w:space="0"/>
              <w:right w:val="single" w:color="000000" w:sz="8" w:space="0"/>
            </w:tcBorders>
            <w:noWrap w:val="0"/>
            <w:vAlign w:val="center"/>
          </w:tcPr>
          <w:p w14:paraId="6065928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含百叶和阀体,开孔尺寸800*400</w:t>
            </w:r>
          </w:p>
        </w:tc>
      </w:tr>
      <w:tr w14:paraId="49B91D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44" w:type="dxa"/>
            <w:vMerge w:val="restart"/>
            <w:tcBorders>
              <w:top w:val="single" w:color="000000" w:sz="4" w:space="0"/>
              <w:left w:val="single" w:color="000000" w:sz="4" w:space="0"/>
              <w:bottom w:val="single" w:color="000000" w:sz="4" w:space="0"/>
              <w:right w:val="single" w:color="000000" w:sz="4" w:space="0"/>
            </w:tcBorders>
            <w:noWrap w:val="0"/>
            <w:vAlign w:val="center"/>
          </w:tcPr>
          <w:p w14:paraId="684890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1D1E01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配电房2（宿舍楼及配套用房一层）</w:t>
            </w:r>
          </w:p>
        </w:tc>
        <w:tc>
          <w:tcPr>
            <w:tcW w:w="1287" w:type="dxa"/>
            <w:tcBorders>
              <w:top w:val="single" w:color="000000" w:sz="4" w:space="0"/>
              <w:left w:val="single" w:color="000000" w:sz="4" w:space="0"/>
              <w:bottom w:val="single" w:color="000000" w:sz="4" w:space="0"/>
              <w:right w:val="single" w:color="000000" w:sz="4" w:space="0"/>
            </w:tcBorders>
            <w:noWrap w:val="0"/>
            <w:vAlign w:val="center"/>
          </w:tcPr>
          <w:p w14:paraId="1374C4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柜式七氟丙烷灭火装置</w:t>
            </w:r>
          </w:p>
        </w:tc>
        <w:tc>
          <w:tcPr>
            <w:tcW w:w="2103" w:type="dxa"/>
            <w:tcBorders>
              <w:top w:val="single" w:color="000000" w:sz="4" w:space="0"/>
              <w:left w:val="single" w:color="000000" w:sz="4" w:space="0"/>
              <w:bottom w:val="single" w:color="000000" w:sz="4" w:space="0"/>
              <w:right w:val="single" w:color="000000" w:sz="4" w:space="0"/>
            </w:tcBorders>
            <w:noWrap w:val="0"/>
            <w:vAlign w:val="center"/>
          </w:tcPr>
          <w:p w14:paraId="2DC3FE4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GQQ120/2.5</w:t>
            </w:r>
          </w:p>
        </w:tc>
        <w:tc>
          <w:tcPr>
            <w:tcW w:w="776" w:type="dxa"/>
            <w:tcBorders>
              <w:top w:val="single" w:color="000000" w:sz="4" w:space="0"/>
              <w:left w:val="single" w:color="000000" w:sz="4" w:space="0"/>
              <w:bottom w:val="single" w:color="000000" w:sz="4" w:space="0"/>
              <w:right w:val="single" w:color="000000" w:sz="4" w:space="0"/>
            </w:tcBorders>
            <w:noWrap w:val="0"/>
            <w:vAlign w:val="center"/>
          </w:tcPr>
          <w:p w14:paraId="13F6748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76" w:type="dxa"/>
            <w:tcBorders>
              <w:top w:val="single" w:color="000000" w:sz="4" w:space="0"/>
              <w:left w:val="single" w:color="000000" w:sz="4" w:space="0"/>
              <w:bottom w:val="single" w:color="000000" w:sz="4" w:space="0"/>
              <w:right w:val="single" w:color="000000" w:sz="4" w:space="0"/>
            </w:tcBorders>
            <w:noWrap w:val="0"/>
            <w:vAlign w:val="center"/>
          </w:tcPr>
          <w:p w14:paraId="727D42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669" w:type="dxa"/>
            <w:tcBorders>
              <w:top w:val="single" w:color="000000" w:sz="4" w:space="0"/>
              <w:left w:val="single" w:color="000000" w:sz="4" w:space="0"/>
              <w:bottom w:val="single" w:color="000000" w:sz="4" w:space="0"/>
              <w:right w:val="single" w:color="000000" w:sz="8" w:space="0"/>
            </w:tcBorders>
            <w:noWrap w:val="0"/>
            <w:vAlign w:val="center"/>
          </w:tcPr>
          <w:p w14:paraId="0F4E320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每台充装110公斤灭火剂</w:t>
            </w:r>
          </w:p>
        </w:tc>
      </w:tr>
      <w:tr w14:paraId="2CC954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4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73713B">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76A11295">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287" w:type="dxa"/>
            <w:tcBorders>
              <w:top w:val="single" w:color="000000" w:sz="4" w:space="0"/>
              <w:left w:val="single" w:color="000000" w:sz="4" w:space="0"/>
              <w:bottom w:val="single" w:color="000000" w:sz="4" w:space="0"/>
              <w:right w:val="single" w:color="000000" w:sz="4" w:space="0"/>
            </w:tcBorders>
            <w:noWrap w:val="0"/>
            <w:vAlign w:val="center"/>
          </w:tcPr>
          <w:p w14:paraId="3DCB1C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七氟丙烷</w:t>
            </w:r>
          </w:p>
        </w:tc>
        <w:tc>
          <w:tcPr>
            <w:tcW w:w="2103" w:type="dxa"/>
            <w:tcBorders>
              <w:top w:val="single" w:color="000000" w:sz="4" w:space="0"/>
              <w:left w:val="single" w:color="000000" w:sz="4" w:space="0"/>
              <w:bottom w:val="single" w:color="000000" w:sz="4" w:space="0"/>
              <w:right w:val="single" w:color="000000" w:sz="4" w:space="0"/>
            </w:tcBorders>
            <w:noWrap w:val="0"/>
            <w:vAlign w:val="center"/>
          </w:tcPr>
          <w:p w14:paraId="180695E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HFC-227ea</w:t>
            </w:r>
          </w:p>
        </w:tc>
        <w:tc>
          <w:tcPr>
            <w:tcW w:w="776" w:type="dxa"/>
            <w:tcBorders>
              <w:top w:val="single" w:color="000000" w:sz="4" w:space="0"/>
              <w:left w:val="single" w:color="000000" w:sz="4" w:space="0"/>
              <w:bottom w:val="single" w:color="000000" w:sz="4" w:space="0"/>
              <w:right w:val="single" w:color="000000" w:sz="4" w:space="0"/>
            </w:tcBorders>
            <w:noWrap w:val="0"/>
            <w:vAlign w:val="center"/>
          </w:tcPr>
          <w:p w14:paraId="12B33A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Kg</w:t>
            </w:r>
          </w:p>
        </w:tc>
        <w:tc>
          <w:tcPr>
            <w:tcW w:w="776" w:type="dxa"/>
            <w:tcBorders>
              <w:top w:val="single" w:color="000000" w:sz="4" w:space="0"/>
              <w:left w:val="single" w:color="000000" w:sz="4" w:space="0"/>
              <w:bottom w:val="single" w:color="000000" w:sz="4" w:space="0"/>
              <w:right w:val="single" w:color="000000" w:sz="4" w:space="0"/>
            </w:tcBorders>
            <w:noWrap w:val="0"/>
            <w:vAlign w:val="center"/>
          </w:tcPr>
          <w:p w14:paraId="10638DD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330</w:t>
            </w:r>
          </w:p>
        </w:tc>
        <w:tc>
          <w:tcPr>
            <w:tcW w:w="1669" w:type="dxa"/>
            <w:tcBorders>
              <w:top w:val="single" w:color="000000" w:sz="4" w:space="0"/>
              <w:left w:val="single" w:color="000000" w:sz="4" w:space="0"/>
              <w:bottom w:val="single" w:color="000000" w:sz="4" w:space="0"/>
              <w:right w:val="single" w:color="000000" w:sz="8" w:space="0"/>
            </w:tcBorders>
            <w:noWrap w:val="0"/>
            <w:vAlign w:val="center"/>
          </w:tcPr>
          <w:p w14:paraId="350094CD">
            <w:pPr>
              <w:snapToGrid w:val="0"/>
              <w:ind w:left="0" w:leftChars="0" w:right="0" w:rightChars="0" w:firstLine="0" w:firstLineChars="0"/>
              <w:jc w:val="center"/>
              <w:rPr>
                <w:rFonts w:hint="eastAsia" w:ascii="宋体" w:hAnsi="宋体" w:eastAsia="宋体" w:cs="宋体"/>
                <w:i w:val="0"/>
                <w:iCs w:val="0"/>
                <w:color w:val="000000"/>
                <w:sz w:val="21"/>
                <w:szCs w:val="24"/>
                <w:u w:val="none"/>
              </w:rPr>
            </w:pPr>
          </w:p>
        </w:tc>
      </w:tr>
      <w:tr w14:paraId="2A30EA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4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F675106">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4F69F7B3">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287" w:type="dxa"/>
            <w:tcBorders>
              <w:top w:val="single" w:color="000000" w:sz="4" w:space="0"/>
              <w:left w:val="single" w:color="000000" w:sz="4" w:space="0"/>
              <w:bottom w:val="single" w:color="000000" w:sz="4" w:space="0"/>
              <w:right w:val="single" w:color="000000" w:sz="4" w:space="0"/>
            </w:tcBorders>
            <w:noWrap w:val="0"/>
            <w:vAlign w:val="center"/>
          </w:tcPr>
          <w:p w14:paraId="3A7D759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泄压口</w:t>
            </w:r>
          </w:p>
        </w:tc>
        <w:tc>
          <w:tcPr>
            <w:tcW w:w="2103" w:type="dxa"/>
            <w:tcBorders>
              <w:top w:val="single" w:color="000000" w:sz="4" w:space="0"/>
              <w:left w:val="single" w:color="000000" w:sz="4" w:space="0"/>
              <w:bottom w:val="single" w:color="000000" w:sz="4" w:space="0"/>
              <w:right w:val="single" w:color="000000" w:sz="4" w:space="0"/>
            </w:tcBorders>
            <w:noWrap w:val="0"/>
            <w:vAlign w:val="center"/>
          </w:tcPr>
          <w:p w14:paraId="1ADBAA1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0.25-J</w:t>
            </w:r>
          </w:p>
        </w:tc>
        <w:tc>
          <w:tcPr>
            <w:tcW w:w="776" w:type="dxa"/>
            <w:tcBorders>
              <w:top w:val="single" w:color="000000" w:sz="4" w:space="0"/>
              <w:left w:val="single" w:color="000000" w:sz="4" w:space="0"/>
              <w:bottom w:val="single" w:color="000000" w:sz="4" w:space="0"/>
              <w:right w:val="single" w:color="000000" w:sz="4" w:space="0"/>
            </w:tcBorders>
            <w:noWrap w:val="0"/>
            <w:vAlign w:val="center"/>
          </w:tcPr>
          <w:p w14:paraId="69853C1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76" w:type="dxa"/>
            <w:tcBorders>
              <w:top w:val="single" w:color="000000" w:sz="4" w:space="0"/>
              <w:left w:val="single" w:color="000000" w:sz="4" w:space="0"/>
              <w:bottom w:val="single" w:color="000000" w:sz="4" w:space="0"/>
              <w:right w:val="single" w:color="000000" w:sz="4" w:space="0"/>
            </w:tcBorders>
            <w:noWrap w:val="0"/>
            <w:vAlign w:val="center"/>
          </w:tcPr>
          <w:p w14:paraId="5C273F1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669" w:type="dxa"/>
            <w:tcBorders>
              <w:top w:val="single" w:color="000000" w:sz="4" w:space="0"/>
              <w:left w:val="single" w:color="000000" w:sz="4" w:space="0"/>
              <w:bottom w:val="single" w:color="000000" w:sz="4" w:space="0"/>
              <w:right w:val="single" w:color="000000" w:sz="8" w:space="0"/>
            </w:tcBorders>
            <w:noWrap w:val="0"/>
            <w:vAlign w:val="center"/>
          </w:tcPr>
          <w:p w14:paraId="1CA61B3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含百叶和阀体,开孔尺寸800*400</w:t>
            </w:r>
          </w:p>
        </w:tc>
      </w:tr>
    </w:tbl>
    <w:p w14:paraId="48AA11D4">
      <w:pPr>
        <w:keepNext w:val="0"/>
        <w:keepLines w:val="0"/>
        <w:pageBreakBefore w:val="0"/>
        <w:tabs>
          <w:tab w:val="left" w:pos="1740"/>
        </w:tabs>
        <w:kinsoku/>
        <w:wordWrap/>
        <w:overflowPunct/>
        <w:topLinePunct w:val="0"/>
        <w:bidi w:val="0"/>
        <w:adjustRightInd w:val="0"/>
        <w:snapToGrid w:val="0"/>
        <w:spacing w:line="360" w:lineRule="auto"/>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bidi="ar-SA"/>
        </w:rPr>
        <w:t>注：1、 ▲工程量清单数量按照招标文件提供的数量报价，不得增减</w:t>
      </w:r>
      <w:r>
        <w:rPr>
          <w:rFonts w:hint="eastAsia" w:ascii="宋体" w:hAnsi="宋体" w:cs="宋体"/>
          <w:sz w:val="24"/>
          <w:szCs w:val="24"/>
          <w:highlight w:val="none"/>
          <w:lang w:eastAsia="zh-CN" w:bidi="ar-SA"/>
        </w:rPr>
        <w:t>，</w:t>
      </w:r>
      <w:r>
        <w:rPr>
          <w:rFonts w:hint="eastAsia" w:ascii="宋体" w:hAnsi="宋体" w:cs="宋体"/>
          <w:sz w:val="24"/>
          <w:szCs w:val="24"/>
          <w:highlight w:val="none"/>
          <w:lang w:val="en-US" w:eastAsia="zh-CN" w:bidi="ar-SA"/>
        </w:rPr>
        <w:t>结算时按实结算。</w:t>
      </w:r>
    </w:p>
    <w:p w14:paraId="67DDC226">
      <w:pPr>
        <w:keepNext w:val="0"/>
        <w:keepLines w:val="0"/>
        <w:pageBreakBefore w:val="0"/>
        <w:tabs>
          <w:tab w:val="left" w:pos="1740"/>
        </w:tabs>
        <w:kinsoku/>
        <w:wordWrap/>
        <w:overflowPunct/>
        <w:topLinePunct w:val="0"/>
        <w:bidi w:val="0"/>
        <w:adjustRightInd w:val="0"/>
        <w:snapToGrid w:val="0"/>
        <w:spacing w:line="360" w:lineRule="auto"/>
        <w:ind w:firstLine="480" w:firstLineChars="200"/>
        <w:rPr>
          <w:rFonts w:hint="eastAsia" w:ascii="宋体" w:hAnsi="宋体" w:eastAsia="宋体" w:cs="宋体"/>
          <w:sz w:val="24"/>
          <w:szCs w:val="24"/>
          <w:highlight w:val="none"/>
          <w:lang w:bidi="ar-SA"/>
        </w:rPr>
      </w:pPr>
      <w:bookmarkStart w:id="9" w:name="_Toc23301"/>
      <w:bookmarkStart w:id="10" w:name="_Toc1939"/>
      <w:r>
        <w:rPr>
          <w:rFonts w:hint="eastAsia" w:ascii="宋体" w:hAnsi="宋体" w:cs="宋体"/>
          <w:sz w:val="24"/>
          <w:szCs w:val="24"/>
          <w:highlight w:val="none"/>
          <w:lang w:val="en-US" w:eastAsia="zh-CN" w:bidi="ar-SA"/>
        </w:rPr>
        <w:t>2、</w:t>
      </w:r>
      <w:r>
        <w:rPr>
          <w:rFonts w:hint="eastAsia" w:ascii="宋体" w:hAnsi="宋体" w:cs="宋体"/>
          <w:b/>
          <w:bCs/>
          <w:sz w:val="24"/>
          <w:szCs w:val="24"/>
          <w:highlight w:val="none"/>
          <w:lang w:bidi="ar-SA"/>
        </w:rPr>
        <w:t>全费用单价包含人工、制造、材料、设备、运输、装卸、安装、二次搬运、产品保护、水电费、调试、措施费、综合管理、修复安装时被破坏的建筑和装修、孔洞修补</w:t>
      </w:r>
      <w:r>
        <w:rPr>
          <w:rFonts w:hint="eastAsia" w:ascii="宋体" w:hAnsi="宋体" w:cs="宋体"/>
          <w:b/>
          <w:bCs/>
          <w:sz w:val="24"/>
          <w:szCs w:val="24"/>
          <w:highlight w:val="none"/>
          <w:lang w:eastAsia="zh-CN" w:bidi="ar-SA"/>
        </w:rPr>
        <w:t>、</w:t>
      </w:r>
      <w:r>
        <w:rPr>
          <w:rFonts w:hint="eastAsia" w:ascii="宋体" w:hAnsi="宋体" w:cs="宋体"/>
          <w:b/>
          <w:bCs/>
          <w:sz w:val="24"/>
          <w:szCs w:val="24"/>
          <w:highlight w:val="none"/>
          <w:lang w:bidi="ar-SA"/>
        </w:rPr>
        <w:t>售后服务、保险、规费、利润、税金、风险费及其他工程费等一切费用</w:t>
      </w:r>
      <w:bookmarkEnd w:id="9"/>
      <w:bookmarkEnd w:id="10"/>
      <w:r>
        <w:rPr>
          <w:rFonts w:hint="eastAsia" w:ascii="宋体" w:hAnsi="宋体" w:cs="宋体"/>
          <w:b/>
          <w:bCs/>
          <w:sz w:val="24"/>
          <w:szCs w:val="24"/>
          <w:highlight w:val="none"/>
          <w:lang w:bidi="ar-SA"/>
        </w:rPr>
        <w:t>，为完成本项目可能出现的其他费用，</w:t>
      </w:r>
      <w:r>
        <w:rPr>
          <w:rFonts w:hint="eastAsia" w:ascii="宋体" w:hAnsi="宋体" w:eastAsia="宋体" w:cs="宋体"/>
          <w:b/>
          <w:bCs/>
          <w:sz w:val="24"/>
          <w:szCs w:val="24"/>
          <w:highlight w:val="none"/>
          <w:lang w:bidi="ar-SA"/>
        </w:rPr>
        <w:t>已自行考虑并包含在合同全费用单价中，结算时不予额外计取。</w:t>
      </w:r>
    </w:p>
    <w:p w14:paraId="070C39DE">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投标人严格按设计要求和国家现行规程、规范为依据生产。文中所述内容只是其中的主要部分，任何未提及的、为保证设备系统正常运行所需的一切辅助设备和材料，均属投标人需提供的范畴。</w:t>
      </w:r>
    </w:p>
    <w:p w14:paraId="588F9BB1">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、投标人对所拟用产品的技术参数要求等在投标文件中进行详细描述。</w:t>
      </w:r>
    </w:p>
    <w:p w14:paraId="66B70CDE">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w:t>
      </w:r>
      <w:r>
        <w:rPr>
          <w:rFonts w:hint="eastAsia" w:ascii="宋体" w:hAnsi="宋体" w:eastAsia="宋体" w:cs="宋体"/>
          <w:b/>
          <w:bCs/>
          <w:sz w:val="24"/>
          <w:szCs w:val="24"/>
        </w:rPr>
        <w:t>验收要求：</w:t>
      </w:r>
      <w:r>
        <w:rPr>
          <w:rFonts w:hint="eastAsia" w:ascii="宋体" w:hAnsi="宋体" w:eastAsia="宋体" w:cs="宋体"/>
          <w:b/>
          <w:bCs/>
          <w:sz w:val="24"/>
          <w:szCs w:val="24"/>
          <w:lang w:val="en-US" w:eastAsia="zh-CN"/>
        </w:rPr>
        <w:t>配合及</w:t>
      </w:r>
      <w:r>
        <w:rPr>
          <w:rFonts w:hint="eastAsia" w:ascii="宋体" w:hAnsi="宋体" w:eastAsia="宋体" w:cs="宋体"/>
          <w:b/>
          <w:bCs/>
          <w:sz w:val="24"/>
          <w:szCs w:val="24"/>
        </w:rPr>
        <w:t>通过相关单位验收。</w:t>
      </w:r>
    </w:p>
    <w:p w14:paraId="1A1A478E">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、招标人可根据实际情况增加或减少工程量，中标人须无条件服从，并按实际工程量结算。工程量不论增减多少，单价不变，中标人不得拒绝。</w:t>
      </w:r>
    </w:p>
    <w:p w14:paraId="7FC13C99">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lang w:val="en-US" w:eastAsia="zh-CN"/>
        </w:rPr>
        <w:t>7</w:t>
      </w:r>
      <w:r>
        <w:rPr>
          <w:rFonts w:hint="eastAsia" w:ascii="宋体" w:hAnsi="宋体" w:eastAsia="宋体" w:cs="宋体"/>
          <w:sz w:val="24"/>
          <w:szCs w:val="24"/>
        </w:rPr>
        <w:t>、投标人所投货物的技术参数不应低于本项目的技术要求和档次。本项目技术要求中如出现某类品牌型号特有的技术指标或性能的，只供投标人参考,不作为实质性响应条款。</w:t>
      </w:r>
    </w:p>
    <w:p w14:paraId="18A19AAA">
      <w:pPr>
        <w:keepNext w:val="0"/>
        <w:keepLines w:val="0"/>
        <w:pageBreakBefore w:val="0"/>
        <w:widowControl w:val="0"/>
        <w:kinsoku/>
        <w:wordWrap/>
        <w:overflowPunct/>
        <w:topLinePunct w:val="0"/>
        <w:autoSpaceDE/>
        <w:autoSpaceDN/>
        <w:bidi w:val="0"/>
        <w:adjustRightInd/>
        <w:snapToGrid/>
        <w:spacing w:line="360" w:lineRule="auto"/>
        <w:ind w:left="0" w:right="315" w:rightChars="15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w:t>
      </w:r>
      <w:r>
        <w:rPr>
          <w:rFonts w:hint="eastAsia" w:ascii="宋体" w:hAnsi="宋体" w:eastAsia="宋体" w:cs="宋体"/>
          <w:sz w:val="24"/>
          <w:szCs w:val="24"/>
        </w:rPr>
        <w:t>、招标内容未包含，但工程安装所需的其他项目由投标人自行考虑计算在内，即投标报价包含整个项目的所有费用，直至交付使用。</w:t>
      </w:r>
      <w:r>
        <w:rPr>
          <w:rFonts w:hint="eastAsia" w:ascii="宋体" w:hAnsi="宋体" w:eastAsia="宋体" w:cs="宋体"/>
          <w:sz w:val="24"/>
          <w:szCs w:val="24"/>
          <w:lang w:val="en-US" w:eastAsia="zh-CN"/>
        </w:rPr>
        <w:t>安装设备与现有消防系统的调试由投标人负责，费用包含在合同价内。投标人须提供质保期内的罐体补压服务，费用包含在合同价内。</w:t>
      </w:r>
    </w:p>
    <w:p w14:paraId="0214F023">
      <w:pPr>
        <w:snapToGrid w:val="0"/>
        <w:spacing w:line="400" w:lineRule="exact"/>
        <w:rPr>
          <w:rFonts w:hint="eastAsia" w:ascii="宋体" w:hAnsi="宋体" w:eastAsia="宋体" w:cs="宋体"/>
          <w:b/>
          <w:kern w:val="0"/>
          <w:sz w:val="24"/>
          <w:szCs w:val="24"/>
        </w:rPr>
      </w:pPr>
      <w:r>
        <w:rPr>
          <w:rFonts w:hint="eastAsia" w:ascii="宋体" w:hAnsi="宋体" w:eastAsia="宋体" w:cs="宋体"/>
          <w:b/>
          <w:sz w:val="24"/>
          <w:szCs w:val="24"/>
          <w:lang w:val="en-US" w:eastAsia="zh-CN"/>
        </w:rPr>
        <w:t>二</w:t>
      </w:r>
      <w:r>
        <w:rPr>
          <w:rFonts w:hint="eastAsia" w:ascii="宋体" w:hAnsi="宋体" w:eastAsia="宋体" w:cs="宋体"/>
          <w:b/>
          <w:sz w:val="24"/>
          <w:szCs w:val="24"/>
        </w:rPr>
        <w:t>、工作范围：</w:t>
      </w:r>
    </w:p>
    <w:p w14:paraId="6829D6C0">
      <w:pPr>
        <w:adjustRightInd w:val="0"/>
        <w:snapToGrid w:val="0"/>
        <w:spacing w:line="360" w:lineRule="auto"/>
        <w:ind w:firstLine="600" w:firstLineChars="250"/>
        <w:rPr>
          <w:rFonts w:hint="eastAsia" w:ascii="宋体" w:hAnsi="宋体" w:eastAsia="宋体" w:cs="宋体"/>
          <w:sz w:val="24"/>
          <w:szCs w:val="24"/>
        </w:rPr>
      </w:pPr>
      <w:r>
        <w:rPr>
          <w:rFonts w:hint="eastAsia" w:ascii="宋体" w:hAnsi="宋体" w:eastAsia="宋体" w:cs="宋体"/>
          <w:sz w:val="24"/>
          <w:szCs w:val="24"/>
        </w:rPr>
        <w:t>根据招标文件要求，投标人须按国家有关标准及规范完成下列工作：</w:t>
      </w:r>
    </w:p>
    <w:p w14:paraId="0735B731">
      <w:pPr>
        <w:numPr>
          <w:ilvl w:val="0"/>
          <w:numId w:val="4"/>
        </w:numPr>
        <w:adjustRightInd w:val="0"/>
        <w:snapToGrid w:val="0"/>
        <w:spacing w:line="360" w:lineRule="auto"/>
        <w:jc w:val="left"/>
        <w:rPr>
          <w:rFonts w:hint="eastAsia" w:ascii="宋体" w:hAnsi="宋体" w:eastAsia="宋体" w:cs="宋体"/>
          <w:sz w:val="24"/>
          <w:szCs w:val="24"/>
        </w:rPr>
      </w:pPr>
      <w:r>
        <w:rPr>
          <w:rFonts w:hint="eastAsia" w:ascii="宋体" w:hAnsi="宋体" w:eastAsia="宋体" w:cs="宋体"/>
          <w:sz w:val="24"/>
          <w:szCs w:val="24"/>
        </w:rPr>
        <w:t>系统的深化、设备运输、安装、与火灾报警控制系统的连接、调试、验</w:t>
      </w:r>
    </w:p>
    <w:p w14:paraId="6536C32C">
      <w:pPr>
        <w:adjustRightInd w:val="0"/>
        <w:snapToGrid w:val="0"/>
        <w:spacing w:line="360" w:lineRule="auto"/>
        <w:jc w:val="left"/>
        <w:rPr>
          <w:rFonts w:hint="eastAsia" w:ascii="宋体" w:hAnsi="宋体" w:eastAsia="宋体" w:cs="宋体"/>
          <w:sz w:val="24"/>
          <w:szCs w:val="24"/>
        </w:rPr>
      </w:pPr>
      <w:r>
        <w:rPr>
          <w:rFonts w:hint="eastAsia" w:ascii="宋体" w:hAnsi="宋体" w:eastAsia="宋体" w:cs="宋体"/>
          <w:sz w:val="24"/>
          <w:szCs w:val="24"/>
        </w:rPr>
        <w:t>收及对相关人员培训等；</w:t>
      </w:r>
    </w:p>
    <w:p w14:paraId="5C4046C4">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（二）售后服务的措施及承诺。</w:t>
      </w:r>
    </w:p>
    <w:p w14:paraId="79561105">
      <w:pPr>
        <w:spacing w:after="50" w:line="360" w:lineRule="auto"/>
        <w:rPr>
          <w:rFonts w:hint="eastAsia" w:ascii="宋体" w:hAnsi="宋体" w:eastAsia="宋体" w:cs="宋体"/>
          <w:b/>
          <w:sz w:val="24"/>
          <w:szCs w:val="24"/>
          <w:lang w:val="zh-CN"/>
        </w:rPr>
      </w:pPr>
      <w:r>
        <w:rPr>
          <w:rFonts w:hint="eastAsia" w:ascii="宋体" w:hAnsi="宋体" w:eastAsia="宋体" w:cs="宋体"/>
          <w:b/>
          <w:sz w:val="24"/>
          <w:szCs w:val="24"/>
          <w:lang w:val="en-US" w:eastAsia="zh-CN"/>
        </w:rPr>
        <w:t>三</w:t>
      </w:r>
      <w:r>
        <w:rPr>
          <w:rFonts w:hint="eastAsia" w:ascii="宋体" w:hAnsi="宋体" w:eastAsia="宋体" w:cs="宋体"/>
          <w:b/>
          <w:sz w:val="24"/>
          <w:szCs w:val="24"/>
        </w:rPr>
        <w:t>、</w:t>
      </w:r>
      <w:r>
        <w:rPr>
          <w:rFonts w:hint="eastAsia" w:ascii="宋体" w:hAnsi="宋体" w:eastAsia="宋体" w:cs="宋体"/>
          <w:b/>
          <w:sz w:val="24"/>
          <w:szCs w:val="24"/>
          <w:lang w:val="zh-CN"/>
        </w:rPr>
        <w:t>质量保证</w:t>
      </w:r>
    </w:p>
    <w:p w14:paraId="1DB1DE06">
      <w:pPr>
        <w:spacing w:line="360"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（一）合格及以上，符合国家规定的质量要求，</w:t>
      </w:r>
      <w:r>
        <w:rPr>
          <w:rFonts w:hint="eastAsia" w:ascii="宋体" w:hAnsi="宋体" w:eastAsia="宋体" w:cs="宋体"/>
          <w:bCs/>
          <w:sz w:val="24"/>
          <w:szCs w:val="24"/>
        </w:rPr>
        <w:t>符合行业的国际标准和我国现行的产品认证制度规定，并满足采购人提出的产品技术要求。</w:t>
      </w:r>
    </w:p>
    <w:p w14:paraId="2A85E3C5">
      <w:pPr>
        <w:spacing w:line="360"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（二）货物验收过程中，由于质量不合格或运输等原因所造成的一切费用均由中标人负责。</w:t>
      </w:r>
    </w:p>
    <w:p w14:paraId="52849C0C">
      <w:pPr>
        <w:spacing w:line="360" w:lineRule="auto"/>
        <w:ind w:firstLine="480"/>
        <w:rPr>
          <w:rFonts w:hint="eastAsia" w:ascii="宋体" w:hAnsi="宋体" w:eastAsia="宋体" w:cs="宋体"/>
          <w:sz w:val="24"/>
          <w:szCs w:val="24"/>
          <w:lang w:val="zh-CN"/>
        </w:rPr>
      </w:pPr>
      <w:r>
        <w:rPr>
          <w:rFonts w:hint="eastAsia" w:ascii="宋体" w:hAnsi="宋体" w:eastAsia="宋体" w:cs="宋体"/>
          <w:sz w:val="24"/>
          <w:szCs w:val="24"/>
          <w:lang w:val="zh-CN"/>
        </w:rPr>
        <w:t>（三）中标人须对因投标货物使用期内本身的固有缺陷和瑕疵承担责任。</w:t>
      </w:r>
    </w:p>
    <w:p w14:paraId="09104D94">
      <w:pPr>
        <w:autoSpaceDE w:val="0"/>
        <w:autoSpaceDN w:val="0"/>
        <w:adjustRightInd w:val="0"/>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en-US" w:eastAsia="zh-CN"/>
        </w:rPr>
        <w:t>四</w:t>
      </w:r>
      <w:r>
        <w:rPr>
          <w:rFonts w:hint="eastAsia" w:ascii="宋体" w:hAnsi="宋体" w:eastAsia="宋体" w:cs="宋体"/>
          <w:b/>
          <w:bCs/>
          <w:sz w:val="24"/>
          <w:szCs w:val="24"/>
          <w:lang w:val="zh-CN"/>
        </w:rPr>
        <w:t>、售后服务要求</w:t>
      </w:r>
    </w:p>
    <w:p w14:paraId="52133D5D">
      <w:pPr>
        <w:autoSpaceDE w:val="0"/>
        <w:autoSpaceDN w:val="0"/>
        <w:adjustRightIn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质保期为二年（供应商可提供更优惠的质保期）。</w:t>
      </w:r>
    </w:p>
    <w:p w14:paraId="2E122CC1">
      <w:pPr>
        <w:tabs>
          <w:tab w:val="left" w:pos="900"/>
        </w:tabs>
        <w:snapToGrid w:val="0"/>
        <w:spacing w:line="450" w:lineRule="exact"/>
        <w:ind w:firstLine="360" w:firstLineChars="150"/>
        <w:rPr>
          <w:rFonts w:hint="eastAsia" w:ascii="宋体" w:hAnsi="宋体" w:eastAsia="宋体" w:cs="宋体"/>
          <w:sz w:val="24"/>
          <w:szCs w:val="24"/>
          <w:lang w:val="zh-CN"/>
        </w:rPr>
      </w:pPr>
      <w:r>
        <w:rPr>
          <w:rFonts w:hint="eastAsia" w:ascii="宋体" w:hAnsi="宋体" w:eastAsia="宋体" w:cs="宋体"/>
          <w:sz w:val="24"/>
          <w:szCs w:val="24"/>
        </w:rPr>
        <w:t>（一）质保期内免费维护和维修，在质保期内非人为因素出现的质量问题，须按国家有关规定和要求（如无国家规定和要求的，按承诺和厂方“三包”规定）立即进行免费维修、免费更换有缺陷的零部件、直至免费更换新货物。在质保期内，接到故障报修，中标人应全天候回应，回应时间小于2小时，中标人接到采购单位通知后，应在24小时内到达故障现场，抵达现场后8小时恢复设备正常工作，故障排除后应出具书面故障诊断报告备案。如不能修复应提供备品，以保证整个系统的正常运行，中标人有其它服务承诺的，一并履行；</w:t>
      </w:r>
      <w:r>
        <w:rPr>
          <w:rFonts w:hint="eastAsia" w:ascii="宋体" w:hAnsi="宋体" w:eastAsia="宋体" w:cs="宋体"/>
          <w:sz w:val="24"/>
          <w:szCs w:val="24"/>
          <w:lang w:val="zh-CN"/>
        </w:rPr>
        <w:t xml:space="preserve"> </w:t>
      </w:r>
    </w:p>
    <w:p w14:paraId="2892029E">
      <w:pPr>
        <w:spacing w:line="460" w:lineRule="exact"/>
        <w:ind w:firstLine="480"/>
        <w:rPr>
          <w:rFonts w:hint="eastAsia" w:ascii="宋体" w:hAnsi="宋体" w:eastAsia="宋体" w:cs="宋体"/>
          <w:sz w:val="24"/>
          <w:szCs w:val="24"/>
        </w:rPr>
      </w:pPr>
      <w:r>
        <w:rPr>
          <w:rFonts w:hint="eastAsia" w:ascii="宋体" w:hAnsi="宋体" w:eastAsia="宋体" w:cs="宋体"/>
          <w:sz w:val="24"/>
          <w:szCs w:val="24"/>
          <w:lang w:val="zh-CN"/>
        </w:rPr>
        <w:t>（二）</w:t>
      </w:r>
      <w:r>
        <w:rPr>
          <w:rFonts w:hint="eastAsia" w:ascii="宋体" w:hAnsi="宋体" w:eastAsia="宋体" w:cs="宋体"/>
          <w:sz w:val="24"/>
          <w:szCs w:val="24"/>
        </w:rPr>
        <w:t>质保期后，维修只收取零配件成本费，免维修费。中标人应对提供的设备实行终身维护。</w:t>
      </w:r>
    </w:p>
    <w:p w14:paraId="031D91A2">
      <w:pPr>
        <w:pStyle w:val="2"/>
        <w:rPr>
          <w:rFonts w:hint="eastAsia"/>
        </w:rPr>
      </w:pPr>
      <w:r>
        <w:rPr>
          <w:rFonts w:hint="eastAsia"/>
          <w:lang w:val="en-US" w:eastAsia="zh-CN"/>
        </w:rPr>
        <w:t>中标人</w:t>
      </w:r>
      <w:r>
        <w:rPr>
          <w:rFonts w:hint="eastAsia"/>
        </w:rPr>
        <w:t>未按本合同第十二条约定的响应时间、修复时间提供售后服务的，每发生一次，应向甲方支付【2000】元违约金；因</w:t>
      </w:r>
      <w:r>
        <w:rPr>
          <w:rFonts w:hint="eastAsia"/>
          <w:lang w:val="en-US" w:eastAsia="zh-CN"/>
        </w:rPr>
        <w:t>中标人</w:t>
      </w:r>
      <w:r>
        <w:rPr>
          <w:rFonts w:hint="eastAsia"/>
        </w:rPr>
        <w:t>售后服务不及时或不当导致其他损失的，</w:t>
      </w:r>
      <w:r>
        <w:rPr>
          <w:rFonts w:hint="eastAsia"/>
          <w:lang w:val="en-US" w:eastAsia="zh-CN"/>
        </w:rPr>
        <w:t>中标人</w:t>
      </w:r>
      <w:r>
        <w:rPr>
          <w:rFonts w:hint="eastAsia"/>
        </w:rPr>
        <w:t>应另行赔偿。质保期届满后</w:t>
      </w:r>
      <w:r>
        <w:rPr>
          <w:rFonts w:hint="eastAsia"/>
          <w:lang w:val="en-US" w:eastAsia="zh-CN"/>
        </w:rPr>
        <w:t>中标人</w:t>
      </w:r>
      <w:r>
        <w:rPr>
          <w:rFonts w:hint="eastAsia"/>
        </w:rPr>
        <w:t>接到</w:t>
      </w:r>
      <w:r>
        <w:rPr>
          <w:rFonts w:hint="eastAsia"/>
          <w:lang w:val="en-US" w:eastAsia="zh-CN"/>
        </w:rPr>
        <w:t>采购单位</w:t>
      </w:r>
      <w:r>
        <w:rPr>
          <w:rFonts w:hint="eastAsia"/>
        </w:rPr>
        <w:t>维修通知后未按约定时间到场维修或维修不合格的，</w:t>
      </w:r>
      <w:r>
        <w:rPr>
          <w:rFonts w:hint="eastAsia"/>
          <w:lang w:val="en-US" w:eastAsia="zh-CN"/>
        </w:rPr>
        <w:t>采购单位</w:t>
      </w:r>
      <w:r>
        <w:rPr>
          <w:rFonts w:hint="eastAsia"/>
        </w:rPr>
        <w:t>有权委托第三方进行维修，产生的全部费用由</w:t>
      </w:r>
      <w:r>
        <w:rPr>
          <w:rFonts w:hint="eastAsia"/>
          <w:lang w:val="en-US" w:eastAsia="zh-CN"/>
        </w:rPr>
        <w:t>中标人</w:t>
      </w:r>
      <w:r>
        <w:rPr>
          <w:rFonts w:hint="eastAsia"/>
        </w:rPr>
        <w:t>承担，</w:t>
      </w:r>
      <w:r>
        <w:rPr>
          <w:rFonts w:hint="eastAsia"/>
          <w:lang w:val="en-US" w:eastAsia="zh-CN"/>
        </w:rPr>
        <w:t>采购单位</w:t>
      </w:r>
      <w:r>
        <w:rPr>
          <w:rFonts w:hint="eastAsia"/>
        </w:rPr>
        <w:t>可直接从剩余未付的质保金或其他款项中扣除，不足部分有权向</w:t>
      </w:r>
      <w:r>
        <w:rPr>
          <w:rFonts w:hint="eastAsia"/>
          <w:lang w:val="en-US" w:eastAsia="zh-CN"/>
        </w:rPr>
        <w:t>中标人</w:t>
      </w:r>
      <w:r>
        <w:rPr>
          <w:rFonts w:hint="eastAsia"/>
        </w:rPr>
        <w:t>追偿。</w:t>
      </w:r>
    </w:p>
    <w:p w14:paraId="2D28D0B1">
      <w:pPr>
        <w:tabs>
          <w:tab w:val="left" w:pos="540"/>
        </w:tabs>
        <w:autoSpaceDE w:val="0"/>
        <w:autoSpaceDN w:val="0"/>
        <w:adjustRightInd w:val="0"/>
        <w:spacing w:line="360" w:lineRule="auto"/>
        <w:rPr>
          <w:rFonts w:hint="eastAsia" w:ascii="宋体" w:hAnsi="宋体" w:eastAsia="宋体" w:cs="宋体"/>
          <w:sz w:val="24"/>
          <w:szCs w:val="24"/>
          <w:lang w:val="zh-CN"/>
        </w:rPr>
      </w:pPr>
      <w:r>
        <w:rPr>
          <w:rFonts w:hint="eastAsia" w:ascii="宋体" w:hAnsi="宋体" w:eastAsia="宋体" w:cs="宋体"/>
          <w:b/>
          <w:bCs/>
          <w:sz w:val="24"/>
          <w:szCs w:val="24"/>
          <w:lang w:val="en-US" w:eastAsia="zh-CN"/>
        </w:rPr>
        <w:t>五</w:t>
      </w:r>
      <w:r>
        <w:rPr>
          <w:rFonts w:hint="eastAsia" w:ascii="宋体" w:hAnsi="宋体" w:eastAsia="宋体" w:cs="宋体"/>
          <w:b/>
          <w:bCs/>
          <w:sz w:val="24"/>
          <w:szCs w:val="24"/>
          <w:lang w:val="zh-CN"/>
        </w:rPr>
        <w:t>、</w:t>
      </w:r>
      <w:r>
        <w:rPr>
          <w:rFonts w:hint="eastAsia" w:ascii="宋体" w:hAnsi="宋体" w:eastAsia="宋体" w:cs="宋体"/>
          <w:b/>
          <w:bCs/>
          <w:sz w:val="24"/>
          <w:szCs w:val="24"/>
          <w:lang w:val="en-US" w:eastAsia="zh-CN"/>
        </w:rPr>
        <w:t>工</w:t>
      </w:r>
      <w:r>
        <w:rPr>
          <w:rFonts w:hint="eastAsia" w:ascii="宋体" w:hAnsi="宋体" w:eastAsia="宋体" w:cs="宋体"/>
          <w:b/>
          <w:bCs/>
          <w:sz w:val="24"/>
          <w:szCs w:val="24"/>
          <w:lang w:val="zh-CN"/>
        </w:rPr>
        <w:t>期</w:t>
      </w:r>
    </w:p>
    <w:p w14:paraId="5170CAB4">
      <w:pPr>
        <w:spacing w:line="360" w:lineRule="auto"/>
        <w:ind w:firstLine="480" w:firstLineChars="200"/>
        <w:rPr>
          <w:rFonts w:hint="eastAsia" w:ascii="宋体" w:hAnsi="宋体" w:eastAsia="宋体" w:cs="宋体"/>
          <w:bCs/>
          <w:sz w:val="24"/>
          <w:szCs w:val="24"/>
        </w:rPr>
      </w:pPr>
      <w:r>
        <w:rPr>
          <w:rFonts w:hint="eastAsia" w:ascii="宋体" w:hAnsi="宋体" w:eastAsia="宋体" w:cs="宋体"/>
          <w:sz w:val="24"/>
          <w:szCs w:val="24"/>
        </w:rPr>
        <w:t>根据工程进度，配合总承包单位同步完成全部工作内容</w:t>
      </w:r>
      <w:r>
        <w:rPr>
          <w:rFonts w:hint="eastAsia" w:ascii="宋体" w:hAnsi="宋体" w:eastAsia="宋体" w:cs="宋体"/>
          <w:bCs/>
          <w:sz w:val="24"/>
          <w:szCs w:val="24"/>
        </w:rPr>
        <w:t>。</w:t>
      </w:r>
    </w:p>
    <w:p w14:paraId="3B8F7327">
      <w:pPr>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六</w:t>
      </w:r>
      <w:r>
        <w:rPr>
          <w:rFonts w:hint="eastAsia" w:ascii="宋体" w:hAnsi="宋体" w:eastAsia="宋体" w:cs="宋体"/>
          <w:b/>
          <w:sz w:val="24"/>
          <w:szCs w:val="24"/>
        </w:rPr>
        <w:t>、付款方式</w:t>
      </w:r>
    </w:p>
    <w:p w14:paraId="2092B4BD">
      <w:pPr>
        <w:spacing w:line="360" w:lineRule="auto"/>
        <w:ind w:firstLine="360" w:firstLineChars="150"/>
        <w:rPr>
          <w:rFonts w:hint="eastAsia" w:ascii="宋体" w:hAnsi="宋体" w:eastAsia="宋体" w:cs="宋体"/>
          <w:color w:val="auto"/>
          <w:sz w:val="24"/>
          <w:szCs w:val="24"/>
          <w:lang w:val="zh-CN"/>
        </w:rPr>
      </w:pPr>
      <w:r>
        <w:rPr>
          <w:rFonts w:hint="eastAsia" w:ascii="宋体" w:hAnsi="宋体" w:eastAsia="宋体" w:cs="宋体"/>
          <w:sz w:val="24"/>
          <w:szCs w:val="24"/>
          <w:lang w:val="zh-CN"/>
        </w:rPr>
        <w:t>1、</w:t>
      </w:r>
      <w:r>
        <w:rPr>
          <w:rFonts w:hint="eastAsia" w:ascii="宋体" w:hAnsi="宋体" w:cs="宋体"/>
          <w:color w:val="auto"/>
          <w:sz w:val="24"/>
          <w:szCs w:val="24"/>
          <w:lang w:val="zh-CN"/>
        </w:rPr>
        <w:t>合同签订后支付合同金额的30%为备料款（备料款不扣回，抵作设备款），调试结束验收合格后付至合同金额的85%，结算审核完成后付至结算价的97%，余款3%作为质保金，质保金须采用保函形式，保函有效期与保修期时间一致，提交保函后付清全部价款。乙方应在甲方每笔付款前3个工作日开具对应金额的合法有效增值税发票并交付甲方，否则甲方有权顺延付款且不承担任何责任。工程质量保证金可</w:t>
      </w:r>
      <w:r>
        <w:rPr>
          <w:rFonts w:hint="eastAsia" w:ascii="宋体" w:hAnsi="宋体" w:eastAsia="宋体" w:cs="宋体"/>
          <w:color w:val="auto"/>
          <w:sz w:val="24"/>
          <w:szCs w:val="24"/>
          <w:lang w:val="zh-CN"/>
        </w:rPr>
        <w:t>采用现金或保函形式。</w:t>
      </w:r>
    </w:p>
    <w:p w14:paraId="430AB34E">
      <w:pPr>
        <w:spacing w:line="360" w:lineRule="auto"/>
        <w:ind w:firstLine="360" w:firstLineChars="150"/>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甲方支付各节点款项前，有权优先扣除乙方依约应当承担的违约金、赔偿款等费用后再支付剩余款项</w:t>
      </w:r>
    </w:p>
    <w:p w14:paraId="2844BD32">
      <w:pPr>
        <w:spacing w:line="360" w:lineRule="auto"/>
        <w:ind w:firstLine="360" w:firstLineChars="150"/>
        <w:rPr>
          <w:rFonts w:hint="eastAsia" w:ascii="宋体" w:hAnsi="宋体" w:eastAsia="宋体" w:cs="宋体"/>
          <w:b/>
          <w:sz w:val="24"/>
          <w:szCs w:val="24"/>
        </w:rPr>
      </w:pPr>
      <w:r>
        <w:rPr>
          <w:rFonts w:hint="eastAsia" w:ascii="宋体" w:hAnsi="宋体" w:eastAsia="宋体" w:cs="宋体"/>
          <w:sz w:val="24"/>
          <w:szCs w:val="24"/>
          <w:lang w:val="zh-CN"/>
        </w:rPr>
        <w:t>2、当招标人可根据实际情况增加或减少工程量，中标人须无条件服从，并按实际工程量结算。工程量不论增减多少，单价不变，中标人不得拒绝。结算时中标人必须根据实际使用量供货及安装，最终结算金额按实际使用量乘以成交单价进行计算。</w:t>
      </w:r>
      <w:r>
        <w:rPr>
          <w:rFonts w:hint="eastAsia" w:ascii="宋体" w:hAnsi="宋体" w:eastAsia="宋体" w:cs="宋体"/>
          <w:b/>
          <w:sz w:val="24"/>
          <w:szCs w:val="24"/>
        </w:rPr>
        <w:t xml:space="preserve"> </w:t>
      </w:r>
    </w:p>
    <w:p w14:paraId="3D794AC9">
      <w:pPr>
        <w:rPr>
          <w:rFonts w:hint="eastAsia" w:ascii="宋体" w:hAnsi="宋体" w:cs="宋体"/>
          <w:sz w:val="21"/>
          <w:szCs w:val="21"/>
          <w:highlight w:val="none"/>
          <w:lang w:bidi="ar-SA"/>
        </w:rPr>
      </w:pPr>
      <w:r>
        <w:rPr>
          <w:rFonts w:hint="eastAsia" w:ascii="宋体" w:hAnsi="宋体" w:cs="宋体"/>
          <w:sz w:val="21"/>
          <w:szCs w:val="21"/>
          <w:highlight w:val="none"/>
          <w:lang w:bidi="ar-SA"/>
        </w:rPr>
        <w:br w:type="page"/>
      </w:r>
    </w:p>
    <w:p w14:paraId="618436BB">
      <w:pPr>
        <w:spacing w:line="400" w:lineRule="exact"/>
        <w:jc w:val="center"/>
        <w:rPr>
          <w:rStyle w:val="120"/>
          <w:rFonts w:hint="eastAsia" w:ascii="宋体" w:hAnsi="宋体" w:eastAsia="宋体" w:cs="宋体"/>
          <w:color w:val="auto"/>
          <w:sz w:val="30"/>
          <w:szCs w:val="30"/>
          <w:highlight w:val="none"/>
        </w:rPr>
      </w:pPr>
      <w:r>
        <w:rPr>
          <w:rStyle w:val="120"/>
          <w:rFonts w:hint="eastAsia" w:ascii="宋体" w:hAnsi="宋体" w:eastAsia="宋体" w:cs="宋体"/>
          <w:color w:val="auto"/>
          <w:sz w:val="30"/>
          <w:szCs w:val="30"/>
          <w:highlight w:val="none"/>
        </w:rPr>
        <w:t>第三章  谈判须知</w:t>
      </w:r>
      <w:bookmarkEnd w:id="7"/>
      <w:bookmarkEnd w:id="8"/>
    </w:p>
    <w:p w14:paraId="7DC9C974">
      <w:pPr>
        <w:snapToGrid w:val="0"/>
        <w:spacing w:before="120" w:beforeLines="50" w:after="120" w:afterLines="50" w:line="280" w:lineRule="exact"/>
        <w:ind w:left="476"/>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前附表</w:t>
      </w:r>
    </w:p>
    <w:tbl>
      <w:tblPr>
        <w:tblStyle w:val="51"/>
        <w:tblW w:w="1033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60"/>
        <w:gridCol w:w="9574"/>
      </w:tblGrid>
      <w:tr w14:paraId="48D9A8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3" w:hRule="atLeast"/>
          <w:jc w:val="center"/>
        </w:trPr>
        <w:tc>
          <w:tcPr>
            <w:tcW w:w="760" w:type="dxa"/>
            <w:tcBorders>
              <w:top w:val="single" w:color="auto" w:sz="4" w:space="0"/>
              <w:left w:val="single" w:color="auto" w:sz="4" w:space="0"/>
              <w:bottom w:val="single" w:color="auto" w:sz="4" w:space="0"/>
              <w:right w:val="single" w:color="auto" w:sz="4" w:space="0"/>
            </w:tcBorders>
            <w:vAlign w:val="center"/>
          </w:tcPr>
          <w:p w14:paraId="5F261284">
            <w:pPr>
              <w:keepNext w:val="0"/>
              <w:keepLines w:val="0"/>
              <w:pageBreakBefore w:val="0"/>
              <w:kinsoku/>
              <w:wordWrap/>
              <w:overflowPunct/>
              <w:topLinePunct w:val="0"/>
              <w:bidi w:val="0"/>
              <w:adjustRightInd/>
              <w:snapToGrid w:val="0"/>
              <w:spacing w:line="288"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9574" w:type="dxa"/>
            <w:tcBorders>
              <w:top w:val="single" w:color="auto" w:sz="4" w:space="0"/>
              <w:left w:val="single" w:color="auto" w:sz="4" w:space="0"/>
              <w:bottom w:val="single" w:color="auto" w:sz="4" w:space="0"/>
              <w:right w:val="single" w:color="auto" w:sz="4" w:space="0"/>
            </w:tcBorders>
            <w:vAlign w:val="center"/>
          </w:tcPr>
          <w:p w14:paraId="2F7D31F6">
            <w:pPr>
              <w:keepNext w:val="0"/>
              <w:keepLines w:val="0"/>
              <w:pageBreakBefore w:val="0"/>
              <w:kinsoku/>
              <w:wordWrap/>
              <w:overflowPunct/>
              <w:topLinePunct w:val="0"/>
              <w:bidi w:val="0"/>
              <w:adjustRightInd/>
              <w:snapToGrid w:val="0"/>
              <w:spacing w:line="288"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内容、要求</w:t>
            </w:r>
          </w:p>
        </w:tc>
      </w:tr>
      <w:tr w14:paraId="7B89F6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3" w:hRule="atLeast"/>
          <w:jc w:val="center"/>
        </w:trPr>
        <w:tc>
          <w:tcPr>
            <w:tcW w:w="760" w:type="dxa"/>
            <w:tcBorders>
              <w:top w:val="single" w:color="auto" w:sz="4" w:space="0"/>
              <w:left w:val="single" w:color="auto" w:sz="4" w:space="0"/>
              <w:bottom w:val="single" w:color="auto" w:sz="4" w:space="0"/>
              <w:right w:val="single" w:color="auto" w:sz="4" w:space="0"/>
            </w:tcBorders>
            <w:vAlign w:val="center"/>
          </w:tcPr>
          <w:p w14:paraId="398B0536">
            <w:pPr>
              <w:keepNext w:val="0"/>
              <w:keepLines w:val="0"/>
              <w:pageBreakBefore w:val="0"/>
              <w:kinsoku/>
              <w:wordWrap/>
              <w:overflowPunct/>
              <w:topLinePunct w:val="0"/>
              <w:bidi w:val="0"/>
              <w:adjustRightInd/>
              <w:snapToGrid w:val="0"/>
              <w:spacing w:line="288"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9574" w:type="dxa"/>
            <w:tcBorders>
              <w:top w:val="single" w:color="auto" w:sz="4" w:space="0"/>
              <w:left w:val="single" w:color="auto" w:sz="4" w:space="0"/>
              <w:bottom w:val="single" w:color="auto" w:sz="4" w:space="0"/>
              <w:right w:val="single" w:color="auto" w:sz="4" w:space="0"/>
            </w:tcBorders>
            <w:vAlign w:val="center"/>
          </w:tcPr>
          <w:p w14:paraId="77C2C869">
            <w:pPr>
              <w:pStyle w:val="46"/>
              <w:keepNext w:val="0"/>
              <w:keepLines w:val="0"/>
              <w:pageBreakBefore w:val="0"/>
              <w:kinsoku/>
              <w:wordWrap/>
              <w:overflowPunct/>
              <w:topLinePunct w:val="0"/>
              <w:bidi w:val="0"/>
              <w:adjustRightInd/>
              <w:spacing w:before="0" w:beforeAutospacing="0" w:after="0" w:afterAutospacing="0" w:line="288" w:lineRule="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rPr>
              <w:t>项目名称：</w:t>
            </w:r>
            <w:r>
              <w:rPr>
                <w:rFonts w:hint="eastAsia" w:cs="宋体"/>
                <w:color w:val="auto"/>
                <w:sz w:val="24"/>
                <w:szCs w:val="24"/>
                <w:highlight w:val="none"/>
                <w:lang w:eastAsia="zh-CN"/>
              </w:rPr>
              <w:t>邵家渡共富小微企业创业园（一期）项目气体灭火系统</w:t>
            </w:r>
          </w:p>
        </w:tc>
      </w:tr>
      <w:tr w14:paraId="419F15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760" w:type="dxa"/>
            <w:tcBorders>
              <w:top w:val="single" w:color="auto" w:sz="4" w:space="0"/>
              <w:left w:val="single" w:color="auto" w:sz="4" w:space="0"/>
              <w:bottom w:val="single" w:color="auto" w:sz="4" w:space="0"/>
              <w:right w:val="single" w:color="auto" w:sz="4" w:space="0"/>
            </w:tcBorders>
            <w:vAlign w:val="center"/>
          </w:tcPr>
          <w:p w14:paraId="708E3FDD">
            <w:pPr>
              <w:keepNext w:val="0"/>
              <w:keepLines w:val="0"/>
              <w:pageBreakBefore w:val="0"/>
              <w:kinsoku/>
              <w:wordWrap/>
              <w:overflowPunct/>
              <w:topLinePunct w:val="0"/>
              <w:bidi w:val="0"/>
              <w:adjustRightInd/>
              <w:snapToGrid w:val="0"/>
              <w:spacing w:line="288"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9574" w:type="dxa"/>
            <w:tcBorders>
              <w:top w:val="single" w:color="auto" w:sz="4" w:space="0"/>
              <w:left w:val="single" w:color="auto" w:sz="4" w:space="0"/>
              <w:bottom w:val="single" w:color="auto" w:sz="4" w:space="0"/>
              <w:right w:val="single" w:color="auto" w:sz="4" w:space="0"/>
            </w:tcBorders>
            <w:vAlign w:val="center"/>
          </w:tcPr>
          <w:p w14:paraId="19B3BBC8">
            <w:pPr>
              <w:keepNext w:val="0"/>
              <w:keepLines w:val="0"/>
              <w:pageBreakBefore w:val="0"/>
              <w:kinsoku/>
              <w:wordWrap/>
              <w:overflowPunct/>
              <w:topLinePunct w:val="0"/>
              <w:bidi w:val="0"/>
              <w:adjustRightInd/>
              <w:snapToGrid w:val="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采购内容及数量：详见“第二章 招标需求”</w:t>
            </w:r>
          </w:p>
        </w:tc>
      </w:tr>
      <w:tr w14:paraId="775D55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5" w:hRule="atLeast"/>
          <w:jc w:val="center"/>
        </w:trPr>
        <w:tc>
          <w:tcPr>
            <w:tcW w:w="760" w:type="dxa"/>
            <w:tcBorders>
              <w:top w:val="single" w:color="auto" w:sz="4" w:space="0"/>
              <w:left w:val="single" w:color="auto" w:sz="4" w:space="0"/>
              <w:bottom w:val="single" w:color="auto" w:sz="4" w:space="0"/>
              <w:right w:val="single" w:color="auto" w:sz="4" w:space="0"/>
            </w:tcBorders>
            <w:vAlign w:val="center"/>
          </w:tcPr>
          <w:p w14:paraId="2A157A4A">
            <w:pPr>
              <w:keepNext w:val="0"/>
              <w:keepLines w:val="0"/>
              <w:pageBreakBefore w:val="0"/>
              <w:kinsoku/>
              <w:wordWrap/>
              <w:overflowPunct/>
              <w:topLinePunct w:val="0"/>
              <w:bidi w:val="0"/>
              <w:adjustRightInd/>
              <w:snapToGrid w:val="0"/>
              <w:spacing w:line="288"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9574" w:type="dxa"/>
            <w:tcBorders>
              <w:top w:val="single" w:color="auto" w:sz="4" w:space="0"/>
              <w:left w:val="single" w:color="auto" w:sz="4" w:space="0"/>
              <w:bottom w:val="single" w:color="auto" w:sz="4" w:space="0"/>
              <w:right w:val="single" w:color="auto" w:sz="4" w:space="0"/>
            </w:tcBorders>
            <w:vAlign w:val="center"/>
          </w:tcPr>
          <w:p w14:paraId="05D71B35">
            <w:pPr>
              <w:keepNext w:val="0"/>
              <w:keepLines w:val="0"/>
              <w:pageBreakBefore w:val="0"/>
              <w:numPr>
                <w:ilvl w:val="0"/>
                <w:numId w:val="0"/>
              </w:numPr>
              <w:kinsoku/>
              <w:wordWrap/>
              <w:overflowPunct/>
              <w:topLinePunct w:val="0"/>
              <w:bidi w:val="0"/>
              <w:adjustRightInd/>
              <w:snapToGrid w:val="0"/>
              <w:spacing w:line="288" w:lineRule="auto"/>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rPr>
              <w:t>投标报价及费用：1、本项目投标应以人民币报价；2、不论投标结果如何，投标人均应自行承担所有与投标有关的全部费用；3、</w:t>
            </w:r>
            <w:r>
              <w:rPr>
                <w:rFonts w:hint="eastAsia" w:ascii="宋体" w:hAnsi="宋体" w:eastAsia="宋体" w:cs="宋体"/>
                <w:color w:val="auto"/>
                <w:sz w:val="24"/>
                <w:szCs w:val="24"/>
                <w:highlight w:val="none"/>
                <w:shd w:val="clear" w:color="auto" w:fill="auto"/>
                <w:lang w:bidi="ar-SA"/>
              </w:rPr>
              <w:t>本项目招标代理服务费由</w:t>
            </w:r>
            <w:r>
              <w:rPr>
                <w:rFonts w:hint="eastAsia" w:ascii="宋体" w:hAnsi="宋体" w:cs="宋体"/>
                <w:color w:val="auto"/>
                <w:sz w:val="24"/>
                <w:szCs w:val="24"/>
                <w:highlight w:val="none"/>
                <w:shd w:val="clear" w:color="auto" w:fill="auto"/>
                <w:lang w:val="en-US" w:eastAsia="zh-CN" w:bidi="ar-SA"/>
              </w:rPr>
              <w:t>招标人</w:t>
            </w:r>
            <w:r>
              <w:rPr>
                <w:rFonts w:hint="eastAsia" w:ascii="宋体" w:hAnsi="宋体" w:eastAsia="宋体" w:cs="宋体"/>
                <w:color w:val="auto"/>
                <w:sz w:val="24"/>
                <w:szCs w:val="24"/>
                <w:highlight w:val="none"/>
                <w:shd w:val="clear" w:color="auto" w:fill="auto"/>
                <w:lang w:bidi="ar-SA"/>
              </w:rPr>
              <w:t>支付给采购代理机构</w:t>
            </w:r>
            <w:r>
              <w:rPr>
                <w:rFonts w:hint="eastAsia" w:ascii="宋体" w:hAnsi="宋体" w:cs="宋体"/>
                <w:color w:val="auto"/>
                <w:sz w:val="24"/>
                <w:szCs w:val="24"/>
                <w:highlight w:val="none"/>
                <w:shd w:val="clear" w:color="auto" w:fill="auto"/>
                <w:lang w:eastAsia="zh-CN" w:bidi="ar-SA"/>
              </w:rPr>
              <w:t>。</w:t>
            </w:r>
          </w:p>
        </w:tc>
      </w:tr>
      <w:tr w14:paraId="4BCAC8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60" w:type="dxa"/>
            <w:tcBorders>
              <w:top w:val="single" w:color="auto" w:sz="4" w:space="0"/>
              <w:left w:val="single" w:color="auto" w:sz="4" w:space="0"/>
              <w:bottom w:val="single" w:color="auto" w:sz="4" w:space="0"/>
              <w:right w:val="single" w:color="auto" w:sz="4" w:space="0"/>
            </w:tcBorders>
            <w:vAlign w:val="center"/>
          </w:tcPr>
          <w:p w14:paraId="26A24603">
            <w:pPr>
              <w:keepNext w:val="0"/>
              <w:keepLines w:val="0"/>
              <w:pageBreakBefore w:val="0"/>
              <w:kinsoku/>
              <w:wordWrap/>
              <w:overflowPunct/>
              <w:topLinePunct w:val="0"/>
              <w:bidi w:val="0"/>
              <w:adjustRightInd/>
              <w:snapToGrid w:val="0"/>
              <w:spacing w:line="288"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9574" w:type="dxa"/>
            <w:tcBorders>
              <w:top w:val="single" w:color="auto" w:sz="4" w:space="0"/>
              <w:left w:val="single" w:color="auto" w:sz="4" w:space="0"/>
              <w:bottom w:val="single" w:color="auto" w:sz="4" w:space="0"/>
              <w:right w:val="single" w:color="auto" w:sz="4" w:space="0"/>
            </w:tcBorders>
            <w:vAlign w:val="center"/>
          </w:tcPr>
          <w:p w14:paraId="4B76AD32">
            <w:pPr>
              <w:keepNext w:val="0"/>
              <w:keepLines w:val="0"/>
              <w:pageBreakBefore w:val="0"/>
              <w:kinsoku/>
              <w:wordWrap/>
              <w:overflowPunct/>
              <w:topLinePunct w:val="0"/>
              <w:bidi w:val="0"/>
              <w:adjustRightInd/>
              <w:snapToGrid w:val="0"/>
              <w:spacing w:line="288"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现场踏勘</w:t>
            </w:r>
            <w:r>
              <w:rPr>
                <w:rFonts w:hint="eastAsia" w:ascii="宋体" w:hAnsi="宋体" w:eastAsia="宋体" w:cs="宋体"/>
                <w:color w:val="auto"/>
                <w:sz w:val="24"/>
                <w:szCs w:val="24"/>
                <w:highlight w:val="none"/>
              </w:rPr>
              <w:t>：供应商可对项目现场和周围环境进行踏勘，现场踏勘时供应商按照图纸（如有）、竞争性谈判文件等技术性资料比对现场实际参数，如有问题，由供应商发起书面质疑，如无质疑，即认为满足采购条件，由供应商承担相应风险。踏勘现场所发生的费用由供应商自己承担。</w:t>
            </w:r>
          </w:p>
        </w:tc>
      </w:tr>
      <w:tr w14:paraId="40003E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60" w:type="dxa"/>
            <w:tcBorders>
              <w:top w:val="single" w:color="auto" w:sz="4" w:space="0"/>
              <w:left w:val="single" w:color="auto" w:sz="4" w:space="0"/>
              <w:bottom w:val="single" w:color="auto" w:sz="4" w:space="0"/>
              <w:right w:val="single" w:color="auto" w:sz="4" w:space="0"/>
            </w:tcBorders>
            <w:vAlign w:val="center"/>
          </w:tcPr>
          <w:p w14:paraId="61B7584A">
            <w:pPr>
              <w:keepNext w:val="0"/>
              <w:keepLines w:val="0"/>
              <w:pageBreakBefore w:val="0"/>
              <w:kinsoku/>
              <w:wordWrap/>
              <w:overflowPunct/>
              <w:topLinePunct w:val="0"/>
              <w:bidi w:val="0"/>
              <w:adjustRightInd/>
              <w:snapToGrid w:val="0"/>
              <w:spacing w:line="288"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9574" w:type="dxa"/>
            <w:tcBorders>
              <w:top w:val="single" w:color="auto" w:sz="4" w:space="0"/>
              <w:left w:val="single" w:color="auto" w:sz="4" w:space="0"/>
              <w:bottom w:val="single" w:color="auto" w:sz="4" w:space="0"/>
              <w:right w:val="single" w:color="auto" w:sz="4" w:space="0"/>
            </w:tcBorders>
            <w:vAlign w:val="center"/>
          </w:tcPr>
          <w:p w14:paraId="69848C37">
            <w:pPr>
              <w:keepNext w:val="0"/>
              <w:keepLines w:val="0"/>
              <w:pageBreakBefore w:val="0"/>
              <w:kinsoku/>
              <w:wordWrap/>
              <w:overflowPunct/>
              <w:topLinePunct w:val="0"/>
              <w:bidi w:val="0"/>
              <w:adjustRightInd/>
              <w:snapToGrid w:val="0"/>
              <w:spacing w:line="288"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答疑与澄清</w:t>
            </w:r>
            <w:r>
              <w:rPr>
                <w:rFonts w:hint="eastAsia" w:ascii="宋体" w:hAnsi="宋体" w:eastAsia="宋体" w:cs="宋体"/>
                <w:color w:val="auto"/>
                <w:sz w:val="24"/>
                <w:szCs w:val="24"/>
                <w:highlight w:val="none"/>
              </w:rPr>
              <w:t>：</w:t>
            </w:r>
            <w:r>
              <w:rPr>
                <w:rFonts w:hint="eastAsia" w:ascii="宋体" w:hAnsi="宋体" w:eastAsia="宋体" w:cs="宋体"/>
                <w:b/>
                <w:color w:val="auto"/>
                <w:sz w:val="24"/>
                <w:szCs w:val="24"/>
                <w:highlight w:val="none"/>
              </w:rPr>
              <w:t>潜在供应商已依法获取其可质疑的竞争性谈判文件的，可以以书面形式向招标人就该文件提出质疑。对竞争性谈判文件提出质疑的，应在投标截止前1天提出问题及要求澄清招标文件，否则被质疑人可不予接受。</w:t>
            </w:r>
            <w:r>
              <w:rPr>
                <w:rFonts w:hint="eastAsia" w:ascii="宋体" w:hAnsi="宋体" w:eastAsia="宋体" w:cs="宋体"/>
                <w:b/>
                <w:color w:val="auto"/>
                <w:sz w:val="24"/>
                <w:szCs w:val="24"/>
                <w:highlight w:val="none"/>
                <w:shd w:val="pct10" w:color="auto" w:fill="FFFFFF"/>
              </w:rPr>
              <w:t>供应商在质疑期内应一次性提出针对同一采购程序环节的质疑。</w:t>
            </w:r>
            <w:r>
              <w:rPr>
                <w:rFonts w:hint="eastAsia" w:ascii="宋体" w:hAnsi="宋体" w:eastAsia="宋体" w:cs="宋体"/>
                <w:color w:val="auto"/>
                <w:sz w:val="24"/>
                <w:szCs w:val="24"/>
                <w:highlight w:val="none"/>
                <w:shd w:val="pct10" w:color="auto" w:fill="FFFFFF"/>
              </w:rPr>
              <w:t>招</w:t>
            </w:r>
            <w:r>
              <w:rPr>
                <w:rFonts w:hint="eastAsia" w:ascii="宋体" w:hAnsi="宋体" w:eastAsia="宋体" w:cs="宋体"/>
                <w:color w:val="auto"/>
                <w:sz w:val="24"/>
                <w:szCs w:val="24"/>
                <w:highlight w:val="none"/>
              </w:rPr>
              <w:t>标人对已发出的竞争性谈判文件进行必要的澄清、答复、修改和补充将以更正公告的形式，通过采购公告发布的网站予以发布。</w:t>
            </w:r>
          </w:p>
        </w:tc>
      </w:tr>
      <w:tr w14:paraId="3D8342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60" w:type="dxa"/>
            <w:tcBorders>
              <w:top w:val="single" w:color="auto" w:sz="4" w:space="0"/>
              <w:left w:val="single" w:color="auto" w:sz="4" w:space="0"/>
              <w:bottom w:val="single" w:color="auto" w:sz="4" w:space="0"/>
              <w:right w:val="single" w:color="auto" w:sz="4" w:space="0"/>
            </w:tcBorders>
            <w:vAlign w:val="center"/>
          </w:tcPr>
          <w:p w14:paraId="4FEBCA6C">
            <w:pPr>
              <w:keepNext w:val="0"/>
              <w:keepLines w:val="0"/>
              <w:pageBreakBefore w:val="0"/>
              <w:kinsoku/>
              <w:wordWrap/>
              <w:overflowPunct/>
              <w:topLinePunct w:val="0"/>
              <w:bidi w:val="0"/>
              <w:adjustRightInd/>
              <w:snapToGrid w:val="0"/>
              <w:spacing w:line="288"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9574" w:type="dxa"/>
            <w:tcBorders>
              <w:top w:val="single" w:color="auto" w:sz="4" w:space="0"/>
              <w:left w:val="single" w:color="auto" w:sz="4" w:space="0"/>
              <w:bottom w:val="single" w:color="auto" w:sz="4" w:space="0"/>
              <w:right w:val="single" w:color="auto" w:sz="4" w:space="0"/>
            </w:tcBorders>
            <w:vAlign w:val="center"/>
          </w:tcPr>
          <w:p w14:paraId="42449D33">
            <w:pPr>
              <w:keepNext w:val="0"/>
              <w:keepLines w:val="0"/>
              <w:pageBreakBefore w:val="0"/>
              <w:kinsoku/>
              <w:wordWrap/>
              <w:overflowPunct/>
              <w:topLinePunct w:val="0"/>
              <w:bidi w:val="0"/>
              <w:adjustRightInd/>
              <w:snapToGrid w:val="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投标截止时间、开标时间及地点：详见“第一章  投标邀请”</w:t>
            </w:r>
          </w:p>
        </w:tc>
      </w:tr>
      <w:tr w14:paraId="398671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3" w:hRule="atLeast"/>
          <w:jc w:val="center"/>
        </w:trPr>
        <w:tc>
          <w:tcPr>
            <w:tcW w:w="760" w:type="dxa"/>
            <w:tcBorders>
              <w:top w:val="single" w:color="auto" w:sz="4" w:space="0"/>
              <w:left w:val="single" w:color="auto" w:sz="4" w:space="0"/>
              <w:bottom w:val="single" w:color="auto" w:sz="4" w:space="0"/>
              <w:right w:val="single" w:color="auto" w:sz="4" w:space="0"/>
            </w:tcBorders>
            <w:vAlign w:val="center"/>
          </w:tcPr>
          <w:p w14:paraId="3EB045C2">
            <w:pPr>
              <w:keepNext w:val="0"/>
              <w:keepLines w:val="0"/>
              <w:pageBreakBefore w:val="0"/>
              <w:kinsoku/>
              <w:wordWrap/>
              <w:overflowPunct/>
              <w:topLinePunct w:val="0"/>
              <w:bidi w:val="0"/>
              <w:adjustRightInd/>
              <w:snapToGrid w:val="0"/>
              <w:spacing w:line="288"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9574" w:type="dxa"/>
            <w:tcBorders>
              <w:top w:val="single" w:color="auto" w:sz="4" w:space="0"/>
              <w:left w:val="single" w:color="auto" w:sz="4" w:space="0"/>
              <w:bottom w:val="single" w:color="auto" w:sz="4" w:space="0"/>
              <w:right w:val="single" w:color="auto" w:sz="4" w:space="0"/>
            </w:tcBorders>
            <w:vAlign w:val="center"/>
          </w:tcPr>
          <w:p w14:paraId="5B5B9BE5">
            <w:pPr>
              <w:keepNext w:val="0"/>
              <w:keepLines w:val="0"/>
              <w:pageBreakBefore w:val="0"/>
              <w:kinsoku/>
              <w:wordWrap/>
              <w:overflowPunct/>
              <w:topLinePunct w:val="0"/>
              <w:autoSpaceDE w:val="0"/>
              <w:autoSpaceDN w:val="0"/>
              <w:bidi w:val="0"/>
              <w:adjustRightInd/>
              <w:snapToGrid w:val="0"/>
              <w:spacing w:line="288" w:lineRule="auto"/>
              <w:textAlignment w:val="bottom"/>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评标办法：本次竞争性谈判采用符合采购需求，质量和服务相等且最后评审报价最低的原则确定成交人</w:t>
            </w:r>
            <w:r>
              <w:rPr>
                <w:rFonts w:hint="eastAsia" w:ascii="宋体" w:hAnsi="宋体" w:eastAsia="宋体" w:cs="宋体"/>
                <w:color w:val="auto"/>
                <w:sz w:val="24"/>
                <w:szCs w:val="24"/>
                <w:highlight w:val="none"/>
                <w:lang w:eastAsia="zh-CN"/>
              </w:rPr>
              <w:t>。</w:t>
            </w:r>
          </w:p>
        </w:tc>
      </w:tr>
      <w:tr w14:paraId="2354E4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jc w:val="center"/>
        </w:trPr>
        <w:tc>
          <w:tcPr>
            <w:tcW w:w="760" w:type="dxa"/>
            <w:tcBorders>
              <w:top w:val="single" w:color="auto" w:sz="4" w:space="0"/>
              <w:left w:val="single" w:color="auto" w:sz="4" w:space="0"/>
              <w:bottom w:val="single" w:color="auto" w:sz="4" w:space="0"/>
              <w:right w:val="single" w:color="auto" w:sz="4" w:space="0"/>
            </w:tcBorders>
            <w:vAlign w:val="center"/>
          </w:tcPr>
          <w:p w14:paraId="0AE812BA">
            <w:pPr>
              <w:keepNext w:val="0"/>
              <w:keepLines w:val="0"/>
              <w:pageBreakBefore w:val="0"/>
              <w:kinsoku/>
              <w:wordWrap/>
              <w:overflowPunct/>
              <w:topLinePunct w:val="0"/>
              <w:bidi w:val="0"/>
              <w:adjustRightInd/>
              <w:snapToGrid w:val="0"/>
              <w:spacing w:line="288"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9574" w:type="dxa"/>
            <w:tcBorders>
              <w:top w:val="single" w:color="auto" w:sz="4" w:space="0"/>
              <w:left w:val="single" w:color="auto" w:sz="4" w:space="0"/>
              <w:bottom w:val="single" w:color="auto" w:sz="4" w:space="0"/>
              <w:right w:val="single" w:color="auto" w:sz="4" w:space="0"/>
            </w:tcBorders>
            <w:vAlign w:val="center"/>
          </w:tcPr>
          <w:p w14:paraId="57806A21">
            <w:pPr>
              <w:keepNext w:val="0"/>
              <w:keepLines w:val="0"/>
              <w:pageBreakBefore w:val="0"/>
              <w:kinsoku/>
              <w:wordWrap/>
              <w:overflowPunct/>
              <w:topLinePunct w:val="0"/>
              <w:autoSpaceDE w:val="0"/>
              <w:autoSpaceDN w:val="0"/>
              <w:bidi w:val="0"/>
              <w:adjustRightInd/>
              <w:snapToGrid w:val="0"/>
              <w:spacing w:line="288" w:lineRule="auto"/>
              <w:textAlignment w:val="bottom"/>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shd w:val="pct10" w:color="auto" w:fill="FFFFFF"/>
              </w:rPr>
              <w:t>▲</w:t>
            </w:r>
            <w:r>
              <w:rPr>
                <w:rFonts w:hint="eastAsia" w:ascii="宋体" w:hAnsi="宋体" w:eastAsia="宋体" w:cs="宋体"/>
                <w:color w:val="auto"/>
                <w:sz w:val="24"/>
                <w:szCs w:val="24"/>
                <w:highlight w:val="none"/>
              </w:rPr>
              <w:t>投标有效期：自投标截止日起</w:t>
            </w:r>
            <w:r>
              <w:rPr>
                <w:rFonts w:hint="eastAsia" w:ascii="宋体" w:hAnsi="宋体" w:eastAsia="宋体" w:cs="宋体"/>
                <w:color w:val="auto"/>
                <w:sz w:val="24"/>
                <w:szCs w:val="24"/>
                <w:highlight w:val="none"/>
                <w:u w:val="single"/>
              </w:rPr>
              <w:t xml:space="preserve"> 90 </w:t>
            </w:r>
            <w:r>
              <w:rPr>
                <w:rFonts w:hint="eastAsia" w:ascii="宋体" w:hAnsi="宋体" w:eastAsia="宋体" w:cs="宋体"/>
                <w:color w:val="auto"/>
                <w:sz w:val="24"/>
                <w:szCs w:val="24"/>
                <w:highlight w:val="none"/>
              </w:rPr>
              <w:t>天投标文件应保持有效</w:t>
            </w:r>
          </w:p>
        </w:tc>
      </w:tr>
      <w:tr w14:paraId="71DA68C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jc w:val="center"/>
        </w:trPr>
        <w:tc>
          <w:tcPr>
            <w:tcW w:w="760" w:type="dxa"/>
            <w:tcBorders>
              <w:top w:val="single" w:color="auto" w:sz="4" w:space="0"/>
              <w:left w:val="single" w:color="auto" w:sz="4" w:space="0"/>
              <w:bottom w:val="single" w:color="auto" w:sz="4" w:space="0"/>
              <w:right w:val="single" w:color="auto" w:sz="4" w:space="0"/>
            </w:tcBorders>
            <w:vAlign w:val="center"/>
          </w:tcPr>
          <w:p w14:paraId="4DC698BB">
            <w:pPr>
              <w:keepNext w:val="0"/>
              <w:keepLines w:val="0"/>
              <w:pageBreakBefore w:val="0"/>
              <w:kinsoku/>
              <w:wordWrap/>
              <w:overflowPunct/>
              <w:topLinePunct w:val="0"/>
              <w:bidi w:val="0"/>
              <w:adjustRightInd/>
              <w:snapToGrid w:val="0"/>
              <w:spacing w:line="288"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9</w:t>
            </w:r>
          </w:p>
        </w:tc>
        <w:tc>
          <w:tcPr>
            <w:tcW w:w="9574" w:type="dxa"/>
            <w:tcBorders>
              <w:top w:val="single" w:color="auto" w:sz="4" w:space="0"/>
              <w:left w:val="single" w:color="auto" w:sz="4" w:space="0"/>
              <w:bottom w:val="single" w:color="auto" w:sz="4" w:space="0"/>
              <w:right w:val="single" w:color="auto" w:sz="4" w:space="0"/>
            </w:tcBorders>
            <w:vAlign w:val="center"/>
          </w:tcPr>
          <w:p w14:paraId="676A444E">
            <w:pPr>
              <w:keepNext w:val="0"/>
              <w:keepLines w:val="0"/>
              <w:pageBreakBefore w:val="0"/>
              <w:kinsoku/>
              <w:wordWrap/>
              <w:overflowPunct/>
              <w:topLinePunct w:val="0"/>
              <w:autoSpaceDE w:val="0"/>
              <w:autoSpaceDN w:val="0"/>
              <w:bidi w:val="0"/>
              <w:adjustRightInd/>
              <w:snapToGrid w:val="0"/>
              <w:spacing w:line="288" w:lineRule="auto"/>
              <w:textAlignment w:val="bottom"/>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shd w:val="pct10" w:color="auto" w:fill="FFFFFF"/>
              </w:rPr>
              <w:t>实质性条款：带▲是实质性条款，投标人不得负偏离或内容缺失，否则为无效标。</w:t>
            </w:r>
          </w:p>
        </w:tc>
      </w:tr>
      <w:tr w14:paraId="3226A2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82" w:hRule="atLeast"/>
          <w:jc w:val="center"/>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14:paraId="773D0163">
            <w:pPr>
              <w:keepNext w:val="0"/>
              <w:keepLines w:val="0"/>
              <w:pageBreakBefore w:val="0"/>
              <w:kinsoku/>
              <w:wordWrap/>
              <w:overflowPunct/>
              <w:topLinePunct w:val="0"/>
              <w:bidi w:val="0"/>
              <w:adjustRightInd/>
              <w:snapToGrid w:val="0"/>
              <w:spacing w:line="288"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10</w:t>
            </w:r>
          </w:p>
        </w:tc>
        <w:tc>
          <w:tcPr>
            <w:tcW w:w="9574" w:type="dxa"/>
            <w:tcBorders>
              <w:top w:val="single" w:color="auto" w:sz="4" w:space="0"/>
              <w:left w:val="single" w:color="auto" w:sz="4" w:space="0"/>
              <w:bottom w:val="single" w:color="auto" w:sz="4" w:space="0"/>
              <w:right w:val="single" w:color="auto" w:sz="4" w:space="0"/>
            </w:tcBorders>
            <w:vAlign w:val="center"/>
          </w:tcPr>
          <w:p w14:paraId="61E71B29">
            <w:pPr>
              <w:keepNext w:val="0"/>
              <w:keepLines w:val="0"/>
              <w:pageBreakBefore w:val="0"/>
              <w:kinsoku/>
              <w:wordWrap/>
              <w:overflowPunct/>
              <w:topLinePunct w:val="0"/>
              <w:autoSpaceDE w:val="0"/>
              <w:autoSpaceDN w:val="0"/>
              <w:bidi w:val="0"/>
              <w:adjustRightInd/>
              <w:snapToGrid w:val="0"/>
              <w:spacing w:line="288" w:lineRule="auto"/>
              <w:textAlignment w:val="bottom"/>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中标公告及中标通知书：评标结束后</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个工作日内，中标公告发布于</w:t>
            </w:r>
            <w:r>
              <w:rPr>
                <w:rFonts w:hint="eastAsia" w:ascii="宋体" w:hAnsi="宋体" w:cs="宋体"/>
                <w:color w:val="auto"/>
                <w:sz w:val="24"/>
                <w:szCs w:val="24"/>
                <w:highlight w:val="none"/>
                <w:lang w:eastAsia="zh-CN"/>
              </w:rPr>
              <w:t>招标</w:t>
            </w:r>
            <w:r>
              <w:rPr>
                <w:rFonts w:hint="eastAsia" w:ascii="宋体" w:hAnsi="宋体" w:eastAsia="宋体" w:cs="宋体"/>
                <w:color w:val="auto"/>
                <w:sz w:val="24"/>
                <w:szCs w:val="24"/>
                <w:highlight w:val="none"/>
              </w:rPr>
              <w:t>公告发布的网站（临海市限额以下公共资源交易区域平台）</w:t>
            </w:r>
          </w:p>
        </w:tc>
      </w:tr>
      <w:tr w14:paraId="15E655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3" w:hRule="atLeast"/>
          <w:jc w:val="center"/>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14:paraId="5C7AB349">
            <w:pPr>
              <w:keepNext w:val="0"/>
              <w:keepLines w:val="0"/>
              <w:pageBreakBefore w:val="0"/>
              <w:kinsoku/>
              <w:wordWrap/>
              <w:overflowPunct/>
              <w:topLinePunct w:val="0"/>
              <w:bidi w:val="0"/>
              <w:adjustRightInd/>
              <w:snapToGrid w:val="0"/>
              <w:spacing w:line="288"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1</w:t>
            </w:r>
          </w:p>
        </w:tc>
        <w:tc>
          <w:tcPr>
            <w:tcW w:w="9574" w:type="dxa"/>
            <w:tcBorders>
              <w:top w:val="single" w:color="auto" w:sz="4" w:space="0"/>
              <w:left w:val="single" w:color="auto" w:sz="4" w:space="0"/>
              <w:bottom w:val="single" w:color="auto" w:sz="4" w:space="0"/>
              <w:right w:val="single" w:color="auto" w:sz="4" w:space="0"/>
            </w:tcBorders>
            <w:vAlign w:val="center"/>
          </w:tcPr>
          <w:p w14:paraId="217A4CE8">
            <w:pPr>
              <w:keepNext w:val="0"/>
              <w:keepLines w:val="0"/>
              <w:pageBreakBefore w:val="0"/>
              <w:kinsoku/>
              <w:wordWrap/>
              <w:overflowPunct/>
              <w:topLinePunct w:val="0"/>
              <w:autoSpaceDE w:val="0"/>
              <w:autoSpaceDN w:val="0"/>
              <w:bidi w:val="0"/>
              <w:adjustRightInd/>
              <w:snapToGrid w:val="0"/>
              <w:spacing w:line="288" w:lineRule="auto"/>
              <w:textAlignment w:val="bottom"/>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签订合同时间：中标通知书发出后30日内。</w:t>
            </w:r>
          </w:p>
        </w:tc>
      </w:tr>
      <w:tr w14:paraId="126C70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5" w:hRule="atLeast"/>
          <w:jc w:val="center"/>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14:paraId="5293E125">
            <w:pPr>
              <w:keepNext w:val="0"/>
              <w:keepLines w:val="0"/>
              <w:pageBreakBefore w:val="0"/>
              <w:kinsoku/>
              <w:wordWrap/>
              <w:overflowPunct/>
              <w:topLinePunct w:val="0"/>
              <w:bidi w:val="0"/>
              <w:adjustRightInd/>
              <w:snapToGrid w:val="0"/>
              <w:spacing w:line="288"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2</w:t>
            </w:r>
          </w:p>
        </w:tc>
        <w:tc>
          <w:tcPr>
            <w:tcW w:w="9574" w:type="dxa"/>
            <w:tcBorders>
              <w:top w:val="single" w:color="auto" w:sz="4" w:space="0"/>
              <w:left w:val="single" w:color="auto" w:sz="4" w:space="0"/>
              <w:bottom w:val="single" w:color="auto" w:sz="4" w:space="0"/>
              <w:right w:val="single" w:color="auto" w:sz="4" w:space="0"/>
            </w:tcBorders>
            <w:vAlign w:val="center"/>
          </w:tcPr>
          <w:p w14:paraId="1AC3E6C7">
            <w:pPr>
              <w:pStyle w:val="3"/>
              <w:keepNext w:val="0"/>
              <w:keepLines w:val="0"/>
              <w:pageBreakBefore w:val="0"/>
              <w:kinsoku/>
              <w:wordWrap/>
              <w:overflowPunct/>
              <w:topLinePunct w:val="0"/>
              <w:bidi w:val="0"/>
              <w:adjustRightInd/>
              <w:spacing w:after="80" w:line="288" w:lineRule="auto"/>
              <w:jc w:val="left"/>
              <w:rPr>
                <w:rFonts w:hint="eastAsia" w:ascii="宋体" w:hAnsi="宋体" w:eastAsia="宋体" w:cs="宋体"/>
                <w:color w:val="auto"/>
                <w:sz w:val="24"/>
                <w:szCs w:val="24"/>
                <w:highlight w:val="none"/>
                <w:lang w:val="en-US" w:eastAsia="zh-CN"/>
              </w:rPr>
            </w:pPr>
            <w:r>
              <w:rPr>
                <w:rFonts w:hint="eastAsia" w:ascii="宋体" w:hAnsi="宋体" w:cs="宋体"/>
                <w:sz w:val="24"/>
                <w:szCs w:val="24"/>
                <w:highlight w:val="none"/>
                <w:lang w:bidi="ar-SA"/>
              </w:rPr>
              <w:t>▲</w:t>
            </w:r>
            <w:r>
              <w:rPr>
                <w:rFonts w:hint="eastAsia" w:ascii="宋体" w:hAnsi="宋体" w:eastAsia="宋体" w:cs="宋体"/>
                <w:color w:val="auto"/>
                <w:sz w:val="24"/>
                <w:szCs w:val="24"/>
                <w:highlight w:val="none"/>
              </w:rPr>
              <w:t>付款方式：</w:t>
            </w:r>
            <w:r>
              <w:rPr>
                <w:rFonts w:hint="eastAsia" w:ascii="宋体" w:hAnsi="宋体" w:cs="宋体"/>
                <w:color w:val="auto"/>
                <w:sz w:val="24"/>
                <w:szCs w:val="24"/>
                <w:highlight w:val="none"/>
                <w:lang w:val="zh-CN"/>
              </w:rPr>
              <w:t>合同签订后支付合同金额的30%为备料款（备料款不扣回，抵作设备款），调试结束验收合格后付至合同金额的85%，结算审核完成后付至结算价的97%，余款3%作为质保金，质保金须采用保函形式，保函有效期与保修期时间一致，提交保函后付清全部价款。乙方应在甲方每笔付款前3个工作日开具对应金额的合法有效增值税发票并交付甲方，否则甲方有权顺延付款且不承担任何责任。工程质量保证金可采用现金或保函形式</w:t>
            </w:r>
            <w:r>
              <w:rPr>
                <w:rFonts w:hint="eastAsia" w:ascii="宋体" w:hAnsi="宋体" w:eastAsia="宋体" w:cs="宋体"/>
                <w:sz w:val="21"/>
                <w:szCs w:val="21"/>
                <w:lang w:val="zh-CN"/>
              </w:rPr>
              <w:t>。</w:t>
            </w:r>
          </w:p>
        </w:tc>
      </w:tr>
      <w:tr w14:paraId="424287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8" w:hRule="atLeast"/>
          <w:jc w:val="center"/>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14:paraId="4BD47125">
            <w:pPr>
              <w:keepNext w:val="0"/>
              <w:keepLines w:val="0"/>
              <w:pageBreakBefore w:val="0"/>
              <w:kinsoku/>
              <w:wordWrap/>
              <w:overflowPunct/>
              <w:topLinePunct w:val="0"/>
              <w:bidi w:val="0"/>
              <w:adjustRightInd/>
              <w:snapToGrid w:val="0"/>
              <w:spacing w:line="288"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3</w:t>
            </w:r>
          </w:p>
        </w:tc>
        <w:tc>
          <w:tcPr>
            <w:tcW w:w="9574" w:type="dxa"/>
            <w:tcBorders>
              <w:top w:val="single" w:color="auto" w:sz="4" w:space="0"/>
              <w:left w:val="single" w:color="auto" w:sz="4" w:space="0"/>
              <w:bottom w:val="single" w:color="auto" w:sz="4" w:space="0"/>
              <w:right w:val="single" w:color="auto" w:sz="4" w:space="0"/>
            </w:tcBorders>
            <w:vAlign w:val="center"/>
          </w:tcPr>
          <w:p w14:paraId="62D9D3F6">
            <w:pPr>
              <w:keepNext w:val="0"/>
              <w:keepLines w:val="0"/>
              <w:pageBreakBefore w:val="0"/>
              <w:kinsoku/>
              <w:wordWrap/>
              <w:overflowPunct/>
              <w:topLinePunct w:val="0"/>
              <w:bidi w:val="0"/>
              <w:adjustRightInd/>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履约保证金的收取及退还:</w:t>
            </w:r>
          </w:p>
          <w:p w14:paraId="51BB536B">
            <w:pPr>
              <w:keepNext w:val="0"/>
              <w:keepLines w:val="0"/>
              <w:pageBreakBefore w:val="0"/>
              <w:kinsoku/>
              <w:wordWrap/>
              <w:overflowPunct/>
              <w:topLinePunct w:val="0"/>
              <w:bidi w:val="0"/>
              <w:adjustRightInd/>
              <w:spacing w:line="288"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履约保证金</w:t>
            </w:r>
            <w:r>
              <w:rPr>
                <w:rFonts w:hint="eastAsia" w:ascii="宋体" w:hAnsi="宋体" w:eastAsia="宋体" w:cs="宋体"/>
                <w:color w:val="auto"/>
                <w:sz w:val="24"/>
                <w:szCs w:val="24"/>
                <w:highlight w:val="none"/>
                <w:lang w:eastAsia="zh-CN"/>
              </w:rPr>
              <w:t>金额：按中标价的1%收取，领取中标通知书前缴纳至临海市产权交易所有限公司中心账户。验收合格后凭《临海市采购验收单》在系统中向临海市产权交易所有限公司退还。</w:t>
            </w:r>
          </w:p>
          <w:p w14:paraId="3D1E00C8">
            <w:pPr>
              <w:keepNext w:val="0"/>
              <w:keepLines w:val="0"/>
              <w:pageBreakBefore w:val="0"/>
              <w:kinsoku/>
              <w:wordWrap/>
              <w:overflowPunct/>
              <w:topLinePunct w:val="0"/>
              <w:bidi w:val="0"/>
              <w:adjustRightInd/>
              <w:spacing w:line="288"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履约保证金形式：转账（转账的须从本中心注册的银行基本账户汇出）或履约担保。</w:t>
            </w:r>
          </w:p>
          <w:p w14:paraId="11D312BD">
            <w:pPr>
              <w:keepNext w:val="0"/>
              <w:keepLines w:val="0"/>
              <w:pageBreakBefore w:val="0"/>
              <w:kinsoku/>
              <w:wordWrap/>
              <w:overflowPunct/>
              <w:topLinePunct w:val="0"/>
              <w:bidi w:val="0"/>
              <w:adjustRightInd/>
              <w:spacing w:line="288"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①转账：</w:t>
            </w:r>
          </w:p>
          <w:p w14:paraId="53784169">
            <w:pPr>
              <w:keepNext w:val="0"/>
              <w:keepLines w:val="0"/>
              <w:pageBreakBefore w:val="0"/>
              <w:kinsoku/>
              <w:wordWrap/>
              <w:overflowPunct/>
              <w:topLinePunct w:val="0"/>
              <w:bidi w:val="0"/>
              <w:adjustRightInd/>
              <w:spacing w:line="288"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开户名：临海市产权交易所有限公司</w:t>
            </w:r>
          </w:p>
          <w:p w14:paraId="666E7672">
            <w:pPr>
              <w:keepNext w:val="0"/>
              <w:keepLines w:val="0"/>
              <w:pageBreakBefore w:val="0"/>
              <w:kinsoku/>
              <w:wordWrap/>
              <w:overflowPunct/>
              <w:topLinePunct w:val="0"/>
              <w:bidi w:val="0"/>
              <w:adjustRightInd/>
              <w:spacing w:line="288"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开户行：浙江临海农村商业银行股份有限公司科技支行；</w:t>
            </w:r>
          </w:p>
          <w:p w14:paraId="4106A3EC">
            <w:pPr>
              <w:keepNext w:val="0"/>
              <w:keepLines w:val="0"/>
              <w:pageBreakBefore w:val="0"/>
              <w:kinsoku/>
              <w:wordWrap/>
              <w:overflowPunct/>
              <w:topLinePunct w:val="0"/>
              <w:bidi w:val="0"/>
              <w:adjustRightInd/>
              <w:spacing w:line="288"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履约保证金账号：201000105503123000002</w:t>
            </w:r>
          </w:p>
          <w:p w14:paraId="6687DC3B">
            <w:pPr>
              <w:keepNext w:val="0"/>
              <w:keepLines w:val="0"/>
              <w:pageBreakBefore w:val="0"/>
              <w:kinsoku/>
              <w:wordWrap/>
              <w:overflowPunct/>
              <w:topLinePunct w:val="0"/>
              <w:bidi w:val="0"/>
              <w:adjustRightInd/>
              <w:spacing w:line="288"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②履约担保可以采用保函（银行保函或保险机构保证保险保单 ）。</w:t>
            </w:r>
          </w:p>
          <w:p w14:paraId="65FFD753">
            <w:pPr>
              <w:keepNext w:val="0"/>
              <w:keepLines w:val="0"/>
              <w:pageBreakBefore w:val="0"/>
              <w:kinsoku/>
              <w:wordWrap/>
              <w:overflowPunct/>
              <w:topLinePunct w:val="0"/>
              <w:bidi w:val="0"/>
              <w:adjustRightInd/>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临海市产权交易所有限公司财务咨询电话：0576—85407100。</w:t>
            </w:r>
          </w:p>
        </w:tc>
      </w:tr>
      <w:tr w14:paraId="71B542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jc w:val="center"/>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14:paraId="22E42B9F">
            <w:pPr>
              <w:keepNext w:val="0"/>
              <w:keepLines w:val="0"/>
              <w:pageBreakBefore w:val="0"/>
              <w:kinsoku/>
              <w:wordWrap/>
              <w:overflowPunct/>
              <w:topLinePunct w:val="0"/>
              <w:bidi w:val="0"/>
              <w:adjustRightInd/>
              <w:spacing w:line="288"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4</w:t>
            </w:r>
          </w:p>
        </w:tc>
        <w:tc>
          <w:tcPr>
            <w:tcW w:w="9574" w:type="dxa"/>
            <w:tcBorders>
              <w:top w:val="single" w:color="auto" w:sz="4" w:space="0"/>
              <w:left w:val="single" w:color="auto" w:sz="4" w:space="0"/>
              <w:bottom w:val="single" w:color="auto" w:sz="4" w:space="0"/>
              <w:right w:val="single" w:color="auto" w:sz="4" w:space="0"/>
            </w:tcBorders>
            <w:vAlign w:val="center"/>
          </w:tcPr>
          <w:p w14:paraId="2A125040">
            <w:pPr>
              <w:pStyle w:val="3"/>
              <w:keepNext w:val="0"/>
              <w:keepLines w:val="0"/>
              <w:pageBreakBefore w:val="0"/>
              <w:kinsoku/>
              <w:wordWrap/>
              <w:overflowPunct/>
              <w:topLinePunct w:val="0"/>
              <w:bidi w:val="0"/>
              <w:adjustRightInd/>
              <w:spacing w:after="80" w:line="288"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电子投标文件的上传：</w:t>
            </w:r>
          </w:p>
          <w:p w14:paraId="43E8ADE3">
            <w:pPr>
              <w:pStyle w:val="3"/>
              <w:keepNext w:val="0"/>
              <w:keepLines w:val="0"/>
              <w:pageBreakBefore w:val="0"/>
              <w:kinsoku/>
              <w:wordWrap/>
              <w:overflowPunct/>
              <w:topLinePunct w:val="0"/>
              <w:bidi w:val="0"/>
              <w:adjustRightInd/>
              <w:spacing w:after="80" w:line="288"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（1）电子投标文件可在投标截止时间前上传，未在投标截止时间前上传的投标文件视为无效标。</w:t>
            </w:r>
          </w:p>
          <w:p w14:paraId="3B6458D7">
            <w:pPr>
              <w:pStyle w:val="3"/>
              <w:keepNext w:val="0"/>
              <w:keepLines w:val="0"/>
              <w:pageBreakBefore w:val="0"/>
              <w:kinsoku/>
              <w:wordWrap/>
              <w:overflowPunct/>
              <w:topLinePunct w:val="0"/>
              <w:bidi w:val="0"/>
              <w:adjustRightInd/>
              <w:spacing w:after="80" w:line="288"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（2）上传加密的电子投标文件，后缀名为（.投标文件）（本项目无需提供纸质投标文件，只要求上传电子投标文件正本一份）</w:t>
            </w:r>
          </w:p>
          <w:p w14:paraId="4FF9D4D0">
            <w:pPr>
              <w:pStyle w:val="3"/>
              <w:keepNext w:val="0"/>
              <w:keepLines w:val="0"/>
              <w:pageBreakBefore w:val="0"/>
              <w:kinsoku/>
              <w:wordWrap/>
              <w:overflowPunct/>
              <w:topLinePunct w:val="0"/>
              <w:bidi w:val="0"/>
              <w:adjustRightInd/>
              <w:spacing w:after="80" w:line="288"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CA咨询电话：400-0571-337，投标工具咨询电话：15267291759</w:t>
            </w:r>
          </w:p>
          <w:p w14:paraId="64765F92">
            <w:pPr>
              <w:keepNext w:val="0"/>
              <w:keepLines w:val="0"/>
              <w:pageBreakBefore w:val="0"/>
              <w:kinsoku/>
              <w:wordWrap/>
              <w:overflowPunct/>
              <w:topLinePunct w:val="0"/>
              <w:bidi w:val="0"/>
              <w:adjustRightInd/>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r>
              <w:rPr>
                <w:rFonts w:hint="eastAsia" w:ascii="宋体" w:hAnsi="宋体" w:eastAsia="宋体" w:cs="宋体"/>
                <w:color w:val="auto"/>
                <w:kern w:val="0"/>
                <w:sz w:val="24"/>
                <w:szCs w:val="24"/>
                <w:highlight w:val="none"/>
              </w:rPr>
              <w:t>开标时间到达后，在开启解密时间60分钟内（具体时间以不见面开标大厅</w:t>
            </w:r>
            <w:bookmarkStart w:id="11" w:name="_Hlk59625364"/>
            <w:r>
              <w:rPr>
                <w:rFonts w:hint="eastAsia" w:ascii="宋体" w:hAnsi="宋体" w:eastAsia="宋体" w:cs="宋体"/>
                <w:color w:val="auto"/>
                <w:kern w:val="0"/>
                <w:sz w:val="24"/>
                <w:szCs w:val="24"/>
                <w:highlight w:val="none"/>
              </w:rPr>
              <w:t>中显示的</w:t>
            </w:r>
            <w:bookmarkEnd w:id="11"/>
            <w:r>
              <w:rPr>
                <w:rFonts w:hint="eastAsia" w:ascii="宋体" w:hAnsi="宋体" w:eastAsia="宋体" w:cs="宋体"/>
                <w:color w:val="auto"/>
                <w:kern w:val="0"/>
                <w:sz w:val="24"/>
                <w:szCs w:val="24"/>
                <w:highlight w:val="none"/>
              </w:rPr>
              <w:t>解密截止时间为准），投标人须登录临海市限额以下公共资源交易区域平台-不见面开标大厅，找到所参与的项目进行解密投标文件，</w:t>
            </w:r>
            <w:bookmarkStart w:id="12" w:name="_Hlk59625972"/>
            <w:r>
              <w:rPr>
                <w:rFonts w:hint="eastAsia" w:ascii="宋体" w:hAnsi="宋体" w:eastAsia="宋体" w:cs="宋体"/>
                <w:color w:val="auto"/>
                <w:kern w:val="0"/>
                <w:sz w:val="24"/>
                <w:szCs w:val="24"/>
                <w:highlight w:val="none"/>
              </w:rPr>
              <w:t xml:space="preserve">投标人未按时解密或解密失败的，其投标文件为无效标。 </w:t>
            </w:r>
            <w:bookmarkEnd w:id="12"/>
          </w:p>
        </w:tc>
      </w:tr>
      <w:tr w14:paraId="4E17D2D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jc w:val="center"/>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14:paraId="6DEAAFCD">
            <w:pPr>
              <w:keepNext w:val="0"/>
              <w:keepLines w:val="0"/>
              <w:pageBreakBefore w:val="0"/>
              <w:kinsoku/>
              <w:wordWrap/>
              <w:overflowPunct/>
              <w:topLinePunct w:val="0"/>
              <w:bidi w:val="0"/>
              <w:adjustRightInd/>
              <w:snapToGrid w:val="0"/>
              <w:spacing w:line="288"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5</w:t>
            </w:r>
          </w:p>
        </w:tc>
        <w:tc>
          <w:tcPr>
            <w:tcW w:w="9574" w:type="dxa"/>
            <w:tcBorders>
              <w:top w:val="single" w:color="auto" w:sz="4" w:space="0"/>
              <w:left w:val="single" w:color="auto" w:sz="4" w:space="0"/>
              <w:bottom w:val="single" w:color="auto" w:sz="4" w:space="0"/>
              <w:right w:val="single" w:color="auto" w:sz="4" w:space="0"/>
            </w:tcBorders>
            <w:vAlign w:val="center"/>
          </w:tcPr>
          <w:p w14:paraId="78305474">
            <w:pPr>
              <w:pStyle w:val="3"/>
              <w:keepNext w:val="0"/>
              <w:keepLines w:val="0"/>
              <w:pageBreakBefore w:val="0"/>
              <w:kinsoku/>
              <w:wordWrap/>
              <w:overflowPunct/>
              <w:topLinePunct w:val="0"/>
              <w:bidi w:val="0"/>
              <w:adjustRightInd/>
              <w:spacing w:after="80" w:line="288"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投标人平台使用费：</w:t>
            </w:r>
          </w:p>
          <w:p w14:paraId="79914D29">
            <w:pPr>
              <w:pStyle w:val="3"/>
              <w:keepNext w:val="0"/>
              <w:keepLines w:val="0"/>
              <w:pageBreakBefore w:val="0"/>
              <w:kinsoku/>
              <w:wordWrap/>
              <w:overflowPunct/>
              <w:topLinePunct w:val="0"/>
              <w:bidi w:val="0"/>
              <w:adjustRightInd/>
              <w:spacing w:after="80" w:line="288"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项目金额50万元以下收费100元，50万元以上收费150元。</w:t>
            </w:r>
          </w:p>
          <w:p w14:paraId="318D34D2">
            <w:pPr>
              <w:pStyle w:val="3"/>
              <w:keepNext w:val="0"/>
              <w:keepLines w:val="0"/>
              <w:pageBreakBefore w:val="0"/>
              <w:kinsoku/>
              <w:wordWrap/>
              <w:overflowPunct/>
              <w:topLinePunct w:val="0"/>
              <w:bidi w:val="0"/>
              <w:adjustRightInd/>
              <w:spacing w:after="80" w:line="288"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开户名：临海市产权交易所有限公司</w:t>
            </w:r>
          </w:p>
          <w:p w14:paraId="427D0A93">
            <w:pPr>
              <w:pStyle w:val="3"/>
              <w:keepNext w:val="0"/>
              <w:keepLines w:val="0"/>
              <w:pageBreakBefore w:val="0"/>
              <w:kinsoku/>
              <w:wordWrap/>
              <w:overflowPunct/>
              <w:topLinePunct w:val="0"/>
              <w:bidi w:val="0"/>
              <w:adjustRightInd/>
              <w:spacing w:after="80" w:line="288"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开户行：浙江临海农村商业银行股份有限公司科技支行；</w:t>
            </w:r>
          </w:p>
          <w:p w14:paraId="56F70427">
            <w:pPr>
              <w:pStyle w:val="3"/>
              <w:keepNext w:val="0"/>
              <w:keepLines w:val="0"/>
              <w:pageBreakBefore w:val="0"/>
              <w:kinsoku/>
              <w:wordWrap/>
              <w:overflowPunct/>
              <w:topLinePunct w:val="0"/>
              <w:bidi w:val="0"/>
              <w:adjustRightInd/>
              <w:spacing w:after="80" w:line="288"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平台使用费账号：201000105503123000003</w:t>
            </w:r>
          </w:p>
          <w:p w14:paraId="79BB7923">
            <w:pPr>
              <w:pStyle w:val="3"/>
              <w:keepNext w:val="0"/>
              <w:keepLines w:val="0"/>
              <w:pageBreakBefore w:val="0"/>
              <w:kinsoku/>
              <w:wordWrap/>
              <w:overflowPunct/>
              <w:topLinePunct w:val="0"/>
              <w:bidi w:val="0"/>
              <w:adjustRightInd/>
              <w:spacing w:after="80" w:line="288"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临海市产权交易所有限公司财务咨询电话：0576-85407100。</w:t>
            </w:r>
          </w:p>
          <w:p w14:paraId="18E841AD">
            <w:pPr>
              <w:pStyle w:val="3"/>
              <w:keepNext w:val="0"/>
              <w:keepLines w:val="0"/>
              <w:pageBreakBefore w:val="0"/>
              <w:kinsoku/>
              <w:wordWrap/>
              <w:overflowPunct/>
              <w:topLinePunct w:val="0"/>
              <w:bidi w:val="0"/>
              <w:adjustRightInd/>
              <w:spacing w:after="80" w:line="288"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注意：请提前缴纳相关费用，以防影响正常投标。</w:t>
            </w:r>
          </w:p>
        </w:tc>
      </w:tr>
      <w:tr w14:paraId="2108C1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jc w:val="center"/>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14:paraId="27023B13">
            <w:pPr>
              <w:keepNext w:val="0"/>
              <w:keepLines w:val="0"/>
              <w:pageBreakBefore w:val="0"/>
              <w:kinsoku/>
              <w:wordWrap/>
              <w:overflowPunct/>
              <w:topLinePunct w:val="0"/>
              <w:bidi w:val="0"/>
              <w:adjustRightInd/>
              <w:snapToGrid w:val="0"/>
              <w:spacing w:line="288"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6</w:t>
            </w:r>
          </w:p>
        </w:tc>
        <w:tc>
          <w:tcPr>
            <w:tcW w:w="9574" w:type="dxa"/>
            <w:tcBorders>
              <w:top w:val="single" w:color="auto" w:sz="4" w:space="0"/>
              <w:left w:val="single" w:color="auto" w:sz="4" w:space="0"/>
              <w:bottom w:val="single" w:color="auto" w:sz="4" w:space="0"/>
              <w:right w:val="single" w:color="auto" w:sz="4" w:space="0"/>
            </w:tcBorders>
            <w:vAlign w:val="center"/>
          </w:tcPr>
          <w:p w14:paraId="5B2A6F8D">
            <w:pPr>
              <w:pStyle w:val="3"/>
              <w:keepNext w:val="0"/>
              <w:keepLines w:val="0"/>
              <w:pageBreakBefore w:val="0"/>
              <w:kinsoku/>
              <w:wordWrap/>
              <w:overflowPunct/>
              <w:topLinePunct w:val="0"/>
              <w:bidi w:val="0"/>
              <w:adjustRightInd/>
              <w:spacing w:after="80" w:line="288"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电子发票申请方式：</w:t>
            </w:r>
          </w:p>
          <w:p w14:paraId="701F6E9A">
            <w:pPr>
              <w:pStyle w:val="3"/>
              <w:keepNext w:val="0"/>
              <w:keepLines w:val="0"/>
              <w:pageBreakBefore w:val="0"/>
              <w:kinsoku/>
              <w:wordWrap/>
              <w:overflowPunct/>
              <w:topLinePunct w:val="0"/>
              <w:bidi w:val="0"/>
              <w:adjustRightInd/>
              <w:spacing w:after="80" w:line="288"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192C53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9" w:hRule="atLeast"/>
          <w:jc w:val="center"/>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14:paraId="00A523C5">
            <w:pPr>
              <w:keepNext w:val="0"/>
              <w:keepLines w:val="0"/>
              <w:pageBreakBefore w:val="0"/>
              <w:kinsoku/>
              <w:wordWrap/>
              <w:overflowPunct/>
              <w:topLinePunct w:val="0"/>
              <w:bidi w:val="0"/>
              <w:adjustRightInd/>
              <w:snapToGrid w:val="0"/>
              <w:spacing w:line="288"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7</w:t>
            </w:r>
          </w:p>
        </w:tc>
        <w:tc>
          <w:tcPr>
            <w:tcW w:w="9574" w:type="dxa"/>
            <w:tcBorders>
              <w:top w:val="single" w:color="auto" w:sz="4" w:space="0"/>
              <w:left w:val="single" w:color="auto" w:sz="4" w:space="0"/>
              <w:bottom w:val="single" w:color="auto" w:sz="4" w:space="0"/>
              <w:right w:val="single" w:color="auto" w:sz="4" w:space="0"/>
            </w:tcBorders>
            <w:vAlign w:val="center"/>
          </w:tcPr>
          <w:p w14:paraId="1B7748DC">
            <w:pPr>
              <w:pStyle w:val="3"/>
              <w:keepNext w:val="0"/>
              <w:keepLines w:val="0"/>
              <w:pageBreakBefore w:val="0"/>
              <w:kinsoku/>
              <w:wordWrap/>
              <w:overflowPunct/>
              <w:topLinePunct w:val="0"/>
              <w:bidi w:val="0"/>
              <w:adjustRightInd/>
              <w:spacing w:after="80" w:line="288"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特别事项：</w:t>
            </w:r>
          </w:p>
          <w:p w14:paraId="5A8CABA4">
            <w:pPr>
              <w:pStyle w:val="3"/>
              <w:keepNext w:val="0"/>
              <w:keepLines w:val="0"/>
              <w:pageBreakBefore w:val="0"/>
              <w:kinsoku/>
              <w:wordWrap/>
              <w:overflowPunct/>
              <w:topLinePunct w:val="0"/>
              <w:bidi w:val="0"/>
              <w:adjustRightInd/>
              <w:spacing w:after="80" w:line="288"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741B55A2">
            <w:pPr>
              <w:pStyle w:val="3"/>
              <w:keepNext w:val="0"/>
              <w:keepLines w:val="0"/>
              <w:pageBreakBefore w:val="0"/>
              <w:kinsoku/>
              <w:wordWrap/>
              <w:overflowPunct/>
              <w:topLinePunct w:val="0"/>
              <w:bidi w:val="0"/>
              <w:adjustRightInd/>
              <w:spacing w:after="80" w:line="288"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6F247718">
            <w:pPr>
              <w:pStyle w:val="3"/>
              <w:keepNext w:val="0"/>
              <w:keepLines w:val="0"/>
              <w:pageBreakBefore w:val="0"/>
              <w:kinsoku/>
              <w:wordWrap/>
              <w:overflowPunct/>
              <w:topLinePunct w:val="0"/>
              <w:bidi w:val="0"/>
              <w:adjustRightInd/>
              <w:spacing w:after="80" w:line="288"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1AEA2B72">
            <w:pPr>
              <w:pStyle w:val="3"/>
              <w:keepNext w:val="0"/>
              <w:keepLines w:val="0"/>
              <w:pageBreakBefore w:val="0"/>
              <w:kinsoku/>
              <w:wordWrap/>
              <w:overflowPunct/>
              <w:topLinePunct w:val="0"/>
              <w:bidi w:val="0"/>
              <w:adjustRightInd/>
              <w:spacing w:after="80" w:line="288"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软件技术支持电话：15267291759（同微信）。</w:t>
            </w:r>
          </w:p>
        </w:tc>
      </w:tr>
      <w:tr w14:paraId="1F98F7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jc w:val="center"/>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14:paraId="69763601">
            <w:pPr>
              <w:keepNext w:val="0"/>
              <w:keepLines w:val="0"/>
              <w:pageBreakBefore w:val="0"/>
              <w:kinsoku/>
              <w:wordWrap/>
              <w:overflowPunct/>
              <w:topLinePunct w:val="0"/>
              <w:bidi w:val="0"/>
              <w:adjustRightInd/>
              <w:snapToGrid w:val="0"/>
              <w:spacing w:line="288"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8</w:t>
            </w:r>
          </w:p>
        </w:tc>
        <w:tc>
          <w:tcPr>
            <w:tcW w:w="9574" w:type="dxa"/>
            <w:tcBorders>
              <w:top w:val="single" w:color="auto" w:sz="4" w:space="0"/>
              <w:left w:val="single" w:color="auto" w:sz="4" w:space="0"/>
              <w:bottom w:val="single" w:color="auto" w:sz="4" w:space="0"/>
              <w:right w:val="single" w:color="auto" w:sz="4" w:space="0"/>
            </w:tcBorders>
            <w:vAlign w:val="center"/>
          </w:tcPr>
          <w:p w14:paraId="540000C9">
            <w:pPr>
              <w:keepNext w:val="0"/>
              <w:keepLines w:val="0"/>
              <w:pageBreakBefore w:val="0"/>
              <w:kinsoku/>
              <w:wordWrap/>
              <w:overflowPunct/>
              <w:topLinePunct w:val="0"/>
              <w:autoSpaceDE w:val="0"/>
              <w:autoSpaceDN w:val="0"/>
              <w:bidi w:val="0"/>
              <w:adjustRightInd/>
              <w:snapToGrid w:val="0"/>
              <w:spacing w:line="288" w:lineRule="auto"/>
              <w:textAlignment w:val="bottom"/>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解释：本招标文件的解释权属于招标人。</w:t>
            </w:r>
          </w:p>
        </w:tc>
      </w:tr>
    </w:tbl>
    <w:p w14:paraId="48EB7CE1">
      <w:pPr>
        <w:pStyle w:val="30"/>
        <w:snapToGrid w:val="0"/>
        <w:spacing w:beforeLines="0" w:afterLines="0" w:line="360" w:lineRule="auto"/>
        <w:ind w:firstLine="482" w:firstLineChars="200"/>
        <w:rPr>
          <w:rFonts w:hint="eastAsia" w:ascii="宋体" w:hAnsi="宋体" w:eastAsia="宋体" w:cs="宋体"/>
          <w:b/>
          <w:color w:val="auto"/>
          <w:highlight w:val="none"/>
        </w:rPr>
      </w:pPr>
      <w:r>
        <w:rPr>
          <w:rFonts w:hint="eastAsia" w:ascii="宋体" w:hAnsi="宋体" w:eastAsia="宋体" w:cs="宋体"/>
          <w:b/>
          <w:color w:val="auto"/>
          <w:highlight w:val="none"/>
        </w:rPr>
        <w:br w:type="page"/>
      </w:r>
      <w:r>
        <w:rPr>
          <w:rFonts w:hint="eastAsia" w:ascii="宋体" w:hAnsi="宋体" w:eastAsia="宋体" w:cs="宋体"/>
          <w:b/>
          <w:color w:val="auto"/>
          <w:highlight w:val="none"/>
        </w:rPr>
        <w:t>一 、总  则</w:t>
      </w:r>
    </w:p>
    <w:p w14:paraId="31CA5F34">
      <w:pPr>
        <w:snapToGrid w:val="0"/>
        <w:spacing w:line="360" w:lineRule="auto"/>
        <w:ind w:firstLine="482" w:firstLineChars="200"/>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（一）适用范围</w:t>
      </w:r>
    </w:p>
    <w:p w14:paraId="6E95D563">
      <w:pPr>
        <w:snapToGrid w:val="0"/>
        <w:spacing w:line="420" w:lineRule="exact"/>
        <w:ind w:firstLine="480" w:firstLineChars="200"/>
        <w:jc w:val="left"/>
        <w:rPr>
          <w:rFonts w:hint="eastAsia" w:ascii="宋体" w:hAnsi="宋体" w:eastAsia="宋体" w:cs="宋体"/>
          <w:color w:val="auto"/>
          <w:sz w:val="24"/>
          <w:highlight w:val="none"/>
        </w:rPr>
      </w:pPr>
      <w:bookmarkStart w:id="13" w:name="_Toc511655266"/>
      <w:r>
        <w:rPr>
          <w:rFonts w:hint="eastAsia" w:ascii="宋体" w:hAnsi="宋体" w:eastAsia="宋体" w:cs="宋体"/>
          <w:color w:val="auto"/>
          <w:sz w:val="24"/>
          <w:highlight w:val="none"/>
        </w:rPr>
        <w:t>1、</w:t>
      </w:r>
      <w:bookmarkEnd w:id="13"/>
      <w:r>
        <w:rPr>
          <w:rFonts w:hint="eastAsia" w:ascii="宋体" w:hAnsi="宋体" w:eastAsia="宋体" w:cs="宋体"/>
          <w:color w:val="auto"/>
          <w:sz w:val="24"/>
          <w:highlight w:val="none"/>
        </w:rPr>
        <w:t>本</w:t>
      </w:r>
      <w:r>
        <w:rPr>
          <w:rFonts w:hint="eastAsia" w:ascii="宋体" w:hAnsi="宋体" w:eastAsia="宋体" w:cs="宋体"/>
          <w:color w:val="auto"/>
          <w:sz w:val="24"/>
          <w:highlight w:val="none"/>
          <w:lang w:val="en-US" w:eastAsia="zh-CN"/>
        </w:rPr>
        <w:t>谈判</w:t>
      </w:r>
      <w:r>
        <w:rPr>
          <w:rFonts w:hint="eastAsia" w:ascii="宋体" w:hAnsi="宋体" w:eastAsia="宋体" w:cs="宋体"/>
          <w:color w:val="auto"/>
          <w:sz w:val="24"/>
          <w:highlight w:val="none"/>
          <w:lang w:eastAsia="zh-CN"/>
        </w:rPr>
        <w:t>文件</w:t>
      </w:r>
      <w:r>
        <w:rPr>
          <w:rFonts w:hint="eastAsia" w:ascii="宋体" w:hAnsi="宋体" w:eastAsia="宋体" w:cs="宋体"/>
          <w:color w:val="auto"/>
          <w:sz w:val="24"/>
          <w:highlight w:val="none"/>
        </w:rPr>
        <w:t>适用于本项目的招标、投标、评标、定标、验收、合同履约、付款等行为。</w:t>
      </w:r>
    </w:p>
    <w:p w14:paraId="25867EF9">
      <w:pPr>
        <w:spacing w:line="440" w:lineRule="exact"/>
        <w:ind w:firstLine="480" w:firstLineChars="200"/>
        <w:rPr>
          <w:rFonts w:hint="eastAsia" w:ascii="宋体" w:hAnsi="宋体" w:eastAsia="宋体" w:cs="宋体"/>
          <w:color w:val="auto"/>
          <w:sz w:val="24"/>
          <w:highlight w:val="none"/>
        </w:rPr>
      </w:pPr>
      <w:bookmarkStart w:id="14" w:name="_Toc511655265"/>
      <w:r>
        <w:rPr>
          <w:rFonts w:hint="eastAsia" w:ascii="宋体" w:hAnsi="宋体" w:eastAsia="宋体" w:cs="宋体"/>
          <w:color w:val="auto"/>
          <w:sz w:val="24"/>
          <w:highlight w:val="none"/>
        </w:rPr>
        <w:t>2、本竞争性谈判文件解释权归招标人。</w:t>
      </w:r>
      <w:bookmarkEnd w:id="14"/>
    </w:p>
    <w:p w14:paraId="71D17972">
      <w:pPr>
        <w:spacing w:line="440" w:lineRule="exact"/>
        <w:ind w:firstLine="480" w:firstLineChars="200"/>
        <w:rPr>
          <w:rFonts w:hint="eastAsia" w:ascii="宋体" w:hAnsi="宋体" w:eastAsia="宋体" w:cs="宋体"/>
          <w:color w:val="auto"/>
          <w:sz w:val="24"/>
          <w:highlight w:val="none"/>
        </w:rPr>
      </w:pPr>
      <w:bookmarkStart w:id="15" w:name="_Toc511655267"/>
      <w:r>
        <w:rPr>
          <w:rFonts w:hint="eastAsia" w:ascii="宋体" w:hAnsi="宋体" w:eastAsia="宋体" w:cs="宋体"/>
          <w:color w:val="auto"/>
          <w:sz w:val="24"/>
          <w:highlight w:val="none"/>
        </w:rPr>
        <w:t>3、无论谈判过程中的做法和结果如何，供应商自行承担谈判活动中所发生的全部费用。</w:t>
      </w:r>
      <w:bookmarkEnd w:id="15"/>
    </w:p>
    <w:p w14:paraId="25FCE0A4">
      <w:pPr>
        <w:snapToGrid w:val="0"/>
        <w:spacing w:beforeLines="50" w:line="360" w:lineRule="auto"/>
        <w:ind w:firstLine="482" w:firstLineChars="200"/>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（二）定义</w:t>
      </w:r>
    </w:p>
    <w:p w14:paraId="66147DDF">
      <w:pPr>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1.“招标人”系指组织本次招标的采购代理机构和采购单位。</w:t>
      </w:r>
    </w:p>
    <w:p w14:paraId="5480078A">
      <w:pPr>
        <w:spacing w:line="440" w:lineRule="exact"/>
        <w:ind w:firstLine="482" w:firstLineChars="200"/>
        <w:rPr>
          <w:rFonts w:hint="eastAsia" w:ascii="宋体" w:hAnsi="宋体" w:eastAsia="宋体" w:cs="宋体"/>
          <w:b/>
          <w:bCs/>
          <w:color w:val="auto"/>
          <w:sz w:val="24"/>
          <w:highlight w:val="none"/>
          <w:u w:val="single"/>
          <w:shd w:val="pct10" w:color="auto" w:fill="FFFFFF"/>
        </w:rPr>
      </w:pPr>
      <w:bookmarkStart w:id="16" w:name="_Hlk60996806"/>
      <w:r>
        <w:rPr>
          <w:rFonts w:hint="eastAsia" w:ascii="宋体" w:hAnsi="宋体" w:eastAsia="宋体" w:cs="宋体"/>
          <w:b/>
          <w:bCs/>
          <w:color w:val="auto"/>
          <w:sz w:val="24"/>
          <w:highlight w:val="none"/>
          <w:u w:val="single"/>
          <w:shd w:val="pct10" w:color="auto" w:fill="FFFFFF"/>
        </w:rPr>
        <w:t>2.“供应商”系指向招标人提交谈判响应文件的单位和组织。</w:t>
      </w:r>
    </w:p>
    <w:bookmarkEnd w:id="16"/>
    <w:p w14:paraId="39377CE6">
      <w:pPr>
        <w:spacing w:line="440" w:lineRule="exact"/>
        <w:ind w:firstLine="482" w:firstLineChars="200"/>
        <w:rPr>
          <w:rFonts w:hint="eastAsia" w:ascii="宋体" w:hAnsi="宋体" w:eastAsia="宋体" w:cs="宋体"/>
          <w:b/>
          <w:bCs/>
          <w:color w:val="auto"/>
          <w:sz w:val="24"/>
          <w:highlight w:val="none"/>
          <w:u w:val="single"/>
          <w:shd w:val="pct10" w:color="auto" w:fill="FFFFFF"/>
        </w:rPr>
      </w:pPr>
      <w:r>
        <w:rPr>
          <w:rFonts w:hint="eastAsia" w:ascii="宋体" w:hAnsi="宋体" w:eastAsia="宋体" w:cs="宋体"/>
          <w:b/>
          <w:bCs/>
          <w:color w:val="auto"/>
          <w:sz w:val="24"/>
          <w:highlight w:val="none"/>
          <w:u w:val="single"/>
          <w:shd w:val="pct10" w:color="auto" w:fill="FFFFFF"/>
        </w:rPr>
        <w:t>3.“谈判响应文件”系指参与采购活动的供应商按照竞争性谈判文件要求编制的响应文件。</w:t>
      </w:r>
    </w:p>
    <w:p w14:paraId="68595C4A">
      <w:pPr>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4.“产品”系指供方按竞争性谈判文件规定，须向采购单位提供的一切设备、保险、税金、备品备件、工具、手册及其它有关技术资料和材料。</w:t>
      </w:r>
    </w:p>
    <w:p w14:paraId="334FA1CB">
      <w:pPr>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5.“服务”系指竞争性谈判文件规定供应商须承担的安装、调试、技术协助、校准、培训、技术指导以及其他类似的义务。</w:t>
      </w:r>
    </w:p>
    <w:p w14:paraId="5B12CA4D">
      <w:pPr>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6.“项目”系指供应商按竞争性谈判文件规定向采购单位提供的产品和服务。</w:t>
      </w:r>
    </w:p>
    <w:p w14:paraId="76538851">
      <w:pPr>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7.“书面形式”包括信函、传真、电报等。</w:t>
      </w:r>
    </w:p>
    <w:p w14:paraId="287D06A3">
      <w:pPr>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8.“▲”系指实质性要求条款。</w:t>
      </w:r>
    </w:p>
    <w:p w14:paraId="0096CDA4">
      <w:pPr>
        <w:spacing w:line="440" w:lineRule="exact"/>
        <w:ind w:firstLine="482" w:firstLineChars="200"/>
        <w:rPr>
          <w:rFonts w:hint="eastAsia" w:ascii="宋体" w:hAnsi="宋体" w:eastAsia="宋体" w:cs="宋体"/>
          <w:b/>
          <w:color w:val="auto"/>
          <w:sz w:val="24"/>
          <w:highlight w:val="none"/>
        </w:rPr>
      </w:pPr>
      <w:bookmarkStart w:id="17" w:name="_Toc388942626"/>
      <w:bookmarkStart w:id="18" w:name="_Toc511655285"/>
      <w:bookmarkStart w:id="19" w:name="_Toc182125896"/>
      <w:bookmarkStart w:id="20" w:name="_Toc498521004"/>
      <w:bookmarkStart w:id="21" w:name="_Toc182125819"/>
      <w:r>
        <w:rPr>
          <w:rFonts w:hint="eastAsia" w:ascii="宋体" w:hAnsi="宋体" w:eastAsia="宋体" w:cs="宋体"/>
          <w:b/>
          <w:color w:val="auto"/>
          <w:sz w:val="24"/>
          <w:highlight w:val="none"/>
        </w:rPr>
        <w:t>二、竞争性谈判文件</w:t>
      </w:r>
      <w:bookmarkEnd w:id="17"/>
      <w:bookmarkEnd w:id="18"/>
      <w:bookmarkEnd w:id="19"/>
      <w:bookmarkEnd w:id="20"/>
      <w:bookmarkEnd w:id="21"/>
    </w:p>
    <w:p w14:paraId="7DB9C24D">
      <w:pPr>
        <w:spacing w:line="440" w:lineRule="exact"/>
        <w:ind w:firstLine="482" w:firstLineChars="200"/>
        <w:rPr>
          <w:rFonts w:hint="eastAsia" w:ascii="宋体" w:hAnsi="宋体" w:eastAsia="宋体" w:cs="宋体"/>
          <w:color w:val="auto"/>
          <w:sz w:val="24"/>
          <w:highlight w:val="none"/>
        </w:rPr>
      </w:pPr>
      <w:bookmarkStart w:id="22" w:name="_Toc511655286"/>
      <w:r>
        <w:rPr>
          <w:rFonts w:hint="eastAsia" w:ascii="宋体" w:hAnsi="宋体" w:eastAsia="宋体" w:cs="宋体"/>
          <w:b/>
          <w:color w:val="auto"/>
          <w:sz w:val="24"/>
          <w:highlight w:val="none"/>
        </w:rPr>
        <w:t>（一）竞争性谈判文件组成</w:t>
      </w:r>
      <w:bookmarkEnd w:id="22"/>
    </w:p>
    <w:p w14:paraId="22F20C22">
      <w:pPr>
        <w:spacing w:line="440" w:lineRule="exact"/>
        <w:ind w:firstLine="480" w:firstLineChars="200"/>
        <w:rPr>
          <w:rFonts w:hint="eastAsia" w:ascii="宋体" w:hAnsi="宋体" w:eastAsia="宋体" w:cs="宋体"/>
          <w:color w:val="auto"/>
          <w:sz w:val="24"/>
          <w:highlight w:val="none"/>
        </w:rPr>
      </w:pPr>
      <w:bookmarkStart w:id="23" w:name="_Toc511655287"/>
      <w:r>
        <w:rPr>
          <w:rFonts w:hint="eastAsia" w:ascii="宋体" w:hAnsi="宋体" w:eastAsia="宋体" w:cs="宋体"/>
          <w:color w:val="auto"/>
          <w:sz w:val="24"/>
          <w:highlight w:val="none"/>
        </w:rPr>
        <w:t>竞争性谈判文件由总目录所列内容组成。</w:t>
      </w:r>
      <w:bookmarkEnd w:id="23"/>
    </w:p>
    <w:p w14:paraId="2F70B1E9">
      <w:pPr>
        <w:spacing w:line="440" w:lineRule="exact"/>
        <w:ind w:firstLine="482" w:firstLineChars="200"/>
        <w:rPr>
          <w:rFonts w:hint="eastAsia" w:ascii="宋体" w:hAnsi="宋体" w:eastAsia="宋体" w:cs="宋体"/>
          <w:b/>
          <w:color w:val="auto"/>
          <w:sz w:val="24"/>
          <w:highlight w:val="none"/>
        </w:rPr>
      </w:pPr>
      <w:bookmarkStart w:id="24" w:name="_Toc511655288"/>
      <w:r>
        <w:rPr>
          <w:rFonts w:hint="eastAsia" w:ascii="宋体" w:hAnsi="宋体" w:eastAsia="宋体" w:cs="宋体"/>
          <w:b/>
          <w:color w:val="auto"/>
          <w:sz w:val="24"/>
          <w:highlight w:val="none"/>
        </w:rPr>
        <w:t>（二）供应商的风险</w:t>
      </w:r>
      <w:bookmarkEnd w:id="24"/>
    </w:p>
    <w:p w14:paraId="12DFF42C">
      <w:pPr>
        <w:spacing w:line="440" w:lineRule="exact"/>
        <w:ind w:firstLine="480" w:firstLineChars="200"/>
        <w:rPr>
          <w:rFonts w:hint="eastAsia" w:ascii="宋体" w:hAnsi="宋体" w:eastAsia="宋体" w:cs="宋体"/>
          <w:color w:val="auto"/>
          <w:sz w:val="24"/>
          <w:highlight w:val="none"/>
        </w:rPr>
      </w:pPr>
      <w:bookmarkStart w:id="25" w:name="_Toc511655289"/>
      <w:r>
        <w:rPr>
          <w:rFonts w:hint="eastAsia" w:ascii="宋体" w:hAnsi="宋体" w:eastAsia="宋体" w:cs="宋体"/>
          <w:color w:val="auto"/>
          <w:sz w:val="24"/>
          <w:highlight w:val="none"/>
        </w:rPr>
        <w:t>供应商没有按照竞争性谈判文件要求提供全部资料，或者供应商没有对竞争性谈判文件在各方面作出实质性响应是供应商的风险，并可能导致其投标被拒绝。</w:t>
      </w:r>
      <w:bookmarkEnd w:id="25"/>
    </w:p>
    <w:p w14:paraId="2F345F5D">
      <w:pPr>
        <w:spacing w:line="440" w:lineRule="exact"/>
        <w:ind w:firstLine="482" w:firstLineChars="200"/>
        <w:rPr>
          <w:rFonts w:hint="eastAsia" w:ascii="宋体" w:hAnsi="宋体" w:eastAsia="宋体" w:cs="宋体"/>
          <w:b/>
          <w:color w:val="auto"/>
          <w:sz w:val="24"/>
          <w:highlight w:val="none"/>
        </w:rPr>
      </w:pPr>
      <w:bookmarkStart w:id="26" w:name="_Toc511655290"/>
      <w:r>
        <w:rPr>
          <w:rFonts w:hint="eastAsia" w:ascii="宋体" w:hAnsi="宋体" w:eastAsia="宋体" w:cs="宋体"/>
          <w:b/>
          <w:color w:val="auto"/>
          <w:sz w:val="24"/>
          <w:highlight w:val="none"/>
        </w:rPr>
        <w:t>（三）竞争性谈判文件的澄清</w:t>
      </w:r>
      <w:bookmarkEnd w:id="26"/>
    </w:p>
    <w:p w14:paraId="05F305D5">
      <w:pPr>
        <w:spacing w:line="440" w:lineRule="exact"/>
        <w:ind w:firstLine="480" w:firstLineChars="200"/>
        <w:rPr>
          <w:rFonts w:hint="eastAsia" w:ascii="宋体" w:hAnsi="宋体" w:eastAsia="宋体" w:cs="宋体"/>
          <w:color w:val="auto"/>
          <w:sz w:val="24"/>
          <w:highlight w:val="none"/>
        </w:rPr>
      </w:pPr>
      <w:bookmarkStart w:id="27" w:name="_Toc511655291"/>
      <w:r>
        <w:rPr>
          <w:rFonts w:hint="eastAsia" w:ascii="宋体" w:hAnsi="宋体" w:eastAsia="宋体" w:cs="宋体"/>
          <w:color w:val="auto"/>
          <w:sz w:val="24"/>
          <w:highlight w:val="none"/>
        </w:rPr>
        <w:t>供应商如发现竞争性谈判文件中内容存在含糊不清、相互矛盾、多种含义以及歧视性不公正条款或违法、违规等有疑点要求澄清的，请在“前附表”规定的时间内把所需答疑的问题以书面形式（盖单位公章）提交至采购代理机构，逾期不得再对竞争性谈判文件的条款提出疑问，由此而导致供应商不成交或成交后产生不利因素的，责任由供应商自负。</w:t>
      </w:r>
      <w:bookmarkEnd w:id="27"/>
    </w:p>
    <w:p w14:paraId="1EF931FA">
      <w:pPr>
        <w:spacing w:line="440" w:lineRule="exact"/>
        <w:ind w:firstLine="482" w:firstLineChars="200"/>
        <w:rPr>
          <w:rFonts w:hint="eastAsia" w:ascii="宋体" w:hAnsi="宋体" w:eastAsia="宋体" w:cs="宋体"/>
          <w:b/>
          <w:color w:val="auto"/>
          <w:sz w:val="24"/>
          <w:highlight w:val="none"/>
        </w:rPr>
      </w:pPr>
      <w:bookmarkStart w:id="28" w:name="_Toc511655292"/>
      <w:r>
        <w:rPr>
          <w:rFonts w:hint="eastAsia" w:ascii="宋体" w:hAnsi="宋体" w:eastAsia="宋体" w:cs="宋体"/>
          <w:b/>
          <w:color w:val="auto"/>
          <w:sz w:val="24"/>
          <w:highlight w:val="none"/>
        </w:rPr>
        <w:t>（四）竞争性谈判文件的修改</w:t>
      </w:r>
      <w:bookmarkEnd w:id="28"/>
    </w:p>
    <w:p w14:paraId="1D38B270">
      <w:pPr>
        <w:spacing w:line="440" w:lineRule="exact"/>
        <w:ind w:firstLine="480" w:firstLineChars="200"/>
        <w:rPr>
          <w:rFonts w:hint="eastAsia" w:ascii="宋体" w:hAnsi="宋体" w:eastAsia="宋体" w:cs="宋体"/>
          <w:color w:val="auto"/>
          <w:sz w:val="24"/>
          <w:highlight w:val="none"/>
        </w:rPr>
      </w:pPr>
      <w:bookmarkStart w:id="29" w:name="_Toc511655293"/>
      <w:r>
        <w:rPr>
          <w:rFonts w:hint="eastAsia" w:ascii="宋体" w:hAnsi="宋体" w:eastAsia="宋体" w:cs="宋体"/>
          <w:color w:val="auto"/>
          <w:sz w:val="24"/>
          <w:highlight w:val="none"/>
        </w:rPr>
        <w:t>1、在供应商谈判文件提交截止时间前，招标人有权修改竞争性谈判文件，并以公告形式通知所有参加谈判的供应商。修改文件作为竞争性谈判文件的补充和组成部分，对所有供应商均有约束力。</w:t>
      </w:r>
      <w:bookmarkEnd w:id="29"/>
    </w:p>
    <w:p w14:paraId="2E8D3B38">
      <w:pPr>
        <w:spacing w:line="440" w:lineRule="exact"/>
        <w:ind w:firstLine="480" w:firstLineChars="200"/>
        <w:rPr>
          <w:rFonts w:hint="eastAsia" w:ascii="宋体" w:hAnsi="宋体" w:eastAsia="宋体" w:cs="宋体"/>
          <w:color w:val="auto"/>
          <w:sz w:val="24"/>
          <w:highlight w:val="none"/>
        </w:rPr>
      </w:pPr>
      <w:bookmarkStart w:id="30" w:name="_Toc511655294"/>
      <w:r>
        <w:rPr>
          <w:rFonts w:hint="eastAsia" w:ascii="宋体" w:hAnsi="宋体" w:eastAsia="宋体" w:cs="宋体"/>
          <w:color w:val="auto"/>
          <w:sz w:val="24"/>
          <w:highlight w:val="none"/>
        </w:rPr>
        <w:t>2、为使供应商有足够的时间按修改文件要求修正供应商谈判文件，招标人可视情推迟供应商谈判文件提交截止时间和谈判时间，并将此变更公告各供应商。</w:t>
      </w:r>
      <w:bookmarkEnd w:id="30"/>
    </w:p>
    <w:p w14:paraId="727A59D5">
      <w:pPr>
        <w:spacing w:line="440" w:lineRule="exact"/>
        <w:ind w:firstLine="480" w:firstLineChars="200"/>
        <w:rPr>
          <w:rFonts w:hint="eastAsia" w:ascii="宋体" w:hAnsi="宋体" w:eastAsia="宋体" w:cs="宋体"/>
          <w:color w:val="auto"/>
          <w:sz w:val="24"/>
          <w:highlight w:val="none"/>
        </w:rPr>
      </w:pPr>
      <w:bookmarkStart w:id="31" w:name="_Toc511655295"/>
      <w:r>
        <w:rPr>
          <w:rFonts w:hint="eastAsia" w:ascii="宋体" w:hAnsi="宋体" w:eastAsia="宋体" w:cs="宋体"/>
          <w:color w:val="auto"/>
          <w:sz w:val="24"/>
          <w:highlight w:val="none"/>
        </w:rPr>
        <w:t>3、竞争性谈判文件的澄清、修改、补充等内容均以书面明确的内容为准。当竞争性谈判文件与竞争性谈判文件的澄清、修改、补充等在同一内容的表述上不一致时，以最后发出的公告为准。</w:t>
      </w:r>
      <w:bookmarkEnd w:id="31"/>
    </w:p>
    <w:p w14:paraId="29ABE12A">
      <w:pPr>
        <w:snapToGrid w:val="0"/>
        <w:spacing w:before="156" w:beforeLines="50" w:line="440" w:lineRule="exact"/>
        <w:ind w:firstLine="472" w:firstLineChars="196"/>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（五）投标费用及结算</w:t>
      </w:r>
    </w:p>
    <w:p w14:paraId="1986480B">
      <w:pPr>
        <w:snapToGrid w:val="0"/>
        <w:spacing w:line="44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1）不论投标结果如何，供应商均应自行承担所有与投标有关的全部费用。</w:t>
      </w:r>
    </w:p>
    <w:p w14:paraId="52CB1E5F">
      <w:pPr>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2）除业主要求或设计变更要求外不签署任何增加费用的联系单，</w:t>
      </w:r>
      <w:r>
        <w:rPr>
          <w:rFonts w:hint="eastAsia" w:ascii="宋体" w:hAnsi="宋体" w:eastAsia="宋体" w:cs="宋体"/>
          <w:bCs/>
          <w:color w:val="auto"/>
          <w:sz w:val="24"/>
          <w:highlight w:val="none"/>
        </w:rPr>
        <w:t>工程量清单外而要完成本项目所必需的</w:t>
      </w:r>
      <w:bookmarkStart w:id="32" w:name="_Hlk60857309"/>
      <w:r>
        <w:rPr>
          <w:rFonts w:hint="eastAsia" w:ascii="宋体" w:hAnsi="宋体" w:eastAsia="宋体" w:cs="宋体"/>
          <w:bCs/>
          <w:color w:val="auto"/>
          <w:sz w:val="24"/>
          <w:highlight w:val="none"/>
        </w:rPr>
        <w:t>设备、物料、服务等</w:t>
      </w:r>
      <w:bookmarkEnd w:id="32"/>
      <w:r>
        <w:rPr>
          <w:rFonts w:hint="eastAsia" w:ascii="宋体" w:hAnsi="宋体" w:eastAsia="宋体" w:cs="宋体"/>
          <w:bCs/>
          <w:color w:val="auto"/>
          <w:sz w:val="24"/>
          <w:highlight w:val="none"/>
        </w:rPr>
        <w:t>各</w:t>
      </w:r>
      <w:r>
        <w:rPr>
          <w:rFonts w:hint="eastAsia" w:ascii="宋体" w:hAnsi="宋体" w:eastAsia="宋体" w:cs="宋体"/>
          <w:color w:val="auto"/>
          <w:sz w:val="24"/>
          <w:highlight w:val="none"/>
        </w:rPr>
        <w:t>供应商请自行考虑并计入投标总报价，中标后不予调整。</w:t>
      </w:r>
    </w:p>
    <w:p w14:paraId="1C6B892F">
      <w:pPr>
        <w:snapToGrid w:val="0"/>
        <w:spacing w:before="120" w:beforeLines="50" w:line="420" w:lineRule="exact"/>
        <w:ind w:firstLine="472" w:firstLineChars="196"/>
        <w:rPr>
          <w:rFonts w:hint="eastAsia" w:ascii="宋体" w:hAnsi="宋体" w:eastAsia="宋体" w:cs="宋体"/>
          <w:b/>
          <w:color w:val="auto"/>
          <w:kern w:val="0"/>
          <w:sz w:val="24"/>
          <w:highlight w:val="none"/>
        </w:rPr>
      </w:pPr>
      <w:r>
        <w:rPr>
          <w:rFonts w:hint="eastAsia" w:ascii="宋体" w:hAnsi="宋体" w:eastAsia="宋体" w:cs="宋体"/>
          <w:b/>
          <w:color w:val="auto"/>
          <w:sz w:val="24"/>
          <w:highlight w:val="none"/>
        </w:rPr>
        <w:t>（六）</w:t>
      </w:r>
      <w:r>
        <w:rPr>
          <w:rFonts w:hint="eastAsia" w:ascii="宋体" w:hAnsi="宋体" w:eastAsia="宋体" w:cs="宋体"/>
          <w:b/>
          <w:color w:val="auto"/>
          <w:kern w:val="0"/>
          <w:sz w:val="24"/>
          <w:highlight w:val="none"/>
        </w:rPr>
        <w:t>转包与分包</w:t>
      </w:r>
    </w:p>
    <w:p w14:paraId="649BBF9B">
      <w:pPr>
        <w:snapToGrid w:val="0"/>
        <w:spacing w:line="420" w:lineRule="exact"/>
        <w:ind w:firstLine="720" w:firstLineChars="3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本项目不允许转包与违法分包。</w:t>
      </w:r>
    </w:p>
    <w:p w14:paraId="69C26642">
      <w:pPr>
        <w:snapToGrid w:val="0"/>
        <w:spacing w:before="120" w:beforeLines="50" w:line="420" w:lineRule="exact"/>
        <w:ind w:firstLine="472" w:firstLineChars="196"/>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（七）特别说明</w:t>
      </w:r>
    </w:p>
    <w:p w14:paraId="6A7F2231">
      <w:pPr>
        <w:widowControl/>
        <w:spacing w:line="420" w:lineRule="exact"/>
        <w:ind w:firstLine="482" w:firstLineChars="200"/>
        <w:jc w:val="left"/>
        <w:rPr>
          <w:rFonts w:hint="eastAsia" w:ascii="宋体" w:hAnsi="宋体" w:eastAsia="宋体" w:cs="宋体"/>
          <w:color w:val="auto"/>
          <w:kern w:val="0"/>
          <w:sz w:val="24"/>
          <w:highlight w:val="none"/>
        </w:rPr>
      </w:pPr>
      <w:r>
        <w:rPr>
          <w:rFonts w:hint="eastAsia" w:ascii="宋体" w:hAnsi="宋体" w:eastAsia="宋体" w:cs="宋体"/>
          <w:b/>
          <w:color w:val="auto"/>
          <w:sz w:val="24"/>
          <w:highlight w:val="none"/>
        </w:rPr>
        <w:t>1.单位负责人为同一人或者存在直接控股、管理关系的不同投标人，不得参加同一合同项下的采购活动。如有上述行为的，相关投标均无效。</w:t>
      </w:r>
      <w:r>
        <w:rPr>
          <w:rFonts w:hint="eastAsia" w:ascii="宋体" w:hAnsi="宋体" w:eastAsia="宋体" w:cs="宋体"/>
          <w:color w:val="auto"/>
          <w:kern w:val="0"/>
          <w:sz w:val="24"/>
          <w:highlight w:val="none"/>
        </w:rPr>
        <w:t xml:space="preserve">  </w:t>
      </w:r>
    </w:p>
    <w:p w14:paraId="1659DF35">
      <w:pPr>
        <w:pStyle w:val="30"/>
        <w:snapToGrid w:val="0"/>
        <w:spacing w:beforeLines="0" w:afterLines="0" w:line="420" w:lineRule="exact"/>
        <w:ind w:left="2" w:leftChars="1" w:firstLine="360" w:firstLineChars="150"/>
        <w:rPr>
          <w:rFonts w:hint="eastAsia" w:ascii="宋体" w:hAnsi="宋体" w:eastAsia="宋体" w:cs="宋体"/>
          <w:color w:val="auto"/>
          <w:highlight w:val="none"/>
        </w:rPr>
      </w:pPr>
      <w:r>
        <w:rPr>
          <w:rFonts w:hint="eastAsia" w:ascii="宋体" w:hAnsi="宋体" w:eastAsia="宋体" w:cs="宋体"/>
          <w:color w:val="auto"/>
          <w:highlight w:val="none"/>
        </w:rPr>
        <w:t>2.投标人投标所使用的资格、信誉、荣誉、业绩必须为本法人所拥有。投标人投标所使用的采购项目实施人员须为本法人员工。</w:t>
      </w:r>
    </w:p>
    <w:p w14:paraId="0686F5BE">
      <w:pPr>
        <w:pStyle w:val="30"/>
        <w:snapToGrid w:val="0"/>
        <w:spacing w:beforeLines="0" w:afterLines="0" w:line="420" w:lineRule="exact"/>
        <w:ind w:left="2" w:leftChars="1"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3.投标人应仔细阅读</w:t>
      </w:r>
      <w:r>
        <w:rPr>
          <w:rFonts w:hint="eastAsia" w:ascii="宋体" w:hAnsi="宋体" w:eastAsia="宋体" w:cs="宋体"/>
          <w:color w:val="auto"/>
          <w:highlight w:val="none"/>
          <w:lang w:val="en-US" w:eastAsia="zh-CN"/>
        </w:rPr>
        <w:t>谈判</w:t>
      </w:r>
      <w:r>
        <w:rPr>
          <w:rFonts w:hint="eastAsia" w:ascii="宋体" w:hAnsi="宋体" w:eastAsia="宋体" w:cs="宋体"/>
          <w:color w:val="auto"/>
          <w:highlight w:val="none"/>
          <w:lang w:eastAsia="zh-CN"/>
        </w:rPr>
        <w:t>文件</w:t>
      </w:r>
      <w:r>
        <w:rPr>
          <w:rFonts w:hint="eastAsia" w:ascii="宋体" w:hAnsi="宋体" w:eastAsia="宋体" w:cs="宋体"/>
          <w:color w:val="auto"/>
          <w:highlight w:val="none"/>
        </w:rPr>
        <w:t>的所有内容，按照</w:t>
      </w:r>
      <w:r>
        <w:rPr>
          <w:rFonts w:hint="eastAsia" w:ascii="宋体" w:hAnsi="宋体" w:eastAsia="宋体" w:cs="宋体"/>
          <w:color w:val="auto"/>
          <w:highlight w:val="none"/>
          <w:lang w:val="en-US" w:eastAsia="zh-CN"/>
        </w:rPr>
        <w:t>谈判</w:t>
      </w:r>
      <w:r>
        <w:rPr>
          <w:rFonts w:hint="eastAsia" w:ascii="宋体" w:hAnsi="宋体" w:eastAsia="宋体" w:cs="宋体"/>
          <w:color w:val="auto"/>
          <w:highlight w:val="none"/>
          <w:lang w:eastAsia="zh-CN"/>
        </w:rPr>
        <w:t>文件</w:t>
      </w:r>
      <w:r>
        <w:rPr>
          <w:rFonts w:hint="eastAsia" w:ascii="宋体" w:hAnsi="宋体" w:eastAsia="宋体" w:cs="宋体"/>
          <w:color w:val="auto"/>
          <w:highlight w:val="none"/>
        </w:rPr>
        <w:t>的要求提交</w:t>
      </w:r>
      <w:r>
        <w:rPr>
          <w:rFonts w:hint="eastAsia" w:ascii="宋体" w:hAnsi="宋体" w:eastAsia="宋体" w:cs="宋体"/>
          <w:color w:val="auto"/>
          <w:highlight w:val="none"/>
          <w:lang w:eastAsia="zh-CN"/>
        </w:rPr>
        <w:t>响应文件</w:t>
      </w:r>
      <w:r>
        <w:rPr>
          <w:rFonts w:hint="eastAsia" w:ascii="宋体" w:hAnsi="宋体" w:eastAsia="宋体" w:cs="宋体"/>
          <w:color w:val="auto"/>
          <w:highlight w:val="none"/>
        </w:rPr>
        <w:t>，并对所提供的全部资料的真实性承担法律责任。</w:t>
      </w:r>
    </w:p>
    <w:p w14:paraId="5CA6CDC4">
      <w:pPr>
        <w:pStyle w:val="30"/>
        <w:snapToGrid w:val="0"/>
        <w:spacing w:beforeLines="0" w:afterLines="0" w:line="420" w:lineRule="exact"/>
        <w:ind w:left="2" w:leftChars="1" w:firstLine="480" w:firstLineChars="200"/>
        <w:rPr>
          <w:rFonts w:hint="eastAsia" w:ascii="宋体" w:hAnsi="宋体" w:eastAsia="宋体" w:cs="宋体"/>
          <w:b/>
          <w:color w:val="auto"/>
          <w:highlight w:val="none"/>
        </w:rPr>
      </w:pPr>
      <w:r>
        <w:rPr>
          <w:rFonts w:hint="eastAsia" w:ascii="宋体" w:hAnsi="宋体" w:eastAsia="宋体" w:cs="宋体"/>
          <w:color w:val="auto"/>
          <w:highlight w:val="none"/>
        </w:rPr>
        <w:t>4.投标人在投标活动中提供任何虚假材料,其投标无效，并报</w:t>
      </w:r>
      <w:r>
        <w:rPr>
          <w:rFonts w:hint="eastAsia" w:ascii="宋体" w:hAnsi="宋体" w:eastAsia="宋体" w:cs="宋体"/>
          <w:b/>
          <w:color w:val="auto"/>
          <w:highlight w:val="none"/>
        </w:rPr>
        <w:t>有权受理非政府采购项目的</w:t>
      </w:r>
      <w:r>
        <w:rPr>
          <w:rFonts w:hint="eastAsia" w:ascii="宋体" w:hAnsi="宋体" w:eastAsia="宋体" w:cs="宋体"/>
          <w:color w:val="auto"/>
          <w:highlight w:val="none"/>
        </w:rPr>
        <w:t>监管部门查处（</w:t>
      </w:r>
      <w:r>
        <w:rPr>
          <w:rFonts w:hint="eastAsia" w:ascii="宋体" w:hAnsi="宋体" w:eastAsia="宋体" w:cs="宋体"/>
          <w:b/>
          <w:color w:val="auto"/>
          <w:highlight w:val="none"/>
        </w:rPr>
        <w:t>特别说明：临海市财政局非有权受理非政府采购项目的监管部门</w:t>
      </w:r>
      <w:r>
        <w:rPr>
          <w:rFonts w:hint="eastAsia" w:ascii="宋体" w:hAnsi="宋体" w:eastAsia="宋体" w:cs="宋体"/>
          <w:color w:val="auto"/>
          <w:highlight w:val="none"/>
        </w:rPr>
        <w:t>）。中标后发现的,中标人须依照《中华人民共和国消费者权益保护法》第49条之规定双倍赔偿招标人，且民事赔偿并不免除违法投标人的行政与刑事责任。</w:t>
      </w:r>
    </w:p>
    <w:p w14:paraId="2CDEA908">
      <w:pPr>
        <w:pStyle w:val="30"/>
        <w:snapToGrid w:val="0"/>
        <w:spacing w:before="120" w:after="120" w:line="420" w:lineRule="exact"/>
        <w:ind w:firstLine="472" w:firstLineChars="196"/>
        <w:rPr>
          <w:rFonts w:hint="eastAsia" w:ascii="宋体" w:hAnsi="宋体" w:eastAsia="宋体" w:cs="宋体"/>
          <w:b/>
          <w:bCs/>
          <w:color w:val="auto"/>
          <w:highlight w:val="none"/>
        </w:rPr>
      </w:pPr>
      <w:r>
        <w:rPr>
          <w:rFonts w:hint="eastAsia" w:ascii="宋体" w:hAnsi="宋体" w:eastAsia="宋体" w:cs="宋体"/>
          <w:b/>
          <w:bCs/>
          <w:color w:val="auto"/>
          <w:highlight w:val="none"/>
        </w:rPr>
        <w:t>（八）质疑</w:t>
      </w:r>
    </w:p>
    <w:p w14:paraId="441F0245">
      <w:pPr>
        <w:widowControl/>
        <w:spacing w:line="42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1.投标人认为</w:t>
      </w:r>
      <w:r>
        <w:rPr>
          <w:rFonts w:hint="eastAsia" w:ascii="宋体" w:hAnsi="宋体" w:eastAsia="宋体" w:cs="宋体"/>
          <w:color w:val="auto"/>
          <w:kern w:val="0"/>
          <w:sz w:val="24"/>
          <w:highlight w:val="none"/>
          <w:lang w:val="en-US" w:eastAsia="zh-CN"/>
        </w:rPr>
        <w:t>谈判</w:t>
      </w:r>
      <w:r>
        <w:rPr>
          <w:rFonts w:hint="eastAsia" w:ascii="宋体" w:hAnsi="宋体" w:eastAsia="宋体" w:cs="宋体"/>
          <w:color w:val="auto"/>
          <w:kern w:val="0"/>
          <w:sz w:val="24"/>
          <w:highlight w:val="none"/>
          <w:lang w:eastAsia="zh-CN"/>
        </w:rPr>
        <w:t>文件</w:t>
      </w:r>
      <w:r>
        <w:rPr>
          <w:rFonts w:hint="eastAsia" w:ascii="宋体" w:hAnsi="宋体" w:eastAsia="宋体" w:cs="宋体"/>
          <w:color w:val="auto"/>
          <w:kern w:val="0"/>
          <w:sz w:val="24"/>
          <w:highlight w:val="none"/>
        </w:rPr>
        <w:t>、采购过程和中标结果使自己的权益受到损害的，以在线形式一次性向招标人或代理机构提出质疑：</w:t>
      </w:r>
    </w:p>
    <w:p w14:paraId="42CEB143">
      <w:pPr>
        <w:pStyle w:val="46"/>
        <w:spacing w:before="0" w:beforeAutospacing="0" w:after="0" w:afterAutospacing="0" w:line="400" w:lineRule="exact"/>
        <w:rPr>
          <w:rFonts w:hint="eastAsia" w:ascii="宋体" w:hAnsi="宋体" w:eastAsia="宋体" w:cs="宋体"/>
          <w:color w:val="auto"/>
          <w:highlight w:val="none"/>
        </w:rPr>
      </w:pPr>
      <w:r>
        <w:rPr>
          <w:rFonts w:hint="eastAsia" w:ascii="宋体" w:hAnsi="宋体" w:eastAsia="宋体" w:cs="宋体"/>
          <w:color w:val="auto"/>
          <w:kern w:val="0"/>
          <w:sz w:val="24"/>
          <w:highlight w:val="none"/>
        </w:rPr>
        <w:t>（1）投标人认为</w:t>
      </w:r>
      <w:r>
        <w:rPr>
          <w:rFonts w:hint="eastAsia" w:ascii="宋体" w:hAnsi="宋体" w:eastAsia="宋体" w:cs="宋体"/>
          <w:color w:val="auto"/>
          <w:kern w:val="0"/>
          <w:sz w:val="24"/>
          <w:highlight w:val="none"/>
          <w:lang w:val="en-US" w:eastAsia="zh-CN"/>
        </w:rPr>
        <w:t>谈判</w:t>
      </w:r>
      <w:r>
        <w:rPr>
          <w:rFonts w:hint="eastAsia" w:ascii="宋体" w:hAnsi="宋体" w:eastAsia="宋体" w:cs="宋体"/>
          <w:color w:val="auto"/>
          <w:kern w:val="0"/>
          <w:sz w:val="24"/>
          <w:highlight w:val="none"/>
          <w:lang w:eastAsia="zh-CN"/>
        </w:rPr>
        <w:t>文件</w:t>
      </w:r>
      <w:r>
        <w:rPr>
          <w:rFonts w:hint="eastAsia" w:ascii="宋体" w:hAnsi="宋体" w:eastAsia="宋体" w:cs="宋体"/>
          <w:color w:val="auto"/>
          <w:kern w:val="0"/>
          <w:sz w:val="24"/>
          <w:highlight w:val="none"/>
        </w:rPr>
        <w:t>的内容损害其权益的，</w:t>
      </w:r>
      <w:r>
        <w:rPr>
          <w:rFonts w:hint="eastAsia" w:ascii="宋体" w:hAnsi="宋体" w:eastAsia="宋体" w:cs="宋体"/>
          <w:color w:val="auto"/>
          <w:kern w:val="0"/>
          <w:sz w:val="24"/>
          <w:szCs w:val="24"/>
          <w:highlight w:val="none"/>
          <w:lang w:val="en-US" w:eastAsia="zh-CN" w:bidi="ar-SA"/>
        </w:rPr>
        <w:t>应在投标截止前1天提出问题及要求澄清谈判文件，否则被质疑人可不予接受。</w:t>
      </w:r>
    </w:p>
    <w:p w14:paraId="5BE0E02A">
      <w:pPr>
        <w:widowControl/>
        <w:spacing w:line="420" w:lineRule="exact"/>
        <w:ind w:firstLine="240" w:firstLineChars="1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（2）投标人对采购过程提出质疑的，应当在各采购程序环节结束之日起</w:t>
      </w:r>
      <w:r>
        <w:rPr>
          <w:rFonts w:hint="eastAsia" w:ascii="宋体" w:hAnsi="宋体" w:eastAsia="宋体" w:cs="宋体"/>
          <w:b/>
          <w:color w:val="auto"/>
          <w:kern w:val="0"/>
          <w:sz w:val="24"/>
          <w:highlight w:val="none"/>
          <w:u w:val="single"/>
          <w:lang w:val="en-US" w:eastAsia="zh-CN"/>
        </w:rPr>
        <w:t>3</w:t>
      </w:r>
      <w:r>
        <w:rPr>
          <w:rFonts w:hint="eastAsia" w:ascii="宋体" w:hAnsi="宋体" w:eastAsia="宋体" w:cs="宋体"/>
          <w:color w:val="auto"/>
          <w:kern w:val="0"/>
          <w:sz w:val="24"/>
          <w:highlight w:val="none"/>
        </w:rPr>
        <w:t>个工作日内提出质疑；</w:t>
      </w:r>
    </w:p>
    <w:p w14:paraId="63B5BEA1">
      <w:pPr>
        <w:widowControl/>
        <w:spacing w:line="420" w:lineRule="exact"/>
        <w:ind w:firstLine="240" w:firstLineChars="100"/>
        <w:jc w:val="left"/>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rPr>
        <w:t>（3）投标人对成交结果提出质疑的，</w:t>
      </w:r>
      <w:r>
        <w:rPr>
          <w:rFonts w:hint="eastAsia" w:ascii="宋体" w:hAnsi="宋体" w:eastAsia="宋体" w:cs="宋体"/>
          <w:b/>
          <w:color w:val="auto"/>
          <w:kern w:val="0"/>
          <w:sz w:val="24"/>
          <w:highlight w:val="none"/>
        </w:rPr>
        <w:t>应当在成交结果公告之日起</w:t>
      </w:r>
      <w:r>
        <w:rPr>
          <w:rFonts w:hint="eastAsia" w:ascii="宋体" w:hAnsi="宋体" w:eastAsia="宋体" w:cs="宋体"/>
          <w:b/>
          <w:color w:val="auto"/>
          <w:kern w:val="0"/>
          <w:sz w:val="24"/>
          <w:highlight w:val="none"/>
          <w:u w:val="single"/>
          <w:lang w:val="en-US" w:eastAsia="zh-CN"/>
        </w:rPr>
        <w:t>3</w:t>
      </w:r>
      <w:r>
        <w:rPr>
          <w:rFonts w:hint="eastAsia" w:ascii="宋体" w:hAnsi="宋体" w:eastAsia="宋体" w:cs="宋体"/>
          <w:color w:val="auto"/>
          <w:kern w:val="0"/>
          <w:sz w:val="24"/>
          <w:highlight w:val="none"/>
        </w:rPr>
        <w:t>个工作日内提出质疑；</w:t>
      </w:r>
    </w:p>
    <w:p w14:paraId="4B9011FA">
      <w:pPr>
        <w:widowControl/>
        <w:spacing w:line="42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2.招标人或代理机构在收到投标人的在线质疑后</w:t>
      </w:r>
      <w:r>
        <w:rPr>
          <w:rFonts w:hint="eastAsia" w:ascii="宋体" w:hAnsi="宋体" w:eastAsia="宋体" w:cs="宋体"/>
          <w:b/>
          <w:color w:val="auto"/>
          <w:kern w:val="0"/>
          <w:sz w:val="24"/>
          <w:highlight w:val="none"/>
          <w:u w:val="single"/>
          <w:lang w:val="en-US" w:eastAsia="zh-CN"/>
        </w:rPr>
        <w:t>7</w:t>
      </w:r>
      <w:r>
        <w:rPr>
          <w:rFonts w:hint="eastAsia" w:ascii="宋体" w:hAnsi="宋体" w:eastAsia="宋体" w:cs="宋体"/>
          <w:color w:val="auto"/>
          <w:kern w:val="0"/>
          <w:sz w:val="24"/>
          <w:highlight w:val="none"/>
        </w:rPr>
        <w:t>个工作日内作出答复，并以在线形式回复质疑投标人和其他有关投标人，但答复内容不涉及商业秘密。</w:t>
      </w:r>
    </w:p>
    <w:p w14:paraId="6EF7748B">
      <w:pPr>
        <w:widowControl/>
        <w:spacing w:line="420" w:lineRule="exact"/>
        <w:ind w:firstLine="482" w:firstLineChars="200"/>
        <w:jc w:val="left"/>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3.投标人质疑应当有明确的请求和必要的证明材料，包括但不限于权益受损害的情况说明及受损害的原因、证据内容等，并对质疑内容的真实性承担责任。（</w:t>
      </w:r>
      <w:r>
        <w:rPr>
          <w:rFonts w:hint="eastAsia" w:ascii="宋体" w:hAnsi="宋体" w:eastAsia="宋体" w:cs="宋体"/>
          <w:b/>
          <w:bCs/>
          <w:color w:val="auto"/>
          <w:kern w:val="0"/>
          <w:sz w:val="24"/>
          <w:highlight w:val="none"/>
          <w:lang w:val="en-US" w:eastAsia="zh-CN"/>
        </w:rPr>
        <w:t>参照</w:t>
      </w:r>
      <w:r>
        <w:rPr>
          <w:rFonts w:hint="eastAsia" w:ascii="宋体" w:hAnsi="宋体" w:eastAsia="宋体" w:cs="宋体"/>
          <w:b/>
          <w:bCs/>
          <w:color w:val="auto"/>
          <w:kern w:val="0"/>
          <w:sz w:val="24"/>
          <w:highlight w:val="none"/>
        </w:rPr>
        <w:t>《中华人民共和国政府采购法实施条例》第五十七条，捏造事实、提供虚假材料或者以非法手段取得证明材料不能作为质疑、投诉的证明材料）。</w:t>
      </w:r>
    </w:p>
    <w:p w14:paraId="5196C841">
      <w:pPr>
        <w:widowControl/>
        <w:spacing w:line="420" w:lineRule="exact"/>
        <w:ind w:firstLine="482" w:firstLineChars="200"/>
        <w:jc w:val="left"/>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（九）投诉</w:t>
      </w:r>
    </w:p>
    <w:p w14:paraId="0A62FA49">
      <w:pPr>
        <w:pStyle w:val="30"/>
        <w:snapToGrid w:val="0"/>
        <w:spacing w:beforeLines="0" w:afterLines="0" w:line="420" w:lineRule="exact"/>
        <w:ind w:firstLine="472" w:firstLineChars="196"/>
        <w:rPr>
          <w:rFonts w:hint="eastAsia" w:ascii="宋体" w:hAnsi="宋体" w:eastAsia="宋体" w:cs="宋体"/>
          <w:color w:val="auto"/>
          <w:sz w:val="24"/>
          <w:highlight w:val="none"/>
        </w:rPr>
      </w:pPr>
      <w:r>
        <w:rPr>
          <w:rFonts w:hint="eastAsia" w:ascii="宋体" w:hAnsi="宋体" w:eastAsia="宋体" w:cs="宋体"/>
          <w:b/>
          <w:color w:val="auto"/>
          <w:highlight w:val="none"/>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483D8A42">
      <w:pPr>
        <w:spacing w:line="440" w:lineRule="exact"/>
        <w:ind w:firstLine="482" w:firstLineChars="200"/>
        <w:rPr>
          <w:rFonts w:hint="eastAsia" w:ascii="宋体" w:hAnsi="宋体" w:eastAsia="宋体" w:cs="宋体"/>
          <w:b/>
          <w:color w:val="auto"/>
          <w:sz w:val="24"/>
          <w:highlight w:val="none"/>
        </w:rPr>
      </w:pPr>
      <w:bookmarkStart w:id="33" w:name="_Toc172338036"/>
      <w:bookmarkStart w:id="34" w:name="_Toc182125820"/>
      <w:bookmarkStart w:id="35" w:name="_Toc174767470"/>
      <w:bookmarkStart w:id="36" w:name="_Toc182125897"/>
      <w:bookmarkStart w:id="37" w:name="_Toc172337886"/>
      <w:bookmarkStart w:id="38" w:name="_Toc511655296"/>
      <w:bookmarkStart w:id="39" w:name="_Toc388942627"/>
      <w:bookmarkStart w:id="40" w:name="_Toc498521005"/>
      <w:r>
        <w:rPr>
          <w:rFonts w:hint="eastAsia" w:ascii="宋体" w:hAnsi="宋体" w:eastAsia="宋体" w:cs="宋体"/>
          <w:b/>
          <w:color w:val="auto"/>
          <w:sz w:val="24"/>
          <w:highlight w:val="none"/>
        </w:rPr>
        <w:t>三、供应商谈判文件</w:t>
      </w:r>
      <w:bookmarkEnd w:id="33"/>
      <w:bookmarkEnd w:id="34"/>
      <w:bookmarkEnd w:id="35"/>
      <w:bookmarkEnd w:id="36"/>
      <w:bookmarkEnd w:id="37"/>
      <w:r>
        <w:rPr>
          <w:rFonts w:hint="eastAsia" w:ascii="宋体" w:hAnsi="宋体" w:eastAsia="宋体" w:cs="宋体"/>
          <w:b/>
          <w:color w:val="auto"/>
          <w:sz w:val="24"/>
          <w:highlight w:val="none"/>
        </w:rPr>
        <w:t>的编制</w:t>
      </w:r>
      <w:bookmarkEnd w:id="38"/>
      <w:bookmarkEnd w:id="39"/>
      <w:bookmarkEnd w:id="40"/>
    </w:p>
    <w:p w14:paraId="3722BCB7">
      <w:pPr>
        <w:snapToGrid w:val="0"/>
        <w:spacing w:line="440" w:lineRule="exact"/>
        <w:ind w:firstLine="482" w:firstLineChars="200"/>
        <w:rPr>
          <w:rFonts w:hint="eastAsia" w:ascii="宋体" w:hAnsi="宋体" w:eastAsia="宋体" w:cs="宋体"/>
          <w:color w:val="auto"/>
          <w:sz w:val="24"/>
          <w:highlight w:val="none"/>
        </w:rPr>
      </w:pPr>
      <w:bookmarkStart w:id="41" w:name="_Toc511655297"/>
      <w:r>
        <w:rPr>
          <w:rFonts w:hint="eastAsia" w:ascii="宋体" w:hAnsi="宋体" w:eastAsia="宋体" w:cs="宋体"/>
          <w:b/>
          <w:bCs/>
          <w:color w:val="auto"/>
          <w:sz w:val="24"/>
          <w:highlight w:val="none"/>
          <w:u w:val="single"/>
          <w:shd w:val="pct10" w:color="auto" w:fill="FFFFFF"/>
        </w:rPr>
        <w:t>本项目实行电子投标，供应商应准备电子谈判响应文件，本项目线下无需提供任何备份谈判响应文件。</w:t>
      </w:r>
      <w:r>
        <w:rPr>
          <w:rFonts w:hint="eastAsia" w:ascii="宋体" w:hAnsi="宋体" w:eastAsia="宋体" w:cs="宋体"/>
          <w:color w:val="auto"/>
          <w:sz w:val="24"/>
          <w:highlight w:val="none"/>
        </w:rPr>
        <w:t>电子谈判响应文件，按竞争性谈判文件要求编制。</w:t>
      </w:r>
    </w:p>
    <w:bookmarkEnd w:id="41"/>
    <w:p w14:paraId="6AF46EBA">
      <w:pPr>
        <w:spacing w:line="440" w:lineRule="exact"/>
        <w:ind w:firstLine="482" w:firstLineChars="200"/>
        <w:rPr>
          <w:rFonts w:hint="eastAsia" w:ascii="宋体" w:hAnsi="宋体" w:eastAsia="宋体" w:cs="宋体"/>
          <w:b/>
          <w:color w:val="auto"/>
          <w:sz w:val="24"/>
          <w:highlight w:val="none"/>
        </w:rPr>
      </w:pPr>
      <w:bookmarkStart w:id="42" w:name="_Toc511655305"/>
      <w:r>
        <w:rPr>
          <w:rFonts w:hint="eastAsia" w:ascii="宋体" w:hAnsi="宋体" w:eastAsia="宋体" w:cs="宋体"/>
          <w:b/>
          <w:color w:val="auto"/>
          <w:sz w:val="24"/>
          <w:highlight w:val="none"/>
        </w:rPr>
        <w:t>（二）供应商谈判响应文件组成：</w:t>
      </w:r>
      <w:bookmarkEnd w:id="42"/>
      <w:bookmarkStart w:id="43" w:name="_Toc511655306"/>
    </w:p>
    <w:bookmarkEnd w:id="43"/>
    <w:p w14:paraId="38FB8ACB">
      <w:pPr>
        <w:snapToGrid w:val="0"/>
        <w:spacing w:line="420" w:lineRule="exact"/>
        <w:ind w:firstLine="482" w:firstLineChars="200"/>
        <w:jc w:val="left"/>
        <w:rPr>
          <w:rFonts w:hint="eastAsia" w:ascii="宋体" w:hAnsi="宋体" w:eastAsia="宋体" w:cs="宋体"/>
          <w:color w:val="auto"/>
          <w:sz w:val="24"/>
          <w:highlight w:val="none"/>
        </w:rPr>
      </w:pPr>
      <w:bookmarkStart w:id="44" w:name="_Toc511655323"/>
      <w:r>
        <w:rPr>
          <w:rFonts w:hint="eastAsia" w:ascii="宋体" w:hAnsi="宋体" w:eastAsia="宋体" w:cs="宋体"/>
          <w:b/>
          <w:color w:val="auto"/>
          <w:sz w:val="24"/>
          <w:highlight w:val="none"/>
          <w:lang w:eastAsia="zh-CN"/>
        </w:rPr>
        <w:t>响应文件</w:t>
      </w:r>
      <w:r>
        <w:rPr>
          <w:rFonts w:hint="eastAsia" w:ascii="宋体" w:hAnsi="宋体" w:eastAsia="宋体" w:cs="宋体"/>
          <w:b/>
          <w:color w:val="auto"/>
          <w:sz w:val="24"/>
          <w:highlight w:val="none"/>
        </w:rPr>
        <w:t>由资格响应文件、商务技术响应文件</w:t>
      </w:r>
      <w:r>
        <w:rPr>
          <w:rFonts w:hint="eastAsia" w:ascii="宋体" w:hAnsi="宋体" w:cs="宋体"/>
          <w:b/>
          <w:color w:val="auto"/>
          <w:sz w:val="24"/>
          <w:highlight w:val="none"/>
          <w:lang w:eastAsia="zh-CN"/>
        </w:rPr>
        <w:t>、</w:t>
      </w:r>
      <w:r>
        <w:rPr>
          <w:rFonts w:hint="eastAsia" w:ascii="宋体" w:hAnsi="宋体" w:eastAsia="宋体" w:cs="宋体"/>
          <w:b/>
          <w:color w:val="auto"/>
          <w:sz w:val="24"/>
          <w:highlight w:val="none"/>
        </w:rPr>
        <w:t>报价响应文件</w:t>
      </w:r>
      <w:r>
        <w:rPr>
          <w:rFonts w:hint="eastAsia" w:ascii="宋体" w:hAnsi="宋体" w:cs="宋体"/>
          <w:b/>
          <w:color w:val="auto"/>
          <w:sz w:val="24"/>
          <w:highlight w:val="none"/>
          <w:lang w:eastAsia="zh-CN"/>
        </w:rPr>
        <w:t>三</w:t>
      </w:r>
      <w:r>
        <w:rPr>
          <w:rFonts w:hint="eastAsia" w:ascii="宋体" w:hAnsi="宋体" w:eastAsia="宋体" w:cs="宋体"/>
          <w:b/>
          <w:color w:val="auto"/>
          <w:sz w:val="24"/>
          <w:highlight w:val="none"/>
        </w:rPr>
        <w:t>部份组成。</w:t>
      </w:r>
      <w:r>
        <w:rPr>
          <w:rFonts w:hint="eastAsia" w:ascii="宋体" w:hAnsi="宋体" w:eastAsia="宋体" w:cs="宋体"/>
          <w:color w:val="auto"/>
          <w:sz w:val="24"/>
          <w:highlight w:val="none"/>
        </w:rPr>
        <w:t>相关格式见附件，其余格式自拟。</w:t>
      </w:r>
    </w:p>
    <w:p w14:paraId="16FFD840">
      <w:pPr>
        <w:snapToGrid w:val="0"/>
        <w:spacing w:line="440" w:lineRule="exact"/>
        <w:ind w:firstLine="482" w:firstLineChars="200"/>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1.资格响应文件</w:t>
      </w:r>
    </w:p>
    <w:p w14:paraId="051FADEB">
      <w:pPr>
        <w:snapToGrid w:val="0"/>
        <w:spacing w:line="440" w:lineRule="exact"/>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（1）营业执照（推荐使用电子营业执照）或事业法人登记证或其他工商等登记证明材料原件扫描件或复印件；</w:t>
      </w:r>
    </w:p>
    <w:p w14:paraId="4DD2627B">
      <w:pPr>
        <w:snapToGrid w:val="0"/>
        <w:spacing w:line="440" w:lineRule="exact"/>
        <w:ind w:firstLine="480" w:firstLineChars="200"/>
        <w:jc w:val="left"/>
        <w:rPr>
          <w:rFonts w:hint="eastAsia" w:ascii="宋体" w:hAnsi="宋体" w:eastAsia="宋体" w:cs="宋体"/>
          <w:bCs/>
          <w:color w:val="auto"/>
          <w:sz w:val="24"/>
          <w:highlight w:val="none"/>
          <w:lang w:eastAsia="zh-CN"/>
        </w:rPr>
      </w:pPr>
      <w:bookmarkStart w:id="45" w:name="_Hlk68075338"/>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2</w:t>
      </w:r>
      <w:r>
        <w:rPr>
          <w:rFonts w:hint="eastAsia" w:ascii="宋体" w:hAnsi="宋体" w:eastAsia="宋体" w:cs="宋体"/>
          <w:bCs/>
          <w:color w:val="auto"/>
          <w:sz w:val="24"/>
          <w:highlight w:val="none"/>
        </w:rPr>
        <w:t>）</w:t>
      </w:r>
      <w:bookmarkEnd w:id="45"/>
      <w:r>
        <w:rPr>
          <w:rFonts w:hint="eastAsia" w:ascii="宋体" w:hAnsi="宋体" w:eastAsia="宋体" w:cs="宋体"/>
          <w:color w:val="auto"/>
          <w:sz w:val="24"/>
          <w:highlight w:val="none"/>
        </w:rPr>
        <w:t>资质文件复印件</w:t>
      </w:r>
      <w:r>
        <w:rPr>
          <w:rFonts w:hint="eastAsia" w:ascii="宋体" w:hAnsi="宋体" w:eastAsia="宋体" w:cs="宋体"/>
          <w:color w:val="auto"/>
          <w:sz w:val="24"/>
          <w:highlight w:val="none"/>
          <w:lang w:eastAsia="zh-CN"/>
        </w:rPr>
        <w:t>或资格审查材料</w:t>
      </w:r>
      <w:r>
        <w:rPr>
          <w:rFonts w:hint="eastAsia" w:ascii="宋体" w:hAnsi="宋体" w:eastAsia="宋体" w:cs="宋体"/>
          <w:color w:val="auto"/>
          <w:sz w:val="24"/>
          <w:highlight w:val="none"/>
        </w:rPr>
        <w:t>（如有）</w:t>
      </w:r>
      <w:r>
        <w:rPr>
          <w:rFonts w:hint="eastAsia" w:ascii="宋体" w:hAnsi="宋体" w:eastAsia="宋体" w:cs="宋体"/>
          <w:color w:val="auto"/>
          <w:sz w:val="24"/>
          <w:highlight w:val="none"/>
          <w:lang w:eastAsia="zh-CN"/>
        </w:rPr>
        <w:t>；</w:t>
      </w:r>
    </w:p>
    <w:p w14:paraId="01AAB5A9">
      <w:pPr>
        <w:snapToGrid w:val="0"/>
        <w:spacing w:line="440" w:lineRule="exact"/>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3</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没有重大违法记录的承诺函</w:t>
      </w:r>
      <w:bookmarkStart w:id="46" w:name="_Hlk69365455"/>
      <w:r>
        <w:rPr>
          <w:rFonts w:hint="eastAsia" w:ascii="宋体" w:hAnsi="宋体" w:eastAsia="宋体" w:cs="宋体"/>
          <w:b/>
          <w:color w:val="auto"/>
          <w:sz w:val="24"/>
          <w:highlight w:val="none"/>
          <w:u w:val="single"/>
          <w:shd w:val="pct10" w:color="auto" w:fill="FFFFFF"/>
        </w:rPr>
        <w:t>（请供应商在资格响应文件中勿遗漏该表格）</w:t>
      </w:r>
      <w:r>
        <w:rPr>
          <w:rFonts w:hint="eastAsia" w:ascii="宋体" w:hAnsi="宋体" w:eastAsia="宋体" w:cs="宋体"/>
          <w:bCs/>
          <w:color w:val="auto"/>
          <w:sz w:val="24"/>
          <w:highlight w:val="none"/>
        </w:rPr>
        <w:t>；</w:t>
      </w:r>
    </w:p>
    <w:bookmarkEnd w:id="46"/>
    <w:p w14:paraId="50019F68">
      <w:pPr>
        <w:adjustRightInd w:val="0"/>
        <w:snapToGrid w:val="0"/>
        <w:spacing w:line="440" w:lineRule="exact"/>
        <w:ind w:firstLine="482" w:firstLineChars="200"/>
        <w:jc w:val="left"/>
        <w:rPr>
          <w:rFonts w:hint="eastAsia" w:ascii="宋体" w:hAnsi="宋体" w:cs="宋体"/>
          <w:color w:val="auto"/>
          <w:sz w:val="24"/>
          <w:highlight w:val="none"/>
          <w:lang w:val="en-US" w:eastAsia="zh-CN"/>
        </w:rPr>
      </w:pPr>
      <w:r>
        <w:rPr>
          <w:rFonts w:hint="eastAsia" w:ascii="宋体" w:hAnsi="宋体" w:cs="宋体"/>
          <w:b/>
          <w:color w:val="auto"/>
          <w:sz w:val="24"/>
          <w:highlight w:val="none"/>
          <w:lang w:val="en-US" w:eastAsia="zh-CN"/>
        </w:rPr>
        <w:t>2</w:t>
      </w:r>
      <w:r>
        <w:rPr>
          <w:rFonts w:hint="eastAsia" w:ascii="宋体" w:hAnsi="宋体" w:eastAsia="宋体" w:cs="宋体"/>
          <w:b/>
          <w:color w:val="auto"/>
          <w:sz w:val="24"/>
          <w:highlight w:val="none"/>
        </w:rPr>
        <w:t>.商务技术响应文件</w:t>
      </w:r>
    </w:p>
    <w:p w14:paraId="21B872CE">
      <w:pPr>
        <w:adjustRightInd w:val="0"/>
        <w:snapToGrid w:val="0"/>
        <w:spacing w:line="440" w:lineRule="exact"/>
        <w:ind w:firstLine="470" w:firstLineChars="196"/>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（1）投标函；</w:t>
      </w:r>
    </w:p>
    <w:p w14:paraId="7C84C571">
      <w:pPr>
        <w:adjustRightInd w:val="0"/>
        <w:snapToGrid w:val="0"/>
        <w:spacing w:line="440" w:lineRule="exact"/>
        <w:ind w:firstLine="470" w:firstLineChars="196"/>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（2）法定代表人授权委托书或法定代表人身份证明；</w:t>
      </w:r>
    </w:p>
    <w:p w14:paraId="6C624B88">
      <w:pPr>
        <w:adjustRightInd w:val="0"/>
        <w:snapToGrid w:val="0"/>
        <w:spacing w:line="440" w:lineRule="exact"/>
        <w:ind w:firstLine="470" w:firstLineChars="196"/>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（3）项目负责人简历表；</w:t>
      </w:r>
    </w:p>
    <w:p w14:paraId="3816F1D2">
      <w:pPr>
        <w:adjustRightInd w:val="0"/>
        <w:snapToGrid w:val="0"/>
        <w:spacing w:line="440" w:lineRule="exact"/>
        <w:ind w:firstLine="470" w:firstLineChars="196"/>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（4）项目实施人员一览表；</w:t>
      </w:r>
    </w:p>
    <w:p w14:paraId="097CF909">
      <w:pPr>
        <w:adjustRightInd w:val="0"/>
        <w:snapToGrid w:val="0"/>
        <w:spacing w:line="440" w:lineRule="exact"/>
        <w:ind w:firstLine="470" w:firstLineChars="196"/>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（5）材料说明表；</w:t>
      </w:r>
    </w:p>
    <w:p w14:paraId="018F88A1">
      <w:pPr>
        <w:adjustRightInd w:val="0"/>
        <w:snapToGrid w:val="0"/>
        <w:spacing w:line="440" w:lineRule="exact"/>
        <w:ind w:firstLine="470" w:firstLineChars="196"/>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（6）售后服务响应表；</w:t>
      </w:r>
    </w:p>
    <w:p w14:paraId="735AFE79">
      <w:pPr>
        <w:adjustRightInd w:val="0"/>
        <w:snapToGrid w:val="0"/>
        <w:spacing w:line="440" w:lineRule="exact"/>
        <w:ind w:firstLine="470" w:firstLineChars="196"/>
        <w:jc w:val="lef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（7）商务及技术响应表；</w:t>
      </w:r>
    </w:p>
    <w:p w14:paraId="4E8B2AEC">
      <w:pPr>
        <w:adjustRightInd w:val="0"/>
        <w:snapToGrid w:val="0"/>
        <w:spacing w:line="440" w:lineRule="exact"/>
        <w:ind w:firstLine="470" w:firstLineChars="196"/>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（8）供应商认为需要提供的其他资料。</w:t>
      </w:r>
    </w:p>
    <w:p w14:paraId="347CD14F">
      <w:pPr>
        <w:snapToGrid w:val="0"/>
        <w:spacing w:line="440" w:lineRule="exact"/>
        <w:ind w:firstLine="482" w:firstLineChars="200"/>
        <w:jc w:val="left"/>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3.</w:t>
      </w:r>
      <w:r>
        <w:rPr>
          <w:rFonts w:hint="eastAsia" w:ascii="宋体" w:hAnsi="宋体" w:eastAsia="宋体" w:cs="宋体"/>
          <w:b/>
          <w:color w:val="auto"/>
          <w:sz w:val="24"/>
          <w:highlight w:val="none"/>
        </w:rPr>
        <w:t>报价响应文件</w:t>
      </w:r>
    </w:p>
    <w:p w14:paraId="77BED1E5">
      <w:pPr>
        <w:adjustRightInd w:val="0"/>
        <w:snapToGrid w:val="0"/>
        <w:spacing w:line="44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（1）初次总报价表；</w:t>
      </w:r>
    </w:p>
    <w:p w14:paraId="7151105F">
      <w:pPr>
        <w:adjustRightInd w:val="0"/>
        <w:snapToGrid w:val="0"/>
        <w:spacing w:line="440" w:lineRule="exact"/>
        <w:ind w:firstLine="480" w:firstLineChars="20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lang w:eastAsia="zh-CN"/>
        </w:rPr>
        <w:t>）初次报价明细表；</w:t>
      </w:r>
    </w:p>
    <w:p w14:paraId="6F97A2A7">
      <w:pPr>
        <w:spacing w:line="440" w:lineRule="exact"/>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（三）供应商谈判文件内容填写说明</w:t>
      </w:r>
      <w:bookmarkEnd w:id="44"/>
      <w:bookmarkStart w:id="47" w:name="_Toc511655324"/>
    </w:p>
    <w:p w14:paraId="60B34041">
      <w:pPr>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1、谈判报价</w:t>
      </w:r>
      <w:bookmarkEnd w:id="47"/>
      <w:bookmarkStart w:id="48" w:name="_Toc511655325"/>
    </w:p>
    <w:p w14:paraId="149780DD">
      <w:pPr>
        <w:spacing w:line="440" w:lineRule="exact"/>
        <w:ind w:firstLine="480" w:firstLineChars="200"/>
        <w:rPr>
          <w:rFonts w:hint="eastAsia" w:ascii="宋体" w:hAnsi="宋体" w:eastAsia="宋体" w:cs="宋体"/>
          <w:b/>
          <w:bCs/>
          <w:color w:val="auto"/>
          <w:sz w:val="24"/>
          <w:highlight w:val="none"/>
          <w:u w:val="single"/>
          <w:shd w:val="pct10" w:color="auto" w:fill="FFFFFF"/>
        </w:rPr>
      </w:pPr>
      <w:r>
        <w:rPr>
          <w:rFonts w:hint="eastAsia" w:ascii="宋体" w:hAnsi="宋体" w:eastAsia="宋体" w:cs="宋体"/>
          <w:color w:val="auto"/>
          <w:sz w:val="24"/>
          <w:highlight w:val="none"/>
        </w:rPr>
        <w:t>（1）供应商根据竞争性谈判文件的要求，须将</w:t>
      </w:r>
      <w:bookmarkEnd w:id="48"/>
      <w:bookmarkStart w:id="49" w:name="_Toc511655326"/>
      <w:r>
        <w:rPr>
          <w:rFonts w:hint="eastAsia" w:ascii="宋体" w:hAnsi="宋体" w:eastAsia="宋体" w:cs="宋体"/>
          <w:color w:val="auto"/>
          <w:sz w:val="24"/>
          <w:highlight w:val="none"/>
        </w:rPr>
        <w:t>合同包含的所有风险责任等各项费用都包含在谈判报价中，单价一次性包干</w:t>
      </w:r>
      <w:r>
        <w:rPr>
          <w:rFonts w:hint="eastAsia" w:ascii="宋体" w:hAnsi="宋体" w:eastAsia="宋体" w:cs="宋体"/>
          <w:b/>
          <w:bCs/>
          <w:color w:val="auto"/>
          <w:sz w:val="24"/>
          <w:highlight w:val="none"/>
        </w:rPr>
        <w:t>。</w:t>
      </w:r>
      <w:bookmarkEnd w:id="49"/>
      <w:r>
        <w:rPr>
          <w:rFonts w:hint="eastAsia" w:ascii="宋体" w:hAnsi="宋体" w:eastAsia="宋体" w:cs="宋体"/>
          <w:b/>
          <w:bCs/>
          <w:color w:val="auto"/>
          <w:sz w:val="24"/>
          <w:highlight w:val="none"/>
          <w:u w:val="single"/>
          <w:shd w:val="pct10" w:color="auto" w:fill="FFFFFF"/>
        </w:rPr>
        <w:t>报价明细表中的最终单价根据初次总报价和最后总报价之间的下浮率作相应的下浮。</w:t>
      </w:r>
    </w:p>
    <w:p w14:paraId="74300409">
      <w:pPr>
        <w:spacing w:line="440" w:lineRule="exact"/>
        <w:ind w:firstLine="480" w:firstLineChars="200"/>
        <w:rPr>
          <w:rFonts w:hint="eastAsia" w:ascii="宋体" w:hAnsi="宋体" w:eastAsia="宋体" w:cs="宋体"/>
          <w:color w:val="auto"/>
          <w:sz w:val="24"/>
          <w:highlight w:val="none"/>
        </w:rPr>
      </w:pPr>
      <w:bookmarkStart w:id="50" w:name="_Toc511655327"/>
      <w:r>
        <w:rPr>
          <w:rFonts w:hint="eastAsia" w:ascii="宋体" w:hAnsi="宋体" w:eastAsia="宋体" w:cs="宋体"/>
          <w:color w:val="auto"/>
          <w:sz w:val="24"/>
          <w:highlight w:val="none"/>
        </w:rPr>
        <w:t>（2）报价表格要求</w:t>
      </w:r>
      <w:bookmarkEnd w:id="50"/>
    </w:p>
    <w:p w14:paraId="58C64CC1">
      <w:pPr>
        <w:spacing w:line="440" w:lineRule="exact"/>
        <w:ind w:firstLine="480" w:firstLineChars="200"/>
        <w:rPr>
          <w:rFonts w:hint="eastAsia" w:ascii="宋体" w:hAnsi="宋体" w:eastAsia="宋体" w:cs="宋体"/>
          <w:color w:val="auto"/>
          <w:sz w:val="24"/>
          <w:highlight w:val="none"/>
        </w:rPr>
      </w:pPr>
      <w:bookmarkStart w:id="51" w:name="_Toc511655328"/>
      <w:r>
        <w:rPr>
          <w:rFonts w:hint="eastAsia" w:ascii="宋体" w:hAnsi="宋体" w:eastAsia="宋体" w:cs="宋体"/>
          <w:color w:val="auto"/>
          <w:sz w:val="24"/>
          <w:highlight w:val="none"/>
        </w:rPr>
        <w:t>供应商应按竞争性谈判文件要求填写报价表。</w:t>
      </w:r>
      <w:bookmarkEnd w:id="51"/>
    </w:p>
    <w:p w14:paraId="76607BB8">
      <w:pPr>
        <w:spacing w:line="440" w:lineRule="exact"/>
        <w:ind w:firstLine="480" w:firstLineChars="200"/>
        <w:rPr>
          <w:rFonts w:hint="eastAsia" w:ascii="宋体" w:hAnsi="宋体" w:eastAsia="宋体" w:cs="宋体"/>
          <w:color w:val="auto"/>
          <w:sz w:val="24"/>
          <w:highlight w:val="none"/>
        </w:rPr>
      </w:pPr>
      <w:bookmarkStart w:id="52" w:name="_Toc511655329"/>
      <w:r>
        <w:rPr>
          <w:rFonts w:hint="eastAsia" w:ascii="宋体" w:hAnsi="宋体" w:eastAsia="宋体" w:cs="宋体"/>
          <w:color w:val="auto"/>
          <w:sz w:val="24"/>
          <w:highlight w:val="none"/>
        </w:rPr>
        <w:t>（3）报价要求</w:t>
      </w:r>
      <w:bookmarkEnd w:id="52"/>
    </w:p>
    <w:p w14:paraId="1AAD5B0C">
      <w:pPr>
        <w:spacing w:line="440" w:lineRule="exact"/>
        <w:ind w:firstLine="480" w:firstLineChars="200"/>
        <w:rPr>
          <w:rFonts w:hint="eastAsia" w:ascii="宋体" w:hAnsi="宋体" w:eastAsia="宋体" w:cs="宋体"/>
          <w:b w:val="0"/>
          <w:bCs/>
          <w:color w:val="auto"/>
          <w:sz w:val="24"/>
          <w:highlight w:val="none"/>
        </w:rPr>
      </w:pPr>
      <w:bookmarkStart w:id="53" w:name="_Toc511655337"/>
      <w:r>
        <w:rPr>
          <w:rFonts w:hint="eastAsia" w:ascii="宋体" w:hAnsi="宋体" w:eastAsia="宋体" w:cs="宋体"/>
          <w:b w:val="0"/>
          <w:bCs/>
          <w:color w:val="auto"/>
          <w:sz w:val="24"/>
          <w:highlight w:val="none"/>
        </w:rPr>
        <w:t>1）不论投标结果如何，投标人均应自行承担所有与投标有关的全部费用。</w:t>
      </w:r>
    </w:p>
    <w:p w14:paraId="63687ECA">
      <w:pPr>
        <w:spacing w:line="440" w:lineRule="exact"/>
        <w:ind w:firstLine="480" w:firstLineChars="200"/>
        <w:rPr>
          <w:rFonts w:hint="eastAsia" w:ascii="宋体" w:hAnsi="宋体" w:eastAsia="宋体" w:cs="宋体"/>
          <w:b/>
          <w:bCs w:val="0"/>
          <w:color w:val="auto"/>
          <w:sz w:val="24"/>
          <w:highlight w:val="none"/>
        </w:rPr>
      </w:pPr>
      <w:r>
        <w:rPr>
          <w:rFonts w:hint="eastAsia" w:ascii="宋体" w:hAnsi="宋体" w:eastAsia="宋体" w:cs="宋体"/>
          <w:b w:val="0"/>
          <w:bCs/>
          <w:color w:val="auto"/>
          <w:sz w:val="24"/>
          <w:highlight w:val="none"/>
        </w:rPr>
        <w:t>2）除业主要求或设计变更要求外不签署任何增加费用的联系单，工程量清单外而要完成本项目所必需的设备、物料、服务等各投标人请自行考虑并计入投标总报价，中标后不予调整。</w:t>
      </w:r>
      <w:r>
        <w:rPr>
          <w:rFonts w:hint="eastAsia" w:ascii="宋体" w:hAnsi="宋体" w:eastAsia="宋体" w:cs="宋体"/>
          <w:b/>
          <w:bCs w:val="0"/>
          <w:color w:val="auto"/>
          <w:sz w:val="24"/>
          <w:highlight w:val="none"/>
        </w:rPr>
        <w:t>投标时工程量按照招标文件中提供的工程量进行投标报价，竣工</w:t>
      </w:r>
      <w:r>
        <w:rPr>
          <w:rFonts w:hint="eastAsia" w:ascii="宋体" w:hAnsi="宋体" w:cs="宋体"/>
          <w:b/>
          <w:bCs w:val="0"/>
          <w:color w:val="auto"/>
          <w:sz w:val="24"/>
          <w:highlight w:val="none"/>
          <w:lang w:eastAsia="zh-CN"/>
        </w:rPr>
        <w:t>结</w:t>
      </w:r>
      <w:r>
        <w:rPr>
          <w:rFonts w:hint="eastAsia" w:ascii="宋体" w:hAnsi="宋体" w:eastAsia="宋体" w:cs="宋体"/>
          <w:b/>
          <w:bCs w:val="0"/>
          <w:color w:val="auto"/>
          <w:sz w:val="24"/>
          <w:highlight w:val="none"/>
        </w:rPr>
        <w:t>算时按实</w:t>
      </w:r>
      <w:r>
        <w:rPr>
          <w:rFonts w:hint="eastAsia" w:ascii="宋体" w:hAnsi="宋体" w:cs="宋体"/>
          <w:b/>
          <w:bCs w:val="0"/>
          <w:color w:val="auto"/>
          <w:sz w:val="24"/>
          <w:highlight w:val="none"/>
          <w:lang w:eastAsia="zh-CN"/>
        </w:rPr>
        <w:t>结</w:t>
      </w:r>
      <w:r>
        <w:rPr>
          <w:rFonts w:hint="eastAsia" w:ascii="宋体" w:hAnsi="宋体" w:eastAsia="宋体" w:cs="宋体"/>
          <w:b/>
          <w:bCs w:val="0"/>
          <w:color w:val="auto"/>
          <w:sz w:val="24"/>
          <w:highlight w:val="none"/>
        </w:rPr>
        <w:t>算。</w:t>
      </w:r>
    </w:p>
    <w:p w14:paraId="7D8948BC">
      <w:pPr>
        <w:spacing w:line="440" w:lineRule="exact"/>
        <w:ind w:firstLine="480" w:firstLineChars="20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（四）供应商有下列情形之一的，按有关规定进行处罚：</w:t>
      </w:r>
      <w:bookmarkEnd w:id="53"/>
    </w:p>
    <w:p w14:paraId="4269CE14">
      <w:pPr>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（1）供应商在投标有效期内撤回谈判响应文件的；</w:t>
      </w:r>
    </w:p>
    <w:p w14:paraId="088DB091">
      <w:pPr>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（2）未按规定提交履约保证金的；</w:t>
      </w:r>
    </w:p>
    <w:p w14:paraId="5D369547">
      <w:pPr>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（3）供应商在投标过程中弄虚作假，提供虚假材料的；</w:t>
      </w:r>
    </w:p>
    <w:p w14:paraId="5988DFA8">
      <w:pPr>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（4）成交供应商无正当理由不与采购单位签订合同的；</w:t>
      </w:r>
    </w:p>
    <w:p w14:paraId="0484B49E">
      <w:pPr>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（5）将中标项目转让给他人或者在谈判响应文件中未说明且未经招标人同意，将中标项目分包给他人的；</w:t>
      </w:r>
    </w:p>
    <w:p w14:paraId="6F0F5B7A">
      <w:pPr>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（6）拒绝履行合同义务的；</w:t>
      </w:r>
    </w:p>
    <w:p w14:paraId="33E3E137">
      <w:pPr>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（7）其他严重扰乱招投标程序的。</w:t>
      </w:r>
    </w:p>
    <w:p w14:paraId="44CAF496">
      <w:pPr>
        <w:spacing w:line="440" w:lineRule="exact"/>
        <w:ind w:firstLine="482" w:firstLineChars="200"/>
        <w:rPr>
          <w:rFonts w:hint="eastAsia" w:ascii="宋体" w:hAnsi="宋体" w:eastAsia="宋体" w:cs="宋体"/>
          <w:b/>
          <w:color w:val="auto"/>
          <w:sz w:val="24"/>
          <w:highlight w:val="none"/>
        </w:rPr>
      </w:pPr>
      <w:bookmarkStart w:id="54" w:name="_Toc511655345"/>
      <w:r>
        <w:rPr>
          <w:rFonts w:hint="eastAsia" w:ascii="宋体" w:hAnsi="宋体" w:eastAsia="宋体" w:cs="宋体"/>
          <w:b/>
          <w:color w:val="auto"/>
          <w:sz w:val="24"/>
          <w:highlight w:val="none"/>
        </w:rPr>
        <w:t>四、供应商谈判文件的有效期</w:t>
      </w:r>
      <w:bookmarkEnd w:id="54"/>
    </w:p>
    <w:p w14:paraId="238039AB">
      <w:pPr>
        <w:spacing w:line="440" w:lineRule="exact"/>
        <w:ind w:firstLine="480" w:firstLineChars="200"/>
        <w:rPr>
          <w:rFonts w:hint="eastAsia" w:ascii="宋体" w:hAnsi="宋体" w:eastAsia="宋体" w:cs="宋体"/>
          <w:color w:val="auto"/>
          <w:sz w:val="24"/>
          <w:highlight w:val="none"/>
        </w:rPr>
      </w:pPr>
      <w:bookmarkStart w:id="55" w:name="_Toc511655346"/>
      <w:r>
        <w:rPr>
          <w:rFonts w:hint="eastAsia" w:ascii="宋体" w:hAnsi="宋体" w:eastAsia="宋体" w:cs="宋体"/>
          <w:color w:val="auto"/>
          <w:sz w:val="24"/>
          <w:highlight w:val="none"/>
        </w:rPr>
        <w:t>1、自供应商谈判文件提交截止之日起90天内，有效期短于这个规定期限的供应商谈判文件将被拒绝。成交供应商谈判有效期则顺延至项目完成验收之日，在此有效期内未经同意，供应商谈判文件的一切内容不予改变。</w:t>
      </w:r>
      <w:bookmarkEnd w:id="55"/>
    </w:p>
    <w:p w14:paraId="532ABEE3">
      <w:pPr>
        <w:spacing w:line="440" w:lineRule="exact"/>
        <w:ind w:firstLine="480" w:firstLineChars="200"/>
        <w:rPr>
          <w:rFonts w:hint="eastAsia" w:ascii="宋体" w:hAnsi="宋体" w:eastAsia="宋体" w:cs="宋体"/>
          <w:color w:val="auto"/>
          <w:sz w:val="24"/>
          <w:highlight w:val="none"/>
        </w:rPr>
      </w:pPr>
      <w:bookmarkStart w:id="56" w:name="_Toc511655347"/>
      <w:r>
        <w:rPr>
          <w:rFonts w:hint="eastAsia" w:ascii="宋体" w:hAnsi="宋体" w:eastAsia="宋体" w:cs="宋体"/>
          <w:color w:val="auto"/>
          <w:sz w:val="24"/>
          <w:highlight w:val="none"/>
        </w:rPr>
        <w:t>2、在特殊情况下，采购单位可与供应商协商延长供应商谈判文件的有效期,这种要求和答复均应以书面形式进行。</w:t>
      </w:r>
      <w:bookmarkEnd w:id="56"/>
    </w:p>
    <w:p w14:paraId="5B33299C">
      <w:pPr>
        <w:spacing w:line="440" w:lineRule="exact"/>
        <w:ind w:firstLine="480" w:firstLineChars="200"/>
        <w:rPr>
          <w:rFonts w:hint="eastAsia" w:ascii="宋体" w:hAnsi="宋体" w:eastAsia="宋体" w:cs="宋体"/>
          <w:color w:val="auto"/>
          <w:sz w:val="24"/>
          <w:highlight w:val="none"/>
        </w:rPr>
      </w:pPr>
      <w:bookmarkStart w:id="57" w:name="_Toc511655348"/>
      <w:r>
        <w:rPr>
          <w:rFonts w:hint="eastAsia" w:ascii="宋体" w:hAnsi="宋体" w:eastAsia="宋体" w:cs="宋体"/>
          <w:color w:val="auto"/>
          <w:sz w:val="24"/>
          <w:highlight w:val="none"/>
        </w:rPr>
        <w:t>3、供应商可拒绝接受延期要求。同意延长有效期的供应商不能修改供应商谈判文件和承诺的内容。</w:t>
      </w:r>
      <w:bookmarkEnd w:id="57"/>
    </w:p>
    <w:p w14:paraId="1255D19C">
      <w:pPr>
        <w:spacing w:line="440" w:lineRule="exact"/>
        <w:ind w:firstLine="482" w:firstLineChars="200"/>
        <w:rPr>
          <w:rFonts w:hint="eastAsia" w:ascii="宋体" w:hAnsi="宋体" w:eastAsia="宋体" w:cs="宋体"/>
          <w:b/>
          <w:color w:val="auto"/>
          <w:sz w:val="24"/>
          <w:highlight w:val="none"/>
        </w:rPr>
      </w:pPr>
      <w:bookmarkStart w:id="58" w:name="_Toc511655349"/>
      <w:r>
        <w:rPr>
          <w:rFonts w:hint="eastAsia" w:ascii="宋体" w:hAnsi="宋体" w:eastAsia="宋体" w:cs="宋体"/>
          <w:b/>
          <w:color w:val="auto"/>
          <w:sz w:val="24"/>
          <w:highlight w:val="none"/>
        </w:rPr>
        <w:t>五、供应商谈判文件的签署</w:t>
      </w:r>
      <w:bookmarkEnd w:id="58"/>
    </w:p>
    <w:p w14:paraId="6F69D99C">
      <w:pPr>
        <w:snapToGrid w:val="0"/>
        <w:spacing w:line="440" w:lineRule="exact"/>
        <w:ind w:firstLine="480" w:firstLineChars="200"/>
        <w:jc w:val="left"/>
        <w:rPr>
          <w:rFonts w:hint="eastAsia" w:ascii="宋体" w:hAnsi="宋体" w:eastAsia="宋体" w:cs="宋体"/>
          <w:color w:val="auto"/>
          <w:sz w:val="24"/>
          <w:highlight w:val="none"/>
        </w:rPr>
      </w:pPr>
      <w:bookmarkStart w:id="59" w:name="_Toc511655355"/>
      <w:r>
        <w:rPr>
          <w:rFonts w:hint="eastAsia" w:ascii="宋体" w:hAnsi="宋体" w:eastAsia="宋体" w:cs="宋体"/>
          <w:color w:val="auto"/>
          <w:sz w:val="24"/>
          <w:highlight w:val="none"/>
        </w:rPr>
        <w:t>1.供应商应按本竞争性谈判文件规定的格式和顺序编制谈判响应文件并标注页码，谈判响应文件内容不完整、编排混乱而导致谈判响应文件被误读、漏读或者查找不到相关内容的，供应商责任自负。</w:t>
      </w:r>
    </w:p>
    <w:p w14:paraId="1E89DE91">
      <w:pPr>
        <w:snapToGrid w:val="0"/>
        <w:spacing w:line="440" w:lineRule="exact"/>
        <w:ind w:firstLine="470" w:firstLineChars="196"/>
        <w:jc w:val="left"/>
        <w:rPr>
          <w:rFonts w:hint="eastAsia" w:ascii="宋体" w:hAnsi="宋体" w:eastAsia="宋体" w:cs="宋体"/>
          <w:bCs/>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b/>
          <w:color w:val="auto"/>
          <w:sz w:val="24"/>
          <w:highlight w:val="none"/>
        </w:rPr>
        <w:t>电子谈判响应文件中公章采用CA签章</w:t>
      </w:r>
      <w:r>
        <w:rPr>
          <w:rFonts w:hint="eastAsia" w:ascii="宋体" w:hAnsi="宋体" w:eastAsia="宋体" w:cs="宋体"/>
          <w:bCs/>
          <w:color w:val="auto"/>
          <w:sz w:val="24"/>
          <w:highlight w:val="none"/>
        </w:rPr>
        <w:t>，并根据本竞争性谈判文件规定的格式和顺序编制电子谈判响应文件并进行关联定位，</w:t>
      </w:r>
      <w:r>
        <w:rPr>
          <w:rFonts w:hint="eastAsia" w:ascii="宋体" w:hAnsi="宋体" w:eastAsia="宋体" w:cs="宋体"/>
          <w:bCs/>
          <w:color w:val="auto"/>
          <w:sz w:val="24"/>
          <w:highlight w:val="none"/>
          <w:lang w:val="en-US" w:eastAsia="zh-CN"/>
        </w:rPr>
        <w:t>如</w:t>
      </w:r>
      <w:r>
        <w:rPr>
          <w:rFonts w:hint="eastAsia" w:ascii="宋体" w:hAnsi="宋体" w:eastAsia="宋体" w:cs="宋体"/>
          <w:bCs/>
          <w:color w:val="auto"/>
          <w:sz w:val="24"/>
          <w:highlight w:val="none"/>
        </w:rPr>
        <w:t>电子谈判响应文件如内容不完整、编排混乱导致谈判响应文件被误读、漏读，或者按谈判响应文件规定的部位查找不到相关内容的，由供应商自行承担。</w:t>
      </w:r>
    </w:p>
    <w:p w14:paraId="1E1E6566">
      <w:pPr>
        <w:snapToGrid w:val="0"/>
        <w:spacing w:line="44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.谈判响应文件不得涂改，若有修改错漏处，须加盖单位公章或者法定代表人签字或盖章。谈判响应文件因字迹潦草或表达不清所引起的后果由供应商负责。</w:t>
      </w:r>
    </w:p>
    <w:p w14:paraId="3D9A5844">
      <w:pPr>
        <w:spacing w:line="440" w:lineRule="exact"/>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六、供应商谈判文件的修改和撤回</w:t>
      </w:r>
      <w:bookmarkEnd w:id="59"/>
    </w:p>
    <w:p w14:paraId="472A6B49">
      <w:pPr>
        <w:spacing w:line="440" w:lineRule="exact"/>
        <w:ind w:firstLine="480" w:firstLineChars="200"/>
        <w:rPr>
          <w:rFonts w:hint="eastAsia" w:ascii="宋体" w:hAnsi="宋体" w:eastAsia="宋体" w:cs="宋体"/>
          <w:color w:val="auto"/>
          <w:sz w:val="24"/>
          <w:highlight w:val="none"/>
        </w:rPr>
      </w:pPr>
      <w:bookmarkStart w:id="60" w:name="_Toc388942628"/>
      <w:bookmarkStart w:id="61" w:name="_Toc182125821"/>
      <w:bookmarkStart w:id="62" w:name="_Toc498521006"/>
      <w:bookmarkStart w:id="63" w:name="_Toc182125898"/>
      <w:bookmarkStart w:id="64" w:name="_Toc174767471"/>
      <w:bookmarkStart w:id="65" w:name="_Toc172338037"/>
      <w:bookmarkStart w:id="66" w:name="_Toc511655359"/>
      <w:bookmarkStart w:id="67" w:name="_Toc172337887"/>
      <w:r>
        <w:rPr>
          <w:rFonts w:hint="eastAsia" w:ascii="宋体" w:hAnsi="宋体" w:eastAsia="宋体" w:cs="宋体"/>
          <w:color w:val="auto"/>
          <w:sz w:val="24"/>
          <w:highlight w:val="none"/>
        </w:rPr>
        <w:t>供应商应当在</w:t>
      </w:r>
      <w:bookmarkStart w:id="68" w:name="_Hlk61006876"/>
      <w:r>
        <w:rPr>
          <w:rFonts w:hint="eastAsia" w:ascii="宋体" w:hAnsi="宋体" w:eastAsia="宋体" w:cs="宋体"/>
          <w:color w:val="auto"/>
          <w:sz w:val="24"/>
          <w:highlight w:val="none"/>
        </w:rPr>
        <w:t>谈判响应文件递交截止时间</w:t>
      </w:r>
      <w:bookmarkEnd w:id="68"/>
      <w:r>
        <w:rPr>
          <w:rFonts w:hint="eastAsia" w:ascii="宋体" w:hAnsi="宋体" w:eastAsia="宋体" w:cs="宋体"/>
          <w:color w:val="auto"/>
          <w:sz w:val="24"/>
          <w:highlight w:val="none"/>
        </w:rPr>
        <w:t>前完成电子谈判响应文件的传输递交，并可以补充、修改或者撤回电子谈判响应文件。补充或者修改电子谈判响应文件的，应当先行撤回原文件，补充、修改后重新传输递交。谈判响应文件递交截止时间后传输、递交的谈判响应文件，将被拒收。</w:t>
      </w:r>
      <w:bookmarkEnd w:id="60"/>
      <w:bookmarkEnd w:id="61"/>
      <w:bookmarkEnd w:id="62"/>
      <w:bookmarkEnd w:id="63"/>
      <w:bookmarkEnd w:id="64"/>
      <w:bookmarkEnd w:id="65"/>
      <w:bookmarkEnd w:id="66"/>
      <w:bookmarkEnd w:id="67"/>
      <w:bookmarkStart w:id="69" w:name="_Toc174767472"/>
      <w:bookmarkStart w:id="70" w:name="_Toc172338038"/>
      <w:bookmarkStart w:id="71" w:name="_Toc182125822"/>
      <w:bookmarkStart w:id="72" w:name="_Toc182125899"/>
      <w:bookmarkStart w:id="73" w:name="_Toc172337888"/>
    </w:p>
    <w:p w14:paraId="73C9AA8F">
      <w:pPr>
        <w:spacing w:line="440" w:lineRule="exact"/>
        <w:ind w:firstLine="482" w:firstLineChars="200"/>
        <w:rPr>
          <w:rFonts w:hint="eastAsia" w:ascii="宋体" w:hAnsi="宋体" w:eastAsia="宋体" w:cs="宋体"/>
          <w:b/>
          <w:color w:val="auto"/>
          <w:sz w:val="24"/>
          <w:highlight w:val="none"/>
        </w:rPr>
      </w:pPr>
      <w:bookmarkStart w:id="74" w:name="_Toc388942629"/>
      <w:bookmarkStart w:id="75" w:name="_Toc511655388"/>
      <w:bookmarkStart w:id="76" w:name="_Toc498521007"/>
      <w:r>
        <w:rPr>
          <w:rFonts w:hint="eastAsia" w:ascii="宋体" w:hAnsi="宋体" w:eastAsia="宋体" w:cs="宋体"/>
          <w:b/>
          <w:color w:val="auto"/>
          <w:sz w:val="24"/>
          <w:highlight w:val="none"/>
        </w:rPr>
        <w:t>七、谈判</w:t>
      </w:r>
      <w:bookmarkEnd w:id="69"/>
      <w:bookmarkEnd w:id="70"/>
      <w:bookmarkEnd w:id="71"/>
      <w:bookmarkEnd w:id="72"/>
      <w:bookmarkEnd w:id="73"/>
      <w:bookmarkEnd w:id="74"/>
      <w:bookmarkEnd w:id="75"/>
      <w:bookmarkEnd w:id="76"/>
      <w:bookmarkStart w:id="77" w:name="_Toc174767473"/>
    </w:p>
    <w:p w14:paraId="7005A5DE">
      <w:pPr>
        <w:spacing w:line="440" w:lineRule="exact"/>
        <w:ind w:firstLine="482" w:firstLineChars="200"/>
        <w:rPr>
          <w:rFonts w:hint="eastAsia" w:ascii="宋体" w:hAnsi="宋体" w:eastAsia="宋体" w:cs="宋体"/>
          <w:b/>
          <w:bCs/>
          <w:color w:val="auto"/>
          <w:sz w:val="24"/>
          <w:highlight w:val="none"/>
        </w:rPr>
      </w:pPr>
      <w:bookmarkStart w:id="78" w:name="_Toc511655389"/>
      <w:r>
        <w:rPr>
          <w:rFonts w:hint="eastAsia" w:ascii="宋体" w:hAnsi="宋体" w:eastAsia="宋体" w:cs="宋体"/>
          <w:b/>
          <w:bCs/>
          <w:color w:val="auto"/>
          <w:sz w:val="24"/>
          <w:highlight w:val="none"/>
        </w:rPr>
        <w:t>（一）谈判总则</w:t>
      </w:r>
      <w:bookmarkEnd w:id="78"/>
    </w:p>
    <w:p w14:paraId="2C4E4597">
      <w:pPr>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1、谈判会在“采购公告”规定的时间和地点进行。</w:t>
      </w:r>
    </w:p>
    <w:p w14:paraId="410F9C3A">
      <w:pPr>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2、谈判会由采购机构工作人员主持、记录。</w:t>
      </w:r>
    </w:p>
    <w:p w14:paraId="350271C5">
      <w:pPr>
        <w:snapToGrid w:val="0"/>
        <w:spacing w:line="440" w:lineRule="exact"/>
        <w:ind w:left="720" w:leftChars="228" w:hanging="241" w:hangingChars="100"/>
        <w:rPr>
          <w:rFonts w:hint="eastAsia" w:ascii="宋体" w:hAnsi="宋体" w:eastAsia="宋体" w:cs="宋体"/>
          <w:color w:val="auto"/>
          <w:kern w:val="0"/>
          <w:sz w:val="24"/>
          <w:highlight w:val="none"/>
        </w:rPr>
      </w:pPr>
      <w:bookmarkStart w:id="79" w:name="_Toc511655397"/>
      <w:r>
        <w:rPr>
          <w:rFonts w:hint="eastAsia" w:ascii="宋体" w:hAnsi="宋体" w:eastAsia="宋体" w:cs="宋体"/>
          <w:b/>
          <w:color w:val="auto"/>
          <w:kern w:val="0"/>
          <w:sz w:val="24"/>
          <w:highlight w:val="none"/>
        </w:rPr>
        <w:t>（二）组建谈判小组</w:t>
      </w:r>
    </w:p>
    <w:p w14:paraId="6EFE0932">
      <w:pPr>
        <w:snapToGrid w:val="0"/>
        <w:spacing w:line="440" w:lineRule="exact"/>
        <w:ind w:firstLine="472" w:firstLineChars="196"/>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（1）本项目谈判小组由招标人依法组建。</w:t>
      </w:r>
    </w:p>
    <w:p w14:paraId="10F26A0E">
      <w:pPr>
        <w:snapToGrid w:val="0"/>
        <w:spacing w:line="440" w:lineRule="exact"/>
        <w:ind w:firstLine="472" w:firstLineChars="196"/>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（2）谈判小组成员与参与投标的供应商有下列情形之一的，应当回避：</w:t>
      </w:r>
    </w:p>
    <w:p w14:paraId="4EAEC830">
      <w:pPr>
        <w:snapToGrid w:val="0"/>
        <w:spacing w:line="440" w:lineRule="exact"/>
        <w:ind w:firstLine="470" w:firstLineChars="196"/>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①参加采购活动前3年内与供应商存在劳动关系；</w:t>
      </w:r>
    </w:p>
    <w:p w14:paraId="2293E353">
      <w:pPr>
        <w:snapToGrid w:val="0"/>
        <w:spacing w:line="440" w:lineRule="exact"/>
        <w:ind w:firstLine="470" w:firstLineChars="196"/>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②参加采购活动前3年内担任供应商的董事、监事；</w:t>
      </w:r>
    </w:p>
    <w:p w14:paraId="10B70313">
      <w:pPr>
        <w:snapToGrid w:val="0"/>
        <w:spacing w:line="440" w:lineRule="exact"/>
        <w:ind w:firstLine="470" w:firstLineChars="196"/>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③参加采购活动前3年内是供应商的控股股东或者实际控制人；</w:t>
      </w:r>
    </w:p>
    <w:p w14:paraId="2B32A328">
      <w:pPr>
        <w:snapToGrid w:val="0"/>
        <w:spacing w:line="440" w:lineRule="exact"/>
        <w:ind w:firstLine="470" w:firstLineChars="196"/>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④与供应商的法定代表人或者负责人有夫妻、直系血亲、三代以内旁系血亲或者近姻亲关系；</w:t>
      </w:r>
    </w:p>
    <w:p w14:paraId="1474E3A4">
      <w:pPr>
        <w:snapToGrid w:val="0"/>
        <w:spacing w:line="440" w:lineRule="exact"/>
        <w:ind w:firstLine="470" w:firstLineChars="196"/>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⑤与供应商有其他可能影响政府采购活动公平、公正进行的关系。</w:t>
      </w:r>
    </w:p>
    <w:p w14:paraId="68D20DF5">
      <w:pPr>
        <w:snapToGrid w:val="0"/>
        <w:spacing w:line="440" w:lineRule="exact"/>
        <w:ind w:firstLine="472" w:firstLineChars="196"/>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（3）谈判小组负责具体评标事务，并独立履行下列职责：</w:t>
      </w:r>
    </w:p>
    <w:p w14:paraId="3C51B2EE">
      <w:pPr>
        <w:snapToGrid w:val="0"/>
        <w:spacing w:line="440" w:lineRule="exact"/>
        <w:ind w:firstLine="470" w:firstLineChars="196"/>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1.审查、评价响应文件是否符合谈判文件的商务、技术等实质性要求；</w:t>
      </w:r>
    </w:p>
    <w:p w14:paraId="0C76A353">
      <w:pPr>
        <w:snapToGrid w:val="0"/>
        <w:spacing w:line="440" w:lineRule="exact"/>
        <w:ind w:firstLine="470" w:firstLineChars="196"/>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2.要求供应商对响应文件有关事项作出澄清或者说明；</w:t>
      </w:r>
    </w:p>
    <w:p w14:paraId="7BBC2295">
      <w:pPr>
        <w:snapToGrid w:val="0"/>
        <w:spacing w:line="440" w:lineRule="exact"/>
        <w:ind w:firstLine="470" w:firstLineChars="196"/>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3.对响应文件进行比较和评价；</w:t>
      </w:r>
    </w:p>
    <w:p w14:paraId="53B0AB9E">
      <w:pPr>
        <w:snapToGrid w:val="0"/>
        <w:spacing w:line="440" w:lineRule="exact"/>
        <w:ind w:firstLine="470" w:firstLineChars="196"/>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4.确定成交候选人名单，以及根据采购人委托直接确定成交供应商；</w:t>
      </w:r>
    </w:p>
    <w:p w14:paraId="30F7C507">
      <w:pPr>
        <w:snapToGrid w:val="0"/>
        <w:spacing w:line="440" w:lineRule="exact"/>
        <w:ind w:firstLine="470" w:firstLineChars="196"/>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5.向采购人、采购组织机构或者有关部门报告评标中发现的违法行为；</w:t>
      </w:r>
    </w:p>
    <w:p w14:paraId="48FC7680">
      <w:pPr>
        <w:snapToGrid w:val="0"/>
        <w:spacing w:line="440" w:lineRule="exact"/>
        <w:ind w:firstLine="470" w:firstLineChars="196"/>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6.法律法规规定的其他职责。</w:t>
      </w:r>
    </w:p>
    <w:p w14:paraId="78DC8547">
      <w:pPr>
        <w:spacing w:line="440" w:lineRule="exact"/>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八、投标无效的情形及废标</w:t>
      </w:r>
      <w:bookmarkEnd w:id="79"/>
    </w:p>
    <w:p w14:paraId="436B4CB4">
      <w:pPr>
        <w:snapToGrid w:val="0"/>
        <w:spacing w:line="440" w:lineRule="exact"/>
        <w:ind w:firstLine="457" w:firstLineChars="196"/>
        <w:rPr>
          <w:rFonts w:hint="eastAsia" w:ascii="宋体" w:hAnsi="宋体" w:eastAsia="宋体" w:cs="宋体"/>
          <w:b/>
          <w:bCs/>
          <w:color w:val="auto"/>
          <w:spacing w:val="-4"/>
          <w:sz w:val="24"/>
          <w:highlight w:val="none"/>
        </w:rPr>
      </w:pPr>
      <w:bookmarkStart w:id="80" w:name="_Hlk59462445"/>
      <w:bookmarkStart w:id="81" w:name="_Toc511655402"/>
      <w:r>
        <w:rPr>
          <w:rFonts w:hint="eastAsia" w:ascii="宋体" w:hAnsi="宋体" w:eastAsia="宋体" w:cs="宋体"/>
          <w:b/>
          <w:bCs/>
          <w:color w:val="auto"/>
          <w:spacing w:val="-4"/>
          <w:sz w:val="24"/>
          <w:highlight w:val="none"/>
        </w:rPr>
        <w:t>1.</w:t>
      </w:r>
      <w:bookmarkStart w:id="82" w:name="_Hlk534294335"/>
      <w:r>
        <w:rPr>
          <w:rFonts w:hint="eastAsia" w:ascii="宋体" w:hAnsi="宋体" w:eastAsia="宋体" w:cs="宋体"/>
          <w:b/>
          <w:bCs/>
          <w:color w:val="auto"/>
          <w:spacing w:val="-4"/>
          <w:sz w:val="24"/>
          <w:highlight w:val="none"/>
        </w:rPr>
        <w:t>在符合性审查和商务技术评审时，如发现下列情形之一的，谈判响应文件将被视为无效：</w:t>
      </w:r>
    </w:p>
    <w:bookmarkEnd w:id="82"/>
    <w:p w14:paraId="1B0E14B8">
      <w:pPr>
        <w:snapToGrid w:val="0"/>
        <w:spacing w:line="440" w:lineRule="exact"/>
        <w:ind w:firstLine="470" w:firstLineChars="196"/>
        <w:rPr>
          <w:rFonts w:hint="eastAsia" w:ascii="宋体" w:hAnsi="宋体" w:eastAsia="宋体" w:cs="宋体"/>
          <w:color w:val="auto"/>
          <w:sz w:val="24"/>
          <w:highlight w:val="none"/>
        </w:rPr>
      </w:pPr>
      <w:r>
        <w:rPr>
          <w:rFonts w:hint="eastAsia" w:ascii="宋体" w:hAnsi="宋体" w:eastAsia="宋体" w:cs="宋体"/>
          <w:color w:val="auto"/>
          <w:sz w:val="24"/>
          <w:highlight w:val="none"/>
        </w:rPr>
        <w:t>（1）资格证明文件不全的，或者不符合竞争性谈判文件标明的资格要求的；</w:t>
      </w:r>
    </w:p>
    <w:p w14:paraId="174E5760">
      <w:pPr>
        <w:snapToGrid w:val="0"/>
        <w:spacing w:line="440" w:lineRule="exact"/>
        <w:ind w:firstLine="470" w:firstLineChars="196"/>
        <w:rPr>
          <w:rFonts w:hint="eastAsia" w:ascii="宋体" w:hAnsi="宋体" w:eastAsia="宋体" w:cs="宋体"/>
          <w:bCs/>
          <w:color w:val="auto"/>
          <w:kern w:val="0"/>
          <w:sz w:val="24"/>
          <w:highlight w:val="none"/>
        </w:rPr>
      </w:pPr>
      <w:r>
        <w:rPr>
          <w:rFonts w:hint="eastAsia" w:ascii="宋体" w:hAnsi="宋体" w:eastAsia="宋体" w:cs="宋体"/>
          <w:color w:val="auto"/>
          <w:sz w:val="24"/>
          <w:highlight w:val="none"/>
        </w:rPr>
        <w:t>（2）</w:t>
      </w:r>
      <w:r>
        <w:rPr>
          <w:rFonts w:hint="eastAsia" w:ascii="宋体" w:hAnsi="宋体" w:eastAsia="宋体" w:cs="宋体"/>
          <w:bCs/>
          <w:color w:val="auto"/>
          <w:sz w:val="24"/>
          <w:highlight w:val="none"/>
        </w:rPr>
        <w:t>电子谈判响应文件</w:t>
      </w:r>
      <w:r>
        <w:rPr>
          <w:rFonts w:hint="eastAsia" w:ascii="宋体" w:hAnsi="宋体" w:eastAsia="宋体" w:cs="宋体"/>
          <w:b/>
          <w:bCs/>
          <w:color w:val="auto"/>
          <w:kern w:val="0"/>
          <w:sz w:val="24"/>
          <w:highlight w:val="none"/>
          <w:u w:val="single"/>
          <w:shd w:val="pct10" w:color="auto" w:fill="FFFFFF"/>
        </w:rPr>
        <w:t>在指定页面无法定代表人盖章或签字、未在指定页面盖公章</w:t>
      </w:r>
      <w:r>
        <w:rPr>
          <w:rFonts w:hint="eastAsia" w:ascii="宋体" w:hAnsi="宋体" w:eastAsia="宋体" w:cs="宋体"/>
          <w:b/>
          <w:bCs/>
          <w:color w:val="auto"/>
          <w:kern w:val="0"/>
          <w:sz w:val="24"/>
          <w:highlight w:val="none"/>
          <w:u w:val="single"/>
        </w:rPr>
        <w:t>、</w:t>
      </w:r>
      <w:r>
        <w:rPr>
          <w:rFonts w:hint="eastAsia" w:ascii="宋体" w:hAnsi="宋体" w:eastAsia="宋体" w:cs="宋体"/>
          <w:b/>
          <w:bCs/>
          <w:color w:val="auto"/>
          <w:kern w:val="0"/>
          <w:sz w:val="24"/>
          <w:highlight w:val="none"/>
        </w:rPr>
        <w:t>未提供法定代表人授权委托书</w:t>
      </w:r>
      <w:r>
        <w:rPr>
          <w:rFonts w:hint="eastAsia" w:ascii="宋体" w:hAnsi="宋体" w:cs="宋体"/>
          <w:b/>
          <w:bCs/>
          <w:color w:val="auto"/>
          <w:kern w:val="0"/>
          <w:sz w:val="24"/>
          <w:highlight w:val="none"/>
          <w:lang w:val="en-US" w:eastAsia="zh-CN"/>
        </w:rPr>
        <w:t>或法人身份证明</w:t>
      </w:r>
      <w:r>
        <w:rPr>
          <w:rFonts w:hint="eastAsia" w:ascii="宋体" w:hAnsi="宋体" w:eastAsia="宋体" w:cs="宋体"/>
          <w:b/>
          <w:bCs/>
          <w:color w:val="auto"/>
          <w:kern w:val="0"/>
          <w:sz w:val="24"/>
          <w:highlight w:val="none"/>
        </w:rPr>
        <w:t>、未提供投标函、未提供《没有重大违法记录的承诺函》或者投标函、《没有重大违法记录的承诺函》格式不符合竞争性谈判文件要求或填写项目不齐全的；</w:t>
      </w:r>
    </w:p>
    <w:p w14:paraId="5505EAE3">
      <w:pPr>
        <w:pStyle w:val="22"/>
        <w:snapToGrid w:val="0"/>
        <w:spacing w:line="440" w:lineRule="exact"/>
        <w:ind w:firstLine="454" w:firstLineChars="196"/>
        <w:rPr>
          <w:rFonts w:hint="eastAsia" w:ascii="宋体" w:hAnsi="宋体" w:eastAsia="宋体" w:cs="宋体"/>
          <w:b/>
          <w:bCs/>
          <w:color w:val="auto"/>
          <w:kern w:val="0"/>
          <w:sz w:val="24"/>
          <w:highlight w:val="none"/>
        </w:rPr>
      </w:pPr>
      <w:r>
        <w:rPr>
          <w:rFonts w:hint="eastAsia" w:ascii="宋体" w:hAnsi="宋体" w:eastAsia="宋体" w:cs="宋体"/>
          <w:color w:val="auto"/>
          <w:kern w:val="0"/>
          <w:sz w:val="24"/>
          <w:highlight w:val="none"/>
        </w:rPr>
        <w:t>（3）多项主要服务响应或者主要设备功能响应不满足竞争性谈判文件要求或缺项的，主要设备尺寸严重不满足竞争性谈判文件要求的。</w:t>
      </w:r>
    </w:p>
    <w:p w14:paraId="6EF95459">
      <w:pPr>
        <w:snapToGrid w:val="0"/>
        <w:spacing w:line="440" w:lineRule="exact"/>
        <w:ind w:firstLine="454" w:firstLineChars="196"/>
        <w:rPr>
          <w:rFonts w:hint="eastAsia" w:ascii="宋体" w:hAnsi="宋体" w:eastAsia="宋体" w:cs="宋体"/>
          <w:color w:val="auto"/>
          <w:spacing w:val="-4"/>
          <w:kern w:val="0"/>
          <w:sz w:val="24"/>
          <w:highlight w:val="none"/>
        </w:rPr>
      </w:pPr>
      <w:r>
        <w:rPr>
          <w:rFonts w:hint="eastAsia" w:ascii="宋体" w:hAnsi="宋体" w:eastAsia="宋体" w:cs="宋体"/>
          <w:color w:val="auto"/>
          <w:spacing w:val="-4"/>
          <w:kern w:val="0"/>
          <w:sz w:val="24"/>
          <w:highlight w:val="none"/>
        </w:rPr>
        <w:t>（4）</w:t>
      </w:r>
      <w:r>
        <w:rPr>
          <w:rFonts w:hint="eastAsia" w:ascii="宋体" w:hAnsi="宋体" w:eastAsia="宋体" w:cs="宋体"/>
          <w:snapToGrid w:val="0"/>
          <w:color w:val="auto"/>
          <w:spacing w:val="-4"/>
          <w:kern w:val="0"/>
          <w:sz w:val="24"/>
          <w:highlight w:val="none"/>
        </w:rPr>
        <w:t>与</w:t>
      </w:r>
      <w:r>
        <w:rPr>
          <w:rFonts w:hint="eastAsia" w:ascii="宋体" w:hAnsi="宋体" w:eastAsia="宋体" w:cs="宋体"/>
          <w:color w:val="auto"/>
          <w:spacing w:val="-4"/>
          <w:kern w:val="0"/>
          <w:sz w:val="24"/>
          <w:highlight w:val="none"/>
        </w:rPr>
        <w:t>竞争性谈判文件中标“▲”的技术指标、主要功能参数、服务响应发生实质性负偏离</w:t>
      </w:r>
      <w:r>
        <w:rPr>
          <w:rFonts w:hint="eastAsia" w:ascii="宋体" w:hAnsi="宋体" w:eastAsia="宋体" w:cs="宋体"/>
          <w:snapToGrid w:val="0"/>
          <w:color w:val="auto"/>
          <w:spacing w:val="-4"/>
          <w:kern w:val="0"/>
          <w:sz w:val="24"/>
          <w:highlight w:val="none"/>
        </w:rPr>
        <w:t>或内容缺失</w:t>
      </w:r>
      <w:r>
        <w:rPr>
          <w:rFonts w:hint="eastAsia" w:ascii="宋体" w:hAnsi="宋体" w:eastAsia="宋体" w:cs="宋体"/>
          <w:color w:val="auto"/>
          <w:spacing w:val="-4"/>
          <w:kern w:val="0"/>
          <w:sz w:val="24"/>
          <w:highlight w:val="none"/>
        </w:rPr>
        <w:t>的；</w:t>
      </w:r>
    </w:p>
    <w:p w14:paraId="11FDF506">
      <w:pPr>
        <w:snapToGrid w:val="0"/>
        <w:spacing w:line="440" w:lineRule="exact"/>
        <w:ind w:firstLine="454" w:firstLineChars="196"/>
        <w:rPr>
          <w:rFonts w:hint="eastAsia" w:ascii="宋体" w:hAnsi="宋体" w:eastAsia="宋体" w:cs="宋体"/>
          <w:color w:val="auto"/>
          <w:spacing w:val="-4"/>
          <w:kern w:val="0"/>
          <w:sz w:val="24"/>
          <w:highlight w:val="none"/>
        </w:rPr>
      </w:pPr>
      <w:r>
        <w:rPr>
          <w:rFonts w:hint="eastAsia" w:ascii="宋体" w:hAnsi="宋体" w:eastAsia="宋体" w:cs="宋体"/>
          <w:color w:val="auto"/>
          <w:spacing w:val="-4"/>
          <w:kern w:val="0"/>
          <w:sz w:val="24"/>
          <w:highlight w:val="none"/>
        </w:rPr>
        <w:t>（5）未如实提供投标货物的技术参数，或者谈判响应文件标明的响应或偏离存在虚假的；</w:t>
      </w:r>
    </w:p>
    <w:p w14:paraId="1739D770">
      <w:pPr>
        <w:snapToGrid w:val="0"/>
        <w:spacing w:line="440" w:lineRule="exact"/>
        <w:ind w:firstLine="454" w:firstLineChars="196"/>
        <w:rPr>
          <w:rFonts w:hint="eastAsia" w:ascii="宋体" w:hAnsi="宋体" w:eastAsia="宋体" w:cs="宋体"/>
          <w:snapToGrid w:val="0"/>
          <w:color w:val="auto"/>
          <w:spacing w:val="-4"/>
          <w:kern w:val="0"/>
          <w:sz w:val="24"/>
          <w:highlight w:val="none"/>
        </w:rPr>
      </w:pPr>
      <w:r>
        <w:rPr>
          <w:rFonts w:hint="eastAsia" w:ascii="宋体" w:hAnsi="宋体" w:eastAsia="宋体" w:cs="宋体"/>
          <w:color w:val="auto"/>
          <w:spacing w:val="-4"/>
          <w:kern w:val="0"/>
          <w:sz w:val="24"/>
          <w:highlight w:val="none"/>
        </w:rPr>
        <w:t>（6）投标有效期、工期（供货期、交货时间、服务期）、保修期（质保期）、付款方式等商务条款不能满足竞争性谈判文件要求或缺失的</w:t>
      </w:r>
      <w:r>
        <w:rPr>
          <w:rFonts w:hint="eastAsia" w:ascii="宋体" w:hAnsi="宋体" w:eastAsia="宋体" w:cs="宋体"/>
          <w:snapToGrid w:val="0"/>
          <w:color w:val="auto"/>
          <w:spacing w:val="-4"/>
          <w:kern w:val="0"/>
          <w:sz w:val="24"/>
          <w:highlight w:val="none"/>
        </w:rPr>
        <w:t>；</w:t>
      </w:r>
    </w:p>
    <w:p w14:paraId="03D3A01E">
      <w:pPr>
        <w:snapToGrid w:val="0"/>
        <w:spacing w:line="440" w:lineRule="exact"/>
        <w:ind w:firstLine="454" w:firstLineChars="196"/>
        <w:rPr>
          <w:rFonts w:hint="eastAsia" w:ascii="宋体" w:hAnsi="宋体" w:eastAsia="宋体" w:cs="宋体"/>
          <w:color w:val="auto"/>
          <w:spacing w:val="-4"/>
          <w:kern w:val="0"/>
          <w:sz w:val="24"/>
          <w:highlight w:val="none"/>
        </w:rPr>
      </w:pPr>
      <w:r>
        <w:rPr>
          <w:rFonts w:hint="eastAsia" w:ascii="宋体" w:hAnsi="宋体" w:eastAsia="宋体" w:cs="宋体"/>
          <w:color w:val="auto"/>
          <w:spacing w:val="-4"/>
          <w:kern w:val="0"/>
          <w:sz w:val="24"/>
          <w:highlight w:val="none"/>
        </w:rPr>
        <w:t>（7）谈判响应文件有招标方不能接受的附加条件的；</w:t>
      </w:r>
    </w:p>
    <w:p w14:paraId="31C536EE">
      <w:pPr>
        <w:snapToGrid w:val="0"/>
        <w:spacing w:line="440" w:lineRule="exact"/>
        <w:ind w:firstLine="454" w:firstLineChars="196"/>
        <w:rPr>
          <w:rFonts w:hint="eastAsia" w:ascii="宋体" w:hAnsi="宋体" w:eastAsia="宋体" w:cs="宋体"/>
          <w:color w:val="auto"/>
          <w:spacing w:val="-4"/>
          <w:kern w:val="0"/>
          <w:sz w:val="24"/>
          <w:highlight w:val="none"/>
        </w:rPr>
      </w:pPr>
      <w:r>
        <w:rPr>
          <w:rFonts w:hint="eastAsia" w:ascii="宋体" w:hAnsi="宋体" w:eastAsia="宋体" w:cs="宋体"/>
          <w:color w:val="auto"/>
          <w:spacing w:val="-4"/>
          <w:kern w:val="0"/>
          <w:sz w:val="24"/>
          <w:highlight w:val="none"/>
        </w:rPr>
        <w:t>（8）不同供应商的谈判响应文件,由同一台电脑编制。</w:t>
      </w:r>
    </w:p>
    <w:bookmarkEnd w:id="80"/>
    <w:p w14:paraId="14F23478">
      <w:pPr>
        <w:snapToGrid w:val="0"/>
        <w:spacing w:line="440" w:lineRule="exact"/>
        <w:ind w:firstLine="457" w:firstLineChars="196"/>
        <w:rPr>
          <w:rFonts w:hint="eastAsia" w:ascii="宋体" w:hAnsi="宋体" w:eastAsia="宋体" w:cs="宋体"/>
          <w:b/>
          <w:bCs/>
          <w:color w:val="auto"/>
          <w:spacing w:val="-4"/>
          <w:kern w:val="0"/>
          <w:sz w:val="24"/>
          <w:highlight w:val="none"/>
        </w:rPr>
      </w:pPr>
      <w:r>
        <w:rPr>
          <w:rFonts w:hint="eastAsia" w:ascii="宋体" w:hAnsi="宋体" w:eastAsia="宋体" w:cs="宋体"/>
          <w:b/>
          <w:bCs/>
          <w:color w:val="auto"/>
          <w:spacing w:val="-4"/>
          <w:kern w:val="0"/>
          <w:sz w:val="24"/>
          <w:highlight w:val="none"/>
        </w:rPr>
        <w:t>2.在报价评审时，如发现下列情形之一的，谈判响应文件将被视为无效：</w:t>
      </w:r>
    </w:p>
    <w:p w14:paraId="03C1013A">
      <w:pPr>
        <w:snapToGrid w:val="0"/>
        <w:spacing w:line="440" w:lineRule="exact"/>
        <w:ind w:firstLine="454" w:firstLineChars="196"/>
        <w:rPr>
          <w:rFonts w:hint="eastAsia" w:ascii="宋体" w:hAnsi="宋体" w:eastAsia="宋体" w:cs="宋体"/>
          <w:color w:val="auto"/>
          <w:spacing w:val="-4"/>
          <w:kern w:val="0"/>
          <w:sz w:val="24"/>
          <w:highlight w:val="none"/>
        </w:rPr>
      </w:pPr>
      <w:r>
        <w:rPr>
          <w:rFonts w:hint="eastAsia" w:ascii="宋体" w:hAnsi="宋体" w:eastAsia="宋体" w:cs="宋体"/>
          <w:color w:val="auto"/>
          <w:spacing w:val="-4"/>
          <w:kern w:val="0"/>
          <w:sz w:val="24"/>
          <w:highlight w:val="none"/>
        </w:rPr>
        <w:t>（1）未采用人民币报价或者未按照竞争性谈判文件标明的币种报价的；</w:t>
      </w:r>
    </w:p>
    <w:p w14:paraId="34D46EBF">
      <w:pPr>
        <w:snapToGrid w:val="0"/>
        <w:spacing w:line="440" w:lineRule="exact"/>
        <w:ind w:firstLine="454" w:firstLineChars="196"/>
        <w:rPr>
          <w:rFonts w:hint="eastAsia" w:ascii="宋体" w:hAnsi="宋体" w:eastAsia="宋体" w:cs="宋体"/>
          <w:color w:val="auto"/>
          <w:spacing w:val="-4"/>
          <w:kern w:val="0"/>
          <w:sz w:val="24"/>
          <w:highlight w:val="none"/>
        </w:rPr>
      </w:pPr>
      <w:r>
        <w:rPr>
          <w:rFonts w:hint="eastAsia" w:ascii="宋体" w:hAnsi="宋体" w:eastAsia="宋体" w:cs="宋体"/>
          <w:color w:val="auto"/>
          <w:spacing w:val="-4"/>
          <w:kern w:val="0"/>
          <w:sz w:val="24"/>
          <w:highlight w:val="none"/>
        </w:rPr>
        <w:t>（2）投标报价具有选择性，或者开标价格与谈判响应文件承诺的优惠（折扣）价格不一致的；</w:t>
      </w:r>
    </w:p>
    <w:p w14:paraId="145D5E16">
      <w:pPr>
        <w:snapToGrid w:val="0"/>
        <w:spacing w:line="440" w:lineRule="exact"/>
        <w:ind w:firstLine="457" w:firstLineChars="196"/>
        <w:rPr>
          <w:rFonts w:hint="eastAsia" w:ascii="宋体" w:hAnsi="宋体" w:eastAsia="宋体" w:cs="宋体"/>
          <w:b/>
          <w:bCs/>
          <w:color w:val="auto"/>
          <w:spacing w:val="-4"/>
          <w:kern w:val="0"/>
          <w:sz w:val="24"/>
          <w:highlight w:val="none"/>
        </w:rPr>
      </w:pPr>
      <w:r>
        <w:rPr>
          <w:rFonts w:hint="eastAsia" w:ascii="宋体" w:hAnsi="宋体" w:eastAsia="宋体" w:cs="宋体"/>
          <w:b/>
          <w:bCs/>
          <w:color w:val="auto"/>
          <w:spacing w:val="-4"/>
          <w:kern w:val="0"/>
          <w:sz w:val="24"/>
          <w:highlight w:val="none"/>
        </w:rPr>
        <w:t>（3）报价超过竞争性谈判文件中规定的预算金额或者最高限价的；</w:t>
      </w:r>
    </w:p>
    <w:p w14:paraId="30075371">
      <w:pPr>
        <w:snapToGrid w:val="0"/>
        <w:spacing w:line="440" w:lineRule="exact"/>
        <w:ind w:firstLine="454" w:firstLineChars="196"/>
        <w:rPr>
          <w:rFonts w:hint="eastAsia" w:ascii="宋体" w:hAnsi="宋体" w:eastAsia="宋体" w:cs="宋体"/>
          <w:color w:val="auto"/>
          <w:spacing w:val="-4"/>
          <w:kern w:val="0"/>
          <w:sz w:val="24"/>
          <w:highlight w:val="none"/>
        </w:rPr>
      </w:pPr>
      <w:r>
        <w:rPr>
          <w:rFonts w:hint="eastAsia" w:ascii="宋体" w:hAnsi="宋体" w:eastAsia="宋体" w:cs="宋体"/>
          <w:color w:val="auto"/>
          <w:spacing w:val="-4"/>
          <w:kern w:val="0"/>
          <w:sz w:val="24"/>
          <w:highlight w:val="none"/>
        </w:rPr>
        <w:t>（4）未填写投标报价的；</w:t>
      </w:r>
    </w:p>
    <w:p w14:paraId="5052A683">
      <w:pPr>
        <w:snapToGrid w:val="0"/>
        <w:spacing w:line="440" w:lineRule="exact"/>
        <w:ind w:firstLine="454" w:firstLineChars="196"/>
        <w:rPr>
          <w:rFonts w:hint="eastAsia" w:ascii="宋体" w:hAnsi="宋体" w:eastAsia="宋体" w:cs="宋体"/>
          <w:color w:val="auto"/>
          <w:spacing w:val="-4"/>
          <w:kern w:val="0"/>
          <w:sz w:val="24"/>
          <w:highlight w:val="none"/>
        </w:rPr>
      </w:pPr>
      <w:r>
        <w:rPr>
          <w:rFonts w:hint="eastAsia" w:ascii="宋体" w:hAnsi="宋体" w:eastAsia="宋体" w:cs="宋体"/>
          <w:color w:val="auto"/>
          <w:spacing w:val="-4"/>
          <w:kern w:val="0"/>
          <w:sz w:val="24"/>
          <w:highlight w:val="none"/>
        </w:rPr>
        <w:t>（5）退出谈判的。</w:t>
      </w:r>
    </w:p>
    <w:p w14:paraId="53EB4F6B">
      <w:pPr>
        <w:snapToGrid w:val="0"/>
        <w:spacing w:line="440" w:lineRule="exact"/>
        <w:ind w:firstLine="457" w:firstLineChars="196"/>
        <w:rPr>
          <w:rFonts w:hint="eastAsia" w:ascii="宋体" w:hAnsi="宋体" w:eastAsia="宋体" w:cs="宋体"/>
          <w:b/>
          <w:color w:val="auto"/>
          <w:spacing w:val="-4"/>
          <w:kern w:val="0"/>
          <w:sz w:val="24"/>
          <w:highlight w:val="none"/>
        </w:rPr>
      </w:pPr>
      <w:r>
        <w:rPr>
          <w:rFonts w:hint="eastAsia" w:ascii="宋体" w:hAnsi="宋体" w:eastAsia="宋体" w:cs="宋体"/>
          <w:b/>
          <w:color w:val="auto"/>
          <w:spacing w:val="-4"/>
          <w:kern w:val="0"/>
          <w:sz w:val="24"/>
          <w:highlight w:val="none"/>
        </w:rPr>
        <w:t>3.被拒绝的谈判响应文件为无效。</w:t>
      </w:r>
    </w:p>
    <w:p w14:paraId="1237E45B">
      <w:pPr>
        <w:spacing w:line="440" w:lineRule="exact"/>
        <w:ind w:firstLine="482" w:firstLineChars="200"/>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4.</w:t>
      </w:r>
      <w:r>
        <w:rPr>
          <w:rFonts w:hint="eastAsia" w:ascii="宋体" w:hAnsi="宋体" w:eastAsia="宋体" w:cs="宋体"/>
          <w:b/>
          <w:color w:val="auto"/>
          <w:sz w:val="24"/>
          <w:highlight w:val="none"/>
        </w:rPr>
        <w:t>发生下列情况之一的本项目被视为废标：</w:t>
      </w:r>
      <w:bookmarkEnd w:id="81"/>
    </w:p>
    <w:p w14:paraId="417E84C0">
      <w:pPr>
        <w:spacing w:line="440" w:lineRule="exact"/>
        <w:ind w:firstLine="480" w:firstLineChars="200"/>
        <w:rPr>
          <w:rFonts w:hint="eastAsia" w:ascii="宋体" w:hAnsi="宋体" w:eastAsia="宋体" w:cs="宋体"/>
          <w:color w:val="auto"/>
          <w:sz w:val="24"/>
          <w:highlight w:val="none"/>
        </w:rPr>
      </w:pPr>
      <w:bookmarkStart w:id="83" w:name="_Toc511655403"/>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1）出现影响采购公正的违法、违规、欺骗行为的；</w:t>
      </w:r>
      <w:bookmarkEnd w:id="83"/>
    </w:p>
    <w:p w14:paraId="2091AF46">
      <w:pPr>
        <w:spacing w:line="440" w:lineRule="exact"/>
        <w:ind w:firstLine="480" w:firstLineChars="200"/>
        <w:rPr>
          <w:rFonts w:hint="eastAsia" w:ascii="宋体" w:hAnsi="宋体" w:eastAsia="宋体" w:cs="宋体"/>
          <w:color w:val="auto"/>
          <w:sz w:val="24"/>
          <w:highlight w:val="none"/>
        </w:rPr>
      </w:pPr>
      <w:bookmarkStart w:id="84" w:name="_Toc511655404"/>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因重大变故，采购任务取消的；</w:t>
      </w:r>
      <w:bookmarkEnd w:id="84"/>
    </w:p>
    <w:p w14:paraId="3F4162F3">
      <w:pPr>
        <w:spacing w:line="440" w:lineRule="exact"/>
        <w:ind w:firstLine="480" w:firstLineChars="200"/>
        <w:rPr>
          <w:rFonts w:hint="eastAsia" w:ascii="宋体" w:hAnsi="宋体" w:eastAsia="宋体" w:cs="宋体"/>
          <w:color w:val="auto"/>
          <w:sz w:val="24"/>
          <w:highlight w:val="none"/>
        </w:rPr>
      </w:pPr>
      <w:bookmarkStart w:id="85" w:name="_Toc511655405"/>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3</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所有供应商的报价均超过了采购预算价，采购单位不能支付的。</w:t>
      </w:r>
      <w:bookmarkEnd w:id="85"/>
    </w:p>
    <w:p w14:paraId="42458945">
      <w:pPr>
        <w:spacing w:line="440" w:lineRule="exact"/>
        <w:ind w:firstLine="482" w:firstLineChars="200"/>
        <w:rPr>
          <w:rFonts w:hint="eastAsia" w:ascii="宋体" w:hAnsi="宋体" w:eastAsia="宋体" w:cs="宋体"/>
          <w:b/>
          <w:color w:val="auto"/>
          <w:sz w:val="24"/>
          <w:highlight w:val="none"/>
        </w:rPr>
      </w:pPr>
      <w:bookmarkStart w:id="86" w:name="_Toc511655410"/>
      <w:r>
        <w:rPr>
          <w:rFonts w:hint="eastAsia" w:ascii="宋体" w:hAnsi="宋体" w:eastAsia="宋体" w:cs="宋体"/>
          <w:b/>
          <w:color w:val="auto"/>
          <w:sz w:val="24"/>
          <w:highlight w:val="none"/>
        </w:rPr>
        <w:t>九、谈判过程</w:t>
      </w:r>
      <w:bookmarkEnd w:id="86"/>
    </w:p>
    <w:p w14:paraId="3CFA0AF8">
      <w:pPr>
        <w:snapToGrid w:val="0"/>
        <w:spacing w:line="440" w:lineRule="exact"/>
        <w:ind w:firstLine="482" w:firstLineChars="200"/>
        <w:rPr>
          <w:rFonts w:hint="eastAsia" w:ascii="宋体" w:hAnsi="宋体" w:eastAsia="宋体" w:cs="宋体"/>
          <w:b/>
          <w:color w:val="auto"/>
          <w:kern w:val="0"/>
          <w:sz w:val="24"/>
          <w:highlight w:val="none"/>
        </w:rPr>
      </w:pPr>
      <w:bookmarkStart w:id="87" w:name="_Toc511655411"/>
      <w:r>
        <w:rPr>
          <w:rFonts w:hint="eastAsia" w:ascii="宋体" w:hAnsi="宋体" w:eastAsia="宋体" w:cs="宋体"/>
          <w:b/>
          <w:color w:val="auto"/>
          <w:kern w:val="0"/>
          <w:sz w:val="24"/>
          <w:highlight w:val="none"/>
        </w:rPr>
        <w:t>（一）谈判准备</w:t>
      </w:r>
    </w:p>
    <w:p w14:paraId="5685C788">
      <w:pPr>
        <w:snapToGrid w:val="0"/>
        <w:spacing w:line="440" w:lineRule="exact"/>
        <w:ind w:firstLine="472" w:firstLineChars="196"/>
        <w:rPr>
          <w:rFonts w:hint="eastAsia" w:ascii="宋体" w:hAnsi="宋体" w:eastAsia="宋体" w:cs="宋体"/>
          <w:b/>
          <w:color w:val="auto"/>
          <w:kern w:val="0"/>
          <w:sz w:val="24"/>
          <w:highlight w:val="none"/>
          <w:u w:val="single"/>
          <w:shd w:val="pct10" w:color="auto" w:fill="FFFFFF"/>
        </w:rPr>
      </w:pPr>
      <w:r>
        <w:rPr>
          <w:rFonts w:hint="eastAsia" w:ascii="宋体" w:hAnsi="宋体" w:eastAsia="宋体" w:cs="宋体"/>
          <w:b/>
          <w:color w:val="auto"/>
          <w:kern w:val="0"/>
          <w:sz w:val="24"/>
          <w:highlight w:val="none"/>
          <w:u w:val="single"/>
          <w:shd w:val="pct10" w:color="auto" w:fill="FFFFFF"/>
        </w:rPr>
        <w:t>采购组织机构将按照竞争性谈判文件规定的时间</w:t>
      </w:r>
      <w:r>
        <w:rPr>
          <w:rFonts w:hint="eastAsia" w:ascii="宋体" w:hAnsi="宋体" w:eastAsia="宋体" w:cs="宋体"/>
          <w:b/>
          <w:color w:val="auto"/>
          <w:kern w:val="0"/>
          <w:sz w:val="24"/>
          <w:highlight w:val="none"/>
          <w:u w:val="single"/>
          <w:shd w:val="pct10" w:color="auto" w:fill="FFFFFF"/>
          <w:lang w:val="en-US" w:eastAsia="zh-CN"/>
        </w:rPr>
        <w:t>通过</w:t>
      </w:r>
      <w:r>
        <w:rPr>
          <w:rFonts w:hint="eastAsia" w:ascii="宋体" w:hAnsi="宋体" w:eastAsia="宋体" w:cs="宋体"/>
          <w:b/>
          <w:color w:val="auto"/>
          <w:kern w:val="0"/>
          <w:sz w:val="24"/>
          <w:highlight w:val="none"/>
          <w:u w:val="single"/>
          <w:shd w:val="pct10" w:color="auto" w:fill="FFFFFF"/>
        </w:rPr>
        <w:t>“临海市限额以下公共资源交易区域平台”组织开标、开启谈判响应文件，所有供应商请准时在线参加。供应商如不参加开标大会的，视同认可开标结果，事后不得对采购相关人员、开标过程和谈判结果提出异议，同时供应商因未在线参加开标会而导致谈判响应文件无法按时解密等一切后果由供应商自行承担。</w:t>
      </w:r>
    </w:p>
    <w:p w14:paraId="332F2FBA">
      <w:pPr>
        <w:snapToGrid w:val="0"/>
        <w:spacing w:line="440" w:lineRule="exact"/>
        <w:ind w:firstLine="470" w:firstLineChars="196"/>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采购过程中出现以下情形，导致电子交易平台无法正常运行，或者无法保证电子交易的公平、公正和安全时，采购组织机构可中止电子交易活动：</w:t>
      </w:r>
    </w:p>
    <w:p w14:paraId="6AAF72FD">
      <w:pPr>
        <w:snapToGrid w:val="0"/>
        <w:spacing w:line="440" w:lineRule="exact"/>
        <w:ind w:firstLine="470" w:firstLineChars="196"/>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 xml:space="preserve">（1）电子交易平台发生故障、停电而无法登录访问的； </w:t>
      </w:r>
    </w:p>
    <w:p w14:paraId="189BEA7E">
      <w:pPr>
        <w:snapToGrid w:val="0"/>
        <w:spacing w:line="440" w:lineRule="exact"/>
        <w:ind w:firstLine="470" w:firstLineChars="196"/>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（2）电子交易平台应用或数据库出现错误，不能进行正常操作的；</w:t>
      </w:r>
    </w:p>
    <w:p w14:paraId="5A79DAC2">
      <w:pPr>
        <w:snapToGrid w:val="0"/>
        <w:spacing w:line="440" w:lineRule="exact"/>
        <w:ind w:firstLine="470" w:firstLineChars="196"/>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（3）电子交易平台发现严重安全漏洞，有潜在泄密危险的；</w:t>
      </w:r>
    </w:p>
    <w:p w14:paraId="3F09327B">
      <w:pPr>
        <w:snapToGrid w:val="0"/>
        <w:spacing w:line="440" w:lineRule="exact"/>
        <w:ind w:firstLine="470" w:firstLineChars="196"/>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 xml:space="preserve">（4）病毒发作导致不能进行正常操作的； </w:t>
      </w:r>
    </w:p>
    <w:p w14:paraId="6162B17F">
      <w:pPr>
        <w:snapToGrid w:val="0"/>
        <w:spacing w:line="440" w:lineRule="exact"/>
        <w:ind w:firstLine="470" w:firstLineChars="196"/>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（5）其他无法保证电子交易的公平、公正和安全的情况。</w:t>
      </w:r>
    </w:p>
    <w:p w14:paraId="20DD3BC4">
      <w:pPr>
        <w:snapToGrid w:val="0"/>
        <w:spacing w:line="440" w:lineRule="exact"/>
        <w:ind w:firstLine="470" w:firstLineChars="196"/>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出现前款规定情形，不影响采购公平、公正性的，采购组织机构可以待上述情形消除后继续组织电子交易活动，影响或可能影响采购公平、公正性的，应当重新采购。</w:t>
      </w:r>
    </w:p>
    <w:p w14:paraId="3A982064">
      <w:pPr>
        <w:spacing w:line="440" w:lineRule="exact"/>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（二）谈判保密</w:t>
      </w:r>
    </w:p>
    <w:p w14:paraId="7BB005EF">
      <w:pPr>
        <w:spacing w:line="440" w:lineRule="exact"/>
        <w:ind w:firstLine="482" w:firstLineChars="200"/>
        <w:rPr>
          <w:rFonts w:hint="eastAsia" w:ascii="宋体" w:hAnsi="宋体" w:eastAsia="宋体" w:cs="宋体"/>
          <w:b/>
          <w:bCs/>
          <w:color w:val="auto"/>
          <w:sz w:val="24"/>
          <w:highlight w:val="none"/>
          <w:u w:val="single"/>
          <w:shd w:val="pct10" w:color="auto" w:fill="FFFFFF"/>
        </w:rPr>
      </w:pPr>
      <w:r>
        <w:rPr>
          <w:rFonts w:hint="eastAsia" w:ascii="宋体" w:hAnsi="宋体" w:eastAsia="宋体" w:cs="宋体"/>
          <w:b/>
          <w:bCs/>
          <w:color w:val="auto"/>
          <w:sz w:val="24"/>
          <w:highlight w:val="none"/>
          <w:u w:val="single"/>
          <w:shd w:val="pct10" w:color="auto" w:fill="FFFFFF"/>
        </w:rPr>
        <w:t>（1）谈判中，谈判的任何一方不得透露与谈判有关的其他供应商的技术资料、价格和其他信息。</w:t>
      </w:r>
      <w:bookmarkEnd w:id="87"/>
    </w:p>
    <w:p w14:paraId="37EB5BFD">
      <w:pPr>
        <w:spacing w:line="440" w:lineRule="exact"/>
        <w:ind w:firstLine="480" w:firstLineChars="200"/>
        <w:rPr>
          <w:rFonts w:hint="eastAsia" w:ascii="宋体" w:hAnsi="宋体" w:eastAsia="宋体" w:cs="宋体"/>
          <w:color w:val="auto"/>
          <w:sz w:val="24"/>
          <w:highlight w:val="none"/>
        </w:rPr>
      </w:pPr>
      <w:bookmarkStart w:id="88" w:name="_Toc511655412"/>
      <w:r>
        <w:rPr>
          <w:rFonts w:hint="eastAsia" w:ascii="宋体" w:hAnsi="宋体" w:eastAsia="宋体" w:cs="宋体"/>
          <w:color w:val="auto"/>
          <w:sz w:val="24"/>
          <w:highlight w:val="none"/>
        </w:rPr>
        <w:t>（2）谈判结束之后，直到授予成交人签订合同止，凡是属于审查、澄清、评价和比较的等有关资料，均不得向其他供应商或其他无关的人员透露。</w:t>
      </w:r>
      <w:bookmarkEnd w:id="88"/>
    </w:p>
    <w:p w14:paraId="34205367">
      <w:pPr>
        <w:spacing w:line="440" w:lineRule="exact"/>
        <w:ind w:firstLine="480" w:firstLineChars="200"/>
        <w:rPr>
          <w:rFonts w:hint="eastAsia" w:ascii="宋体" w:hAnsi="宋体" w:eastAsia="宋体" w:cs="宋体"/>
          <w:color w:val="auto"/>
          <w:sz w:val="24"/>
          <w:highlight w:val="none"/>
        </w:rPr>
      </w:pPr>
      <w:bookmarkStart w:id="89" w:name="_Toc511655413"/>
      <w:r>
        <w:rPr>
          <w:rFonts w:hint="eastAsia" w:ascii="宋体" w:hAnsi="宋体" w:eastAsia="宋体" w:cs="宋体"/>
          <w:color w:val="auto"/>
          <w:sz w:val="24"/>
          <w:highlight w:val="none"/>
        </w:rPr>
        <w:t>（3）在谈判期间，供应商企图影响招标人的任何活动，将导致谈判被拒绝，并承担相应的法律责任。</w:t>
      </w:r>
      <w:bookmarkEnd w:id="89"/>
      <w:r>
        <w:rPr>
          <w:rFonts w:hint="eastAsia" w:ascii="宋体" w:hAnsi="宋体" w:eastAsia="宋体" w:cs="宋体"/>
          <w:color w:val="auto"/>
          <w:sz w:val="24"/>
          <w:highlight w:val="none"/>
        </w:rPr>
        <w:t xml:space="preserve">  </w:t>
      </w:r>
    </w:p>
    <w:bookmarkEnd w:id="77"/>
    <w:p w14:paraId="31EC0A60">
      <w:pPr>
        <w:spacing w:line="440" w:lineRule="exact"/>
        <w:ind w:firstLine="482" w:firstLineChars="200"/>
        <w:rPr>
          <w:rFonts w:hint="eastAsia" w:ascii="宋体" w:hAnsi="宋体" w:eastAsia="宋体" w:cs="宋体"/>
          <w:b/>
          <w:bCs/>
          <w:color w:val="auto"/>
          <w:sz w:val="24"/>
          <w:highlight w:val="none"/>
        </w:rPr>
      </w:pPr>
      <w:bookmarkStart w:id="90" w:name="_Toc511655414"/>
      <w:bookmarkStart w:id="91" w:name="_Toc174767474"/>
      <w:r>
        <w:rPr>
          <w:rFonts w:hint="eastAsia" w:ascii="宋体" w:hAnsi="宋体" w:eastAsia="宋体" w:cs="宋体"/>
          <w:b/>
          <w:bCs/>
          <w:color w:val="auto"/>
          <w:sz w:val="24"/>
          <w:highlight w:val="none"/>
        </w:rPr>
        <w:t>（三）</w:t>
      </w:r>
      <w:bookmarkEnd w:id="90"/>
      <w:bookmarkEnd w:id="91"/>
      <w:bookmarkStart w:id="92" w:name="_Toc511655418"/>
      <w:r>
        <w:rPr>
          <w:rFonts w:hint="eastAsia" w:ascii="宋体" w:hAnsi="宋体" w:eastAsia="宋体" w:cs="宋体"/>
          <w:b/>
          <w:bCs/>
          <w:color w:val="auto"/>
          <w:sz w:val="24"/>
          <w:highlight w:val="none"/>
        </w:rPr>
        <w:t>谈判</w:t>
      </w:r>
      <w:bookmarkEnd w:id="92"/>
      <w:r>
        <w:rPr>
          <w:rFonts w:hint="eastAsia" w:ascii="宋体" w:hAnsi="宋体" w:eastAsia="宋体" w:cs="宋体"/>
          <w:b/>
          <w:bCs/>
          <w:color w:val="auto"/>
          <w:sz w:val="24"/>
          <w:highlight w:val="none"/>
        </w:rPr>
        <w:t>流程</w:t>
      </w:r>
    </w:p>
    <w:p w14:paraId="3D082B97">
      <w:pPr>
        <w:snapToGrid w:val="0"/>
        <w:spacing w:line="440" w:lineRule="exact"/>
        <w:ind w:firstLine="470" w:firstLineChars="196"/>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（1）开标会由招标人主持，</w:t>
      </w:r>
      <w:r>
        <w:rPr>
          <w:rFonts w:hint="eastAsia" w:ascii="宋体" w:hAnsi="宋体" w:eastAsia="宋体" w:cs="宋体"/>
          <w:b/>
          <w:color w:val="auto"/>
          <w:kern w:val="0"/>
          <w:sz w:val="24"/>
          <w:highlight w:val="none"/>
          <w:u w:val="single"/>
          <w:shd w:val="pct10" w:color="auto" w:fill="FFFFFF"/>
        </w:rPr>
        <w:t xml:space="preserve">并通过临海市限额以下公共资源交易区域平台--每日直播平台进行现场直播，各供应商请准时在线参加。各供应商如对开标、谈判过程有异议的，应该登陆临海市公共资源交易中心网站—-每日直播平台---点击该项目—登陆，进入供应商提问区进行提问，招标人应当及时作出答复，并制作记录。 </w:t>
      </w:r>
      <w:r>
        <w:rPr>
          <w:rFonts w:hint="eastAsia" w:ascii="宋体" w:hAnsi="宋体" w:eastAsia="宋体" w:cs="宋体"/>
          <w:bCs/>
          <w:color w:val="auto"/>
          <w:kern w:val="0"/>
          <w:sz w:val="24"/>
          <w:highlight w:val="none"/>
        </w:rPr>
        <w:t xml:space="preserve"> </w:t>
      </w:r>
    </w:p>
    <w:p w14:paraId="292BD96A">
      <w:pPr>
        <w:pStyle w:val="30"/>
        <w:snapToGrid w:val="0"/>
        <w:spacing w:beforeLines="0" w:afterLines="0" w:line="42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招标人点击临海市限额以下公共资源交易区域平台-不见面开标大厅--【开始解密】按钮，</w:t>
      </w:r>
      <w:bookmarkStart w:id="93" w:name="_Hlk59625783"/>
      <w:r>
        <w:rPr>
          <w:rFonts w:hint="eastAsia" w:ascii="宋体" w:hAnsi="宋体" w:eastAsia="宋体" w:cs="宋体"/>
          <w:color w:val="auto"/>
          <w:highlight w:val="none"/>
        </w:rPr>
        <w:t>由投标人按</w:t>
      </w:r>
      <w:r>
        <w:rPr>
          <w:rFonts w:hint="eastAsia" w:ascii="宋体" w:hAnsi="宋体" w:eastAsia="宋体" w:cs="宋体"/>
          <w:color w:val="auto"/>
          <w:highlight w:val="none"/>
          <w:lang w:val="en-US" w:eastAsia="zh-CN"/>
        </w:rPr>
        <w:t>谈判</w:t>
      </w:r>
      <w:r>
        <w:rPr>
          <w:rFonts w:hint="eastAsia" w:ascii="宋体" w:hAnsi="宋体" w:eastAsia="宋体" w:cs="宋体"/>
          <w:color w:val="auto"/>
          <w:highlight w:val="none"/>
        </w:rPr>
        <w:t>文件规定的时间及平台显示的时间内自行进行</w:t>
      </w:r>
      <w:r>
        <w:rPr>
          <w:rFonts w:hint="eastAsia" w:ascii="宋体" w:hAnsi="宋体" w:eastAsia="宋体" w:cs="宋体"/>
          <w:color w:val="auto"/>
          <w:highlight w:val="none"/>
          <w:lang w:val="en-US" w:eastAsia="zh-CN"/>
        </w:rPr>
        <w:t>谈判</w:t>
      </w:r>
      <w:r>
        <w:rPr>
          <w:rFonts w:hint="eastAsia" w:ascii="宋体" w:hAnsi="宋体" w:eastAsia="宋体" w:cs="宋体"/>
          <w:color w:val="auto"/>
          <w:highlight w:val="none"/>
          <w:lang w:eastAsia="zh-CN"/>
        </w:rPr>
        <w:t>响应文件</w:t>
      </w:r>
      <w:r>
        <w:rPr>
          <w:rFonts w:hint="eastAsia" w:ascii="宋体" w:hAnsi="宋体" w:eastAsia="宋体" w:cs="宋体"/>
          <w:color w:val="auto"/>
          <w:highlight w:val="none"/>
        </w:rPr>
        <w:t>解密。</w:t>
      </w:r>
      <w:bookmarkEnd w:id="93"/>
      <w:r>
        <w:rPr>
          <w:rFonts w:hint="eastAsia" w:ascii="宋体" w:hAnsi="宋体" w:eastAsia="宋体" w:cs="宋体"/>
          <w:color w:val="auto"/>
          <w:highlight w:val="none"/>
          <w:lang w:eastAsia="zh-CN"/>
        </w:rPr>
        <w:t>响应文件</w:t>
      </w:r>
      <w:r>
        <w:rPr>
          <w:rFonts w:hint="eastAsia" w:ascii="宋体" w:hAnsi="宋体" w:eastAsia="宋体" w:cs="宋体"/>
          <w:color w:val="auto"/>
          <w:highlight w:val="none"/>
        </w:rPr>
        <w:t>的制作和解密应使用同一个数字证书，否则将可能解密失败。解密过程中如因CA数字证书等问题而无法解密的，请马上致电服务热线400-0571-337寻求解决。投标人未按时解密或解密失败的，其</w:t>
      </w:r>
      <w:r>
        <w:rPr>
          <w:rFonts w:hint="eastAsia" w:ascii="宋体" w:hAnsi="宋体" w:eastAsia="宋体" w:cs="宋体"/>
          <w:color w:val="auto"/>
          <w:highlight w:val="none"/>
          <w:lang w:eastAsia="zh-CN"/>
        </w:rPr>
        <w:t>响应文件</w:t>
      </w:r>
      <w:r>
        <w:rPr>
          <w:rFonts w:hint="eastAsia" w:ascii="宋体" w:hAnsi="宋体" w:eastAsia="宋体" w:cs="宋体"/>
          <w:color w:val="auto"/>
          <w:highlight w:val="none"/>
        </w:rPr>
        <w:t>为无效标。</w:t>
      </w:r>
    </w:p>
    <w:p w14:paraId="6756C0C5">
      <w:pPr>
        <w:pStyle w:val="30"/>
        <w:snapToGrid w:val="0"/>
        <w:spacing w:beforeLines="0" w:afterLines="0" w:line="420" w:lineRule="exact"/>
        <w:rPr>
          <w:rFonts w:hint="eastAsia" w:ascii="宋体" w:hAnsi="宋体" w:eastAsia="宋体" w:cs="宋体"/>
          <w:color w:val="auto"/>
          <w:highlight w:val="none"/>
        </w:rPr>
      </w:pPr>
      <w:r>
        <w:rPr>
          <w:rFonts w:hint="eastAsia" w:ascii="宋体" w:hAnsi="宋体" w:eastAsia="宋体" w:cs="宋体"/>
          <w:b/>
          <w:bCs/>
          <w:color w:val="auto"/>
          <w:highlight w:val="none"/>
          <w:u w:val="single"/>
          <w:shd w:val="pct10" w:color="auto" w:fill="FFFFFF"/>
        </w:rPr>
        <w:t>该项目投标人数量及各投标人</w:t>
      </w:r>
      <w:r>
        <w:rPr>
          <w:rFonts w:hint="eastAsia" w:ascii="宋体" w:hAnsi="宋体" w:eastAsia="宋体" w:cs="宋体"/>
          <w:b/>
          <w:bCs/>
          <w:color w:val="auto"/>
          <w:highlight w:val="none"/>
          <w:u w:val="single"/>
          <w:shd w:val="pct10" w:color="auto" w:fill="FFFFFF"/>
          <w:lang w:eastAsia="zh-CN"/>
        </w:rPr>
        <w:t>响应文件</w:t>
      </w:r>
      <w:r>
        <w:rPr>
          <w:rFonts w:hint="eastAsia" w:ascii="宋体" w:hAnsi="宋体" w:eastAsia="宋体" w:cs="宋体"/>
          <w:b/>
          <w:bCs/>
          <w:color w:val="auto"/>
          <w:highlight w:val="none"/>
          <w:u w:val="single"/>
          <w:shd w:val="pct10" w:color="auto" w:fill="FFFFFF"/>
        </w:rPr>
        <w:t>是否完成解密以平台显示内容为准。</w:t>
      </w:r>
    </w:p>
    <w:p w14:paraId="6BED561F">
      <w:pPr>
        <w:snapToGrid w:val="0"/>
        <w:spacing w:line="440" w:lineRule="exact"/>
        <w:ind w:firstLine="470" w:firstLineChars="196"/>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（3）解密结束后，主持人介绍参加开标会的采购代理机构人员名单、供应商名称，宣读开标会纪律，并告知是否有需要回避的情况；</w:t>
      </w:r>
    </w:p>
    <w:p w14:paraId="10FDC6F6">
      <w:pPr>
        <w:snapToGrid w:val="0"/>
        <w:spacing w:line="440" w:lineRule="exact"/>
        <w:ind w:firstLine="470" w:firstLineChars="196"/>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w:t>
      </w:r>
      <w:r>
        <w:rPr>
          <w:rFonts w:hint="eastAsia" w:ascii="宋体" w:hAnsi="宋体" w:eastAsia="宋体" w:cs="宋体"/>
          <w:bCs/>
          <w:color w:val="auto"/>
          <w:kern w:val="0"/>
          <w:sz w:val="24"/>
          <w:highlight w:val="none"/>
          <w:lang w:val="en-US" w:eastAsia="zh-CN"/>
        </w:rPr>
        <w:t>4</w:t>
      </w:r>
      <w:r>
        <w:rPr>
          <w:rFonts w:hint="eastAsia" w:ascii="宋体" w:hAnsi="宋体" w:eastAsia="宋体" w:cs="宋体"/>
          <w:bCs/>
          <w:color w:val="auto"/>
          <w:kern w:val="0"/>
          <w:sz w:val="24"/>
          <w:highlight w:val="none"/>
        </w:rPr>
        <w:t>）采购组织机构点击【开启标书信息】，开启标书成功后进入评标流程；</w:t>
      </w:r>
    </w:p>
    <w:p w14:paraId="5E76B78B">
      <w:pPr>
        <w:snapToGrid w:val="0"/>
        <w:spacing w:line="440" w:lineRule="exact"/>
        <w:ind w:firstLine="470" w:firstLineChars="196"/>
        <w:rPr>
          <w:rFonts w:hint="eastAsia" w:ascii="宋体" w:hAnsi="宋体" w:eastAsia="宋体" w:cs="宋体"/>
          <w:color w:val="auto"/>
          <w:sz w:val="24"/>
          <w:highlight w:val="none"/>
        </w:rPr>
      </w:pPr>
      <w:r>
        <w:rPr>
          <w:rFonts w:hint="eastAsia" w:ascii="宋体" w:hAnsi="宋体" w:eastAsia="宋体" w:cs="宋体"/>
          <w:bCs/>
          <w:color w:val="auto"/>
          <w:kern w:val="0"/>
          <w:sz w:val="24"/>
          <w:highlight w:val="none"/>
        </w:rPr>
        <w:t>（</w:t>
      </w:r>
      <w:r>
        <w:rPr>
          <w:rFonts w:hint="eastAsia" w:ascii="宋体" w:hAnsi="宋体" w:eastAsia="宋体" w:cs="宋体"/>
          <w:bCs/>
          <w:color w:val="auto"/>
          <w:kern w:val="0"/>
          <w:sz w:val="24"/>
          <w:highlight w:val="none"/>
          <w:lang w:val="en-US" w:eastAsia="zh-CN"/>
        </w:rPr>
        <w:t>5</w:t>
      </w:r>
      <w:r>
        <w:rPr>
          <w:rFonts w:hint="eastAsia" w:ascii="宋体" w:hAnsi="宋体" w:eastAsia="宋体" w:cs="宋体"/>
          <w:bCs/>
          <w:color w:val="auto"/>
          <w:kern w:val="0"/>
          <w:sz w:val="24"/>
          <w:highlight w:val="none"/>
        </w:rPr>
        <w:t>）采购代理机构负责对供应商进</w:t>
      </w:r>
      <w:r>
        <w:rPr>
          <w:rFonts w:hint="eastAsia" w:ascii="宋体" w:hAnsi="宋体" w:eastAsia="宋体" w:cs="宋体"/>
          <w:color w:val="auto"/>
          <w:sz w:val="24"/>
          <w:highlight w:val="none"/>
        </w:rPr>
        <w:t>行资格审查；</w:t>
      </w:r>
    </w:p>
    <w:p w14:paraId="2C612365">
      <w:pPr>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 xml:space="preserve">）谈判小组对谈判文件进行评审； </w:t>
      </w:r>
    </w:p>
    <w:p w14:paraId="74A04B1C">
      <w:pPr>
        <w:spacing w:line="440" w:lineRule="exact"/>
        <w:ind w:firstLine="480" w:firstLineChars="200"/>
        <w:rPr>
          <w:rFonts w:hint="eastAsia" w:ascii="宋体" w:hAnsi="宋体" w:eastAsia="宋体" w:cs="宋体"/>
          <w:color w:val="auto"/>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）谈判小组全体成员</w:t>
      </w:r>
      <w:r>
        <w:rPr>
          <w:rFonts w:hint="eastAsia" w:ascii="宋体" w:hAnsi="宋体" w:eastAsia="宋体" w:cs="宋体"/>
          <w:color w:val="auto"/>
          <w:sz w:val="24"/>
          <w:highlight w:val="none"/>
          <w:lang w:val="en-US" w:eastAsia="zh-CN"/>
        </w:rPr>
        <w:t>分</w:t>
      </w:r>
      <w:r>
        <w:rPr>
          <w:rFonts w:hint="eastAsia" w:ascii="宋体" w:hAnsi="宋体" w:eastAsia="宋体" w:cs="宋体"/>
          <w:color w:val="auto"/>
          <w:sz w:val="24"/>
          <w:highlight w:val="none"/>
        </w:rPr>
        <w:t>别与各供应商进行单独谈判，谈判顺序可按照谈判响应文件解密顺序进行。</w:t>
      </w:r>
    </w:p>
    <w:p w14:paraId="38288946">
      <w:pPr>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）谈判轮次根据谈判的情况而定，最多不超过三轮；</w:t>
      </w:r>
    </w:p>
    <w:p w14:paraId="3486A356">
      <w:pPr>
        <w:spacing w:line="440" w:lineRule="exact"/>
        <w:ind w:firstLine="480" w:firstLineChars="200"/>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w:t>
      </w:r>
      <w:r>
        <w:rPr>
          <w:rFonts w:hint="eastAsia" w:ascii="宋体" w:hAnsi="宋体" w:eastAsia="宋体" w:cs="宋体"/>
          <w:color w:val="auto"/>
          <w:sz w:val="24"/>
          <w:highlight w:val="none"/>
          <w:u w:val="none"/>
          <w:lang w:val="en-US" w:eastAsia="zh-CN"/>
        </w:rPr>
        <w:t>9</w:t>
      </w:r>
      <w:r>
        <w:rPr>
          <w:rFonts w:hint="eastAsia" w:ascii="宋体" w:hAnsi="宋体" w:eastAsia="宋体" w:cs="宋体"/>
          <w:color w:val="auto"/>
          <w:sz w:val="24"/>
          <w:highlight w:val="none"/>
          <w:u w:val="none"/>
        </w:rPr>
        <w:t>）最后报价采用</w:t>
      </w:r>
      <w:r>
        <w:rPr>
          <w:rFonts w:hint="eastAsia" w:ascii="宋体" w:hAnsi="宋体" w:eastAsia="宋体" w:cs="宋体"/>
          <w:color w:val="auto"/>
          <w:sz w:val="24"/>
          <w:highlight w:val="none"/>
          <w:u w:val="none"/>
          <w:lang w:eastAsia="zh-CN"/>
        </w:rPr>
        <w:t>限额平台系统</w:t>
      </w:r>
      <w:r>
        <w:rPr>
          <w:rFonts w:hint="eastAsia" w:ascii="宋体" w:hAnsi="宋体" w:eastAsia="宋体" w:cs="宋体"/>
          <w:color w:val="auto"/>
          <w:sz w:val="24"/>
          <w:highlight w:val="none"/>
          <w:u w:val="none"/>
        </w:rPr>
        <w:t>进行报价（时间为30分钟，具体时间以</w:t>
      </w:r>
      <w:r>
        <w:rPr>
          <w:rFonts w:hint="eastAsia" w:ascii="宋体" w:hAnsi="宋体" w:eastAsia="宋体" w:cs="宋体"/>
          <w:color w:val="auto"/>
          <w:sz w:val="24"/>
          <w:highlight w:val="none"/>
          <w:u w:val="none"/>
          <w:lang w:eastAsia="zh-CN"/>
        </w:rPr>
        <w:t>限额平台</w:t>
      </w:r>
      <w:r>
        <w:rPr>
          <w:rFonts w:hint="eastAsia" w:ascii="宋体" w:hAnsi="宋体" w:eastAsia="宋体" w:cs="宋体"/>
          <w:color w:val="auto"/>
          <w:sz w:val="24"/>
          <w:highlight w:val="none"/>
          <w:u w:val="none"/>
        </w:rPr>
        <w:t>系统上显示的时间为准）</w:t>
      </w:r>
      <w:r>
        <w:rPr>
          <w:rFonts w:hint="eastAsia" w:ascii="宋体" w:hAnsi="宋体" w:eastAsia="宋体" w:cs="宋体"/>
          <w:color w:val="auto"/>
          <w:sz w:val="24"/>
          <w:highlight w:val="none"/>
          <w:u w:val="none"/>
          <w:lang w:eastAsia="zh-CN"/>
        </w:rPr>
        <w:t>；</w:t>
      </w:r>
    </w:p>
    <w:p w14:paraId="65012390">
      <w:pPr>
        <w:spacing w:line="440" w:lineRule="exact"/>
        <w:ind w:firstLine="480" w:firstLineChars="200"/>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（1</w:t>
      </w:r>
      <w:r>
        <w:rPr>
          <w:rFonts w:hint="eastAsia" w:ascii="宋体" w:hAnsi="宋体" w:eastAsia="宋体" w:cs="宋体"/>
          <w:color w:val="auto"/>
          <w:sz w:val="24"/>
          <w:highlight w:val="none"/>
          <w:u w:val="none"/>
          <w:lang w:val="en-US" w:eastAsia="zh-CN"/>
        </w:rPr>
        <w:t>0</w:t>
      </w:r>
      <w:r>
        <w:rPr>
          <w:rFonts w:hint="eastAsia" w:ascii="宋体" w:hAnsi="宋体" w:eastAsia="宋体" w:cs="宋体"/>
          <w:color w:val="auto"/>
          <w:sz w:val="24"/>
          <w:highlight w:val="none"/>
          <w:u w:val="none"/>
        </w:rPr>
        <w:t>）最后报价结束后，供应商可通过</w:t>
      </w:r>
      <w:bookmarkStart w:id="94" w:name="_Hlk59626287"/>
      <w:r>
        <w:rPr>
          <w:rFonts w:hint="eastAsia" w:ascii="宋体" w:hAnsi="宋体" w:eastAsia="宋体" w:cs="宋体"/>
          <w:color w:val="auto"/>
          <w:sz w:val="24"/>
          <w:highlight w:val="none"/>
          <w:u w:val="none"/>
          <w:lang w:eastAsia="zh-CN"/>
        </w:rPr>
        <w:t>限额</w:t>
      </w:r>
      <w:r>
        <w:rPr>
          <w:rFonts w:hint="eastAsia" w:ascii="宋体" w:hAnsi="宋体" w:eastAsia="宋体" w:cs="宋体"/>
          <w:color w:val="auto"/>
          <w:sz w:val="24"/>
          <w:highlight w:val="none"/>
          <w:u w:val="none"/>
        </w:rPr>
        <w:t>平台</w:t>
      </w:r>
      <w:bookmarkEnd w:id="94"/>
      <w:r>
        <w:rPr>
          <w:rFonts w:hint="eastAsia" w:ascii="宋体" w:hAnsi="宋体" w:eastAsia="宋体" w:cs="宋体"/>
          <w:color w:val="auto"/>
          <w:sz w:val="24"/>
          <w:highlight w:val="none"/>
          <w:u w:val="none"/>
        </w:rPr>
        <w:t>查看各供应商最后报价，请各供应商注意收看。</w:t>
      </w:r>
      <w:bookmarkStart w:id="95" w:name="_Hlk60953336"/>
      <w:r>
        <w:rPr>
          <w:rFonts w:hint="eastAsia" w:ascii="宋体" w:hAnsi="宋体" w:eastAsia="宋体" w:cs="宋体"/>
          <w:color w:val="auto"/>
          <w:sz w:val="24"/>
          <w:highlight w:val="none"/>
          <w:u w:val="none"/>
        </w:rPr>
        <w:t>最后报价</w:t>
      </w:r>
      <w:bookmarkEnd w:id="95"/>
      <w:r>
        <w:rPr>
          <w:rFonts w:hint="eastAsia" w:ascii="宋体" w:hAnsi="宋体" w:eastAsia="宋体" w:cs="宋体"/>
          <w:color w:val="auto"/>
          <w:sz w:val="24"/>
          <w:highlight w:val="none"/>
          <w:u w:val="none"/>
        </w:rPr>
        <w:t>最低的为第一成交候选人、最后报价次低的为第二成交候选人。若报价相同时则抽签决定。</w:t>
      </w:r>
    </w:p>
    <w:p w14:paraId="20CD48D5">
      <w:pPr>
        <w:spacing w:line="440" w:lineRule="exact"/>
        <w:ind w:firstLine="480" w:firstLineChars="200"/>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（1</w:t>
      </w:r>
      <w:r>
        <w:rPr>
          <w:rFonts w:hint="eastAsia" w:ascii="宋体" w:hAnsi="宋体" w:eastAsia="宋体" w:cs="宋体"/>
          <w:color w:val="auto"/>
          <w:sz w:val="24"/>
          <w:highlight w:val="none"/>
          <w:u w:val="none"/>
          <w:lang w:val="en-US" w:eastAsia="zh-CN"/>
        </w:rPr>
        <w:t>1</w:t>
      </w:r>
      <w:r>
        <w:rPr>
          <w:rFonts w:hint="eastAsia" w:ascii="宋体" w:hAnsi="宋体" w:eastAsia="宋体" w:cs="宋体"/>
          <w:color w:val="auto"/>
          <w:sz w:val="24"/>
          <w:highlight w:val="none"/>
          <w:u w:val="none"/>
        </w:rPr>
        <w:t>）谈判会议结束。</w:t>
      </w:r>
    </w:p>
    <w:p w14:paraId="1C764C23">
      <w:pPr>
        <w:spacing w:line="440" w:lineRule="exact"/>
        <w:ind w:firstLine="482" w:firstLineChars="200"/>
        <w:rPr>
          <w:rFonts w:hint="eastAsia" w:ascii="宋体" w:hAnsi="宋体" w:eastAsia="宋体" w:cs="宋体"/>
          <w:b/>
          <w:color w:val="auto"/>
          <w:sz w:val="24"/>
          <w:highlight w:val="none"/>
        </w:rPr>
      </w:pPr>
      <w:bookmarkStart w:id="96" w:name="_Toc511655422"/>
      <w:r>
        <w:rPr>
          <w:rFonts w:hint="eastAsia" w:ascii="宋体" w:hAnsi="宋体" w:eastAsia="宋体" w:cs="宋体"/>
          <w:b/>
          <w:bCs/>
          <w:color w:val="auto"/>
          <w:sz w:val="24"/>
          <w:highlight w:val="none"/>
        </w:rPr>
        <w:t>（四）</w:t>
      </w:r>
      <w:r>
        <w:rPr>
          <w:rFonts w:hint="eastAsia" w:ascii="宋体" w:hAnsi="宋体" w:eastAsia="宋体" w:cs="宋体"/>
          <w:b/>
          <w:color w:val="auto"/>
          <w:sz w:val="24"/>
          <w:highlight w:val="none"/>
        </w:rPr>
        <w:t>谈判内容及要点</w:t>
      </w:r>
      <w:bookmarkEnd w:id="96"/>
    </w:p>
    <w:p w14:paraId="20CE1F1A">
      <w:pPr>
        <w:spacing w:line="440" w:lineRule="exact"/>
        <w:ind w:firstLine="480" w:firstLineChars="200"/>
        <w:rPr>
          <w:rFonts w:hint="eastAsia" w:ascii="宋体" w:hAnsi="宋体" w:eastAsia="宋体" w:cs="宋体"/>
          <w:color w:val="auto"/>
          <w:sz w:val="24"/>
          <w:highlight w:val="none"/>
        </w:rPr>
      </w:pPr>
      <w:bookmarkStart w:id="97" w:name="_Toc511655423"/>
      <w:r>
        <w:rPr>
          <w:rFonts w:hint="eastAsia" w:ascii="宋体" w:hAnsi="宋体" w:eastAsia="宋体" w:cs="宋体"/>
          <w:color w:val="auto"/>
          <w:sz w:val="24"/>
          <w:highlight w:val="none"/>
        </w:rPr>
        <w:t>在谈判过程中，谈判小组可对竞争性谈判文件实质性内容进行修改或调整；供应商也可对供应商谈判文件进行修改，提供最佳方案。</w:t>
      </w:r>
      <w:bookmarkEnd w:id="97"/>
    </w:p>
    <w:p w14:paraId="4D59B5E0">
      <w:pPr>
        <w:spacing w:line="440" w:lineRule="exact"/>
        <w:ind w:firstLine="480" w:firstLineChars="200"/>
        <w:rPr>
          <w:rFonts w:hint="eastAsia" w:ascii="宋体" w:hAnsi="宋体" w:eastAsia="宋体" w:cs="宋体"/>
          <w:color w:val="auto"/>
          <w:sz w:val="24"/>
          <w:highlight w:val="none"/>
        </w:rPr>
      </w:pPr>
      <w:bookmarkStart w:id="98" w:name="_Toc511655424"/>
      <w:r>
        <w:rPr>
          <w:rFonts w:hint="eastAsia" w:ascii="宋体" w:hAnsi="宋体" w:eastAsia="宋体" w:cs="宋体"/>
          <w:color w:val="auto"/>
          <w:sz w:val="24"/>
          <w:highlight w:val="none"/>
        </w:rPr>
        <w:t>（1）报价</w:t>
      </w:r>
      <w:bookmarkEnd w:id="98"/>
    </w:p>
    <w:p w14:paraId="043452AC">
      <w:pPr>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（2）付款方式</w:t>
      </w:r>
    </w:p>
    <w:p w14:paraId="5801682D">
      <w:pPr>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（3）交货期</w:t>
      </w:r>
    </w:p>
    <w:p w14:paraId="6A8961DB">
      <w:pPr>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（4）售后服务</w:t>
      </w:r>
    </w:p>
    <w:p w14:paraId="24582B83">
      <w:pPr>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（5）竞争性谈判文件其他要求</w:t>
      </w:r>
    </w:p>
    <w:p w14:paraId="6184E490">
      <w:pPr>
        <w:spacing w:line="440" w:lineRule="exact"/>
        <w:ind w:firstLine="482" w:firstLineChars="200"/>
        <w:rPr>
          <w:rFonts w:hint="eastAsia" w:ascii="宋体" w:hAnsi="宋体" w:eastAsia="宋体" w:cs="宋体"/>
          <w:b/>
          <w:bCs/>
          <w:color w:val="auto"/>
          <w:sz w:val="24"/>
          <w:highlight w:val="none"/>
        </w:rPr>
      </w:pPr>
      <w:bookmarkStart w:id="99" w:name="_Toc511655428"/>
      <w:r>
        <w:rPr>
          <w:rFonts w:hint="eastAsia" w:ascii="宋体" w:hAnsi="宋体" w:eastAsia="宋体" w:cs="宋体"/>
          <w:b/>
          <w:bCs/>
          <w:color w:val="auto"/>
          <w:sz w:val="24"/>
          <w:highlight w:val="none"/>
        </w:rPr>
        <w:t>（五）澄清问题的形式</w:t>
      </w:r>
    </w:p>
    <w:p w14:paraId="6FC784D6">
      <w:pPr>
        <w:pStyle w:val="30"/>
        <w:snapToGrid w:val="0"/>
        <w:spacing w:beforeLines="0" w:afterLines="0" w:line="42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对</w:t>
      </w:r>
      <w:r>
        <w:rPr>
          <w:rFonts w:hint="eastAsia" w:ascii="宋体" w:hAnsi="宋体" w:eastAsia="宋体" w:cs="宋体"/>
          <w:color w:val="auto"/>
          <w:highlight w:val="none"/>
          <w:lang w:eastAsia="zh-CN"/>
        </w:rPr>
        <w:t>响应文件</w:t>
      </w:r>
      <w:r>
        <w:rPr>
          <w:rFonts w:hint="eastAsia" w:ascii="宋体" w:hAnsi="宋体" w:eastAsia="宋体" w:cs="宋体"/>
          <w:color w:val="auto"/>
          <w:highlight w:val="none"/>
        </w:rPr>
        <w:t>中含义不明确、同类问题表述不一致或者有明显文字和计算错误的内容，评标委员会可要求投标人作出必要的</w:t>
      </w:r>
      <w:bookmarkStart w:id="100" w:name="_Hlk59372079"/>
      <w:r>
        <w:rPr>
          <w:rFonts w:hint="eastAsia" w:ascii="宋体" w:hAnsi="宋体" w:eastAsia="宋体" w:cs="宋体"/>
          <w:color w:val="auto"/>
          <w:highlight w:val="none"/>
        </w:rPr>
        <w:t>澄清、说明</w:t>
      </w:r>
      <w:bookmarkEnd w:id="100"/>
      <w:r>
        <w:rPr>
          <w:rFonts w:hint="eastAsia" w:ascii="宋体" w:hAnsi="宋体" w:eastAsia="宋体" w:cs="宋体"/>
          <w:color w:val="auto"/>
          <w:highlight w:val="none"/>
        </w:rPr>
        <w:t>或者补正。评标委员会的澄清内容及投标人的澄清、说明或者补正均通过</w:t>
      </w:r>
      <w:bookmarkStart w:id="101" w:name="_Hlk59371846"/>
      <w:r>
        <w:rPr>
          <w:rFonts w:hint="eastAsia" w:ascii="宋体" w:hAnsi="宋体" w:eastAsia="宋体" w:cs="宋体"/>
          <w:color w:val="auto"/>
          <w:highlight w:val="none"/>
        </w:rPr>
        <w:t>电子交易平台交换数据电文。</w:t>
      </w:r>
      <w:bookmarkEnd w:id="101"/>
      <w:bookmarkStart w:id="102" w:name="_Hlk59700505"/>
      <w:r>
        <w:rPr>
          <w:rFonts w:hint="eastAsia" w:ascii="宋体" w:hAnsi="宋体" w:eastAsia="宋体" w:cs="宋体"/>
          <w:color w:val="auto"/>
          <w:highlight w:val="none"/>
        </w:rPr>
        <w:t>同时代理机构也将通过临海市限额以下公共资源交易区域平台--每日直播平台</w:t>
      </w:r>
      <w:bookmarkStart w:id="103" w:name="_Hlk59371920"/>
      <w:r>
        <w:rPr>
          <w:rFonts w:hint="eastAsia" w:ascii="宋体" w:hAnsi="宋体" w:eastAsia="宋体" w:cs="宋体"/>
          <w:color w:val="auto"/>
          <w:highlight w:val="none"/>
        </w:rPr>
        <w:t>进行问题澄清。</w:t>
      </w:r>
      <w:bookmarkEnd w:id="102"/>
    </w:p>
    <w:bookmarkEnd w:id="103"/>
    <w:p w14:paraId="1B4AF60B">
      <w:pPr>
        <w:snapToGrid w:val="0"/>
        <w:spacing w:line="4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评标委员会发出澄清内容后，投标人应当在代理机构及平台上</w:t>
      </w:r>
      <w:r>
        <w:rPr>
          <w:rFonts w:hint="eastAsia" w:ascii="宋体" w:hAnsi="宋体" w:eastAsia="宋体" w:cs="宋体"/>
          <w:b/>
          <w:bCs/>
          <w:color w:val="auto"/>
          <w:sz w:val="24"/>
          <w:highlight w:val="none"/>
          <w:u w:val="single"/>
        </w:rPr>
        <w:t>规定的时间内（</w:t>
      </w:r>
      <w:r>
        <w:rPr>
          <w:rFonts w:hint="eastAsia" w:ascii="宋体" w:hAnsi="宋体" w:eastAsia="宋体" w:cs="宋体"/>
          <w:b/>
          <w:bCs/>
          <w:color w:val="auto"/>
          <w:sz w:val="24"/>
          <w:highlight w:val="none"/>
          <w:u w:val="single"/>
          <w:lang w:val="en-US" w:eastAsia="zh-CN"/>
        </w:rPr>
        <w:t>3</w:t>
      </w:r>
      <w:r>
        <w:rPr>
          <w:rFonts w:hint="eastAsia" w:ascii="宋体" w:hAnsi="宋体" w:eastAsia="宋体" w:cs="宋体"/>
          <w:b/>
          <w:bCs/>
          <w:color w:val="auto"/>
          <w:sz w:val="24"/>
          <w:highlight w:val="none"/>
          <w:u w:val="single"/>
        </w:rPr>
        <w:t>0分钟，具体时间以临海市限额以下公共资源交易区域平台系统上显示的时间为准）</w:t>
      </w:r>
      <w:r>
        <w:rPr>
          <w:rFonts w:hint="eastAsia" w:ascii="宋体" w:hAnsi="宋体" w:eastAsia="宋体" w:cs="宋体"/>
          <w:b/>
          <w:bCs/>
          <w:color w:val="auto"/>
          <w:sz w:val="24"/>
          <w:highlight w:val="none"/>
        </w:rPr>
        <w:t>，</w:t>
      </w:r>
      <w:r>
        <w:rPr>
          <w:rFonts w:hint="eastAsia" w:ascii="宋体" w:hAnsi="宋体" w:eastAsia="宋体" w:cs="宋体"/>
          <w:color w:val="auto"/>
          <w:sz w:val="24"/>
          <w:highlight w:val="none"/>
        </w:rPr>
        <w:t>提交澄清说明或补正，否则视为投标人放弃答复，并自行承担因此而产生的不利后果。澄清、说明或者补正不得超出</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的范围或者改变</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的实质性内容。</w:t>
      </w:r>
    </w:p>
    <w:p w14:paraId="32091775">
      <w:pPr>
        <w:spacing w:line="440" w:lineRule="exact"/>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（六）错误修正</w:t>
      </w:r>
    </w:p>
    <w:p w14:paraId="74DE2AEF">
      <w:pPr>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谈判响应文件报价出现前后不一致的，按照下列规定修正：</w:t>
      </w:r>
    </w:p>
    <w:p w14:paraId="130E58BC">
      <w:pPr>
        <w:numPr>
          <w:ilvl w:val="0"/>
          <w:numId w:val="5"/>
        </w:numPr>
        <w:snapToGrid w:val="0"/>
        <w:spacing w:line="420" w:lineRule="exact"/>
        <w:ind w:firstLine="480" w:firstLineChars="200"/>
        <w:rPr>
          <w:rFonts w:hint="eastAsia" w:ascii="宋体" w:hAnsi="宋体" w:eastAsia="宋体" w:cs="宋体"/>
          <w:b/>
          <w:bCs/>
          <w:color w:val="auto"/>
          <w:sz w:val="24"/>
          <w:highlight w:val="none"/>
          <w:u w:val="single"/>
          <w:shd w:val="pct10" w:color="auto" w:fill="FFFFFF"/>
        </w:rPr>
      </w:pPr>
      <w:bookmarkStart w:id="104" w:name="_Hlk78209380"/>
      <w:r>
        <w:rPr>
          <w:rFonts w:hint="eastAsia" w:ascii="宋体" w:hAnsi="宋体" w:eastAsia="宋体" w:cs="宋体"/>
          <w:color w:val="auto"/>
          <w:sz w:val="24"/>
          <w:highlight w:val="none"/>
          <w:lang w:val="en-US" w:eastAsia="zh-CN"/>
        </w:rPr>
        <w:t>谈判</w:t>
      </w:r>
      <w:r>
        <w:rPr>
          <w:rFonts w:hint="eastAsia" w:ascii="宋体" w:hAnsi="宋体" w:eastAsia="宋体" w:cs="宋体"/>
          <w:color w:val="auto"/>
          <w:sz w:val="24"/>
          <w:highlight w:val="none"/>
        </w:rPr>
        <w:t>响应文件中</w:t>
      </w:r>
      <w:bookmarkStart w:id="105" w:name="_Hlk61427222"/>
      <w:r>
        <w:rPr>
          <w:rFonts w:hint="eastAsia" w:ascii="宋体" w:hAnsi="宋体" w:eastAsia="宋体" w:cs="宋体"/>
          <w:color w:val="auto"/>
          <w:sz w:val="24"/>
          <w:highlight w:val="none"/>
          <w:lang w:eastAsia="zh-CN"/>
        </w:rPr>
        <w:t>总报价</w:t>
      </w:r>
      <w:r>
        <w:rPr>
          <w:rFonts w:hint="eastAsia" w:ascii="宋体" w:hAnsi="宋体" w:eastAsia="宋体" w:cs="宋体"/>
          <w:color w:val="auto"/>
          <w:sz w:val="24"/>
          <w:highlight w:val="none"/>
        </w:rPr>
        <w:t>表</w:t>
      </w:r>
      <w:bookmarkEnd w:id="105"/>
      <w:r>
        <w:rPr>
          <w:rFonts w:hint="eastAsia" w:ascii="宋体" w:hAnsi="宋体" w:eastAsia="宋体" w:cs="宋体"/>
          <w:color w:val="auto"/>
          <w:sz w:val="24"/>
          <w:highlight w:val="none"/>
        </w:rPr>
        <w:t>内容与</w:t>
      </w:r>
      <w:r>
        <w:rPr>
          <w:rFonts w:hint="eastAsia" w:ascii="宋体" w:hAnsi="宋体" w:eastAsia="宋体" w:cs="宋体"/>
          <w:color w:val="auto"/>
          <w:sz w:val="24"/>
          <w:highlight w:val="none"/>
          <w:lang w:val="en-US" w:eastAsia="zh-CN"/>
        </w:rPr>
        <w:t>谈判</w:t>
      </w:r>
      <w:r>
        <w:rPr>
          <w:rFonts w:hint="eastAsia" w:ascii="宋体" w:hAnsi="宋体" w:eastAsia="宋体" w:cs="宋体"/>
          <w:color w:val="auto"/>
          <w:sz w:val="24"/>
          <w:highlight w:val="none"/>
        </w:rPr>
        <w:t>响应文件中相应内容不一致的，以</w:t>
      </w:r>
      <w:r>
        <w:rPr>
          <w:rFonts w:hint="eastAsia" w:ascii="宋体" w:hAnsi="宋体" w:eastAsia="宋体" w:cs="宋体"/>
          <w:color w:val="auto"/>
          <w:sz w:val="24"/>
          <w:highlight w:val="none"/>
          <w:lang w:eastAsia="zh-CN"/>
        </w:rPr>
        <w:t>总报价</w:t>
      </w:r>
      <w:r>
        <w:rPr>
          <w:rFonts w:hint="eastAsia" w:ascii="宋体" w:hAnsi="宋体" w:eastAsia="宋体" w:cs="宋体"/>
          <w:color w:val="auto"/>
          <w:sz w:val="24"/>
          <w:highlight w:val="none"/>
        </w:rPr>
        <w:t>表为准；</w:t>
      </w:r>
    </w:p>
    <w:bookmarkEnd w:id="104"/>
    <w:p w14:paraId="53C02C31">
      <w:pPr>
        <w:snapToGrid w:val="0"/>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（二）大写金额和小写金额不一致的，以大写金额为准；</w:t>
      </w:r>
    </w:p>
    <w:p w14:paraId="7FDF6403">
      <w:pPr>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（三）单价金额小数点或者百分比有明显错位的，以大写金额为准，并修改单价；</w:t>
      </w:r>
    </w:p>
    <w:p w14:paraId="33CC81DE">
      <w:pPr>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（四）总价金额与按单价汇总金额不一致的，以单价金额计算结果为准。</w:t>
      </w:r>
    </w:p>
    <w:p w14:paraId="67A93A75">
      <w:pPr>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同时出现两种以上不一致的，按照前款规定的顺序修正。修正应当采用书面形式，并加盖公章，或者由法定代表人或其授权的代表签字。修正后的报价经</w:t>
      </w:r>
      <w:bookmarkStart w:id="106" w:name="_Hlk60988476"/>
      <w:r>
        <w:rPr>
          <w:rFonts w:hint="eastAsia" w:ascii="宋体" w:hAnsi="宋体" w:eastAsia="宋体" w:cs="宋体"/>
          <w:color w:val="auto"/>
          <w:sz w:val="24"/>
          <w:highlight w:val="none"/>
        </w:rPr>
        <w:t>谈判</w:t>
      </w:r>
      <w:bookmarkEnd w:id="106"/>
      <w:r>
        <w:rPr>
          <w:rFonts w:hint="eastAsia" w:ascii="宋体" w:hAnsi="宋体" w:eastAsia="宋体" w:cs="宋体"/>
          <w:color w:val="auto"/>
          <w:sz w:val="24"/>
          <w:highlight w:val="none"/>
        </w:rPr>
        <w:t>供应商确认后产生约束力，谈判供应商不确认的，则其投标将作为无效投标处理。</w:t>
      </w:r>
    </w:p>
    <w:p w14:paraId="5EE66888">
      <w:pPr>
        <w:spacing w:line="440" w:lineRule="exact"/>
        <w:ind w:firstLine="482" w:firstLineChars="200"/>
        <w:rPr>
          <w:rFonts w:hint="eastAsia" w:ascii="宋体" w:hAnsi="宋体" w:eastAsia="宋体" w:cs="宋体"/>
          <w:b/>
          <w:color w:val="auto"/>
          <w:sz w:val="24"/>
          <w:highlight w:val="none"/>
          <w:u w:val="single"/>
          <w:shd w:val="pct10" w:color="auto" w:fill="FFFFFF"/>
        </w:rPr>
      </w:pPr>
      <w:r>
        <w:rPr>
          <w:rFonts w:hint="eastAsia" w:ascii="宋体" w:hAnsi="宋体" w:eastAsia="宋体" w:cs="宋体"/>
          <w:b/>
          <w:bCs/>
          <w:color w:val="auto"/>
          <w:sz w:val="24"/>
          <w:highlight w:val="none"/>
          <w:u w:val="single"/>
          <w:shd w:val="pct10" w:color="auto" w:fill="FFFFFF"/>
        </w:rPr>
        <w:t>（七）</w:t>
      </w:r>
      <w:r>
        <w:rPr>
          <w:rFonts w:hint="eastAsia" w:ascii="宋体" w:hAnsi="宋体" w:eastAsia="宋体" w:cs="宋体"/>
          <w:b/>
          <w:color w:val="auto"/>
          <w:sz w:val="24"/>
          <w:highlight w:val="none"/>
          <w:u w:val="single"/>
          <w:shd w:val="pct10" w:color="auto" w:fill="FFFFFF"/>
        </w:rPr>
        <w:t>最后报价</w:t>
      </w:r>
      <w:bookmarkEnd w:id="99"/>
    </w:p>
    <w:p w14:paraId="308C918C">
      <w:pPr>
        <w:spacing w:line="440" w:lineRule="exact"/>
        <w:ind w:firstLine="482" w:firstLineChars="200"/>
        <w:rPr>
          <w:rFonts w:hint="eastAsia" w:ascii="宋体" w:hAnsi="宋体" w:eastAsia="宋体" w:cs="宋体"/>
          <w:b/>
          <w:bCs/>
          <w:color w:val="auto"/>
          <w:sz w:val="24"/>
          <w:highlight w:val="none"/>
          <w:u w:val="single"/>
          <w:shd w:val="pct10" w:color="auto" w:fill="FFFFFF"/>
        </w:rPr>
      </w:pPr>
      <w:bookmarkStart w:id="107" w:name="_Toc511655429"/>
      <w:r>
        <w:rPr>
          <w:rFonts w:hint="eastAsia" w:ascii="宋体" w:hAnsi="宋体" w:eastAsia="宋体" w:cs="宋体"/>
          <w:b/>
          <w:bCs/>
          <w:color w:val="auto"/>
          <w:sz w:val="24"/>
          <w:highlight w:val="none"/>
          <w:u w:val="single"/>
          <w:shd w:val="pct10" w:color="auto" w:fill="FFFFFF"/>
        </w:rPr>
        <w:t>（1）最后一轮谈判结束后，供应商在规定的时间内（30分钟</w:t>
      </w:r>
      <w:r>
        <w:rPr>
          <w:rFonts w:hint="eastAsia" w:ascii="宋体" w:hAnsi="宋体" w:eastAsia="宋体" w:cs="宋体"/>
          <w:b/>
          <w:bCs/>
          <w:color w:val="auto"/>
          <w:sz w:val="24"/>
          <w:highlight w:val="none"/>
          <w:u w:val="single"/>
          <w:shd w:val="pct10" w:color="auto" w:fill="FFFFFF"/>
          <w:lang w:eastAsia="zh-CN"/>
        </w:rPr>
        <w:t>）</w:t>
      </w:r>
      <w:r>
        <w:rPr>
          <w:rFonts w:hint="eastAsia" w:ascii="宋体" w:hAnsi="宋体" w:eastAsia="宋体" w:cs="宋体"/>
          <w:b/>
          <w:bCs/>
          <w:color w:val="auto"/>
          <w:sz w:val="24"/>
          <w:highlight w:val="none"/>
          <w:u w:val="single"/>
          <w:shd w:val="pct10" w:color="auto" w:fill="FFFFFF"/>
        </w:rPr>
        <w:t>，具体时间以</w:t>
      </w:r>
      <w:r>
        <w:rPr>
          <w:rFonts w:hint="eastAsia" w:ascii="宋体" w:hAnsi="宋体" w:eastAsia="宋体" w:cs="宋体"/>
          <w:b/>
          <w:bCs/>
          <w:color w:val="auto"/>
          <w:sz w:val="24"/>
          <w:highlight w:val="none"/>
          <w:u w:val="single"/>
          <w:shd w:val="pct10" w:color="auto" w:fill="FFFFFF"/>
          <w:lang w:eastAsia="zh-CN"/>
        </w:rPr>
        <w:t>限额平台</w:t>
      </w:r>
      <w:r>
        <w:rPr>
          <w:rFonts w:hint="eastAsia" w:ascii="宋体" w:hAnsi="宋体" w:eastAsia="宋体" w:cs="宋体"/>
          <w:b/>
          <w:bCs/>
          <w:color w:val="auto"/>
          <w:sz w:val="24"/>
          <w:highlight w:val="none"/>
          <w:u w:val="single"/>
          <w:shd w:val="pct10" w:color="auto" w:fill="FFFFFF"/>
        </w:rPr>
        <w:t>系统上显示的时间为准</w:t>
      </w:r>
      <w:r>
        <w:rPr>
          <w:rFonts w:hint="eastAsia" w:ascii="宋体" w:hAnsi="宋体" w:eastAsia="宋体" w:cs="宋体"/>
          <w:b/>
          <w:bCs/>
          <w:color w:val="auto"/>
          <w:sz w:val="24"/>
          <w:highlight w:val="none"/>
          <w:u w:val="single"/>
        </w:rPr>
        <w:t>）</w:t>
      </w:r>
      <w:r>
        <w:rPr>
          <w:rFonts w:hint="eastAsia" w:ascii="宋体" w:hAnsi="宋体" w:eastAsia="宋体" w:cs="宋体"/>
          <w:b/>
          <w:bCs/>
          <w:color w:val="auto"/>
          <w:sz w:val="24"/>
          <w:highlight w:val="none"/>
          <w:u w:val="single"/>
          <w:shd w:val="pct10" w:color="auto" w:fill="FFFFFF"/>
        </w:rPr>
        <w:t>在</w:t>
      </w:r>
      <w:r>
        <w:rPr>
          <w:rFonts w:hint="eastAsia" w:ascii="宋体" w:hAnsi="宋体" w:eastAsia="宋体" w:cs="宋体"/>
          <w:b/>
          <w:bCs/>
          <w:color w:val="auto"/>
          <w:sz w:val="24"/>
          <w:highlight w:val="none"/>
          <w:u w:val="single"/>
          <w:shd w:val="pct10" w:color="auto" w:fill="FFFFFF"/>
          <w:lang w:eastAsia="zh-CN"/>
        </w:rPr>
        <w:t>限额平台</w:t>
      </w:r>
      <w:r>
        <w:rPr>
          <w:rFonts w:hint="eastAsia" w:ascii="宋体" w:hAnsi="宋体" w:eastAsia="宋体" w:cs="宋体"/>
          <w:b/>
          <w:bCs/>
          <w:color w:val="auto"/>
          <w:sz w:val="24"/>
          <w:highlight w:val="none"/>
          <w:u w:val="single"/>
          <w:shd w:val="pct10" w:color="auto" w:fill="FFFFFF"/>
        </w:rPr>
        <w:t>系统上进行最后报价</w:t>
      </w:r>
      <w:bookmarkEnd w:id="107"/>
      <w:r>
        <w:rPr>
          <w:rFonts w:hint="eastAsia" w:ascii="宋体" w:hAnsi="宋体" w:eastAsia="宋体" w:cs="宋体"/>
          <w:b/>
          <w:bCs/>
          <w:color w:val="auto"/>
          <w:sz w:val="24"/>
          <w:highlight w:val="none"/>
          <w:u w:val="single"/>
          <w:shd w:val="pct10" w:color="auto" w:fill="FFFFFF"/>
        </w:rPr>
        <w:t>，</w:t>
      </w:r>
      <w:r>
        <w:rPr>
          <w:rFonts w:hint="eastAsia" w:ascii="宋体" w:hAnsi="宋体" w:eastAsia="宋体" w:cs="宋体"/>
          <w:b/>
          <w:bCs/>
          <w:color w:val="auto"/>
          <w:sz w:val="24"/>
          <w:highlight w:val="none"/>
          <w:u w:val="single"/>
          <w:shd w:val="pct10" w:color="auto" w:fill="FFFFFF"/>
          <w:lang w:val="en-US" w:eastAsia="zh-CN"/>
        </w:rPr>
        <w:t>若未提供新的报价的，则以上一轮的报价函价格为准</w:t>
      </w:r>
      <w:r>
        <w:rPr>
          <w:rFonts w:hint="eastAsia" w:ascii="宋体" w:hAnsi="宋体" w:eastAsia="宋体" w:cs="宋体"/>
          <w:b/>
          <w:bCs/>
          <w:color w:val="auto"/>
          <w:sz w:val="24"/>
          <w:highlight w:val="none"/>
          <w:u w:val="single"/>
          <w:shd w:val="pct10" w:color="auto" w:fill="FFFFFF"/>
          <w:lang w:eastAsia="zh-CN"/>
        </w:rPr>
        <w:t>，请各供应商把握好报</w:t>
      </w:r>
      <w:r>
        <w:rPr>
          <w:rFonts w:hint="eastAsia" w:ascii="宋体" w:hAnsi="宋体" w:eastAsia="宋体" w:cs="宋体"/>
          <w:b/>
          <w:bCs/>
          <w:color w:val="auto"/>
          <w:sz w:val="24"/>
          <w:highlight w:val="none"/>
          <w:u w:val="single"/>
          <w:shd w:val="pct10" w:color="auto" w:fill="FFFFFF"/>
        </w:rPr>
        <w:t xml:space="preserve">价时间）。 </w:t>
      </w:r>
    </w:p>
    <w:p w14:paraId="0BB44386">
      <w:pPr>
        <w:spacing w:line="440" w:lineRule="exact"/>
        <w:ind w:firstLine="480" w:firstLineChars="200"/>
        <w:rPr>
          <w:rFonts w:hint="eastAsia" w:ascii="宋体" w:hAnsi="宋体" w:eastAsia="宋体" w:cs="宋体"/>
          <w:color w:val="auto"/>
          <w:sz w:val="24"/>
          <w:highlight w:val="none"/>
        </w:rPr>
      </w:pPr>
      <w:bookmarkStart w:id="108" w:name="_Toc511655430"/>
      <w:r>
        <w:rPr>
          <w:rFonts w:hint="eastAsia" w:ascii="宋体" w:hAnsi="宋体" w:eastAsia="宋体" w:cs="宋体"/>
          <w:color w:val="auto"/>
          <w:sz w:val="24"/>
          <w:highlight w:val="none"/>
        </w:rPr>
        <w:t>（2）最后报价不能更改。</w:t>
      </w:r>
      <w:bookmarkEnd w:id="108"/>
    </w:p>
    <w:p w14:paraId="1FD5B2FF">
      <w:pPr>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u w:val="single"/>
        </w:rPr>
        <w:t>提交的最后报价不能高出前几轮谈判报价，否则最后报价无效，以前几轮最低报价作为最后报价</w:t>
      </w:r>
      <w:r>
        <w:rPr>
          <w:rFonts w:hint="eastAsia" w:ascii="宋体" w:hAnsi="宋体" w:eastAsia="宋体" w:cs="宋体"/>
          <w:color w:val="auto"/>
          <w:sz w:val="24"/>
          <w:highlight w:val="none"/>
        </w:rPr>
        <w:t>。</w:t>
      </w:r>
    </w:p>
    <w:p w14:paraId="413B1446">
      <w:pPr>
        <w:spacing w:line="440" w:lineRule="exact"/>
        <w:ind w:firstLine="482" w:firstLineChars="200"/>
        <w:rPr>
          <w:rFonts w:hint="eastAsia" w:ascii="宋体" w:hAnsi="宋体" w:eastAsia="宋体" w:cs="宋体"/>
          <w:b/>
          <w:color w:val="auto"/>
          <w:sz w:val="24"/>
          <w:highlight w:val="none"/>
        </w:rPr>
      </w:pPr>
      <w:bookmarkStart w:id="109" w:name="_Toc511655432"/>
      <w:r>
        <w:rPr>
          <w:rFonts w:hint="eastAsia" w:ascii="宋体" w:hAnsi="宋体" w:eastAsia="宋体" w:cs="宋体"/>
          <w:b/>
          <w:bCs/>
          <w:color w:val="auto"/>
          <w:sz w:val="24"/>
          <w:highlight w:val="none"/>
        </w:rPr>
        <w:t>（八）</w:t>
      </w:r>
      <w:r>
        <w:rPr>
          <w:rFonts w:hint="eastAsia" w:ascii="宋体" w:hAnsi="宋体" w:eastAsia="宋体" w:cs="宋体"/>
          <w:b/>
          <w:color w:val="auto"/>
          <w:sz w:val="24"/>
          <w:highlight w:val="none"/>
        </w:rPr>
        <w:t>预成交人确定</w:t>
      </w:r>
      <w:bookmarkEnd w:id="109"/>
    </w:p>
    <w:p w14:paraId="6E2AE887">
      <w:pPr>
        <w:spacing w:line="440" w:lineRule="exact"/>
        <w:ind w:firstLine="480" w:firstLineChars="200"/>
        <w:rPr>
          <w:rFonts w:hint="eastAsia" w:ascii="宋体" w:hAnsi="宋体" w:eastAsia="宋体" w:cs="宋体"/>
          <w:color w:val="auto"/>
          <w:sz w:val="24"/>
          <w:highlight w:val="none"/>
          <w:lang w:eastAsia="zh-CN"/>
        </w:rPr>
      </w:pPr>
      <w:bookmarkStart w:id="110" w:name="_Toc511655433"/>
      <w:r>
        <w:rPr>
          <w:rFonts w:hint="eastAsia" w:ascii="宋体" w:hAnsi="宋体" w:eastAsia="宋体" w:cs="宋体"/>
          <w:color w:val="auto"/>
          <w:sz w:val="24"/>
          <w:highlight w:val="none"/>
        </w:rPr>
        <w:t>谈判小组根据谈判结果和供应商最后报价，在符合采购需求的情况下，按照质量和服务相等且最后评审报价最低的成交方法，向采购单位推荐</w:t>
      </w:r>
      <w:bookmarkEnd w:id="110"/>
      <w:r>
        <w:rPr>
          <w:rFonts w:hint="eastAsia" w:ascii="宋体" w:hAnsi="宋体" w:eastAsia="宋体" w:cs="宋体"/>
          <w:color w:val="auto"/>
          <w:sz w:val="24"/>
          <w:highlight w:val="none"/>
        </w:rPr>
        <w:t>最后评审报价最低的为第一成交候选人、最后评审报价次低的为第二成交候选人</w:t>
      </w:r>
      <w:bookmarkStart w:id="111" w:name="_Toc511655434"/>
      <w:r>
        <w:rPr>
          <w:rFonts w:hint="eastAsia" w:ascii="宋体" w:hAnsi="宋体" w:eastAsia="宋体" w:cs="宋体"/>
          <w:color w:val="auto"/>
          <w:sz w:val="24"/>
          <w:highlight w:val="none"/>
          <w:lang w:eastAsia="zh-CN"/>
        </w:rPr>
        <w:t>。</w:t>
      </w:r>
    </w:p>
    <w:p w14:paraId="266FD19E">
      <w:pPr>
        <w:spacing w:line="440" w:lineRule="exact"/>
        <w:ind w:firstLine="482" w:firstLineChars="200"/>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（九）</w:t>
      </w:r>
      <w:r>
        <w:rPr>
          <w:rFonts w:hint="eastAsia" w:ascii="宋体" w:hAnsi="宋体" w:eastAsia="宋体" w:cs="宋体"/>
          <w:b/>
          <w:color w:val="auto"/>
          <w:sz w:val="24"/>
          <w:highlight w:val="none"/>
        </w:rPr>
        <w:t>定标办法</w:t>
      </w:r>
      <w:bookmarkEnd w:id="111"/>
      <w:r>
        <w:rPr>
          <w:rFonts w:hint="eastAsia" w:ascii="宋体" w:hAnsi="宋体" w:eastAsia="宋体" w:cs="宋体"/>
          <w:b/>
          <w:color w:val="auto"/>
          <w:sz w:val="24"/>
          <w:highlight w:val="none"/>
        </w:rPr>
        <w:t xml:space="preserve"> </w:t>
      </w:r>
    </w:p>
    <w:p w14:paraId="486E49ED">
      <w:pPr>
        <w:spacing w:line="420" w:lineRule="exact"/>
        <w:ind w:firstLine="482" w:firstLineChars="200"/>
        <w:rPr>
          <w:rFonts w:hint="eastAsia" w:ascii="宋体" w:hAnsi="宋体" w:eastAsia="宋体" w:cs="宋体"/>
          <w:b/>
          <w:color w:val="auto"/>
          <w:sz w:val="24"/>
          <w:highlight w:val="none"/>
        </w:rPr>
      </w:pPr>
      <w:bookmarkStart w:id="112" w:name="_Toc182125900"/>
      <w:bookmarkStart w:id="113" w:name="_Toc182125823"/>
      <w:bookmarkStart w:id="114" w:name="_Toc174767475"/>
      <w:bookmarkStart w:id="115" w:name="_Toc498521008"/>
      <w:bookmarkStart w:id="116" w:name="_Toc388942630"/>
      <w:bookmarkStart w:id="117" w:name="_Toc511655441"/>
      <w:r>
        <w:rPr>
          <w:rFonts w:hint="eastAsia" w:ascii="宋体" w:hAnsi="宋体" w:eastAsia="宋体" w:cs="宋体"/>
          <w:b/>
          <w:color w:val="auto"/>
          <w:sz w:val="24"/>
          <w:highlight w:val="none"/>
        </w:rPr>
        <w:t>（一）确定中标人</w:t>
      </w:r>
    </w:p>
    <w:p w14:paraId="791DE7C2">
      <w:pPr>
        <w:spacing w:line="420" w:lineRule="exact"/>
        <w:ind w:firstLine="480" w:firstLineChars="200"/>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1.招标人在评标结束后2</w:t>
      </w:r>
      <w:r>
        <w:rPr>
          <w:rFonts w:hint="eastAsia" w:ascii="宋体" w:hAnsi="宋体" w:eastAsia="宋体" w:cs="宋体"/>
          <w:color w:val="auto"/>
          <w:sz w:val="24"/>
          <w:highlight w:val="none"/>
        </w:rPr>
        <w:t>个工作日内将评标报告交招标人确认</w:t>
      </w:r>
      <w:r>
        <w:rPr>
          <w:rFonts w:hint="eastAsia" w:ascii="宋体" w:hAnsi="宋体" w:eastAsia="宋体" w:cs="宋体"/>
          <w:b/>
          <w:bCs/>
          <w:color w:val="auto"/>
          <w:sz w:val="24"/>
          <w:highlight w:val="none"/>
        </w:rPr>
        <w:t>，</w:t>
      </w:r>
      <w:r>
        <w:rPr>
          <w:rFonts w:hint="eastAsia" w:ascii="宋体" w:hAnsi="宋体" w:eastAsia="宋体" w:cs="宋体"/>
          <w:color w:val="auto"/>
          <w:sz w:val="24"/>
          <w:highlight w:val="none"/>
        </w:rPr>
        <w:t>招标人应在收到评标报告后5个工作日内对评标结果进行确认。如有投标人对评标结果提出质疑的，招标人可在质疑处理完毕后确定中标人。</w:t>
      </w:r>
    </w:p>
    <w:p w14:paraId="15817766">
      <w:pPr>
        <w:snapToGrid w:val="0"/>
        <w:spacing w:line="420" w:lineRule="exact"/>
        <w:ind w:firstLine="480" w:firstLineChars="200"/>
        <w:rPr>
          <w:rFonts w:hint="eastAsia" w:ascii="宋体" w:hAnsi="宋体" w:eastAsia="宋体" w:cs="宋体"/>
          <w:b/>
          <w:bCs/>
          <w:color w:val="auto"/>
          <w:sz w:val="24"/>
          <w:highlight w:val="none"/>
          <w:u w:val="single"/>
          <w:shd w:val="pct10" w:color="auto" w:fill="FFFFFF"/>
        </w:rPr>
      </w:pPr>
      <w:r>
        <w:rPr>
          <w:rFonts w:hint="eastAsia" w:ascii="宋体" w:hAnsi="宋体" w:eastAsia="宋体" w:cs="宋体"/>
          <w:color w:val="auto"/>
          <w:sz w:val="24"/>
          <w:highlight w:val="none"/>
        </w:rPr>
        <w:t>2.招标人依法确定中标人后2个工作日内，招标人以书面形式发出《中标通知书》,并同时在采购公告发布的网站上发布成交结果公告。</w:t>
      </w:r>
      <w:r>
        <w:rPr>
          <w:rFonts w:hint="eastAsia" w:ascii="宋体" w:hAnsi="宋体" w:eastAsia="宋体" w:cs="宋体"/>
          <w:b/>
          <w:bCs/>
          <w:color w:val="auto"/>
          <w:sz w:val="24"/>
          <w:highlight w:val="none"/>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3D158D98">
      <w:pPr>
        <w:snapToGrid w:val="0"/>
        <w:spacing w:line="4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3.定标中，应坚持第一中标候选人为首选中标人，但出现其它原因的，招标人可以确定排名第二的候选人为中标人，</w:t>
      </w:r>
      <w:r>
        <w:rPr>
          <w:rFonts w:hint="eastAsia" w:ascii="宋体" w:hAnsi="宋体" w:eastAsia="宋体" w:cs="宋体"/>
          <w:b/>
          <w:color w:val="auto"/>
          <w:sz w:val="24"/>
          <w:highlight w:val="none"/>
        </w:rPr>
        <w:t>或重新组织招标。</w:t>
      </w:r>
      <w:bookmarkStart w:id="118" w:name="_Hlk59369379"/>
      <w:r>
        <w:rPr>
          <w:rFonts w:hint="eastAsia" w:ascii="宋体" w:hAnsi="宋体" w:eastAsia="宋体" w:cs="宋体"/>
          <w:color w:val="auto"/>
          <w:sz w:val="24"/>
          <w:highlight w:val="none"/>
        </w:rPr>
        <w:t xml:space="preserve"> </w:t>
      </w:r>
    </w:p>
    <w:p w14:paraId="61173351">
      <w:pPr>
        <w:snapToGrid w:val="0"/>
        <w:spacing w:line="420" w:lineRule="exact"/>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4.</w:t>
      </w:r>
      <w:r>
        <w:rPr>
          <w:rFonts w:hint="eastAsia" w:ascii="宋体" w:hAnsi="宋体" w:eastAsia="宋体" w:cs="宋体"/>
          <w:color w:val="auto"/>
          <w:highlight w:val="none"/>
        </w:rPr>
        <w:t xml:space="preserve"> </w:t>
      </w:r>
      <w:r>
        <w:rPr>
          <w:rFonts w:hint="eastAsia" w:ascii="宋体" w:hAnsi="宋体" w:eastAsia="宋体" w:cs="宋体"/>
          <w:b/>
          <w:color w:val="auto"/>
          <w:sz w:val="24"/>
          <w:highlight w:val="none"/>
        </w:rPr>
        <w:t>本项目为非政府采购项目，如中标通知书发出后，中标人放弃中标项目的，参照《政府采购法》第四十六条之规定，应当依法承担法律责任。</w:t>
      </w:r>
    </w:p>
    <w:p w14:paraId="271162A2">
      <w:pPr>
        <w:snapToGrid w:val="0"/>
        <w:spacing w:line="42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本</w:t>
      </w:r>
      <w:r>
        <w:rPr>
          <w:rFonts w:hint="eastAsia" w:ascii="宋体" w:hAnsi="宋体" w:eastAsia="宋体" w:cs="宋体"/>
          <w:b/>
          <w:color w:val="auto"/>
          <w:sz w:val="24"/>
          <w:highlight w:val="none"/>
          <w:lang w:val="en-US" w:eastAsia="zh-CN"/>
        </w:rPr>
        <w:t>谈判</w:t>
      </w:r>
      <w:r>
        <w:rPr>
          <w:rFonts w:hint="eastAsia" w:ascii="宋体" w:hAnsi="宋体" w:eastAsia="宋体" w:cs="宋体"/>
          <w:b/>
          <w:color w:val="auto"/>
          <w:sz w:val="24"/>
          <w:highlight w:val="none"/>
        </w:rPr>
        <w:t>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5A71A7AE">
      <w:pPr>
        <w:snapToGrid w:val="0"/>
        <w:spacing w:line="4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r>
        <w:rPr>
          <w:rFonts w:hint="eastAsia" w:ascii="宋体" w:hAnsi="宋体" w:eastAsia="宋体" w:cs="宋体"/>
          <w:b/>
          <w:bCs/>
          <w:color w:val="auto"/>
          <w:sz w:val="24"/>
          <w:highlight w:val="none"/>
          <w:u w:val="single"/>
          <w:shd w:val="pct10" w:color="auto" w:fill="FFFFFF"/>
        </w:rPr>
        <w:t>为营造更优质的营商环境，</w:t>
      </w:r>
      <w:bookmarkStart w:id="119" w:name="_Hlk59708763"/>
      <w:r>
        <w:rPr>
          <w:rFonts w:hint="eastAsia" w:ascii="宋体" w:hAnsi="宋体" w:eastAsia="宋体" w:cs="宋体"/>
          <w:b/>
          <w:bCs/>
          <w:color w:val="auto"/>
          <w:sz w:val="24"/>
          <w:highlight w:val="none"/>
          <w:u w:val="single"/>
          <w:shd w:val="pct10" w:color="auto" w:fill="FFFFFF"/>
        </w:rPr>
        <w:t>中标人可选择代理机构以邮寄方式向其寄达《中标通知书》（邮寄地址、收件人等信息请在“投标函”中详细写明，邮费可到付）。</w:t>
      </w:r>
      <w:bookmarkEnd w:id="119"/>
      <w:bookmarkStart w:id="120" w:name="_Hlk59708451"/>
      <w:r>
        <w:rPr>
          <w:rFonts w:hint="eastAsia" w:ascii="宋体" w:hAnsi="宋体" w:eastAsia="宋体" w:cs="宋体"/>
          <w:b/>
          <w:bCs/>
          <w:color w:val="auto"/>
          <w:sz w:val="24"/>
          <w:highlight w:val="none"/>
          <w:u w:val="single"/>
          <w:shd w:val="pct10" w:color="auto" w:fill="FFFFFF"/>
        </w:rPr>
        <w:t>同时中标人应在中标后</w:t>
      </w:r>
      <w:bookmarkStart w:id="121" w:name="_Hlk59521069"/>
      <w:r>
        <w:rPr>
          <w:rFonts w:hint="eastAsia" w:ascii="宋体" w:hAnsi="宋体" w:eastAsia="宋体" w:cs="宋体"/>
          <w:b/>
          <w:bCs/>
          <w:color w:val="auto"/>
          <w:sz w:val="24"/>
          <w:highlight w:val="none"/>
          <w:u w:val="single"/>
          <w:shd w:val="pct10" w:color="auto" w:fill="FFFFFF"/>
        </w:rPr>
        <w:t>以邮寄</w:t>
      </w:r>
      <w:bookmarkEnd w:id="121"/>
      <w:r>
        <w:rPr>
          <w:rFonts w:hint="eastAsia" w:ascii="宋体" w:hAnsi="宋体" w:eastAsia="宋体" w:cs="宋体"/>
          <w:b/>
          <w:bCs/>
          <w:color w:val="auto"/>
          <w:sz w:val="24"/>
          <w:highlight w:val="none"/>
          <w:u w:val="single"/>
          <w:shd w:val="pct10" w:color="auto" w:fill="FFFFFF"/>
        </w:rPr>
        <w:t>或其他方式向代理机构提供3套与电子版</w:t>
      </w:r>
      <w:r>
        <w:rPr>
          <w:rFonts w:hint="eastAsia" w:ascii="宋体" w:hAnsi="宋体" w:eastAsia="宋体" w:cs="宋体"/>
          <w:b/>
          <w:bCs/>
          <w:color w:val="auto"/>
          <w:sz w:val="24"/>
          <w:highlight w:val="none"/>
          <w:u w:val="single"/>
          <w:shd w:val="pct10" w:color="auto" w:fill="FFFFFF"/>
          <w:lang w:eastAsia="zh-CN"/>
        </w:rPr>
        <w:t>响应文件</w:t>
      </w:r>
      <w:r>
        <w:rPr>
          <w:rFonts w:hint="eastAsia" w:ascii="宋体" w:hAnsi="宋体" w:eastAsia="宋体" w:cs="宋体"/>
          <w:b/>
          <w:bCs/>
          <w:color w:val="auto"/>
          <w:sz w:val="24"/>
          <w:highlight w:val="none"/>
          <w:u w:val="single"/>
          <w:shd w:val="pct10" w:color="auto" w:fill="FFFFFF"/>
        </w:rPr>
        <w:t>相同的胶装版本</w:t>
      </w:r>
      <w:r>
        <w:rPr>
          <w:rFonts w:hint="eastAsia" w:ascii="宋体" w:hAnsi="宋体" w:eastAsia="宋体" w:cs="宋体"/>
          <w:b/>
          <w:bCs/>
          <w:color w:val="auto"/>
          <w:sz w:val="24"/>
          <w:highlight w:val="none"/>
          <w:u w:val="single"/>
          <w:shd w:val="pct10" w:color="auto" w:fill="FFFFFF"/>
          <w:lang w:eastAsia="zh-CN"/>
        </w:rPr>
        <w:t>响应文件</w:t>
      </w:r>
      <w:r>
        <w:rPr>
          <w:rFonts w:hint="eastAsia" w:ascii="宋体" w:hAnsi="宋体" w:eastAsia="宋体" w:cs="宋体"/>
          <w:b/>
          <w:bCs/>
          <w:color w:val="auto"/>
          <w:sz w:val="24"/>
          <w:highlight w:val="none"/>
          <w:u w:val="single"/>
          <w:shd w:val="pct10" w:color="auto" w:fill="FFFFFF"/>
        </w:rPr>
        <w:t>。</w:t>
      </w:r>
      <w:bookmarkEnd w:id="118"/>
      <w:bookmarkEnd w:id="120"/>
    </w:p>
    <w:p w14:paraId="0AF27C09">
      <w:pPr>
        <w:spacing w:line="440" w:lineRule="exact"/>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十、合同</w:t>
      </w:r>
      <w:bookmarkEnd w:id="112"/>
      <w:bookmarkEnd w:id="113"/>
      <w:bookmarkEnd w:id="114"/>
      <w:r>
        <w:rPr>
          <w:rFonts w:hint="eastAsia" w:ascii="宋体" w:hAnsi="宋体" w:eastAsia="宋体" w:cs="宋体"/>
          <w:b/>
          <w:color w:val="auto"/>
          <w:sz w:val="24"/>
          <w:highlight w:val="none"/>
        </w:rPr>
        <w:t>授予</w:t>
      </w:r>
      <w:bookmarkEnd w:id="115"/>
      <w:bookmarkEnd w:id="116"/>
      <w:bookmarkEnd w:id="117"/>
    </w:p>
    <w:p w14:paraId="48152AC7">
      <w:pPr>
        <w:snapToGrid w:val="0"/>
        <w:spacing w:line="420" w:lineRule="exact"/>
        <w:ind w:firstLine="472" w:firstLineChars="196"/>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（一）签订合同</w:t>
      </w:r>
    </w:p>
    <w:p w14:paraId="4A4DF117">
      <w:pPr>
        <w:snapToGrid w:val="0"/>
        <w:spacing w:line="4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1.招标人与中标</w:t>
      </w:r>
      <w:r>
        <w:rPr>
          <w:rFonts w:hint="eastAsia" w:ascii="宋体" w:hAnsi="宋体" w:eastAsia="宋体" w:cs="宋体"/>
          <w:b/>
          <w:color w:val="auto"/>
          <w:sz w:val="24"/>
          <w:highlight w:val="none"/>
        </w:rPr>
        <w:t>人应当在《中标通知书》发出之日起30日内签订采购合同，</w:t>
      </w:r>
      <w:r>
        <w:rPr>
          <w:rFonts w:hint="eastAsia" w:ascii="宋体" w:hAnsi="宋体" w:eastAsia="宋体" w:cs="宋体"/>
          <w:color w:val="auto"/>
          <w:sz w:val="24"/>
          <w:highlight w:val="none"/>
        </w:rPr>
        <w:t>并且在同一时间送至代理机构见证盖章（合同一式</w:t>
      </w:r>
      <w:r>
        <w:rPr>
          <w:rFonts w:hint="eastAsia" w:ascii="宋体" w:hAnsi="宋体" w:cs="宋体"/>
          <w:color w:val="auto"/>
          <w:sz w:val="24"/>
          <w:highlight w:val="none"/>
          <w:lang w:val="en-US" w:eastAsia="zh-CN"/>
        </w:rPr>
        <w:t>柒</w:t>
      </w:r>
      <w:r>
        <w:rPr>
          <w:rFonts w:hint="eastAsia" w:ascii="宋体" w:hAnsi="宋体" w:eastAsia="宋体" w:cs="宋体"/>
          <w:color w:val="auto"/>
          <w:sz w:val="24"/>
          <w:highlight w:val="none"/>
        </w:rPr>
        <w:t>份，招标人与中标人各执</w:t>
      </w:r>
      <w:r>
        <w:rPr>
          <w:rFonts w:hint="eastAsia" w:ascii="宋体" w:hAnsi="宋体" w:cs="宋体"/>
          <w:color w:val="auto"/>
          <w:sz w:val="24"/>
          <w:highlight w:val="none"/>
          <w:lang w:val="en-US" w:eastAsia="zh-CN"/>
        </w:rPr>
        <w:t>叁</w:t>
      </w:r>
      <w:r>
        <w:rPr>
          <w:rFonts w:hint="eastAsia" w:ascii="宋体" w:hAnsi="宋体" w:eastAsia="宋体" w:cs="宋体"/>
          <w:color w:val="auto"/>
          <w:sz w:val="24"/>
          <w:highlight w:val="none"/>
        </w:rPr>
        <w:t>份，</w:t>
      </w:r>
      <w:bookmarkStart w:id="122" w:name="_Hlk59626706"/>
      <w:r>
        <w:rPr>
          <w:rFonts w:hint="eastAsia" w:ascii="宋体" w:hAnsi="宋体" w:eastAsia="宋体" w:cs="宋体"/>
          <w:color w:val="auto"/>
          <w:sz w:val="24"/>
          <w:highlight w:val="none"/>
        </w:rPr>
        <w:t>代理机构</w:t>
      </w:r>
      <w:bookmarkEnd w:id="122"/>
      <w:r>
        <w:rPr>
          <w:rFonts w:hint="eastAsia" w:ascii="宋体" w:hAnsi="宋体" w:eastAsia="宋体" w:cs="宋体"/>
          <w:color w:val="auto"/>
          <w:sz w:val="24"/>
          <w:highlight w:val="none"/>
        </w:rPr>
        <w:t>留存</w:t>
      </w:r>
      <w:r>
        <w:rPr>
          <w:rFonts w:hint="eastAsia" w:ascii="宋体" w:hAnsi="宋体" w:cs="宋体"/>
          <w:color w:val="auto"/>
          <w:sz w:val="24"/>
          <w:highlight w:val="none"/>
          <w:lang w:val="en-US" w:eastAsia="zh-CN"/>
        </w:rPr>
        <w:t>壹</w:t>
      </w:r>
      <w:r>
        <w:rPr>
          <w:rFonts w:hint="eastAsia" w:ascii="宋体" w:hAnsi="宋体" w:eastAsia="宋体" w:cs="宋体"/>
          <w:color w:val="auto"/>
          <w:sz w:val="24"/>
          <w:highlight w:val="none"/>
        </w:rPr>
        <w:t>份），招标人对合同内容进行审查，如发现与采购结果和投标承诺内容不一致的，予以纠正。</w:t>
      </w:r>
      <w:r>
        <w:rPr>
          <w:rFonts w:hint="eastAsia" w:ascii="宋体" w:hAnsi="宋体" w:eastAsia="宋体" w:cs="宋体"/>
          <w:b/>
          <w:bCs/>
          <w:color w:val="auto"/>
          <w:sz w:val="24"/>
          <w:highlight w:val="none"/>
          <w:u w:val="single"/>
          <w:shd w:val="pct10" w:color="auto" w:fill="FFFFFF"/>
        </w:rPr>
        <w:t>为营造更优质的营商环境，</w:t>
      </w:r>
      <w:bookmarkStart w:id="123" w:name="_Hlk59627623"/>
      <w:r>
        <w:rPr>
          <w:rFonts w:hint="eastAsia" w:ascii="宋体" w:hAnsi="宋体" w:eastAsia="宋体" w:cs="宋体"/>
          <w:b/>
          <w:bCs/>
          <w:color w:val="auto"/>
          <w:sz w:val="24"/>
          <w:highlight w:val="none"/>
          <w:u w:val="single"/>
          <w:shd w:val="pct10" w:color="auto" w:fill="FFFFFF"/>
        </w:rPr>
        <w:t>中标人可选择代理机构以邮寄方式向其寄达</w:t>
      </w:r>
      <w:bookmarkStart w:id="124" w:name="_Hlk59708805"/>
      <w:r>
        <w:rPr>
          <w:rFonts w:hint="eastAsia" w:ascii="宋体" w:hAnsi="宋体" w:eastAsia="宋体" w:cs="宋体"/>
          <w:b/>
          <w:bCs/>
          <w:color w:val="auto"/>
          <w:sz w:val="24"/>
          <w:highlight w:val="none"/>
          <w:u w:val="single"/>
          <w:shd w:val="pct10" w:color="auto" w:fill="FFFFFF"/>
        </w:rPr>
        <w:t>《采购合同》</w:t>
      </w:r>
      <w:bookmarkEnd w:id="124"/>
      <w:r>
        <w:rPr>
          <w:rFonts w:hint="eastAsia" w:ascii="宋体" w:hAnsi="宋体" w:eastAsia="宋体" w:cs="宋体"/>
          <w:b/>
          <w:bCs/>
          <w:color w:val="auto"/>
          <w:sz w:val="24"/>
          <w:highlight w:val="none"/>
          <w:u w:val="single"/>
          <w:shd w:val="pct10" w:color="auto" w:fill="FFFFFF"/>
        </w:rPr>
        <w:t>。</w:t>
      </w:r>
    </w:p>
    <w:bookmarkEnd w:id="123"/>
    <w:p w14:paraId="1F287831">
      <w:pPr>
        <w:spacing w:line="420" w:lineRule="exact"/>
        <w:ind w:firstLine="480" w:firstLineChars="200"/>
        <w:rPr>
          <w:rFonts w:hint="eastAsia" w:ascii="宋体" w:hAnsi="宋体" w:eastAsia="宋体" w:cs="宋体"/>
          <w:bCs/>
          <w:color w:val="auto"/>
          <w:sz w:val="24"/>
          <w:highlight w:val="none"/>
        </w:rPr>
      </w:pPr>
      <w:r>
        <w:rPr>
          <w:rFonts w:hint="eastAsia" w:ascii="宋体" w:hAnsi="宋体" w:eastAsia="宋体" w:cs="宋体"/>
          <w:color w:val="auto"/>
          <w:sz w:val="24"/>
          <w:highlight w:val="none"/>
        </w:rPr>
        <w:t>2.中标或者成交人拒绝与招标人签订合同的，招标人可以按照评审报告推荐的中标或者成交候选人名单排序，确定下一候选人为中标或者成交人，也可</w:t>
      </w:r>
      <w:r>
        <w:rPr>
          <w:rFonts w:hint="eastAsia" w:ascii="宋体" w:hAnsi="宋体" w:eastAsia="宋体" w:cs="宋体"/>
          <w:bCs/>
          <w:color w:val="auto"/>
          <w:sz w:val="24"/>
          <w:highlight w:val="none"/>
        </w:rPr>
        <w:t>以重新开展采购活动。拒绝签订采购合同的成交人不得参加对该项目重新开展的采购活动。</w:t>
      </w:r>
    </w:p>
    <w:p w14:paraId="60F751E0">
      <w:pPr>
        <w:spacing w:line="420" w:lineRule="exact"/>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（二）履约保证金</w:t>
      </w:r>
    </w:p>
    <w:p w14:paraId="5D6DF724">
      <w:pPr>
        <w:spacing w:line="420" w:lineRule="exact"/>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签订合同后，如中标人不按双方合同约定履约，则其履约保证金将予以扣罚，履约保证金不足以赔偿损失的，按实际损失赔偿。</w:t>
      </w:r>
    </w:p>
    <w:p w14:paraId="7BBB1B68">
      <w:pPr>
        <w:spacing w:line="420" w:lineRule="exact"/>
        <w:ind w:firstLine="480" w:firstLineChars="200"/>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 </w:t>
      </w:r>
      <w:bookmarkStart w:id="125" w:name="_Toc466534750"/>
    </w:p>
    <w:p w14:paraId="6A050E81">
      <w:pPr>
        <w:spacing w:before="120" w:beforeLines="50" w:after="120" w:afterLines="50" w:line="420" w:lineRule="exact"/>
        <w:jc w:val="center"/>
        <w:outlineLvl w:val="0"/>
        <w:rPr>
          <w:rFonts w:hint="eastAsia" w:ascii="宋体" w:hAnsi="宋体" w:eastAsia="宋体" w:cs="宋体"/>
          <w:b/>
          <w:color w:val="auto"/>
          <w:sz w:val="30"/>
          <w:szCs w:val="30"/>
          <w:highlight w:val="none"/>
        </w:rPr>
      </w:pPr>
      <w:r>
        <w:rPr>
          <w:rFonts w:hint="eastAsia" w:ascii="宋体" w:hAnsi="宋体" w:eastAsia="宋体" w:cs="宋体"/>
          <w:b/>
          <w:color w:val="auto"/>
          <w:sz w:val="24"/>
          <w:highlight w:val="none"/>
        </w:rPr>
        <w:br w:type="page"/>
      </w:r>
      <w:bookmarkStart w:id="126" w:name="_Toc25711"/>
      <w:r>
        <w:rPr>
          <w:rFonts w:hint="eastAsia" w:ascii="宋体" w:hAnsi="宋体" w:eastAsia="宋体" w:cs="宋体"/>
          <w:b/>
          <w:color w:val="auto"/>
          <w:sz w:val="30"/>
          <w:szCs w:val="30"/>
          <w:highlight w:val="none"/>
        </w:rPr>
        <w:t>第四章  评标办法</w:t>
      </w:r>
      <w:bookmarkEnd w:id="125"/>
      <w:bookmarkEnd w:id="126"/>
    </w:p>
    <w:p w14:paraId="05A602EC">
      <w:pPr>
        <w:snapToGrid w:val="0"/>
        <w:spacing w:before="156" w:beforeLines="50" w:after="156" w:afterLines="50" w:line="360" w:lineRule="auto"/>
        <w:ind w:firstLine="420"/>
        <w:rPr>
          <w:rFonts w:hint="eastAsia" w:ascii="宋体" w:hAnsi="宋体" w:eastAsia="宋体" w:cs="宋体"/>
          <w:color w:val="auto"/>
          <w:sz w:val="24"/>
          <w:highlight w:val="none"/>
        </w:rPr>
      </w:pPr>
      <w:r>
        <w:rPr>
          <w:rFonts w:hint="eastAsia" w:ascii="宋体" w:hAnsi="宋体" w:eastAsia="宋体" w:cs="宋体"/>
          <w:color w:val="auto"/>
          <w:sz w:val="24"/>
          <w:highlight w:val="none"/>
        </w:rPr>
        <w:t>为公正、公平、科学地选择成交供应商，</w:t>
      </w:r>
      <w:r>
        <w:rPr>
          <w:rFonts w:hint="eastAsia" w:ascii="宋体" w:hAnsi="宋体" w:eastAsia="宋体" w:cs="宋体"/>
          <w:color w:val="auto"/>
          <w:sz w:val="24"/>
          <w:highlight w:val="none"/>
          <w:lang w:val="en-US" w:eastAsia="zh-CN"/>
        </w:rPr>
        <w:t>参照</w:t>
      </w:r>
      <w:r>
        <w:rPr>
          <w:rFonts w:hint="eastAsia" w:ascii="宋体" w:hAnsi="宋体" w:eastAsia="宋体" w:cs="宋体"/>
          <w:color w:val="auto"/>
          <w:sz w:val="24"/>
          <w:highlight w:val="none"/>
        </w:rPr>
        <w:t>《中华人民共和国政府采购法》、《政府采购非招标采购方式管理办法》等有关法律法规的规定，并结合本项目的实际，制定本办法。</w:t>
      </w:r>
    </w:p>
    <w:p w14:paraId="2AB10CF9">
      <w:pPr>
        <w:snapToGrid w:val="0"/>
        <w:spacing w:before="156" w:beforeLines="50" w:after="156" w:afterLines="50" w:line="360" w:lineRule="auto"/>
        <w:ind w:firstLine="420"/>
        <w:rPr>
          <w:rFonts w:hint="eastAsia" w:ascii="宋体" w:hAnsi="宋体" w:eastAsia="宋体" w:cs="宋体"/>
          <w:bCs/>
          <w:color w:val="auto"/>
          <w:sz w:val="24"/>
          <w:highlight w:val="none"/>
        </w:rPr>
      </w:pPr>
      <w:r>
        <w:rPr>
          <w:rFonts w:hint="eastAsia" w:ascii="宋体" w:hAnsi="宋体" w:eastAsia="宋体" w:cs="宋体"/>
          <w:color w:val="auto"/>
          <w:sz w:val="24"/>
          <w:highlight w:val="none"/>
        </w:rPr>
        <w:t>本办法适用于</w:t>
      </w:r>
      <w:r>
        <w:rPr>
          <w:rFonts w:hint="eastAsia" w:ascii="宋体" w:hAnsi="宋体" w:eastAsia="宋体" w:cs="宋体"/>
          <w:b/>
          <w:color w:val="auto"/>
          <w:sz w:val="24"/>
          <w:highlight w:val="none"/>
        </w:rPr>
        <w:t>本项目</w:t>
      </w:r>
      <w:r>
        <w:rPr>
          <w:rFonts w:hint="eastAsia" w:ascii="宋体" w:hAnsi="宋体" w:eastAsia="宋体" w:cs="宋体"/>
          <w:bCs/>
          <w:color w:val="auto"/>
          <w:sz w:val="24"/>
          <w:highlight w:val="none"/>
        </w:rPr>
        <w:t>的评标。</w:t>
      </w:r>
    </w:p>
    <w:p w14:paraId="31DCDEF7">
      <w:pPr>
        <w:ind w:firstLine="482" w:firstLineChars="200"/>
        <w:rPr>
          <w:rFonts w:hint="eastAsia" w:ascii="宋体" w:hAnsi="宋体" w:eastAsia="宋体" w:cs="宋体"/>
          <w:color w:val="auto"/>
          <w:sz w:val="24"/>
          <w:highlight w:val="none"/>
        </w:rPr>
      </w:pPr>
      <w:bookmarkStart w:id="127" w:name="_Toc38615121"/>
      <w:r>
        <w:rPr>
          <w:rFonts w:hint="eastAsia" w:ascii="宋体" w:hAnsi="宋体" w:eastAsia="宋体" w:cs="宋体"/>
          <w:b/>
          <w:bCs/>
          <w:color w:val="auto"/>
          <w:sz w:val="24"/>
          <w:highlight w:val="none"/>
        </w:rPr>
        <w:t>一、总则</w:t>
      </w:r>
      <w:bookmarkEnd w:id="127"/>
    </w:p>
    <w:p w14:paraId="0A1E26DD">
      <w:pPr>
        <w:snapToGrid w:val="0"/>
        <w:spacing w:before="156" w:beforeLines="50" w:after="156" w:afterLines="50" w:line="360" w:lineRule="auto"/>
        <w:ind w:firstLine="480" w:firstLineChars="200"/>
        <w:rPr>
          <w:rFonts w:hint="eastAsia" w:ascii="宋体" w:hAnsi="宋体" w:eastAsia="宋体" w:cs="宋体"/>
          <w:color w:val="auto"/>
          <w:sz w:val="24"/>
          <w:highlight w:val="none"/>
        </w:rPr>
      </w:pPr>
      <w:bookmarkStart w:id="128" w:name="_Toc38615122"/>
      <w:r>
        <w:rPr>
          <w:rFonts w:hint="eastAsia" w:ascii="宋体" w:hAnsi="宋体" w:eastAsia="宋体" w:cs="宋体"/>
          <w:color w:val="auto"/>
          <w:sz w:val="24"/>
          <w:highlight w:val="none"/>
        </w:rPr>
        <w:t>本次评标采用符合采购需求、质量和服务相等且最后评审报价最低的原则确定成交</w:t>
      </w:r>
      <w:bookmarkStart w:id="129" w:name="_Hlk59993280"/>
      <w:r>
        <w:rPr>
          <w:rFonts w:hint="eastAsia" w:ascii="宋体" w:hAnsi="宋体" w:eastAsia="宋体" w:cs="宋体"/>
          <w:color w:val="auto"/>
          <w:sz w:val="24"/>
          <w:highlight w:val="none"/>
        </w:rPr>
        <w:t>供应商，最后评审报价最低者为第一成交候选人，次低者为第二成交候选人。若报价相同时则抽签决定。</w:t>
      </w:r>
    </w:p>
    <w:bookmarkEnd w:id="129"/>
    <w:p w14:paraId="7568812C">
      <w:pPr>
        <w:ind w:firstLine="482" w:firstLineChars="200"/>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二、供应商义务</w:t>
      </w:r>
      <w:bookmarkEnd w:id="128"/>
    </w:p>
    <w:p w14:paraId="54015DCB">
      <w:pPr>
        <w:snapToGrid w:val="0"/>
        <w:spacing w:before="156" w:beforeLines="50" w:after="156" w:afterLines="50"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评标期间，供应商应随时随地答复谈判小组的询标，解答包括有关的商务、技术问题等。</w:t>
      </w:r>
    </w:p>
    <w:p w14:paraId="03875400">
      <w:pPr>
        <w:jc w:val="center"/>
        <w:rPr>
          <w:rFonts w:hint="eastAsia" w:ascii="宋体" w:hAnsi="宋体" w:eastAsia="宋体" w:cs="宋体"/>
          <w:color w:val="auto"/>
          <w:sz w:val="30"/>
          <w:szCs w:val="30"/>
          <w:highlight w:val="none"/>
        </w:rPr>
      </w:pPr>
      <w:r>
        <w:rPr>
          <w:rFonts w:hint="eastAsia" w:ascii="宋体" w:hAnsi="宋体" w:eastAsia="宋体" w:cs="宋体"/>
          <w:b/>
          <w:color w:val="auto"/>
          <w:sz w:val="30"/>
          <w:szCs w:val="30"/>
          <w:highlight w:val="none"/>
        </w:rPr>
        <w:br w:type="page"/>
      </w:r>
      <w:bookmarkStart w:id="130" w:name="_Toc6015"/>
    </w:p>
    <w:p w14:paraId="3AAAC530">
      <w:pPr>
        <w:pStyle w:val="4"/>
        <w:keepNext/>
        <w:keepLines/>
        <w:pageBreakBefore w:val="0"/>
        <w:widowControl w:val="0"/>
        <w:numPr>
          <w:ilvl w:val="0"/>
          <w:numId w:val="6"/>
        </w:numPr>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 合同主要条款</w:t>
      </w:r>
      <w:bookmarkEnd w:id="130"/>
      <w:bookmarkStart w:id="131" w:name="_Toc251160747"/>
    </w:p>
    <w:p w14:paraId="094AB242">
      <w:pPr>
        <w:numPr>
          <w:ilvl w:val="0"/>
          <w:numId w:val="0"/>
        </w:numPr>
        <w:jc w:val="center"/>
        <w:rPr>
          <w:rFonts w:hint="eastAsia"/>
          <w:color w:val="auto"/>
          <w:highlight w:val="none"/>
        </w:rPr>
      </w:pPr>
      <w:r>
        <w:rPr>
          <w:rFonts w:hint="eastAsia" w:hAnsi="宋体"/>
          <w:color w:val="auto"/>
          <w:sz w:val="28"/>
          <w:szCs w:val="28"/>
          <w:highlight w:val="none"/>
          <w:shd w:val="pct10" w:color="auto" w:fill="FFFFFF"/>
        </w:rPr>
        <w:t>（此稿为合同样本，最终定稿待双方协商后商定）</w:t>
      </w:r>
    </w:p>
    <w:bookmarkEnd w:id="131"/>
    <w:p w14:paraId="49D359BB">
      <w:pPr>
        <w:pStyle w:val="30"/>
        <w:snapToGrid w:val="0"/>
        <w:spacing w:beforeLines="0" w:afterLines="0" w:line="480" w:lineRule="exact"/>
        <w:rPr>
          <w:rFonts w:hAnsi="宋体"/>
          <w:color w:val="auto"/>
          <w:highlight w:val="none"/>
        </w:rPr>
      </w:pPr>
      <w:bookmarkStart w:id="132" w:name="_Hlk53062102"/>
      <w:bookmarkStart w:id="133" w:name="_Toc17436"/>
      <w:bookmarkStart w:id="134" w:name="_Toc466534751"/>
      <w:r>
        <w:rPr>
          <w:rFonts w:hint="eastAsia" w:hAnsi="宋体"/>
          <w:color w:val="auto"/>
          <w:highlight w:val="none"/>
        </w:rPr>
        <w:t xml:space="preserve">项目名称：                                 </w:t>
      </w:r>
      <w:r>
        <w:rPr>
          <w:rFonts w:hAnsi="宋体"/>
          <w:color w:val="auto"/>
          <w:highlight w:val="none"/>
        </w:rPr>
        <w:t xml:space="preserve"> </w:t>
      </w:r>
      <w:r>
        <w:rPr>
          <w:rFonts w:hint="eastAsia" w:hAnsi="宋体"/>
          <w:color w:val="auto"/>
          <w:highlight w:val="none"/>
          <w:lang w:val="en-US" w:eastAsia="zh-CN"/>
        </w:rPr>
        <w:t xml:space="preserve">  </w:t>
      </w:r>
      <w:r>
        <w:rPr>
          <w:rFonts w:hint="eastAsia" w:hAnsi="宋体"/>
          <w:color w:val="auto"/>
          <w:highlight w:val="none"/>
        </w:rPr>
        <w:t>项目编号：</w:t>
      </w:r>
    </w:p>
    <w:p w14:paraId="7D608ECE">
      <w:pPr>
        <w:pStyle w:val="30"/>
        <w:snapToGrid w:val="0"/>
        <w:spacing w:beforeLines="0" w:afterLines="0" w:line="480" w:lineRule="exact"/>
        <w:rPr>
          <w:rFonts w:hint="eastAsia" w:hAnsi="宋体"/>
          <w:color w:val="auto"/>
          <w:highlight w:val="none"/>
        </w:rPr>
      </w:pPr>
      <w:r>
        <w:rPr>
          <w:rFonts w:hint="eastAsia" w:hAnsi="宋体"/>
          <w:color w:val="auto"/>
          <w:highlight w:val="none"/>
        </w:rPr>
        <w:t>甲方：（</w:t>
      </w:r>
      <w:r>
        <w:rPr>
          <w:rFonts w:hint="eastAsia" w:hAnsi="宋体"/>
          <w:color w:val="auto"/>
          <w:highlight w:val="none"/>
          <w:lang w:val="en-US" w:eastAsia="zh-CN"/>
        </w:rPr>
        <w:t>招标人</w:t>
      </w:r>
      <w:r>
        <w:rPr>
          <w:rFonts w:hint="eastAsia" w:hAnsi="宋体"/>
          <w:color w:val="auto"/>
          <w:highlight w:val="none"/>
        </w:rPr>
        <w:t xml:space="preserve">）                           </w:t>
      </w:r>
    </w:p>
    <w:p w14:paraId="02FDA150">
      <w:pPr>
        <w:pStyle w:val="30"/>
        <w:snapToGrid w:val="0"/>
        <w:spacing w:beforeLines="0" w:afterLines="0" w:line="480" w:lineRule="exact"/>
        <w:rPr>
          <w:rFonts w:hAnsi="宋体"/>
          <w:color w:val="auto"/>
          <w:highlight w:val="none"/>
        </w:rPr>
      </w:pPr>
      <w:r>
        <w:rPr>
          <w:rFonts w:hint="eastAsia" w:hAnsi="宋体"/>
          <w:color w:val="auto"/>
          <w:highlight w:val="none"/>
        </w:rPr>
        <w:t>乙方：（中标人）</w:t>
      </w:r>
    </w:p>
    <w:bookmarkEnd w:id="132"/>
    <w:p w14:paraId="5A32E64F">
      <w:pPr>
        <w:widowControl w:val="0"/>
        <w:snapToGrid w:val="0"/>
        <w:spacing w:before="120" w:beforeLines="50" w:after="120" w:afterLines="50" w:line="480" w:lineRule="exact"/>
        <w:ind w:firstLine="420" w:firstLineChars="200"/>
        <w:jc w:val="both"/>
        <w:rPr>
          <w:rFonts w:hint="eastAsia" w:ascii="宋体" w:hAnsi="宋体" w:eastAsia="宋体" w:cs="宋体"/>
          <w:b/>
          <w:color w:val="auto"/>
          <w:kern w:val="0"/>
          <w:sz w:val="21"/>
          <w:szCs w:val="21"/>
          <w:shd w:val="clear" w:color="auto" w:fill="auto"/>
          <w:lang w:val="en-US" w:eastAsia="zh-CN" w:bidi="ar-SA"/>
        </w:rPr>
      </w:pPr>
      <w:r>
        <w:rPr>
          <w:rFonts w:hint="eastAsia" w:ascii="宋体" w:hAnsi="宋体" w:eastAsia="宋体" w:cs="宋体"/>
          <w:color w:val="auto"/>
          <w:kern w:val="0"/>
          <w:sz w:val="21"/>
          <w:szCs w:val="21"/>
          <w:shd w:val="clear" w:color="auto" w:fill="auto"/>
          <w:lang w:val="en-US" w:eastAsia="zh-CN" w:bidi="ar-SA"/>
        </w:rPr>
        <w:t>甲、乙双方根据《中华人民共和国民法典》和_________________项目招标文件的相关规定，双方达成一致签署本合同。</w:t>
      </w:r>
    </w:p>
    <w:p w14:paraId="229A4F34">
      <w:pPr>
        <w:widowControl w:val="0"/>
        <w:snapToGrid w:val="0"/>
        <w:spacing w:line="480" w:lineRule="exact"/>
        <w:jc w:val="both"/>
        <w:rPr>
          <w:rFonts w:hint="eastAsia" w:ascii="宋体" w:hAnsi="宋体" w:eastAsia="宋体" w:cs="宋体"/>
          <w:b/>
          <w:color w:val="auto"/>
          <w:kern w:val="0"/>
          <w:sz w:val="21"/>
          <w:szCs w:val="21"/>
          <w:shd w:val="clear" w:color="auto" w:fill="auto"/>
          <w:lang w:val="en-US" w:eastAsia="zh-CN" w:bidi="ar-SA"/>
        </w:rPr>
      </w:pPr>
      <w:r>
        <w:rPr>
          <w:rFonts w:hint="eastAsia" w:ascii="宋体" w:hAnsi="宋体" w:eastAsia="宋体" w:cs="宋体"/>
          <w:b/>
          <w:color w:val="auto"/>
          <w:kern w:val="0"/>
          <w:sz w:val="21"/>
          <w:szCs w:val="21"/>
          <w:shd w:val="clear" w:color="auto" w:fill="auto"/>
          <w:lang w:val="en-US" w:eastAsia="zh-CN" w:bidi="ar-SA"/>
        </w:rPr>
        <w:t>一、货物内容</w:t>
      </w:r>
    </w:p>
    <w:p w14:paraId="7BB8A823">
      <w:pPr>
        <w:widowControl w:val="0"/>
        <w:snapToGrid w:val="0"/>
        <w:spacing w:line="480" w:lineRule="exact"/>
        <w:jc w:val="both"/>
        <w:rPr>
          <w:rFonts w:hint="eastAsia" w:ascii="宋体" w:hAnsi="宋体" w:eastAsia="宋体" w:cs="宋体"/>
          <w:b/>
          <w:color w:val="auto"/>
          <w:kern w:val="0"/>
          <w:sz w:val="21"/>
          <w:szCs w:val="21"/>
          <w:shd w:val="clear" w:color="auto" w:fill="auto"/>
          <w:lang w:val="en-US" w:eastAsia="zh-CN" w:bidi="ar-SA"/>
        </w:rPr>
      </w:pPr>
      <w:r>
        <w:rPr>
          <w:rFonts w:hint="eastAsia" w:ascii="宋体" w:hAnsi="宋体" w:eastAsia="宋体" w:cs="宋体"/>
          <w:b/>
          <w:color w:val="auto"/>
          <w:kern w:val="0"/>
          <w:sz w:val="21"/>
          <w:szCs w:val="21"/>
          <w:shd w:val="clear" w:color="auto" w:fill="auto"/>
          <w:lang w:val="en-US" w:eastAsia="zh-CN" w:bidi="ar-SA"/>
        </w:rPr>
        <w:t>详见附件明细表</w:t>
      </w:r>
    </w:p>
    <w:p w14:paraId="5ABC5DC2">
      <w:pPr>
        <w:widowControl w:val="0"/>
        <w:snapToGrid w:val="0"/>
        <w:spacing w:line="480" w:lineRule="exact"/>
        <w:jc w:val="both"/>
        <w:rPr>
          <w:rFonts w:hint="eastAsia" w:ascii="宋体" w:hAnsi="宋体" w:eastAsia="宋体" w:cs="宋体"/>
          <w:b/>
          <w:color w:val="auto"/>
          <w:kern w:val="0"/>
          <w:sz w:val="21"/>
          <w:szCs w:val="21"/>
          <w:shd w:val="clear" w:color="auto" w:fill="auto"/>
          <w:lang w:val="en-US" w:eastAsia="zh-CN" w:bidi="ar-SA"/>
        </w:rPr>
      </w:pPr>
      <w:r>
        <w:rPr>
          <w:rFonts w:hint="eastAsia" w:ascii="宋体" w:hAnsi="宋体" w:eastAsia="宋体" w:cs="宋体"/>
          <w:b/>
          <w:color w:val="auto"/>
          <w:kern w:val="0"/>
          <w:sz w:val="21"/>
          <w:szCs w:val="21"/>
          <w:shd w:val="clear" w:color="auto" w:fill="auto"/>
          <w:lang w:val="en-US" w:eastAsia="zh-CN" w:bidi="ar-SA"/>
        </w:rPr>
        <w:t>二、合同金额</w:t>
      </w:r>
    </w:p>
    <w:p w14:paraId="5092CC8A">
      <w:pPr>
        <w:widowControl w:val="0"/>
        <w:snapToGrid w:val="0"/>
        <w:spacing w:line="480" w:lineRule="exact"/>
        <w:jc w:val="both"/>
        <w:rPr>
          <w:rFonts w:hint="eastAsia" w:ascii="宋体" w:hAnsi="宋体" w:eastAsia="宋体" w:cs="宋体"/>
          <w:b/>
          <w:color w:val="auto"/>
          <w:kern w:val="0"/>
          <w:sz w:val="21"/>
          <w:szCs w:val="21"/>
          <w:shd w:val="clear" w:color="auto" w:fill="auto"/>
          <w:lang w:val="en-US" w:eastAsia="zh-CN" w:bidi="ar-SA"/>
        </w:rPr>
      </w:pPr>
      <w:r>
        <w:rPr>
          <w:rFonts w:hint="eastAsia" w:ascii="宋体" w:hAnsi="宋体" w:eastAsia="宋体" w:cs="宋体"/>
          <w:color w:val="auto"/>
          <w:kern w:val="0"/>
          <w:sz w:val="21"/>
          <w:szCs w:val="21"/>
          <w:shd w:val="clear" w:color="auto" w:fill="auto"/>
          <w:lang w:val="en-US" w:eastAsia="zh-CN" w:bidi="ar-SA"/>
        </w:rPr>
        <w:t>本合同</w:t>
      </w:r>
      <w:r>
        <w:rPr>
          <w:rFonts w:ascii="宋体" w:hAnsi="宋体" w:eastAsia="宋体" w:cs="宋体"/>
          <w:color w:val="auto"/>
          <w:kern w:val="0"/>
          <w:sz w:val="21"/>
          <w:szCs w:val="21"/>
          <w:shd w:val="clear" w:color="auto" w:fill="auto"/>
          <w:lang w:val="en-US" w:eastAsia="zh-CN" w:bidi="ar-SA"/>
        </w:rPr>
        <w:t>含税</w:t>
      </w:r>
      <w:r>
        <w:rPr>
          <w:rFonts w:hint="eastAsia" w:ascii="宋体" w:hAnsi="宋体" w:eastAsia="宋体" w:cs="宋体"/>
          <w:color w:val="auto"/>
          <w:kern w:val="0"/>
          <w:sz w:val="21"/>
          <w:szCs w:val="21"/>
          <w:shd w:val="clear" w:color="auto" w:fill="auto"/>
          <w:lang w:val="en-US" w:eastAsia="zh-CN" w:bidi="ar-SA"/>
        </w:rPr>
        <w:t>金额为（大写）：_____________________________元（￥_____元）人民币。</w:t>
      </w:r>
      <w:r>
        <w:rPr>
          <w:rFonts w:ascii="宋体" w:hAnsi="宋体" w:eastAsia="宋体" w:cs="宋体"/>
          <w:color w:val="auto"/>
          <w:kern w:val="0"/>
          <w:sz w:val="21"/>
          <w:szCs w:val="21"/>
          <w:shd w:val="clear" w:color="auto" w:fill="auto"/>
          <w:lang w:val="en-US" w:eastAsia="zh-CN" w:bidi="ar-SA"/>
        </w:rPr>
        <w:t>税率为</w:t>
      </w:r>
      <w:r>
        <w:rPr>
          <w:rFonts w:ascii="宋体" w:hAnsi="宋体" w:eastAsia="宋体" w:cs="宋体"/>
          <w:color w:val="auto"/>
          <w:kern w:val="0"/>
          <w:sz w:val="21"/>
          <w:szCs w:val="21"/>
          <w:u w:val="single"/>
          <w:shd w:val="clear" w:color="auto" w:fill="auto"/>
          <w:lang w:val="en-US" w:eastAsia="zh-CN" w:bidi="ar-SA"/>
        </w:rPr>
        <w:t xml:space="preserve">  </w:t>
      </w:r>
      <w:r>
        <w:rPr>
          <w:rFonts w:ascii="宋体" w:hAnsi="宋体" w:eastAsia="宋体" w:cs="宋体"/>
          <w:color w:val="auto"/>
          <w:kern w:val="0"/>
          <w:sz w:val="21"/>
          <w:szCs w:val="21"/>
          <w:shd w:val="clear" w:color="auto" w:fill="auto"/>
          <w:lang w:val="en-US" w:eastAsia="zh-CN" w:bidi="ar-SA"/>
        </w:rPr>
        <w:t xml:space="preserve"> ，为 </w:t>
      </w:r>
      <w:r>
        <w:rPr>
          <w:rFonts w:ascii="宋体" w:hAnsi="宋体" w:eastAsia="宋体" w:cs="宋体"/>
          <w:color w:val="auto"/>
          <w:kern w:val="0"/>
          <w:sz w:val="21"/>
          <w:szCs w:val="21"/>
          <w:u w:val="single"/>
          <w:shd w:val="clear" w:color="auto" w:fill="auto"/>
          <w:lang w:val="en-US" w:eastAsia="zh-CN" w:bidi="ar-SA"/>
        </w:rPr>
        <w:t xml:space="preserve">   </w:t>
      </w:r>
      <w:r>
        <w:rPr>
          <w:rFonts w:ascii="宋体" w:hAnsi="宋体" w:eastAsia="宋体" w:cs="宋体"/>
          <w:color w:val="auto"/>
          <w:kern w:val="0"/>
          <w:sz w:val="21"/>
          <w:szCs w:val="21"/>
          <w:shd w:val="clear" w:color="auto" w:fill="auto"/>
          <w:lang w:val="en-US" w:eastAsia="zh-CN" w:bidi="ar-SA"/>
        </w:rPr>
        <w:t>元，不含税金额为</w:t>
      </w:r>
      <w:r>
        <w:rPr>
          <w:rFonts w:ascii="宋体" w:hAnsi="宋体" w:eastAsia="宋体" w:cs="宋体"/>
          <w:color w:val="auto"/>
          <w:kern w:val="0"/>
          <w:sz w:val="21"/>
          <w:szCs w:val="21"/>
          <w:u w:val="single"/>
          <w:shd w:val="clear" w:color="auto" w:fill="auto"/>
          <w:lang w:val="en-US" w:eastAsia="zh-CN" w:bidi="ar-SA"/>
        </w:rPr>
        <w:t xml:space="preserve">     </w:t>
      </w:r>
      <w:r>
        <w:rPr>
          <w:rFonts w:ascii="宋体" w:hAnsi="宋体" w:eastAsia="宋体" w:cs="宋体"/>
          <w:color w:val="auto"/>
          <w:kern w:val="0"/>
          <w:sz w:val="21"/>
          <w:szCs w:val="21"/>
          <w:shd w:val="clear" w:color="auto" w:fill="auto"/>
          <w:lang w:val="en-US" w:eastAsia="zh-CN" w:bidi="ar-SA"/>
        </w:rPr>
        <w:t>元。</w:t>
      </w:r>
    </w:p>
    <w:p w14:paraId="5DB0D1A8">
      <w:pPr>
        <w:widowControl w:val="0"/>
        <w:adjustRightInd w:val="0"/>
        <w:snapToGrid w:val="0"/>
        <w:spacing w:line="360" w:lineRule="auto"/>
        <w:ind w:firstLine="422" w:firstLineChars="200"/>
        <w:jc w:val="both"/>
        <w:rPr>
          <w:rFonts w:hint="eastAsia" w:ascii="宋体" w:hAnsi="宋体" w:eastAsia="宋体" w:cs="Times New Roman"/>
          <w:b/>
          <w:color w:val="auto"/>
          <w:kern w:val="0"/>
          <w:sz w:val="21"/>
          <w:szCs w:val="21"/>
          <w:u w:val="single"/>
          <w:shd w:val="clear" w:color="auto" w:fill="auto"/>
          <w:lang w:val="en-US" w:eastAsia="zh-CN" w:bidi="ar-SA"/>
        </w:rPr>
      </w:pPr>
      <w:r>
        <w:rPr>
          <w:rFonts w:hint="eastAsia" w:ascii="宋体" w:hAnsi="宋体" w:eastAsia="宋体" w:cs="Times New Roman"/>
          <w:b/>
          <w:color w:val="auto"/>
          <w:kern w:val="0"/>
          <w:sz w:val="21"/>
          <w:szCs w:val="21"/>
          <w:u w:val="single"/>
          <w:shd w:val="clear" w:color="auto" w:fill="auto"/>
          <w:lang w:val="en-US" w:eastAsia="zh-CN" w:bidi="ar-SA"/>
        </w:rPr>
        <w:t>本合同价款采用固定全费用单价确定。</w:t>
      </w:r>
    </w:p>
    <w:p w14:paraId="302E5D06">
      <w:pPr>
        <w:widowControl w:val="0"/>
        <w:adjustRightInd w:val="0"/>
        <w:snapToGrid w:val="0"/>
        <w:spacing w:line="360" w:lineRule="auto"/>
        <w:ind w:firstLine="422" w:firstLineChars="200"/>
        <w:jc w:val="both"/>
        <w:rPr>
          <w:rFonts w:hint="eastAsia" w:ascii="宋体" w:hAnsi="宋体" w:eastAsia="宋体" w:cs="Times New Roman"/>
          <w:b/>
          <w:color w:val="auto"/>
          <w:kern w:val="0"/>
          <w:sz w:val="21"/>
          <w:szCs w:val="21"/>
          <w:u w:val="single"/>
          <w:shd w:val="clear" w:color="auto" w:fill="auto"/>
          <w:lang w:val="en-US" w:eastAsia="zh-CN" w:bidi="ar-SA"/>
        </w:rPr>
      </w:pPr>
      <w:r>
        <w:rPr>
          <w:rFonts w:hint="eastAsia" w:ascii="宋体" w:hAnsi="宋体" w:eastAsia="宋体" w:cs="Times New Roman"/>
          <w:b/>
          <w:color w:val="auto"/>
          <w:kern w:val="0"/>
          <w:sz w:val="21"/>
          <w:szCs w:val="21"/>
          <w:u w:val="single"/>
          <w:shd w:val="clear" w:color="auto" w:fill="auto"/>
          <w:lang w:val="en-US" w:eastAsia="zh-CN" w:bidi="ar-SA"/>
        </w:rPr>
        <w:t>本工程竣工结算价的计算方式为：全费用单价包死，数量按实结算（清单中未列出，但实际所产生的相关费用，由投标人在报价时自行考虑，不另外增加工程款）。</w:t>
      </w:r>
    </w:p>
    <w:p w14:paraId="67B98EA2">
      <w:pPr>
        <w:widowControl w:val="0"/>
        <w:adjustRightInd w:val="0"/>
        <w:snapToGrid w:val="0"/>
        <w:spacing w:line="360" w:lineRule="auto"/>
        <w:ind w:firstLine="422" w:firstLineChars="200"/>
        <w:jc w:val="both"/>
        <w:rPr>
          <w:rFonts w:hint="eastAsia" w:ascii="宋体" w:hAnsi="宋体" w:eastAsia="宋体" w:cs="Times New Roman"/>
          <w:b/>
          <w:color w:val="auto"/>
          <w:kern w:val="0"/>
          <w:sz w:val="21"/>
          <w:szCs w:val="21"/>
          <w:u w:val="single"/>
          <w:shd w:val="clear" w:color="auto" w:fill="auto"/>
          <w:lang w:val="en-US" w:eastAsia="zh-CN" w:bidi="ar-SA"/>
        </w:rPr>
      </w:pPr>
      <w:r>
        <w:rPr>
          <w:rFonts w:hint="eastAsia" w:ascii="宋体" w:hAnsi="宋体" w:eastAsia="宋体" w:cs="Times New Roman"/>
          <w:b/>
          <w:color w:val="auto"/>
          <w:kern w:val="0"/>
          <w:sz w:val="21"/>
          <w:szCs w:val="21"/>
          <w:u w:val="single"/>
          <w:shd w:val="clear" w:color="auto" w:fill="auto"/>
          <w:lang w:val="en-US" w:eastAsia="zh-CN" w:bidi="ar-SA"/>
        </w:rPr>
        <w:t>全费用单价包含人工、制造、材料、设备、运输、装卸、安装、二次搬运、产品保护、水电费、调试、措施费、综合管理、修复安装时被破坏的建筑和装修、孔洞修补、售后服务、保险、规费、利润、税金、风险费及其他工程费等一切费用，为完成本项目可能出现的其他费用，</w:t>
      </w:r>
    </w:p>
    <w:p w14:paraId="5C261117">
      <w:pPr>
        <w:widowControl w:val="0"/>
        <w:snapToGrid w:val="0"/>
        <w:spacing w:line="480" w:lineRule="exact"/>
        <w:jc w:val="both"/>
        <w:rPr>
          <w:rFonts w:hint="eastAsia" w:ascii="宋体" w:hAnsi="宋体" w:eastAsia="宋体" w:cs="宋体"/>
          <w:b/>
          <w:color w:val="auto"/>
          <w:kern w:val="0"/>
          <w:sz w:val="21"/>
          <w:szCs w:val="21"/>
          <w:shd w:val="clear" w:color="auto" w:fill="auto"/>
          <w:lang w:val="en-US" w:eastAsia="zh-CN" w:bidi="ar-SA"/>
        </w:rPr>
      </w:pPr>
      <w:r>
        <w:rPr>
          <w:rFonts w:hint="eastAsia" w:ascii="宋体" w:hAnsi="宋体" w:eastAsia="宋体" w:cs="宋体"/>
          <w:b/>
          <w:color w:val="auto"/>
          <w:kern w:val="0"/>
          <w:sz w:val="21"/>
          <w:szCs w:val="21"/>
          <w:shd w:val="clear" w:color="auto" w:fill="auto"/>
          <w:lang w:val="en-US" w:eastAsia="zh-CN" w:bidi="ar-SA"/>
        </w:rPr>
        <w:t>三、技术资料</w:t>
      </w:r>
    </w:p>
    <w:p w14:paraId="21013D89">
      <w:pPr>
        <w:widowControl w:val="0"/>
        <w:snapToGrid w:val="0"/>
        <w:spacing w:line="480" w:lineRule="exact"/>
        <w:ind w:left="359" w:hanging="359" w:hangingChars="171"/>
        <w:jc w:val="both"/>
        <w:rPr>
          <w:rFonts w:hint="eastAsia" w:ascii="宋体" w:hAnsi="宋体" w:eastAsia="宋体" w:cs="宋体"/>
          <w:color w:val="auto"/>
          <w:kern w:val="0"/>
          <w:sz w:val="21"/>
          <w:szCs w:val="21"/>
          <w:shd w:val="clear" w:color="auto" w:fill="auto"/>
          <w:lang w:val="en-US" w:eastAsia="zh-CN" w:bidi="ar-SA"/>
        </w:rPr>
      </w:pPr>
      <w:r>
        <w:rPr>
          <w:rFonts w:hint="eastAsia" w:ascii="宋体" w:hAnsi="宋体" w:eastAsia="宋体" w:cs="宋体"/>
          <w:color w:val="auto"/>
          <w:kern w:val="0"/>
          <w:sz w:val="21"/>
          <w:szCs w:val="21"/>
          <w:shd w:val="clear" w:color="auto" w:fill="auto"/>
          <w:lang w:val="en-US" w:eastAsia="zh-CN" w:bidi="ar-SA"/>
        </w:rPr>
        <w:t>1、乙方应在项目验收前7个工作日向甲方提供完整的与货物使用有关的技术资料，，包括但不限于产品合格证、出厂检测报告、操作使用手册、维保手册、系统调试报告、验收所需的全部报验资料各一式三份。</w:t>
      </w:r>
    </w:p>
    <w:p w14:paraId="7A927A16">
      <w:pPr>
        <w:widowControl w:val="0"/>
        <w:snapToGrid w:val="0"/>
        <w:spacing w:line="480" w:lineRule="exact"/>
        <w:jc w:val="both"/>
        <w:rPr>
          <w:rFonts w:hint="eastAsia" w:ascii="宋体" w:hAnsi="宋体" w:eastAsia="宋体" w:cs="宋体"/>
          <w:color w:val="auto"/>
          <w:kern w:val="0"/>
          <w:sz w:val="21"/>
          <w:szCs w:val="21"/>
          <w:shd w:val="clear" w:color="auto" w:fill="auto"/>
          <w:lang w:val="en-US" w:eastAsia="zh-CN" w:bidi="ar-SA"/>
        </w:rPr>
      </w:pPr>
      <w:r>
        <w:rPr>
          <w:rFonts w:hint="eastAsia" w:ascii="宋体" w:hAnsi="宋体" w:eastAsia="宋体" w:cs="宋体"/>
          <w:color w:val="auto"/>
          <w:kern w:val="0"/>
          <w:sz w:val="21"/>
          <w:szCs w:val="21"/>
          <w:shd w:val="clear" w:color="auto" w:fill="auto"/>
          <w:lang w:val="en-US" w:eastAsia="zh-CN" w:bidi="ar-SA"/>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乙方的保密义务持续至本合同终止后5年，乙方不得将前述资料用于本合同履行以外的任何用途</w:t>
      </w:r>
      <w:r>
        <w:rPr>
          <w:rFonts w:hint="eastAsia" w:ascii="宋体" w:hAnsi="宋体" w:cs="宋体"/>
          <w:color w:val="auto"/>
          <w:kern w:val="0"/>
          <w:sz w:val="21"/>
          <w:szCs w:val="21"/>
          <w:shd w:val="clear" w:color="auto" w:fill="auto"/>
          <w:lang w:val="en-US" w:eastAsia="zh-CN" w:bidi="ar-SA"/>
        </w:rPr>
        <w:t>。</w:t>
      </w:r>
    </w:p>
    <w:p w14:paraId="00F68A10">
      <w:pPr>
        <w:widowControl w:val="0"/>
        <w:snapToGrid w:val="0"/>
        <w:spacing w:line="480" w:lineRule="exact"/>
        <w:ind w:left="359" w:hanging="361" w:hangingChars="171"/>
        <w:jc w:val="both"/>
        <w:rPr>
          <w:rFonts w:hint="eastAsia" w:ascii="宋体" w:hAnsi="宋体" w:eastAsia="宋体" w:cs="宋体"/>
          <w:b/>
          <w:color w:val="auto"/>
          <w:kern w:val="0"/>
          <w:sz w:val="21"/>
          <w:szCs w:val="21"/>
          <w:shd w:val="clear" w:color="auto" w:fill="auto"/>
          <w:lang w:val="en-US" w:eastAsia="zh-CN" w:bidi="ar-SA"/>
        </w:rPr>
      </w:pPr>
      <w:r>
        <w:rPr>
          <w:rFonts w:hint="eastAsia" w:ascii="宋体" w:hAnsi="宋体" w:eastAsia="宋体" w:cs="宋体"/>
          <w:b/>
          <w:color w:val="auto"/>
          <w:kern w:val="0"/>
          <w:sz w:val="21"/>
          <w:szCs w:val="21"/>
          <w:shd w:val="clear" w:color="auto" w:fill="auto"/>
          <w:lang w:val="en-US" w:eastAsia="zh-CN" w:bidi="ar-SA"/>
        </w:rPr>
        <w:t>四、知识产权</w:t>
      </w:r>
    </w:p>
    <w:p w14:paraId="5DE39281">
      <w:pPr>
        <w:widowControl w:val="0"/>
        <w:snapToGrid w:val="0"/>
        <w:spacing w:line="480" w:lineRule="exact"/>
        <w:jc w:val="both"/>
        <w:rPr>
          <w:rFonts w:hint="eastAsia" w:ascii="宋体" w:hAnsi="宋体" w:eastAsia="宋体" w:cs="宋体"/>
          <w:bCs/>
          <w:color w:val="auto"/>
          <w:kern w:val="0"/>
          <w:sz w:val="21"/>
          <w:szCs w:val="21"/>
          <w:shd w:val="clear" w:color="auto" w:fill="auto"/>
          <w:lang w:val="en-US" w:eastAsia="zh-CN" w:bidi="ar-SA"/>
        </w:rPr>
      </w:pPr>
      <w:r>
        <w:rPr>
          <w:rFonts w:hint="eastAsia" w:ascii="宋体" w:hAnsi="宋体" w:eastAsia="宋体" w:cs="宋体"/>
          <w:color w:val="auto"/>
          <w:kern w:val="0"/>
          <w:sz w:val="21"/>
          <w:szCs w:val="21"/>
          <w:shd w:val="clear" w:color="auto" w:fill="auto"/>
          <w:lang w:val="en-US" w:eastAsia="zh-CN" w:bidi="ar-SA"/>
        </w:rPr>
        <w:t>乙方应保证所提供的货物或其任何一部分均不会侵犯任何第三方的知识产权</w:t>
      </w:r>
      <w:r>
        <w:rPr>
          <w:rFonts w:hint="eastAsia" w:ascii="宋体" w:hAnsi="宋体" w:eastAsia="宋体" w:cs="宋体"/>
          <w:bCs/>
          <w:color w:val="auto"/>
          <w:kern w:val="0"/>
          <w:sz w:val="21"/>
          <w:szCs w:val="21"/>
          <w:shd w:val="clear" w:color="auto" w:fill="auto"/>
          <w:lang w:val="en-US" w:eastAsia="zh-CN" w:bidi="ar-SA"/>
        </w:rPr>
        <w:t>。</w:t>
      </w:r>
    </w:p>
    <w:p w14:paraId="07F83CC2">
      <w:pPr>
        <w:widowControl w:val="0"/>
        <w:snapToGrid w:val="0"/>
        <w:spacing w:line="480" w:lineRule="exact"/>
        <w:jc w:val="both"/>
        <w:rPr>
          <w:rFonts w:hint="eastAsia" w:ascii="宋体" w:hAnsi="宋体" w:eastAsia="宋体" w:cs="宋体"/>
          <w:color w:val="auto"/>
          <w:kern w:val="0"/>
          <w:sz w:val="21"/>
          <w:szCs w:val="21"/>
          <w:u w:val="single"/>
          <w:shd w:val="clear" w:color="auto" w:fill="auto"/>
          <w:lang w:val="en-US" w:eastAsia="zh-CN" w:bidi="ar-SA"/>
        </w:rPr>
      </w:pPr>
      <w:r>
        <w:rPr>
          <w:rFonts w:hint="eastAsia" w:ascii="宋体" w:hAnsi="宋体" w:eastAsia="宋体" w:cs="宋体"/>
          <w:b/>
          <w:color w:val="auto"/>
          <w:kern w:val="0"/>
          <w:sz w:val="21"/>
          <w:szCs w:val="21"/>
          <w:shd w:val="clear" w:color="auto" w:fill="auto"/>
          <w:lang w:val="en-US" w:eastAsia="zh-CN" w:bidi="ar-SA"/>
        </w:rPr>
        <w:t>五、产权担保</w:t>
      </w:r>
    </w:p>
    <w:p w14:paraId="16E805B0">
      <w:pPr>
        <w:widowControl w:val="0"/>
        <w:snapToGrid w:val="0"/>
        <w:spacing w:line="480" w:lineRule="exact"/>
        <w:ind w:left="357" w:hanging="357" w:hangingChars="170"/>
        <w:jc w:val="both"/>
        <w:rPr>
          <w:rFonts w:hint="eastAsia" w:ascii="宋体" w:hAnsi="宋体" w:eastAsia="宋体" w:cs="宋体"/>
          <w:color w:val="auto"/>
          <w:kern w:val="0"/>
          <w:sz w:val="21"/>
          <w:szCs w:val="21"/>
          <w:u w:val="single"/>
          <w:shd w:val="clear" w:color="auto" w:fill="auto"/>
          <w:lang w:val="en-US" w:eastAsia="zh-CN" w:bidi="ar-SA"/>
        </w:rPr>
      </w:pPr>
      <w:r>
        <w:rPr>
          <w:rFonts w:hint="eastAsia" w:ascii="宋体" w:hAnsi="宋体" w:eastAsia="宋体" w:cs="宋体"/>
          <w:color w:val="auto"/>
          <w:kern w:val="0"/>
          <w:sz w:val="21"/>
          <w:szCs w:val="21"/>
          <w:shd w:val="clear" w:color="auto" w:fill="auto"/>
          <w:lang w:val="en-US" w:eastAsia="zh-CN" w:bidi="ar-SA"/>
        </w:rPr>
        <w:t>乙方保证所交付的货物的所有权完全属于乙方且无任何抵押、查封等产权瑕疵。</w:t>
      </w:r>
    </w:p>
    <w:p w14:paraId="004CC6C4">
      <w:pPr>
        <w:widowControl w:val="0"/>
        <w:snapToGrid w:val="0"/>
        <w:spacing w:line="480" w:lineRule="exact"/>
        <w:ind w:left="357" w:hanging="358" w:hangingChars="170"/>
        <w:jc w:val="both"/>
        <w:rPr>
          <w:rFonts w:hint="eastAsia" w:ascii="宋体" w:hAnsi="宋体" w:eastAsia="宋体" w:cs="宋体"/>
          <w:b/>
          <w:color w:val="auto"/>
          <w:kern w:val="0"/>
          <w:sz w:val="21"/>
          <w:szCs w:val="21"/>
          <w:shd w:val="clear" w:color="auto" w:fill="auto"/>
          <w:lang w:val="en-US" w:eastAsia="zh-CN" w:bidi="ar-SA"/>
        </w:rPr>
      </w:pPr>
      <w:r>
        <w:rPr>
          <w:rFonts w:hint="eastAsia" w:ascii="宋体" w:hAnsi="宋体" w:eastAsia="宋体" w:cs="宋体"/>
          <w:b/>
          <w:color w:val="auto"/>
          <w:kern w:val="0"/>
          <w:sz w:val="21"/>
          <w:szCs w:val="21"/>
          <w:shd w:val="clear" w:color="auto" w:fill="auto"/>
          <w:lang w:val="en-US" w:eastAsia="zh-CN" w:bidi="ar-SA"/>
        </w:rPr>
        <w:t>六、履约保证金</w:t>
      </w:r>
    </w:p>
    <w:p w14:paraId="35F73A3B">
      <w:pPr>
        <w:widowControl w:val="0"/>
        <w:snapToGrid w:val="0"/>
        <w:spacing w:line="480" w:lineRule="exact"/>
        <w:jc w:val="both"/>
        <w:rPr>
          <w:rFonts w:hint="eastAsia" w:ascii="宋体" w:hAnsi="宋体" w:eastAsia="宋体" w:cs="宋体"/>
          <w:color w:val="auto"/>
          <w:kern w:val="0"/>
          <w:sz w:val="21"/>
          <w:szCs w:val="21"/>
          <w:shd w:val="clear" w:color="auto" w:fill="auto"/>
          <w:lang w:val="en-US" w:eastAsia="zh-CN" w:bidi="ar-SA"/>
        </w:rPr>
      </w:pPr>
      <w:r>
        <w:rPr>
          <w:rFonts w:hint="eastAsia" w:ascii="宋体" w:hAnsi="宋体" w:eastAsia="宋体" w:cs="宋体"/>
          <w:color w:val="auto"/>
          <w:kern w:val="0"/>
          <w:sz w:val="21"/>
          <w:szCs w:val="21"/>
          <w:shd w:val="clear" w:color="auto" w:fill="auto"/>
          <w:lang w:val="en-US" w:eastAsia="zh-CN" w:bidi="ar-SA"/>
        </w:rPr>
        <w:t>乙方应当在</w:t>
      </w:r>
      <w:r>
        <w:rPr>
          <w:rFonts w:hint="eastAsia" w:ascii="宋体" w:hAnsi="宋体" w:cs="宋体"/>
          <w:color w:val="auto"/>
          <w:kern w:val="0"/>
          <w:sz w:val="21"/>
          <w:szCs w:val="21"/>
          <w:shd w:val="clear" w:color="auto" w:fill="auto"/>
          <w:lang w:val="en-US" w:eastAsia="zh-CN" w:bidi="ar-SA"/>
        </w:rPr>
        <w:t>领取</w:t>
      </w:r>
      <w:r>
        <w:rPr>
          <w:rFonts w:hint="eastAsia" w:ascii="宋体" w:hAnsi="宋体" w:eastAsia="宋体" w:cs="宋体"/>
          <w:color w:val="auto"/>
          <w:kern w:val="0"/>
          <w:sz w:val="21"/>
          <w:szCs w:val="21"/>
          <w:shd w:val="clear" w:color="auto" w:fill="auto"/>
          <w:lang w:val="en-US" w:eastAsia="zh-CN" w:bidi="ar-SA"/>
        </w:rPr>
        <w:t>中标通知书前向临海市产权交易所有限公司缴纳（提供）金额为合同暂定总价1%的履约保证金（履约保证金可采用转账、银行保函或者保险公司保函等形式），验收合格后凭《临海市采购验收单》在系统中向临海市产权交易所有限公司退还。</w:t>
      </w:r>
    </w:p>
    <w:p w14:paraId="3D4C2B4C">
      <w:pPr>
        <w:spacing w:line="480" w:lineRule="exact"/>
        <w:rPr>
          <w:rFonts w:hint="eastAsia" w:ascii="宋体" w:hAnsi="宋体" w:eastAsia="宋体" w:cs="宋体"/>
          <w:b/>
          <w:color w:val="auto"/>
          <w:sz w:val="21"/>
          <w:szCs w:val="21"/>
          <w:shd w:val="clear" w:color="auto" w:fill="auto"/>
          <w:lang w:bidi="ar-SA"/>
        </w:rPr>
      </w:pPr>
      <w:r>
        <w:rPr>
          <w:rFonts w:hint="eastAsia" w:ascii="宋体" w:hAnsi="宋体" w:eastAsia="宋体" w:cs="宋体"/>
          <w:b/>
          <w:color w:val="auto"/>
          <w:sz w:val="21"/>
          <w:szCs w:val="21"/>
          <w:shd w:val="clear" w:color="auto" w:fill="auto"/>
          <w:lang w:bidi="ar-SA"/>
        </w:rPr>
        <w:t>七、转包或分包</w:t>
      </w:r>
    </w:p>
    <w:p w14:paraId="0DEB2F3F">
      <w:pPr>
        <w:spacing w:line="480" w:lineRule="exact"/>
        <w:rPr>
          <w:rFonts w:hint="eastAsia" w:ascii="宋体" w:hAnsi="宋体" w:eastAsia="宋体" w:cs="宋体"/>
          <w:color w:val="auto"/>
          <w:sz w:val="21"/>
          <w:szCs w:val="21"/>
          <w:shd w:val="clear" w:color="auto" w:fill="auto"/>
          <w:lang w:bidi="ar-SA"/>
        </w:rPr>
      </w:pPr>
      <w:r>
        <w:rPr>
          <w:rFonts w:hint="eastAsia" w:ascii="宋体" w:hAnsi="宋体" w:eastAsia="宋体" w:cs="宋体"/>
          <w:color w:val="auto"/>
          <w:sz w:val="21"/>
          <w:szCs w:val="21"/>
          <w:shd w:val="clear" w:color="auto" w:fill="auto"/>
          <w:lang w:bidi="ar-SA"/>
        </w:rPr>
        <w:t>1、本合同范围的货物，应由乙方直接供应，不得转让他人供应；</w:t>
      </w:r>
    </w:p>
    <w:p w14:paraId="20E7AA4D">
      <w:pPr>
        <w:spacing w:line="480" w:lineRule="exact"/>
        <w:rPr>
          <w:rFonts w:hint="eastAsia" w:ascii="宋体" w:hAnsi="宋体" w:eastAsia="宋体" w:cs="宋体"/>
          <w:color w:val="auto"/>
          <w:sz w:val="21"/>
          <w:szCs w:val="21"/>
          <w:shd w:val="clear" w:color="auto" w:fill="auto"/>
          <w:lang w:bidi="ar-SA"/>
        </w:rPr>
      </w:pPr>
      <w:r>
        <w:rPr>
          <w:rFonts w:hint="eastAsia" w:ascii="宋体" w:hAnsi="宋体" w:eastAsia="宋体" w:cs="宋体"/>
          <w:color w:val="auto"/>
          <w:sz w:val="21"/>
          <w:szCs w:val="21"/>
          <w:shd w:val="clear" w:color="auto" w:fill="auto"/>
          <w:lang w:bidi="ar-SA"/>
        </w:rPr>
        <w:t>2、除非得到甲方的书面同意，乙方不得将本合同范围的货物全部或部分分包给他人供应；</w:t>
      </w:r>
    </w:p>
    <w:p w14:paraId="2F2A0F0C">
      <w:pPr>
        <w:spacing w:line="480" w:lineRule="exact"/>
        <w:rPr>
          <w:rFonts w:hint="eastAsia" w:ascii="宋体" w:hAnsi="宋体" w:eastAsia="宋体" w:cs="宋体"/>
          <w:color w:val="auto"/>
          <w:sz w:val="21"/>
          <w:szCs w:val="21"/>
          <w:shd w:val="clear" w:color="auto" w:fill="auto"/>
          <w:lang w:bidi="ar-SA"/>
        </w:rPr>
      </w:pPr>
      <w:r>
        <w:rPr>
          <w:rFonts w:hint="eastAsia" w:ascii="宋体" w:hAnsi="宋体" w:eastAsia="宋体" w:cs="宋体"/>
          <w:color w:val="auto"/>
          <w:sz w:val="21"/>
          <w:szCs w:val="21"/>
          <w:shd w:val="clear" w:color="auto" w:fill="auto"/>
          <w:lang w:bidi="ar-SA"/>
        </w:rPr>
        <w:t>3、如有转让和未经甲方同意的分包行为，甲方有权解除合同，履约保证金不予退回</w:t>
      </w:r>
      <w:r>
        <w:rPr>
          <w:rFonts w:hint="eastAsia" w:ascii="宋体" w:hAnsi="宋体" w:cs="宋体"/>
          <w:color w:val="auto"/>
          <w:sz w:val="21"/>
          <w:szCs w:val="21"/>
          <w:shd w:val="clear" w:color="auto" w:fill="auto"/>
          <w:lang w:eastAsia="zh-CN" w:bidi="ar-SA"/>
        </w:rPr>
        <w:t>，同时</w:t>
      </w:r>
      <w:r>
        <w:rPr>
          <w:rFonts w:hint="eastAsia" w:ascii="宋体" w:hAnsi="宋体" w:eastAsia="宋体" w:cs="宋体"/>
          <w:color w:val="auto"/>
          <w:sz w:val="21"/>
          <w:szCs w:val="21"/>
          <w:shd w:val="clear" w:color="auto" w:fill="auto"/>
          <w:lang w:bidi="ar-SA"/>
        </w:rPr>
        <w:t>乙方应向甲方支付合同暂定总价</w:t>
      </w:r>
      <w:r>
        <w:rPr>
          <w:rFonts w:hint="eastAsia" w:ascii="宋体" w:hAnsi="宋体" w:cs="宋体"/>
          <w:color w:val="auto"/>
          <w:sz w:val="21"/>
          <w:szCs w:val="21"/>
          <w:shd w:val="clear" w:color="auto" w:fill="auto"/>
          <w:lang w:val="en-US" w:eastAsia="zh-CN" w:bidi="ar-SA"/>
        </w:rPr>
        <w:t>3</w:t>
      </w:r>
      <w:r>
        <w:rPr>
          <w:rFonts w:hint="eastAsia" w:ascii="宋体" w:hAnsi="宋体" w:eastAsia="宋体" w:cs="宋体"/>
          <w:color w:val="auto"/>
          <w:sz w:val="21"/>
          <w:szCs w:val="21"/>
          <w:shd w:val="clear" w:color="auto" w:fill="auto"/>
          <w:lang w:bidi="ar-SA"/>
        </w:rPr>
        <w:t>0%的违约</w:t>
      </w:r>
      <w:r>
        <w:rPr>
          <w:rFonts w:hint="eastAsia" w:ascii="宋体" w:hAnsi="宋体" w:cs="宋体"/>
          <w:color w:val="auto"/>
          <w:sz w:val="21"/>
          <w:szCs w:val="21"/>
          <w:shd w:val="clear" w:color="auto" w:fill="auto"/>
          <w:lang w:val="en-US" w:eastAsia="zh-CN" w:bidi="ar-SA"/>
        </w:rPr>
        <w:t>金，</w:t>
      </w:r>
      <w:r>
        <w:rPr>
          <w:rFonts w:hint="eastAsia" w:ascii="宋体" w:hAnsi="宋体" w:eastAsia="宋体" w:cs="宋体"/>
          <w:color w:val="auto"/>
          <w:sz w:val="21"/>
          <w:szCs w:val="21"/>
          <w:shd w:val="clear" w:color="auto" w:fill="auto"/>
          <w:lang w:bidi="ar-SA"/>
        </w:rPr>
        <w:t>违约金不足以弥补甲方损失的，乙方还应赔偿差额部分。</w:t>
      </w:r>
    </w:p>
    <w:p w14:paraId="0EF72724">
      <w:pPr>
        <w:spacing w:line="480" w:lineRule="exact"/>
        <w:rPr>
          <w:rFonts w:hint="eastAsia" w:ascii="宋体" w:hAnsi="宋体" w:eastAsia="宋体" w:cs="宋体"/>
          <w:color w:val="auto"/>
          <w:sz w:val="21"/>
          <w:szCs w:val="21"/>
          <w:shd w:val="clear" w:color="auto" w:fill="auto"/>
          <w:lang w:bidi="ar-SA"/>
        </w:rPr>
      </w:pPr>
      <w:r>
        <w:rPr>
          <w:rFonts w:hint="eastAsia" w:ascii="宋体" w:hAnsi="宋体" w:cs="宋体"/>
          <w:color w:val="auto"/>
          <w:kern w:val="2"/>
          <w:sz w:val="21"/>
          <w:szCs w:val="21"/>
          <w:shd w:val="clear" w:color="auto" w:fill="auto"/>
        </w:rPr>
        <w:t>乙方违反本合同第七条约定的，擅自转让或未经甲方书面同意进行分包的，应向甲方支付合同暂定总价【</w:t>
      </w:r>
      <w:r>
        <w:rPr>
          <w:rFonts w:hint="eastAsia" w:ascii="宋体" w:hAnsi="宋体" w:cs="宋体"/>
          <w:color w:val="auto"/>
          <w:kern w:val="2"/>
          <w:sz w:val="21"/>
          <w:szCs w:val="21"/>
          <w:shd w:val="clear" w:color="auto" w:fill="auto"/>
          <w:lang w:val="en-US" w:eastAsia="zh-CN"/>
        </w:rPr>
        <w:t>3</w:t>
      </w:r>
      <w:r>
        <w:rPr>
          <w:rFonts w:hint="eastAsia" w:ascii="宋体" w:hAnsi="宋体" w:cs="宋体"/>
          <w:color w:val="auto"/>
          <w:kern w:val="2"/>
          <w:sz w:val="21"/>
          <w:szCs w:val="21"/>
          <w:shd w:val="clear" w:color="auto" w:fill="auto"/>
        </w:rPr>
        <w:t>0%】的违约金，且甲方有权单方解除合同，履约保证金不予退还</w:t>
      </w:r>
      <w:r>
        <w:rPr>
          <w:rFonts w:hint="eastAsia" w:ascii="宋体" w:hAnsi="宋体" w:eastAsia="宋体" w:cs="宋体"/>
          <w:color w:val="auto"/>
          <w:sz w:val="21"/>
          <w:szCs w:val="21"/>
          <w:shd w:val="clear" w:color="auto" w:fill="auto"/>
          <w:lang w:bidi="ar-SA"/>
        </w:rPr>
        <w:t>。</w:t>
      </w:r>
    </w:p>
    <w:p w14:paraId="05D777CD">
      <w:pPr>
        <w:widowControl w:val="0"/>
        <w:snapToGrid w:val="0"/>
        <w:spacing w:line="480" w:lineRule="exact"/>
        <w:jc w:val="both"/>
        <w:rPr>
          <w:rFonts w:hint="eastAsia" w:ascii="宋体" w:hAnsi="宋体" w:eastAsia="宋体" w:cs="宋体"/>
          <w:b/>
          <w:color w:val="auto"/>
          <w:kern w:val="0"/>
          <w:sz w:val="21"/>
          <w:szCs w:val="21"/>
          <w:shd w:val="clear" w:color="auto" w:fill="auto"/>
          <w:lang w:val="en-US" w:eastAsia="zh-CN" w:bidi="ar-SA"/>
        </w:rPr>
      </w:pPr>
      <w:r>
        <w:rPr>
          <w:rFonts w:hint="eastAsia" w:ascii="宋体" w:hAnsi="宋体" w:eastAsia="宋体" w:cs="宋体"/>
          <w:b/>
          <w:color w:val="auto"/>
          <w:kern w:val="0"/>
          <w:sz w:val="21"/>
          <w:szCs w:val="21"/>
          <w:shd w:val="clear" w:color="auto" w:fill="auto"/>
          <w:lang w:val="en-US" w:eastAsia="zh-CN" w:bidi="ar-SA"/>
        </w:rPr>
        <w:t>八、质量要求</w:t>
      </w:r>
    </w:p>
    <w:p w14:paraId="29971B5F">
      <w:pPr>
        <w:widowControl w:val="0"/>
        <w:snapToGrid w:val="0"/>
        <w:spacing w:line="480" w:lineRule="exact"/>
        <w:jc w:val="both"/>
        <w:rPr>
          <w:rFonts w:hint="eastAsia" w:ascii="宋体" w:hAnsi="宋体" w:eastAsia="宋体" w:cs="宋体"/>
          <w:bCs/>
          <w:color w:val="auto"/>
          <w:kern w:val="0"/>
          <w:sz w:val="21"/>
          <w:szCs w:val="21"/>
          <w:u w:val="none"/>
          <w:shd w:val="clear" w:color="auto" w:fill="auto"/>
          <w:lang w:val="en-US" w:eastAsia="zh-CN" w:bidi="ar-SA"/>
        </w:rPr>
      </w:pPr>
      <w:r>
        <w:rPr>
          <w:rFonts w:hint="eastAsia" w:ascii="宋体" w:hAnsi="宋体" w:cs="宋体"/>
          <w:bCs/>
          <w:color w:val="auto"/>
          <w:kern w:val="0"/>
          <w:sz w:val="21"/>
          <w:szCs w:val="21"/>
          <w:u w:val="none"/>
          <w:shd w:val="clear" w:color="auto" w:fill="auto"/>
          <w:lang w:val="en-US" w:eastAsia="zh-CN" w:bidi="ar-SA"/>
        </w:rPr>
        <w:t>1、</w:t>
      </w:r>
      <w:r>
        <w:rPr>
          <w:rFonts w:hint="eastAsia" w:ascii="宋体" w:hAnsi="宋体" w:eastAsia="宋体" w:cs="宋体"/>
          <w:bCs/>
          <w:color w:val="auto"/>
          <w:kern w:val="0"/>
          <w:sz w:val="21"/>
          <w:szCs w:val="21"/>
          <w:u w:val="none"/>
          <w:shd w:val="clear" w:color="auto" w:fill="auto"/>
          <w:lang w:val="en-US" w:eastAsia="zh-CN" w:bidi="ar-SA"/>
        </w:rPr>
        <w:t>合格及以上，符合国家规定的质量要求，符合行业的国际标准和我国现行的产品认证制度规定，并满足采购人提出的产品技术要求。</w:t>
      </w:r>
    </w:p>
    <w:p w14:paraId="2BF3AFBD">
      <w:pPr>
        <w:widowControl w:val="0"/>
        <w:snapToGrid w:val="0"/>
        <w:spacing w:line="480" w:lineRule="exact"/>
        <w:jc w:val="both"/>
        <w:rPr>
          <w:rFonts w:hint="eastAsia" w:ascii="宋体" w:hAnsi="宋体" w:eastAsia="宋体" w:cs="宋体"/>
          <w:bCs/>
          <w:color w:val="auto"/>
          <w:kern w:val="0"/>
          <w:sz w:val="21"/>
          <w:szCs w:val="21"/>
          <w:u w:val="none"/>
          <w:shd w:val="clear" w:color="auto" w:fill="auto"/>
          <w:lang w:val="en-US" w:eastAsia="zh-CN" w:bidi="ar-SA"/>
        </w:rPr>
      </w:pPr>
      <w:r>
        <w:rPr>
          <w:rFonts w:hint="eastAsia" w:ascii="宋体" w:hAnsi="宋体" w:cs="宋体"/>
          <w:bCs/>
          <w:color w:val="auto"/>
          <w:kern w:val="0"/>
          <w:sz w:val="21"/>
          <w:szCs w:val="21"/>
          <w:u w:val="none"/>
          <w:shd w:val="clear" w:color="auto" w:fill="auto"/>
          <w:lang w:val="en-US" w:eastAsia="zh-CN" w:bidi="ar-SA"/>
        </w:rPr>
        <w:t>2、</w:t>
      </w:r>
      <w:r>
        <w:rPr>
          <w:rFonts w:hint="eastAsia" w:ascii="宋体" w:hAnsi="宋体" w:eastAsia="宋体" w:cs="宋体"/>
          <w:bCs/>
          <w:color w:val="auto"/>
          <w:kern w:val="0"/>
          <w:sz w:val="21"/>
          <w:szCs w:val="21"/>
          <w:u w:val="none"/>
          <w:shd w:val="clear" w:color="auto" w:fill="auto"/>
          <w:lang w:val="en-US" w:eastAsia="zh-CN" w:bidi="ar-SA"/>
        </w:rPr>
        <w:t>货物验收过程中，由于质量不合格或运输等原因所造成的一切费用均由中标人负责。</w:t>
      </w:r>
    </w:p>
    <w:p w14:paraId="2043AB41">
      <w:pPr>
        <w:widowControl w:val="0"/>
        <w:snapToGrid w:val="0"/>
        <w:spacing w:line="480" w:lineRule="exact"/>
        <w:jc w:val="both"/>
        <w:rPr>
          <w:rFonts w:hint="eastAsia" w:ascii="宋体" w:hAnsi="宋体" w:eastAsia="宋体" w:cs="宋体"/>
          <w:bCs/>
          <w:color w:val="auto"/>
          <w:kern w:val="0"/>
          <w:sz w:val="21"/>
          <w:szCs w:val="21"/>
          <w:u w:val="none"/>
          <w:shd w:val="clear" w:color="auto" w:fill="auto"/>
          <w:lang w:val="en-US" w:eastAsia="zh-CN" w:bidi="ar-SA"/>
        </w:rPr>
      </w:pPr>
      <w:r>
        <w:rPr>
          <w:rFonts w:hint="eastAsia" w:ascii="宋体" w:hAnsi="宋体" w:cs="宋体"/>
          <w:bCs/>
          <w:color w:val="auto"/>
          <w:kern w:val="0"/>
          <w:sz w:val="21"/>
          <w:szCs w:val="21"/>
          <w:u w:val="none"/>
          <w:shd w:val="clear" w:color="auto" w:fill="auto"/>
          <w:lang w:val="en-US" w:eastAsia="zh-CN" w:bidi="ar-SA"/>
        </w:rPr>
        <w:t>3、</w:t>
      </w:r>
      <w:r>
        <w:rPr>
          <w:rFonts w:hint="eastAsia" w:ascii="宋体" w:hAnsi="宋体" w:eastAsia="宋体" w:cs="宋体"/>
          <w:bCs/>
          <w:color w:val="auto"/>
          <w:kern w:val="0"/>
          <w:sz w:val="21"/>
          <w:szCs w:val="21"/>
          <w:u w:val="none"/>
          <w:shd w:val="clear" w:color="auto" w:fill="auto"/>
          <w:lang w:val="en-US" w:eastAsia="zh-CN" w:bidi="ar-SA"/>
        </w:rPr>
        <w:t>中标人须对因投标货物使用期内本身的固有缺陷和瑕疵承担责任。</w:t>
      </w:r>
    </w:p>
    <w:p w14:paraId="2EFE483B">
      <w:pPr>
        <w:widowControl w:val="0"/>
        <w:snapToGrid w:val="0"/>
        <w:spacing w:line="480" w:lineRule="exact"/>
        <w:jc w:val="both"/>
        <w:rPr>
          <w:rFonts w:hint="eastAsia" w:ascii="宋体" w:hAnsi="宋体" w:eastAsia="宋体" w:cs="宋体"/>
          <w:bCs/>
          <w:color w:val="auto"/>
          <w:kern w:val="0"/>
          <w:sz w:val="21"/>
          <w:szCs w:val="21"/>
          <w:shd w:val="clear" w:color="auto" w:fill="auto"/>
          <w:lang w:val="en-US" w:eastAsia="zh-CN" w:bidi="ar-SA"/>
        </w:rPr>
      </w:pPr>
      <w:r>
        <w:rPr>
          <w:rFonts w:hint="eastAsia" w:ascii="宋体" w:hAnsi="宋体" w:eastAsia="宋体" w:cs="宋体"/>
          <w:b/>
          <w:color w:val="auto"/>
          <w:kern w:val="0"/>
          <w:sz w:val="21"/>
          <w:szCs w:val="21"/>
          <w:shd w:val="clear" w:color="auto" w:fill="auto"/>
          <w:lang w:val="en-US" w:eastAsia="zh-CN" w:bidi="ar-SA"/>
        </w:rPr>
        <w:t>九、</w:t>
      </w:r>
      <w:r>
        <w:rPr>
          <w:rFonts w:hint="eastAsia" w:ascii="宋体" w:hAnsi="宋体" w:cs="宋体"/>
          <w:b/>
          <w:color w:val="auto"/>
          <w:kern w:val="0"/>
          <w:sz w:val="21"/>
          <w:szCs w:val="21"/>
          <w:shd w:val="clear" w:color="auto" w:fill="auto"/>
          <w:lang w:val="en-US" w:eastAsia="zh-CN" w:bidi="ar-SA"/>
        </w:rPr>
        <w:t>工期</w:t>
      </w:r>
    </w:p>
    <w:p w14:paraId="1F6BA362">
      <w:pPr>
        <w:widowControl w:val="0"/>
        <w:snapToGrid w:val="0"/>
        <w:spacing w:line="480" w:lineRule="exact"/>
        <w:jc w:val="both"/>
        <w:rPr>
          <w:rFonts w:hint="eastAsia" w:ascii="宋体" w:hAnsi="Courier New" w:eastAsia="宋体" w:cs="宋体"/>
          <w:color w:val="auto"/>
          <w:kern w:val="0"/>
          <w:sz w:val="21"/>
          <w:szCs w:val="21"/>
          <w:shd w:val="clear" w:color="auto" w:fill="auto"/>
          <w:lang w:val="en-US" w:eastAsia="zh-CN" w:bidi="ar-SA"/>
        </w:rPr>
      </w:pPr>
      <w:r>
        <w:rPr>
          <w:rFonts w:hint="eastAsia" w:ascii="宋体" w:hAnsi="Courier New" w:eastAsia="宋体" w:cs="宋体"/>
          <w:color w:val="auto"/>
          <w:kern w:val="0"/>
          <w:sz w:val="21"/>
          <w:szCs w:val="21"/>
          <w:shd w:val="clear" w:color="auto" w:fill="auto"/>
          <w:lang w:val="en-US" w:eastAsia="zh-CN" w:bidi="ar-SA"/>
        </w:rPr>
        <w:t>根据工程进度，配合总承包单位同步完成全部工作内容</w:t>
      </w:r>
      <w:r>
        <w:rPr>
          <w:rFonts w:hint="eastAsia" w:ascii="宋体" w:hAnsi="Courier New" w:cs="宋体"/>
          <w:color w:val="auto"/>
          <w:kern w:val="0"/>
          <w:sz w:val="21"/>
          <w:szCs w:val="21"/>
          <w:shd w:val="clear" w:color="auto" w:fill="auto"/>
          <w:lang w:val="en-US" w:eastAsia="zh-CN" w:bidi="ar-SA"/>
        </w:rPr>
        <w:t>。</w:t>
      </w:r>
    </w:p>
    <w:p w14:paraId="35AFA1F1">
      <w:pPr>
        <w:widowControl w:val="0"/>
        <w:snapToGrid w:val="0"/>
        <w:spacing w:line="480" w:lineRule="exact"/>
        <w:jc w:val="both"/>
        <w:rPr>
          <w:rFonts w:hint="eastAsia" w:ascii="宋体" w:hAnsi="宋体" w:eastAsia="宋体" w:cs="宋体"/>
          <w:b/>
          <w:color w:val="auto"/>
          <w:kern w:val="0"/>
          <w:sz w:val="21"/>
          <w:szCs w:val="21"/>
          <w:shd w:val="clear" w:color="auto" w:fill="auto"/>
          <w:lang w:val="en-US" w:eastAsia="zh-CN" w:bidi="ar-SA"/>
        </w:rPr>
      </w:pPr>
      <w:r>
        <w:rPr>
          <w:rFonts w:hint="eastAsia" w:ascii="宋体" w:hAnsi="宋体" w:eastAsia="宋体" w:cs="宋体"/>
          <w:b/>
          <w:color w:val="auto"/>
          <w:kern w:val="0"/>
          <w:sz w:val="21"/>
          <w:szCs w:val="21"/>
          <w:shd w:val="clear" w:color="auto" w:fill="auto"/>
          <w:lang w:val="en-US" w:eastAsia="zh-CN" w:bidi="ar-SA"/>
        </w:rPr>
        <w:t>十、付款方式</w:t>
      </w:r>
    </w:p>
    <w:p w14:paraId="69404065">
      <w:pPr>
        <w:widowControl w:val="0"/>
        <w:snapToGrid w:val="0"/>
        <w:spacing w:line="480" w:lineRule="exact"/>
        <w:jc w:val="both"/>
        <w:rPr>
          <w:rFonts w:hint="eastAsia" w:ascii="宋体" w:hAnsi="宋体" w:eastAsia="宋体" w:cs="Times New Roman"/>
          <w:color w:val="auto"/>
          <w:kern w:val="0"/>
          <w:sz w:val="21"/>
          <w:szCs w:val="21"/>
          <w:shd w:val="clear" w:color="auto" w:fill="auto"/>
          <w:lang w:val="en-US" w:eastAsia="zh-CN" w:bidi="ar-SA"/>
        </w:rPr>
      </w:pPr>
      <w:r>
        <w:rPr>
          <w:rFonts w:hint="eastAsia" w:ascii="宋体" w:hAnsi="宋体" w:cs="Times New Roman"/>
          <w:color w:val="auto"/>
          <w:kern w:val="0"/>
          <w:sz w:val="21"/>
          <w:szCs w:val="21"/>
          <w:shd w:val="clear" w:color="auto" w:fill="auto"/>
          <w:lang w:val="en-US" w:eastAsia="zh-CN" w:bidi="ar-SA"/>
        </w:rPr>
        <w:t>1、</w:t>
      </w:r>
      <w:r>
        <w:rPr>
          <w:rFonts w:hint="eastAsia" w:ascii="宋体" w:hAnsi="宋体" w:eastAsia="宋体" w:cs="Times New Roman"/>
          <w:color w:val="auto"/>
          <w:kern w:val="0"/>
          <w:sz w:val="21"/>
          <w:szCs w:val="21"/>
          <w:shd w:val="clear" w:color="auto" w:fill="auto"/>
          <w:lang w:val="en-US" w:eastAsia="zh-CN" w:bidi="ar-SA"/>
        </w:rPr>
        <w:t>合同签订后支付合同金额的30%为备料款（备料款不扣回，抵作设备款），调试结束验收合格后付至合同金额的85%，结算审核完成后付至结算价的97%，余款3%作为质保金，</w:t>
      </w:r>
      <w:r>
        <w:rPr>
          <w:rFonts w:hint="eastAsia" w:ascii="宋体" w:hAnsi="宋体" w:eastAsia="宋体" w:cs="宋体"/>
          <w:b/>
          <w:bCs/>
          <w:szCs w:val="21"/>
          <w:highlight w:val="none"/>
          <w:lang w:val="en-US" w:eastAsia="zh-CN" w:bidi="ar-SA"/>
        </w:rPr>
        <w:t>质保金须采用保函形式，保函有效期与保修期时间一致，提交保函后付清全部价款</w:t>
      </w:r>
      <w:r>
        <w:rPr>
          <w:rFonts w:hint="eastAsia" w:ascii="宋体" w:hAnsi="宋体" w:eastAsia="宋体" w:cs="Times New Roman"/>
          <w:color w:val="auto"/>
          <w:kern w:val="0"/>
          <w:sz w:val="21"/>
          <w:szCs w:val="21"/>
          <w:shd w:val="clear" w:color="auto" w:fill="auto"/>
          <w:lang w:val="en-US" w:eastAsia="zh-CN" w:bidi="ar-SA"/>
        </w:rPr>
        <w:t>。乙方应在甲方每笔付款前3个工作日开具对应金额的合法有效增值税发票并交付甲方，否则甲方有权顺延付款且不承担任何责任。工程质量保证金可采用现金或保函形式。</w:t>
      </w:r>
    </w:p>
    <w:p w14:paraId="2F02FD67">
      <w:pPr>
        <w:widowControl w:val="0"/>
        <w:snapToGrid w:val="0"/>
        <w:spacing w:line="480" w:lineRule="exact"/>
        <w:jc w:val="both"/>
        <w:rPr>
          <w:rFonts w:hint="eastAsia" w:ascii="宋体" w:hAnsi="宋体" w:eastAsia="宋体" w:cs="Times New Roman"/>
          <w:color w:val="auto"/>
          <w:kern w:val="0"/>
          <w:sz w:val="21"/>
          <w:szCs w:val="21"/>
          <w:shd w:val="clear" w:color="auto" w:fill="auto"/>
          <w:lang w:val="en-US" w:eastAsia="zh-CN" w:bidi="ar-SA"/>
        </w:rPr>
      </w:pPr>
      <w:r>
        <w:rPr>
          <w:rFonts w:hint="eastAsia" w:ascii="宋体" w:hAnsi="宋体" w:eastAsia="宋体" w:cs="Times New Roman"/>
          <w:color w:val="auto"/>
          <w:kern w:val="0"/>
          <w:sz w:val="21"/>
          <w:szCs w:val="21"/>
          <w:shd w:val="clear" w:color="auto" w:fill="auto"/>
          <w:lang w:val="en-US" w:eastAsia="zh-CN" w:bidi="ar-SA"/>
        </w:rPr>
        <w:t>甲方支付各节点款项前，有权优先扣除乙方依约应当承担的违约金、赔偿款等费用后再支付剩余款项。</w:t>
      </w:r>
    </w:p>
    <w:p w14:paraId="4066D46F">
      <w:pPr>
        <w:widowControl w:val="0"/>
        <w:snapToGrid w:val="0"/>
        <w:spacing w:line="480" w:lineRule="exact"/>
        <w:jc w:val="both"/>
        <w:rPr>
          <w:rFonts w:hint="eastAsia" w:ascii="宋体" w:hAnsi="宋体" w:eastAsia="宋体"/>
          <w:color w:val="auto"/>
          <w:kern w:val="0"/>
          <w:sz w:val="21"/>
          <w:szCs w:val="21"/>
          <w:shd w:val="clear" w:color="auto" w:fill="auto"/>
          <w:lang w:val="en-US" w:eastAsia="zh-CN"/>
        </w:rPr>
      </w:pPr>
      <w:r>
        <w:rPr>
          <w:rFonts w:hint="eastAsia" w:ascii="宋体" w:hAnsi="宋体" w:eastAsia="宋体" w:cs="Times New Roman"/>
          <w:color w:val="auto"/>
          <w:kern w:val="0"/>
          <w:sz w:val="21"/>
          <w:szCs w:val="21"/>
          <w:shd w:val="clear" w:color="auto" w:fill="auto"/>
          <w:lang w:val="en-US" w:eastAsia="zh-CN" w:bidi="ar-SA"/>
        </w:rPr>
        <w:t>2、甲方有权根据实际情况增加或减少工程量，乙方须无条件服从，并按实际工程量结算。工程量不论增减多少，单价不变，乙</w:t>
      </w:r>
      <w:r>
        <w:rPr>
          <w:rFonts w:hint="eastAsia" w:ascii="宋体" w:hAnsi="宋体"/>
          <w:color w:val="auto"/>
          <w:kern w:val="0"/>
          <w:sz w:val="21"/>
          <w:szCs w:val="21"/>
          <w:shd w:val="clear" w:color="auto" w:fill="auto"/>
          <w:lang w:val="en-US" w:eastAsia="zh-CN"/>
        </w:rPr>
        <w:t>方</w:t>
      </w:r>
      <w:r>
        <w:rPr>
          <w:rFonts w:hint="eastAsia" w:ascii="宋体" w:hAnsi="宋体" w:eastAsia="宋体"/>
          <w:color w:val="auto"/>
          <w:kern w:val="0"/>
          <w:sz w:val="21"/>
          <w:szCs w:val="21"/>
          <w:shd w:val="clear" w:color="auto" w:fill="auto"/>
          <w:lang w:val="en-US" w:eastAsia="zh-CN"/>
        </w:rPr>
        <w:t>不得拒绝。结算时</w:t>
      </w:r>
      <w:r>
        <w:rPr>
          <w:rFonts w:hint="eastAsia" w:ascii="宋体" w:hAnsi="宋体"/>
          <w:color w:val="auto"/>
          <w:kern w:val="0"/>
          <w:sz w:val="21"/>
          <w:szCs w:val="21"/>
          <w:shd w:val="clear" w:color="auto" w:fill="auto"/>
          <w:lang w:val="en-US" w:eastAsia="zh-CN"/>
        </w:rPr>
        <w:t>乙方</w:t>
      </w:r>
      <w:r>
        <w:rPr>
          <w:rFonts w:hint="eastAsia" w:ascii="宋体" w:hAnsi="宋体" w:eastAsia="宋体"/>
          <w:color w:val="auto"/>
          <w:kern w:val="0"/>
          <w:sz w:val="21"/>
          <w:szCs w:val="21"/>
          <w:shd w:val="clear" w:color="auto" w:fill="auto"/>
          <w:lang w:val="en-US" w:eastAsia="zh-CN"/>
        </w:rPr>
        <w:t>必须根据实际使用量供货及安装，最终结算金额按实际使用量乘以成交单价进行计算。</w:t>
      </w:r>
    </w:p>
    <w:p w14:paraId="77A8885C">
      <w:pPr>
        <w:widowControl w:val="0"/>
        <w:snapToGrid w:val="0"/>
        <w:spacing w:line="480" w:lineRule="exact"/>
        <w:jc w:val="both"/>
        <w:rPr>
          <w:rFonts w:hint="eastAsia" w:ascii="宋体" w:hAnsi="宋体" w:eastAsia="宋体" w:cs="宋体"/>
          <w:b/>
          <w:color w:val="auto"/>
          <w:kern w:val="0"/>
          <w:sz w:val="21"/>
          <w:szCs w:val="21"/>
          <w:shd w:val="clear" w:color="auto" w:fill="auto"/>
          <w:lang w:val="en-US" w:eastAsia="zh-CN" w:bidi="ar-SA"/>
        </w:rPr>
      </w:pPr>
      <w:r>
        <w:rPr>
          <w:rFonts w:hint="eastAsia" w:ascii="宋体" w:hAnsi="宋体" w:eastAsia="宋体" w:cs="宋体"/>
          <w:b/>
          <w:color w:val="auto"/>
          <w:kern w:val="0"/>
          <w:sz w:val="21"/>
          <w:szCs w:val="21"/>
          <w:shd w:val="clear" w:color="auto" w:fill="auto"/>
          <w:lang w:val="en-US" w:eastAsia="zh-CN" w:bidi="ar-SA"/>
        </w:rPr>
        <w:t>十一、税费</w:t>
      </w:r>
    </w:p>
    <w:p w14:paraId="66EACD9D">
      <w:pPr>
        <w:spacing w:line="480" w:lineRule="exact"/>
        <w:rPr>
          <w:rFonts w:hint="eastAsia" w:ascii="宋体" w:hAnsi="宋体" w:eastAsia="宋体" w:cs="宋体"/>
          <w:color w:val="auto"/>
          <w:sz w:val="21"/>
          <w:szCs w:val="21"/>
          <w:shd w:val="clear" w:color="auto" w:fill="auto"/>
          <w:lang w:bidi="ar-SA"/>
        </w:rPr>
      </w:pPr>
      <w:r>
        <w:rPr>
          <w:rFonts w:hint="eastAsia" w:ascii="宋体" w:hAnsi="宋体" w:eastAsia="宋体" w:cs="宋体"/>
          <w:color w:val="auto"/>
          <w:sz w:val="21"/>
          <w:szCs w:val="21"/>
          <w:shd w:val="clear" w:color="auto" w:fill="auto"/>
          <w:lang w:bidi="ar-SA"/>
        </w:rPr>
        <w:t>本合同执行中相关的一切税费均由乙方负担。</w:t>
      </w:r>
    </w:p>
    <w:p w14:paraId="44C28FD9">
      <w:pPr>
        <w:widowControl w:val="0"/>
        <w:snapToGrid w:val="0"/>
        <w:spacing w:line="480" w:lineRule="exact"/>
        <w:ind w:left="359" w:hanging="361" w:hangingChars="171"/>
        <w:jc w:val="both"/>
        <w:rPr>
          <w:rFonts w:hint="eastAsia" w:ascii="宋体" w:hAnsi="宋体" w:eastAsia="宋体" w:cs="宋体"/>
          <w:color w:val="auto"/>
          <w:kern w:val="0"/>
          <w:sz w:val="21"/>
          <w:szCs w:val="21"/>
          <w:shd w:val="clear" w:color="auto" w:fill="auto"/>
          <w:lang w:val="en-US" w:eastAsia="zh-CN" w:bidi="ar-SA"/>
        </w:rPr>
      </w:pPr>
      <w:r>
        <w:rPr>
          <w:rFonts w:hint="eastAsia" w:ascii="宋体" w:hAnsi="宋体" w:eastAsia="宋体" w:cs="宋体"/>
          <w:b/>
          <w:color w:val="auto"/>
          <w:kern w:val="0"/>
          <w:sz w:val="21"/>
          <w:szCs w:val="21"/>
          <w:shd w:val="clear" w:color="auto" w:fill="auto"/>
          <w:lang w:val="en-US" w:eastAsia="zh-CN" w:bidi="ar-SA"/>
        </w:rPr>
        <w:t>十二、</w:t>
      </w:r>
      <w:r>
        <w:rPr>
          <w:rFonts w:hint="eastAsia" w:ascii="宋体" w:hAnsi="宋体" w:cs="宋体"/>
          <w:b/>
          <w:color w:val="auto"/>
          <w:kern w:val="0"/>
          <w:sz w:val="21"/>
          <w:szCs w:val="21"/>
          <w:shd w:val="clear" w:color="auto" w:fill="auto"/>
          <w:lang w:val="en-US" w:eastAsia="zh-CN" w:bidi="ar-SA"/>
        </w:rPr>
        <w:t>售后</w:t>
      </w:r>
      <w:r>
        <w:rPr>
          <w:rFonts w:hint="eastAsia" w:ascii="宋体" w:hAnsi="宋体" w:eastAsia="宋体" w:cs="宋体"/>
          <w:b/>
          <w:color w:val="auto"/>
          <w:kern w:val="0"/>
          <w:sz w:val="21"/>
          <w:szCs w:val="21"/>
          <w:shd w:val="clear" w:color="auto" w:fill="auto"/>
          <w:lang w:val="en-US" w:eastAsia="zh-CN" w:bidi="ar-SA"/>
        </w:rPr>
        <w:t>服务</w:t>
      </w:r>
    </w:p>
    <w:p w14:paraId="73F5FB01">
      <w:pPr>
        <w:spacing w:line="440" w:lineRule="exact"/>
        <w:rPr>
          <w:rFonts w:hint="eastAsia" w:ascii="宋体" w:hAnsi="宋体" w:eastAsia="宋体" w:cs="宋体"/>
          <w:color w:val="auto"/>
          <w:kern w:val="0"/>
          <w:sz w:val="21"/>
          <w:szCs w:val="21"/>
          <w:shd w:val="clear" w:color="auto" w:fill="auto"/>
          <w:lang w:val="en-US" w:eastAsia="zh-CN" w:bidi="ar-SA"/>
        </w:rPr>
      </w:pPr>
      <w:r>
        <w:rPr>
          <w:rFonts w:hint="eastAsia" w:ascii="宋体" w:hAnsi="宋体" w:eastAsia="宋体" w:cs="宋体"/>
          <w:color w:val="auto"/>
          <w:kern w:val="0"/>
          <w:sz w:val="21"/>
          <w:szCs w:val="21"/>
          <w:shd w:val="clear" w:color="auto" w:fill="auto"/>
          <w:lang w:val="en-US" w:eastAsia="zh-CN" w:bidi="ar-SA"/>
        </w:rPr>
        <w:t>质保期为</w:t>
      </w:r>
      <w:r>
        <w:rPr>
          <w:rFonts w:hint="eastAsia" w:ascii="宋体" w:hAnsi="宋体" w:cs="宋体"/>
          <w:color w:val="auto"/>
          <w:kern w:val="0"/>
          <w:sz w:val="21"/>
          <w:szCs w:val="21"/>
          <w:shd w:val="clear" w:color="auto" w:fill="auto"/>
          <w:lang w:val="en-US" w:eastAsia="zh-CN" w:bidi="ar-SA"/>
        </w:rPr>
        <w:t xml:space="preserve">   </w:t>
      </w:r>
      <w:r>
        <w:rPr>
          <w:rFonts w:hint="eastAsia" w:ascii="宋体" w:hAnsi="宋体" w:eastAsia="宋体" w:cs="宋体"/>
          <w:color w:val="auto"/>
          <w:kern w:val="0"/>
          <w:sz w:val="21"/>
          <w:szCs w:val="21"/>
          <w:shd w:val="clear" w:color="auto" w:fill="auto"/>
          <w:lang w:val="en-US" w:eastAsia="zh-CN" w:bidi="ar-SA"/>
        </w:rPr>
        <w:t>年。</w:t>
      </w:r>
    </w:p>
    <w:p w14:paraId="71F49DC8">
      <w:pPr>
        <w:spacing w:line="440" w:lineRule="exact"/>
        <w:rPr>
          <w:rFonts w:hint="eastAsia" w:ascii="宋体" w:hAnsi="宋体" w:eastAsia="宋体" w:cs="宋体"/>
          <w:color w:val="auto"/>
          <w:kern w:val="0"/>
          <w:sz w:val="21"/>
          <w:szCs w:val="21"/>
          <w:shd w:val="clear" w:color="auto" w:fill="auto"/>
          <w:lang w:val="en-US" w:eastAsia="zh-CN" w:bidi="ar-SA"/>
        </w:rPr>
      </w:pPr>
      <w:r>
        <w:rPr>
          <w:rFonts w:hint="eastAsia" w:ascii="宋体" w:hAnsi="宋体" w:cs="宋体"/>
          <w:color w:val="auto"/>
          <w:kern w:val="0"/>
          <w:sz w:val="21"/>
          <w:szCs w:val="21"/>
          <w:shd w:val="clear" w:color="auto" w:fill="auto"/>
          <w:lang w:val="en-US" w:eastAsia="zh-CN" w:bidi="ar-SA"/>
        </w:rPr>
        <w:t>1、</w:t>
      </w:r>
      <w:r>
        <w:rPr>
          <w:rFonts w:hint="eastAsia" w:ascii="宋体" w:hAnsi="宋体" w:eastAsia="宋体" w:cs="宋体"/>
          <w:color w:val="auto"/>
          <w:kern w:val="0"/>
          <w:sz w:val="21"/>
          <w:szCs w:val="21"/>
          <w:shd w:val="clear" w:color="auto" w:fill="auto"/>
          <w:lang w:val="en-US" w:eastAsia="zh-CN" w:bidi="ar-SA"/>
        </w:rPr>
        <w:t>质保期内免费维护和维修，在质保期内非人为因素出现的质量问题，须按国家有关规定和要求（如无国家规定和要求的，按承诺和厂方“三包”规定）立即进行免费维修、免费更换有缺陷的零部件、直至免费更换新货物。在质保期内，接到故障报修，</w:t>
      </w:r>
      <w:r>
        <w:rPr>
          <w:rFonts w:hint="eastAsia" w:ascii="宋体" w:hAnsi="宋体" w:cs="宋体"/>
          <w:color w:val="auto"/>
          <w:kern w:val="0"/>
          <w:sz w:val="21"/>
          <w:szCs w:val="21"/>
          <w:shd w:val="clear" w:color="auto" w:fill="auto"/>
          <w:lang w:val="en-US" w:eastAsia="zh-CN" w:bidi="ar-SA"/>
        </w:rPr>
        <w:t>乙方</w:t>
      </w:r>
      <w:r>
        <w:rPr>
          <w:rFonts w:hint="eastAsia" w:ascii="宋体" w:hAnsi="宋体" w:eastAsia="宋体" w:cs="宋体"/>
          <w:color w:val="auto"/>
          <w:kern w:val="0"/>
          <w:sz w:val="21"/>
          <w:szCs w:val="21"/>
          <w:shd w:val="clear" w:color="auto" w:fill="auto"/>
          <w:lang w:val="en-US" w:eastAsia="zh-CN" w:bidi="ar-SA"/>
        </w:rPr>
        <w:t>应全天候回应，回应时间小于2小时，中标人接到采购单位通知后，应在24小时内到达故障现场，抵达现场后8小时恢复设备正常工作，故障排除后应出具书面故障诊断报告备案。如不能修复应提供备品，以保证整个系统的正常运行，</w:t>
      </w:r>
      <w:r>
        <w:rPr>
          <w:rFonts w:hint="eastAsia" w:ascii="宋体" w:hAnsi="宋体" w:cs="宋体"/>
          <w:color w:val="auto"/>
          <w:kern w:val="0"/>
          <w:sz w:val="21"/>
          <w:szCs w:val="21"/>
          <w:shd w:val="clear" w:color="auto" w:fill="auto"/>
          <w:lang w:val="en-US" w:eastAsia="zh-CN" w:bidi="ar-SA"/>
        </w:rPr>
        <w:t>乙方</w:t>
      </w:r>
      <w:r>
        <w:rPr>
          <w:rFonts w:hint="eastAsia" w:ascii="宋体" w:hAnsi="宋体" w:eastAsia="宋体" w:cs="宋体"/>
          <w:color w:val="auto"/>
          <w:kern w:val="0"/>
          <w:sz w:val="21"/>
          <w:szCs w:val="21"/>
          <w:shd w:val="clear" w:color="auto" w:fill="auto"/>
          <w:lang w:val="en-US" w:eastAsia="zh-CN" w:bidi="ar-SA"/>
        </w:rPr>
        <w:t>有其它服务承诺的，一并履行； 若乙方未按前述要求响应或完成故障修复的，甲方有权委托第三方机构进行处理，产生的全部费用由乙方承担</w:t>
      </w:r>
      <w:r>
        <w:rPr>
          <w:rFonts w:hint="eastAsia" w:ascii="宋体" w:hAnsi="宋体" w:cs="宋体"/>
          <w:color w:val="auto"/>
          <w:kern w:val="0"/>
          <w:sz w:val="21"/>
          <w:szCs w:val="21"/>
          <w:shd w:val="clear" w:color="auto" w:fill="auto"/>
          <w:lang w:val="en-US" w:eastAsia="zh-CN" w:bidi="ar-SA"/>
        </w:rPr>
        <w:t>。</w:t>
      </w:r>
      <w:r>
        <w:rPr>
          <w:rFonts w:hint="eastAsia" w:ascii="宋体" w:hAnsi="宋体" w:eastAsia="宋体" w:cs="宋体"/>
          <w:color w:val="auto"/>
          <w:kern w:val="0"/>
          <w:sz w:val="21"/>
          <w:szCs w:val="21"/>
          <w:shd w:val="clear" w:color="auto" w:fill="auto"/>
          <w:lang w:val="en-US" w:eastAsia="zh-CN" w:bidi="ar-SA"/>
        </w:rPr>
        <w:t xml:space="preserve"> </w:t>
      </w:r>
    </w:p>
    <w:p w14:paraId="3F7CBB57">
      <w:pPr>
        <w:spacing w:line="440" w:lineRule="exact"/>
        <w:rPr>
          <w:rFonts w:hint="eastAsia" w:ascii="宋体" w:hAnsi="宋体" w:eastAsia="宋体" w:cs="Times New Roman"/>
          <w:color w:val="auto"/>
          <w:sz w:val="21"/>
          <w:szCs w:val="21"/>
          <w:shd w:val="clear" w:color="auto" w:fill="auto"/>
          <w:lang w:eastAsia="zh-CN" w:bidi="ar-SA"/>
        </w:rPr>
      </w:pPr>
      <w:r>
        <w:rPr>
          <w:rFonts w:hint="eastAsia" w:ascii="宋体" w:hAnsi="宋体" w:cs="宋体"/>
          <w:color w:val="auto"/>
          <w:kern w:val="0"/>
          <w:sz w:val="21"/>
          <w:szCs w:val="21"/>
          <w:shd w:val="clear" w:color="auto" w:fill="auto"/>
          <w:lang w:val="en-US" w:eastAsia="zh-CN" w:bidi="ar-SA"/>
        </w:rPr>
        <w:t>2、</w:t>
      </w:r>
      <w:r>
        <w:rPr>
          <w:rFonts w:hint="eastAsia" w:ascii="宋体" w:hAnsi="宋体" w:eastAsia="宋体" w:cs="宋体"/>
          <w:color w:val="auto"/>
          <w:kern w:val="0"/>
          <w:sz w:val="21"/>
          <w:szCs w:val="21"/>
          <w:shd w:val="clear" w:color="auto" w:fill="auto"/>
          <w:lang w:val="en-US" w:eastAsia="zh-CN" w:bidi="ar-SA"/>
        </w:rPr>
        <w:t>质保期后，维修只收取零配件成本费，免维修费。中标人应对提供的设备实行终身维护</w:t>
      </w:r>
      <w:r>
        <w:rPr>
          <w:rFonts w:hint="eastAsia" w:ascii="宋体" w:hAnsi="宋体" w:eastAsia="宋体" w:cs="Times New Roman"/>
          <w:color w:val="auto"/>
          <w:sz w:val="21"/>
          <w:szCs w:val="21"/>
          <w:shd w:val="clear" w:color="auto" w:fill="auto"/>
          <w:lang w:eastAsia="zh-CN" w:bidi="ar-SA"/>
        </w:rPr>
        <w:t>。</w:t>
      </w:r>
    </w:p>
    <w:p w14:paraId="063D9405">
      <w:pPr>
        <w:spacing w:line="440" w:lineRule="exact"/>
        <w:rPr>
          <w:rFonts w:hint="eastAsia" w:ascii="宋体" w:hAnsi="宋体" w:eastAsia="宋体" w:cs="Times New Roman"/>
          <w:b/>
          <w:bCs/>
          <w:color w:val="auto"/>
          <w:sz w:val="21"/>
          <w:szCs w:val="21"/>
          <w:shd w:val="clear" w:color="auto" w:fill="auto"/>
          <w:lang w:val="en-US" w:eastAsia="zh-CN" w:bidi="ar-SA"/>
        </w:rPr>
      </w:pPr>
      <w:r>
        <w:rPr>
          <w:rFonts w:hint="eastAsia" w:ascii="宋体" w:hAnsi="宋体" w:eastAsia="宋体" w:cs="Times New Roman"/>
          <w:b/>
          <w:bCs/>
          <w:color w:val="auto"/>
          <w:sz w:val="21"/>
          <w:szCs w:val="21"/>
          <w:shd w:val="clear" w:color="auto" w:fill="auto"/>
          <w:lang w:val="en-US" w:eastAsia="zh-CN" w:bidi="ar-SA"/>
        </w:rPr>
        <w:t>十三、安装</w:t>
      </w:r>
    </w:p>
    <w:p w14:paraId="486C0EDE">
      <w:pPr>
        <w:spacing w:line="440" w:lineRule="exact"/>
        <w:rPr>
          <w:rFonts w:hint="eastAsia" w:ascii="宋体" w:hAnsi="宋体" w:eastAsia="宋体" w:cs="Times New Roman"/>
          <w:color w:val="auto"/>
          <w:sz w:val="21"/>
          <w:szCs w:val="21"/>
          <w:shd w:val="clear" w:color="auto" w:fill="auto"/>
          <w:lang w:val="en-US" w:eastAsia="zh-CN" w:bidi="ar-SA"/>
        </w:rPr>
      </w:pPr>
      <w:r>
        <w:rPr>
          <w:rFonts w:hint="eastAsia" w:ascii="宋体" w:hAnsi="宋体" w:eastAsia="宋体" w:cs="Times New Roman"/>
          <w:color w:val="auto"/>
          <w:sz w:val="21"/>
          <w:szCs w:val="21"/>
          <w:shd w:val="clear" w:color="auto" w:fill="auto"/>
          <w:lang w:val="en-US" w:eastAsia="zh-CN" w:bidi="ar-SA"/>
        </w:rPr>
        <w:t>1、乙方须提供与工程建设总进度相适应的安装计划，并须</w:t>
      </w:r>
      <w:r>
        <w:rPr>
          <w:rFonts w:ascii="宋体" w:hAnsi="宋体" w:eastAsia="宋体" w:cs="Times New Roman"/>
          <w:color w:val="auto"/>
          <w:sz w:val="21"/>
          <w:szCs w:val="21"/>
          <w:shd w:val="clear" w:color="auto" w:fill="auto"/>
          <w:lang w:val="en-US" w:eastAsia="zh-CN" w:bidi="ar-SA"/>
        </w:rPr>
        <w:t>取得</w:t>
      </w:r>
      <w:r>
        <w:rPr>
          <w:rFonts w:hint="eastAsia" w:ascii="宋体" w:hAnsi="宋体" w:eastAsia="宋体" w:cs="Times New Roman"/>
          <w:color w:val="auto"/>
          <w:sz w:val="21"/>
          <w:szCs w:val="21"/>
          <w:shd w:val="clear" w:color="auto" w:fill="auto"/>
          <w:lang w:val="en-US" w:eastAsia="zh-CN" w:bidi="ar-SA"/>
        </w:rPr>
        <w:t>甲方</w:t>
      </w:r>
      <w:r>
        <w:t>和</w:t>
      </w:r>
      <w:r>
        <w:rPr>
          <w:rFonts w:hint="eastAsia"/>
          <w:lang w:val="en-US" w:eastAsia="zh-CN"/>
        </w:rPr>
        <w:t>总承包单位</w:t>
      </w:r>
      <w:r>
        <w:rPr>
          <w:lang w:val="en-US" w:eastAsia="zh-CN"/>
        </w:rPr>
        <w:t>的</w:t>
      </w:r>
      <w:r>
        <w:rPr>
          <w:rFonts w:hint="eastAsia" w:ascii="宋体" w:hAnsi="宋体" w:eastAsia="宋体" w:cs="Times New Roman"/>
          <w:color w:val="auto"/>
          <w:sz w:val="21"/>
          <w:szCs w:val="21"/>
          <w:shd w:val="clear" w:color="auto" w:fill="auto"/>
          <w:lang w:val="en-US" w:eastAsia="zh-CN" w:bidi="ar-SA"/>
        </w:rPr>
        <w:t>书面认可。</w:t>
      </w:r>
    </w:p>
    <w:p w14:paraId="0F2661CA">
      <w:pPr>
        <w:spacing w:line="440" w:lineRule="exact"/>
        <w:rPr>
          <w:rFonts w:hint="eastAsia" w:ascii="宋体" w:hAnsi="宋体" w:eastAsia="宋体" w:cs="Times New Roman"/>
          <w:color w:val="auto"/>
          <w:sz w:val="21"/>
          <w:szCs w:val="21"/>
          <w:shd w:val="clear" w:color="auto" w:fill="auto"/>
          <w:lang w:val="en-US" w:eastAsia="zh-CN" w:bidi="ar-SA"/>
        </w:rPr>
      </w:pPr>
      <w:r>
        <w:rPr>
          <w:rFonts w:hint="eastAsia" w:ascii="宋体" w:hAnsi="宋体" w:eastAsia="宋体" w:cs="Times New Roman"/>
          <w:color w:val="auto"/>
          <w:sz w:val="21"/>
          <w:szCs w:val="21"/>
          <w:shd w:val="clear" w:color="auto" w:fill="auto"/>
          <w:lang w:val="en-US" w:eastAsia="zh-CN" w:bidi="ar-SA"/>
        </w:rPr>
        <w:t>2、土建结构建造已完成，任何在结构内的挖掘，都须在具体施工图中标明，并</w:t>
      </w:r>
      <w:r>
        <w:rPr>
          <w:rFonts w:ascii="宋体" w:hAnsi="宋体" w:eastAsia="宋体" w:cs="Times New Roman"/>
          <w:color w:val="auto"/>
          <w:sz w:val="21"/>
          <w:szCs w:val="21"/>
          <w:shd w:val="clear" w:color="auto" w:fill="auto"/>
          <w:lang w:val="en-US" w:eastAsia="zh-CN" w:bidi="ar-SA"/>
        </w:rPr>
        <w:t>取得</w:t>
      </w:r>
      <w:r>
        <w:rPr>
          <w:rFonts w:hint="eastAsia" w:ascii="宋体" w:hAnsi="宋体" w:eastAsia="宋体" w:cs="Times New Roman"/>
          <w:color w:val="auto"/>
          <w:sz w:val="21"/>
          <w:szCs w:val="21"/>
          <w:shd w:val="clear" w:color="auto" w:fill="auto"/>
          <w:lang w:val="en-US" w:eastAsia="zh-CN" w:bidi="ar-SA"/>
        </w:rPr>
        <w:t>甲方</w:t>
      </w:r>
      <w:r>
        <w:t>和总承包单位的</w:t>
      </w:r>
      <w:r>
        <w:rPr>
          <w:rFonts w:hint="eastAsia" w:ascii="宋体" w:hAnsi="宋体" w:eastAsia="宋体" w:cs="Times New Roman"/>
          <w:color w:val="auto"/>
          <w:sz w:val="21"/>
          <w:szCs w:val="21"/>
          <w:shd w:val="clear" w:color="auto" w:fill="auto"/>
          <w:lang w:val="en-US" w:eastAsia="zh-CN" w:bidi="ar-SA"/>
        </w:rPr>
        <w:t>书面认可。</w:t>
      </w:r>
    </w:p>
    <w:p w14:paraId="0C53E053">
      <w:pPr>
        <w:spacing w:line="440" w:lineRule="exact"/>
        <w:rPr>
          <w:rFonts w:hint="eastAsia" w:ascii="宋体" w:hAnsi="宋体" w:eastAsia="宋体" w:cs="Times New Roman"/>
          <w:color w:val="auto"/>
          <w:sz w:val="21"/>
          <w:szCs w:val="21"/>
          <w:shd w:val="clear" w:color="auto" w:fill="auto"/>
          <w:lang w:val="en-US" w:eastAsia="zh-CN" w:bidi="ar-SA"/>
        </w:rPr>
      </w:pPr>
      <w:r>
        <w:rPr>
          <w:rFonts w:hint="eastAsia" w:ascii="宋体" w:hAnsi="宋体" w:eastAsia="宋体" w:cs="Times New Roman"/>
          <w:color w:val="auto"/>
          <w:sz w:val="21"/>
          <w:szCs w:val="21"/>
          <w:shd w:val="clear" w:color="auto" w:fill="auto"/>
          <w:lang w:val="en-US" w:eastAsia="zh-CN" w:bidi="ar-SA"/>
        </w:rPr>
        <w:t>3、现场安装须符合国家的相关条例，服从监理单位和总承包单位的管理和检查。</w:t>
      </w:r>
    </w:p>
    <w:p w14:paraId="7AD2C124">
      <w:pPr>
        <w:spacing w:line="440" w:lineRule="exact"/>
        <w:rPr>
          <w:rFonts w:hint="eastAsia" w:ascii="宋体" w:hAnsi="宋体" w:eastAsia="宋体" w:cs="Times New Roman"/>
          <w:color w:val="auto"/>
          <w:sz w:val="21"/>
          <w:szCs w:val="21"/>
          <w:shd w:val="clear" w:color="auto" w:fill="auto"/>
          <w:lang w:val="en-US" w:eastAsia="zh-CN" w:bidi="ar-SA"/>
        </w:rPr>
      </w:pPr>
      <w:r>
        <w:rPr>
          <w:rFonts w:hint="eastAsia" w:ascii="宋体" w:hAnsi="宋体" w:eastAsia="宋体" w:cs="Times New Roman"/>
          <w:color w:val="auto"/>
          <w:sz w:val="21"/>
          <w:szCs w:val="21"/>
          <w:shd w:val="clear" w:color="auto" w:fill="auto"/>
          <w:lang w:val="en-US" w:eastAsia="zh-CN" w:bidi="ar-SA"/>
        </w:rPr>
        <w:t>4、在安装期间，乙方负责安装中需要的起重、运输、装卸、动力等所需辅助设备及材料，所有这些设备都须符合安全作业要求，安装现场的安全防范工作及设施由乙方负责。</w:t>
      </w:r>
    </w:p>
    <w:p w14:paraId="03EA29CE">
      <w:pPr>
        <w:spacing w:line="440" w:lineRule="exact"/>
        <w:rPr>
          <w:rFonts w:hint="eastAsia" w:ascii="宋体" w:hAnsi="宋体" w:eastAsia="宋体" w:cs="Times New Roman"/>
          <w:color w:val="auto"/>
          <w:sz w:val="21"/>
          <w:szCs w:val="21"/>
          <w:shd w:val="clear" w:color="auto" w:fill="auto"/>
          <w:lang w:val="en-US" w:eastAsia="zh-CN" w:bidi="ar-SA"/>
        </w:rPr>
      </w:pPr>
      <w:r>
        <w:rPr>
          <w:rFonts w:hint="eastAsia" w:ascii="宋体" w:hAnsi="宋体" w:eastAsia="宋体" w:cs="Times New Roman"/>
          <w:color w:val="auto"/>
          <w:sz w:val="21"/>
          <w:szCs w:val="21"/>
          <w:shd w:val="clear" w:color="auto" w:fill="auto"/>
          <w:lang w:val="en-US" w:eastAsia="zh-CN" w:bidi="ar-SA"/>
        </w:rPr>
        <w:t>5、对合同内分期完成的成品和半成品，在工程接收证书颁发前，由乙方承担保护责任。因乙方原因造成成品或半成品损坏的，由乙方负责修复或更换，并承担由此增加的费用和（或）延误的工期。</w:t>
      </w:r>
    </w:p>
    <w:p w14:paraId="7A3518BA">
      <w:pPr>
        <w:spacing w:line="440" w:lineRule="exact"/>
        <w:rPr>
          <w:rFonts w:hint="eastAsia" w:ascii="宋体" w:hAnsi="宋体" w:eastAsia="宋体" w:cs="Times New Roman"/>
          <w:color w:val="auto"/>
          <w:sz w:val="21"/>
          <w:szCs w:val="21"/>
          <w:shd w:val="clear" w:color="auto" w:fill="auto"/>
          <w:lang w:val="en-US" w:eastAsia="zh-CN" w:bidi="ar-SA"/>
        </w:rPr>
      </w:pPr>
      <w:r>
        <w:rPr>
          <w:rFonts w:hint="eastAsia" w:ascii="宋体" w:hAnsi="宋体" w:eastAsia="宋体" w:cs="Times New Roman"/>
          <w:color w:val="auto"/>
          <w:sz w:val="21"/>
          <w:szCs w:val="21"/>
          <w:shd w:val="clear" w:color="auto" w:fill="auto"/>
          <w:lang w:val="en-US" w:eastAsia="zh-CN" w:bidi="ar-SA"/>
        </w:rPr>
        <w:t>6、本项目施工安全由乙方负责。投保安全生产责任险的费用由乙方在投标时自行综合考虑，结算时不再额外计取。</w:t>
      </w:r>
    </w:p>
    <w:p w14:paraId="0C8EF1BB">
      <w:pPr>
        <w:pStyle w:val="2"/>
        <w:rPr>
          <w:rFonts w:hint="eastAsia"/>
          <w:lang w:val="en-US" w:eastAsia="zh-CN"/>
        </w:rPr>
      </w:pPr>
      <w:r>
        <w:rPr>
          <w:rFonts w:hint="eastAsia" w:ascii="宋体" w:hAnsi="宋体"/>
          <w:color w:val="auto"/>
          <w:kern w:val="2"/>
          <w:sz w:val="21"/>
          <w:szCs w:val="21"/>
          <w:shd w:val="clear" w:color="auto" w:fill="auto"/>
          <w:lang w:val="en-US" w:eastAsia="zh-CN"/>
        </w:rPr>
        <w:t>乙方派驻现场的施工、安装人员须具备相应岗位资质，严格服从甲方、监理单位及总承包单位的现场管理，甲方有权要求乙方更换不符合要求的现场人员，乙方须在收到甲方通知后3个工作日内更换为合格人员。</w:t>
      </w:r>
    </w:p>
    <w:p w14:paraId="06C3FCC4">
      <w:pPr>
        <w:widowControl w:val="0"/>
        <w:snapToGrid w:val="0"/>
        <w:spacing w:line="480" w:lineRule="exact"/>
        <w:jc w:val="both"/>
        <w:rPr>
          <w:rFonts w:hint="eastAsia" w:ascii="宋体" w:hAnsi="宋体" w:eastAsia="宋体" w:cs="宋体"/>
          <w:b/>
          <w:color w:val="auto"/>
          <w:kern w:val="0"/>
          <w:sz w:val="21"/>
          <w:szCs w:val="21"/>
          <w:shd w:val="clear" w:color="auto" w:fill="auto"/>
          <w:lang w:val="en-US" w:eastAsia="zh-CN" w:bidi="ar-SA"/>
        </w:rPr>
      </w:pPr>
      <w:r>
        <w:rPr>
          <w:rFonts w:hint="eastAsia" w:ascii="宋体" w:hAnsi="宋体" w:eastAsia="宋体" w:cs="宋体"/>
          <w:b/>
          <w:color w:val="auto"/>
          <w:kern w:val="0"/>
          <w:sz w:val="21"/>
          <w:szCs w:val="21"/>
          <w:shd w:val="clear" w:color="auto" w:fill="auto"/>
          <w:lang w:val="en-US" w:eastAsia="zh-CN" w:bidi="ar-SA"/>
        </w:rPr>
        <w:t>十四、调试和验收</w:t>
      </w:r>
    </w:p>
    <w:p w14:paraId="1A629631">
      <w:pPr>
        <w:widowControl w:val="0"/>
        <w:snapToGrid w:val="0"/>
        <w:spacing w:line="480" w:lineRule="exact"/>
        <w:jc w:val="left"/>
        <w:rPr>
          <w:rFonts w:hint="eastAsia" w:ascii="宋体" w:hAnsi="宋体" w:eastAsia="宋体" w:cs="宋体"/>
          <w:color w:val="auto"/>
          <w:kern w:val="0"/>
          <w:sz w:val="21"/>
          <w:szCs w:val="21"/>
          <w:shd w:val="clear" w:color="auto" w:fill="auto"/>
          <w:lang w:val="en-US" w:eastAsia="zh-CN" w:bidi="ar-SA"/>
        </w:rPr>
      </w:pPr>
      <w:r>
        <w:rPr>
          <w:rFonts w:hint="eastAsia" w:ascii="宋体" w:hAnsi="宋体" w:eastAsia="宋体" w:cs="宋体"/>
          <w:color w:val="auto"/>
          <w:kern w:val="0"/>
          <w:sz w:val="21"/>
          <w:szCs w:val="21"/>
          <w:shd w:val="clear" w:color="auto" w:fill="auto"/>
          <w:lang w:val="en-US" w:eastAsia="zh-CN" w:bidi="ar-SA"/>
        </w:rPr>
        <w:t>1、甲方对乙方提交的货物依据招标文件上的技术规格要求和国家有关质量标准进行现场初步验收，外观、说明书符合招标文件技术要求的，给予签收，初步验收不合格的不予签收。货到后，甲方需在合理期限内组织验收，验收不合格的甲方有权要求乙方整改后重新组织验收，验收期限相应顺延。</w:t>
      </w:r>
    </w:p>
    <w:p w14:paraId="6CEAA1E1">
      <w:pPr>
        <w:widowControl w:val="0"/>
        <w:snapToGrid w:val="0"/>
        <w:spacing w:line="480" w:lineRule="exact"/>
        <w:jc w:val="both"/>
        <w:rPr>
          <w:rFonts w:hint="eastAsia" w:ascii="宋体" w:hAnsi="宋体" w:eastAsia="宋体" w:cs="宋体"/>
          <w:color w:val="auto"/>
          <w:kern w:val="0"/>
          <w:sz w:val="21"/>
          <w:szCs w:val="21"/>
          <w:shd w:val="clear" w:color="auto" w:fill="auto"/>
          <w:lang w:val="en-US" w:eastAsia="zh-CN" w:bidi="ar-SA"/>
        </w:rPr>
      </w:pPr>
      <w:r>
        <w:rPr>
          <w:rFonts w:hint="eastAsia" w:ascii="宋体" w:hAnsi="宋体" w:eastAsia="宋体" w:cs="宋体"/>
          <w:color w:val="auto"/>
          <w:kern w:val="0"/>
          <w:sz w:val="21"/>
          <w:szCs w:val="21"/>
          <w:shd w:val="clear" w:color="auto" w:fill="auto"/>
          <w:lang w:val="en-US" w:eastAsia="zh-CN" w:bidi="ar-SA"/>
        </w:rPr>
        <w:t>2、乙方交货前应对产品作出全面检查和对验收文件进行整理，并列出清单，作为甲方收货验收和使用的技术条件依据，检验的结果应随货物交甲方。</w:t>
      </w:r>
    </w:p>
    <w:p w14:paraId="4E0AEF0A">
      <w:pPr>
        <w:widowControl w:val="0"/>
        <w:snapToGrid w:val="0"/>
        <w:spacing w:line="480" w:lineRule="exact"/>
        <w:jc w:val="both"/>
        <w:rPr>
          <w:rFonts w:hint="eastAsia" w:ascii="宋体" w:hAnsi="宋体" w:eastAsia="宋体" w:cs="宋体"/>
          <w:color w:val="auto"/>
          <w:kern w:val="0"/>
          <w:sz w:val="21"/>
          <w:szCs w:val="21"/>
          <w:shd w:val="clear" w:color="auto" w:fill="auto"/>
          <w:lang w:val="en-US" w:eastAsia="zh-CN" w:bidi="ar-SA"/>
        </w:rPr>
      </w:pPr>
      <w:r>
        <w:rPr>
          <w:rFonts w:hint="eastAsia" w:ascii="宋体" w:hAnsi="宋体" w:eastAsia="宋体" w:cs="宋体"/>
          <w:color w:val="auto"/>
          <w:kern w:val="0"/>
          <w:sz w:val="21"/>
          <w:szCs w:val="21"/>
          <w:shd w:val="clear" w:color="auto" w:fill="auto"/>
          <w:lang w:val="en-US" w:eastAsia="zh-CN" w:bidi="ar-SA"/>
        </w:rPr>
        <w:t>3、甲方对乙方提供的货物在使用前进行调试时，乙方需负责安装并培训甲方的使用操作人员，并协助甲方一起调试，直到符合技术要求，甲方才做最终验收。乙方未按本合同第十四条第3款约定履行培训义务或培训效果未达甲方合理要求的，甲方有权要求乙方重新培训或采取补救措施，因此延误工期或产生其他费用的，由乙方承担。</w:t>
      </w:r>
    </w:p>
    <w:p w14:paraId="24A2E875">
      <w:pPr>
        <w:widowControl w:val="0"/>
        <w:snapToGrid w:val="0"/>
        <w:spacing w:line="480" w:lineRule="exact"/>
        <w:jc w:val="both"/>
        <w:rPr>
          <w:rFonts w:hint="eastAsia" w:ascii="宋体" w:hAnsi="宋体" w:eastAsia="宋体" w:cs="宋体"/>
          <w:color w:val="auto"/>
          <w:kern w:val="0"/>
          <w:sz w:val="21"/>
          <w:szCs w:val="21"/>
          <w:shd w:val="clear" w:color="auto" w:fill="auto"/>
          <w:lang w:val="en-US" w:eastAsia="zh-CN" w:bidi="ar-SA"/>
        </w:rPr>
      </w:pPr>
      <w:r>
        <w:rPr>
          <w:rFonts w:hint="eastAsia" w:ascii="宋体" w:hAnsi="宋体" w:eastAsia="宋体" w:cs="宋体"/>
          <w:color w:val="auto"/>
          <w:kern w:val="0"/>
          <w:sz w:val="21"/>
          <w:szCs w:val="21"/>
          <w:shd w:val="clear" w:color="auto" w:fill="auto"/>
          <w:lang w:val="en-US" w:eastAsia="zh-CN" w:bidi="ar-SA"/>
        </w:rPr>
        <w:t>4、对技术复杂的货物，甲方应请国家认可的专业检测机构参与初步验收及最终验收，并由其出具质量检测报告。</w:t>
      </w:r>
    </w:p>
    <w:p w14:paraId="425872A6">
      <w:pPr>
        <w:widowControl w:val="0"/>
        <w:snapToGrid w:val="0"/>
        <w:spacing w:line="480" w:lineRule="exact"/>
        <w:jc w:val="both"/>
        <w:rPr>
          <w:rFonts w:hint="eastAsia" w:ascii="宋体" w:hAnsi="宋体" w:eastAsia="宋体" w:cs="宋体"/>
          <w:color w:val="auto"/>
          <w:kern w:val="0"/>
          <w:sz w:val="21"/>
          <w:szCs w:val="21"/>
          <w:shd w:val="clear" w:color="auto" w:fill="auto"/>
          <w:lang w:val="en-US" w:eastAsia="zh-CN" w:bidi="ar-SA"/>
        </w:rPr>
      </w:pPr>
      <w:r>
        <w:rPr>
          <w:rFonts w:hint="eastAsia" w:ascii="宋体" w:hAnsi="宋体" w:eastAsia="宋体" w:cs="宋体"/>
          <w:color w:val="auto"/>
          <w:kern w:val="0"/>
          <w:sz w:val="21"/>
          <w:szCs w:val="21"/>
          <w:shd w:val="clear" w:color="auto" w:fill="auto"/>
          <w:lang w:val="en-US" w:eastAsia="zh-CN" w:bidi="ar-SA"/>
        </w:rPr>
        <w:t>5、验收时乙方必须在现场，验收完毕后作出验收结果报告；验收费用由乙方负责。</w:t>
      </w:r>
    </w:p>
    <w:p w14:paraId="6F87A0F9">
      <w:pPr>
        <w:widowControl w:val="0"/>
        <w:snapToGrid w:val="0"/>
        <w:spacing w:line="480" w:lineRule="exact"/>
        <w:jc w:val="both"/>
        <w:rPr>
          <w:rFonts w:hint="eastAsia" w:ascii="宋体" w:hAnsi="宋体" w:eastAsia="宋体" w:cs="宋体"/>
          <w:color w:val="auto"/>
          <w:kern w:val="0"/>
          <w:sz w:val="21"/>
          <w:szCs w:val="21"/>
          <w:shd w:val="clear" w:color="auto" w:fill="auto"/>
          <w:lang w:val="en-US" w:eastAsia="zh-CN" w:bidi="ar-SA"/>
        </w:rPr>
      </w:pPr>
      <w:r>
        <w:rPr>
          <w:rFonts w:hint="eastAsia" w:ascii="宋体" w:hAnsi="宋体" w:cs="宋体"/>
          <w:color w:val="auto"/>
          <w:kern w:val="0"/>
          <w:sz w:val="21"/>
          <w:szCs w:val="21"/>
          <w:shd w:val="clear" w:color="auto" w:fill="auto"/>
          <w:lang w:val="en-US" w:eastAsia="zh-CN" w:bidi="ar-SA"/>
        </w:rPr>
        <w:t>6、</w:t>
      </w:r>
      <w:r>
        <w:rPr>
          <w:rFonts w:hint="eastAsia" w:ascii="宋体" w:hAnsi="宋体" w:eastAsia="宋体" w:cs="宋体"/>
          <w:color w:val="auto"/>
          <w:kern w:val="0"/>
          <w:sz w:val="21"/>
          <w:szCs w:val="21"/>
          <w:shd w:val="clear" w:color="auto" w:fill="auto"/>
          <w:lang w:val="en-US" w:eastAsia="zh-CN" w:bidi="ar-SA"/>
        </w:rPr>
        <w:t>验收要求：乙方须配合甲方及消防主管部门等法定验收机构完成全部验收工作，直至取得合法有效的验收合格文件；验收过程中发现问题的，乙方须在甲方指定的期限内完成整改并承担全部整改费用。</w:t>
      </w:r>
      <w:r>
        <w:rPr>
          <w:rFonts w:hint="eastAsia" w:ascii="宋体" w:hAnsi="宋体" w:cs="宋体"/>
          <w:color w:val="auto"/>
          <w:kern w:val="0"/>
          <w:sz w:val="21"/>
          <w:szCs w:val="21"/>
          <w:shd w:val="clear" w:color="auto" w:fill="auto"/>
          <w:lang w:val="en-US" w:eastAsia="zh-CN" w:bidi="ar-SA"/>
        </w:rPr>
        <w:t>。</w:t>
      </w:r>
    </w:p>
    <w:p w14:paraId="2526377E">
      <w:pPr>
        <w:widowControl w:val="0"/>
        <w:snapToGrid w:val="0"/>
        <w:spacing w:line="480" w:lineRule="exact"/>
        <w:jc w:val="both"/>
        <w:rPr>
          <w:rFonts w:hint="eastAsia" w:ascii="宋体" w:hAnsi="宋体" w:eastAsia="宋体" w:cs="宋体"/>
          <w:b/>
          <w:color w:val="auto"/>
          <w:kern w:val="0"/>
          <w:sz w:val="21"/>
          <w:szCs w:val="21"/>
          <w:shd w:val="clear" w:color="auto" w:fill="auto"/>
          <w:lang w:val="en-US" w:eastAsia="zh-CN" w:bidi="ar-SA"/>
        </w:rPr>
      </w:pPr>
      <w:r>
        <w:rPr>
          <w:rFonts w:hint="eastAsia" w:ascii="宋体" w:hAnsi="宋体" w:eastAsia="宋体" w:cs="宋体"/>
          <w:b/>
          <w:color w:val="auto"/>
          <w:kern w:val="0"/>
          <w:sz w:val="21"/>
          <w:szCs w:val="21"/>
          <w:shd w:val="clear" w:color="auto" w:fill="auto"/>
          <w:lang w:val="en-US" w:eastAsia="zh-CN" w:bidi="ar-SA"/>
        </w:rPr>
        <w:t>十五、货物包装、发运及运输</w:t>
      </w:r>
    </w:p>
    <w:p w14:paraId="31DEC066">
      <w:pPr>
        <w:widowControl w:val="0"/>
        <w:snapToGrid w:val="0"/>
        <w:spacing w:line="480" w:lineRule="exact"/>
        <w:jc w:val="both"/>
        <w:rPr>
          <w:rFonts w:hint="eastAsia" w:ascii="宋体" w:hAnsi="宋体" w:eastAsia="宋体" w:cs="宋体"/>
          <w:color w:val="auto"/>
          <w:kern w:val="0"/>
          <w:sz w:val="21"/>
          <w:szCs w:val="21"/>
          <w:shd w:val="clear" w:color="auto" w:fill="auto"/>
          <w:lang w:val="en-US" w:eastAsia="zh-CN" w:bidi="ar-SA"/>
        </w:rPr>
      </w:pPr>
      <w:r>
        <w:rPr>
          <w:rFonts w:hint="eastAsia" w:ascii="宋体" w:hAnsi="宋体" w:eastAsia="宋体" w:cs="宋体"/>
          <w:color w:val="auto"/>
          <w:kern w:val="0"/>
          <w:sz w:val="21"/>
          <w:szCs w:val="21"/>
          <w:shd w:val="clear" w:color="auto" w:fill="auto"/>
          <w:lang w:val="en-US" w:eastAsia="zh-CN" w:bidi="ar-SA"/>
        </w:rPr>
        <w:t>1、乙方应在货物发运前对其进行满足运输距离、防潮、防震、防锈和防破损装卸等要求包装，以保证货物安全运达甲方指定地点。</w:t>
      </w:r>
    </w:p>
    <w:p w14:paraId="7640ECD3">
      <w:pPr>
        <w:widowControl w:val="0"/>
        <w:snapToGrid w:val="0"/>
        <w:spacing w:line="480" w:lineRule="exact"/>
        <w:ind w:left="420" w:hanging="420" w:hangingChars="200"/>
        <w:jc w:val="both"/>
        <w:rPr>
          <w:rFonts w:hint="eastAsia" w:ascii="宋体" w:hAnsi="宋体" w:eastAsia="宋体" w:cs="宋体"/>
          <w:color w:val="auto"/>
          <w:kern w:val="0"/>
          <w:sz w:val="21"/>
          <w:szCs w:val="21"/>
          <w:shd w:val="clear" w:color="auto" w:fill="auto"/>
          <w:lang w:val="en-US" w:eastAsia="zh-CN" w:bidi="ar-SA"/>
        </w:rPr>
      </w:pPr>
      <w:r>
        <w:rPr>
          <w:rFonts w:hint="eastAsia" w:ascii="宋体" w:hAnsi="宋体" w:eastAsia="宋体" w:cs="宋体"/>
          <w:color w:val="auto"/>
          <w:kern w:val="0"/>
          <w:sz w:val="21"/>
          <w:szCs w:val="21"/>
          <w:shd w:val="clear" w:color="auto" w:fill="auto"/>
          <w:lang w:val="en-US" w:eastAsia="zh-CN" w:bidi="ar-SA"/>
        </w:rPr>
        <w:t>2、使用说明书、质量检验证明书、随配附件和工具以及清单一并附于货物内。</w:t>
      </w:r>
    </w:p>
    <w:p w14:paraId="51ABCEE8">
      <w:pPr>
        <w:widowControl w:val="0"/>
        <w:snapToGrid w:val="0"/>
        <w:spacing w:line="480" w:lineRule="exact"/>
        <w:jc w:val="both"/>
        <w:rPr>
          <w:rFonts w:hint="eastAsia" w:ascii="宋体" w:hAnsi="宋体" w:eastAsia="宋体" w:cs="宋体"/>
          <w:color w:val="auto"/>
          <w:kern w:val="0"/>
          <w:sz w:val="21"/>
          <w:szCs w:val="21"/>
          <w:shd w:val="clear" w:color="auto" w:fill="auto"/>
          <w:lang w:val="en-US" w:eastAsia="zh-CN" w:bidi="ar-SA"/>
        </w:rPr>
      </w:pPr>
      <w:r>
        <w:rPr>
          <w:rFonts w:hint="eastAsia" w:ascii="宋体" w:hAnsi="宋体" w:eastAsia="宋体" w:cs="宋体"/>
          <w:color w:val="auto"/>
          <w:kern w:val="0"/>
          <w:sz w:val="21"/>
          <w:szCs w:val="21"/>
          <w:shd w:val="clear" w:color="auto" w:fill="auto"/>
          <w:lang w:val="en-US" w:eastAsia="zh-CN" w:bidi="ar-SA"/>
        </w:rPr>
        <w:t>3、乙方在货物发运手续办理完毕后24小时内或货到甲方48小时前通知甲方，以准备接货。</w:t>
      </w:r>
    </w:p>
    <w:p w14:paraId="71D160F9">
      <w:pPr>
        <w:widowControl w:val="0"/>
        <w:snapToGrid w:val="0"/>
        <w:spacing w:line="480" w:lineRule="exact"/>
        <w:ind w:left="420" w:hanging="420" w:hangingChars="200"/>
        <w:jc w:val="both"/>
        <w:rPr>
          <w:rFonts w:hint="eastAsia" w:ascii="宋体" w:hAnsi="宋体" w:eastAsia="宋体" w:cs="宋体"/>
          <w:color w:val="auto"/>
          <w:kern w:val="0"/>
          <w:sz w:val="21"/>
          <w:szCs w:val="21"/>
          <w:shd w:val="clear" w:color="auto" w:fill="auto"/>
          <w:lang w:val="en-US" w:eastAsia="zh-CN" w:bidi="ar-SA"/>
        </w:rPr>
      </w:pPr>
      <w:r>
        <w:rPr>
          <w:rFonts w:hint="eastAsia" w:ascii="宋体" w:hAnsi="宋体" w:eastAsia="宋体" w:cs="宋体"/>
          <w:color w:val="auto"/>
          <w:kern w:val="0"/>
          <w:sz w:val="21"/>
          <w:szCs w:val="21"/>
          <w:shd w:val="clear" w:color="auto" w:fill="auto"/>
          <w:lang w:val="en-US" w:eastAsia="zh-CN" w:bidi="ar-SA"/>
        </w:rPr>
        <w:t>4、货物在甲方</w:t>
      </w:r>
      <w:r>
        <w:rPr>
          <w:rFonts w:hint="eastAsia" w:ascii="宋体" w:hAnsi="宋体" w:cs="宋体"/>
          <w:color w:val="auto"/>
          <w:kern w:val="0"/>
          <w:sz w:val="21"/>
          <w:szCs w:val="21"/>
          <w:shd w:val="clear" w:color="auto" w:fill="auto"/>
          <w:lang w:val="en-US" w:eastAsia="zh-CN" w:bidi="ar-SA"/>
        </w:rPr>
        <w:t>验收完成</w:t>
      </w:r>
      <w:r>
        <w:rPr>
          <w:rFonts w:hint="eastAsia" w:ascii="宋体" w:hAnsi="宋体" w:eastAsia="宋体" w:cs="宋体"/>
          <w:color w:val="auto"/>
          <w:kern w:val="0"/>
          <w:sz w:val="21"/>
          <w:szCs w:val="21"/>
          <w:shd w:val="clear" w:color="auto" w:fill="auto"/>
          <w:lang w:val="en-US" w:eastAsia="zh-CN" w:bidi="ar-SA"/>
        </w:rPr>
        <w:t>前发生的风险均由乙方负责。</w:t>
      </w:r>
    </w:p>
    <w:p w14:paraId="7EE3814A">
      <w:pPr>
        <w:widowControl w:val="0"/>
        <w:snapToGrid w:val="0"/>
        <w:spacing w:line="480" w:lineRule="exact"/>
        <w:ind w:right="26"/>
        <w:jc w:val="both"/>
        <w:rPr>
          <w:rFonts w:hint="eastAsia" w:ascii="宋体" w:hAnsi="宋体" w:eastAsia="宋体" w:cs="宋体"/>
          <w:color w:val="auto"/>
          <w:kern w:val="0"/>
          <w:sz w:val="21"/>
          <w:szCs w:val="21"/>
          <w:shd w:val="clear" w:color="auto" w:fill="auto"/>
          <w:lang w:val="en-US" w:eastAsia="zh-CN" w:bidi="ar-SA"/>
        </w:rPr>
      </w:pPr>
      <w:r>
        <w:rPr>
          <w:rFonts w:hint="eastAsia" w:ascii="宋体" w:hAnsi="宋体" w:eastAsia="宋体" w:cs="宋体"/>
          <w:color w:val="auto"/>
          <w:kern w:val="0"/>
          <w:sz w:val="21"/>
          <w:szCs w:val="21"/>
          <w:shd w:val="clear" w:color="auto" w:fill="auto"/>
          <w:lang w:val="en-US" w:eastAsia="zh-CN" w:bidi="ar-SA"/>
        </w:rPr>
        <w:t>5、货物在规定的交付期限内由乙方送达甲方指定的地点视为交付，乙方同时需通知甲方货物已送达。</w:t>
      </w:r>
    </w:p>
    <w:p w14:paraId="4807CD33">
      <w:pPr>
        <w:widowControl w:val="0"/>
        <w:snapToGrid w:val="0"/>
        <w:spacing w:line="480" w:lineRule="exact"/>
        <w:jc w:val="both"/>
        <w:rPr>
          <w:rFonts w:hint="eastAsia" w:ascii="宋体" w:hAnsi="宋体" w:eastAsia="宋体" w:cs="宋体"/>
          <w:b/>
          <w:color w:val="auto"/>
          <w:kern w:val="0"/>
          <w:sz w:val="21"/>
          <w:szCs w:val="21"/>
          <w:shd w:val="clear" w:color="auto" w:fill="auto"/>
          <w:lang w:val="en-US" w:eastAsia="zh-CN" w:bidi="ar-SA"/>
        </w:rPr>
      </w:pPr>
      <w:r>
        <w:rPr>
          <w:rFonts w:hint="eastAsia" w:ascii="宋体" w:hAnsi="宋体" w:eastAsia="宋体" w:cs="宋体"/>
          <w:b/>
          <w:color w:val="auto"/>
          <w:kern w:val="0"/>
          <w:sz w:val="21"/>
          <w:szCs w:val="21"/>
          <w:shd w:val="clear" w:color="auto" w:fill="auto"/>
          <w:lang w:val="en-US" w:eastAsia="zh-CN" w:bidi="ar-SA"/>
        </w:rPr>
        <w:t>十六、违约责任</w:t>
      </w:r>
    </w:p>
    <w:p w14:paraId="7D4FAB4B">
      <w:pPr>
        <w:widowControl w:val="0"/>
        <w:snapToGrid w:val="0"/>
        <w:spacing w:line="480" w:lineRule="exact"/>
        <w:ind w:left="359" w:hanging="359" w:hangingChars="171"/>
        <w:jc w:val="both"/>
        <w:rPr>
          <w:rFonts w:hint="eastAsia" w:ascii="宋体" w:hAnsi="宋体" w:eastAsia="宋体" w:cs="宋体"/>
          <w:color w:val="auto"/>
          <w:kern w:val="0"/>
          <w:sz w:val="21"/>
          <w:szCs w:val="21"/>
          <w:shd w:val="clear" w:color="auto" w:fill="auto"/>
          <w:lang w:val="en-US" w:eastAsia="zh-CN" w:bidi="ar-SA"/>
        </w:rPr>
      </w:pPr>
      <w:r>
        <w:rPr>
          <w:rFonts w:hint="eastAsia" w:ascii="宋体" w:hAnsi="宋体" w:eastAsia="宋体" w:cs="宋体"/>
          <w:color w:val="auto"/>
          <w:kern w:val="0"/>
          <w:sz w:val="21"/>
          <w:szCs w:val="21"/>
          <w:shd w:val="clear" w:color="auto" w:fill="auto"/>
          <w:lang w:val="en-US" w:eastAsia="zh-CN" w:bidi="ar-SA"/>
        </w:rPr>
        <w:t>1、甲方无正当理由拒收货物的，甲方向乙方偿付拒收货款总值的百分之五违约金。</w:t>
      </w:r>
    </w:p>
    <w:p w14:paraId="0003303C">
      <w:pPr>
        <w:widowControl w:val="0"/>
        <w:snapToGrid w:val="0"/>
        <w:spacing w:line="480" w:lineRule="exact"/>
        <w:jc w:val="both"/>
        <w:rPr>
          <w:rFonts w:hint="eastAsia" w:ascii="宋体" w:hAnsi="宋体" w:eastAsia="宋体" w:cs="宋体"/>
          <w:color w:val="auto"/>
          <w:kern w:val="0"/>
          <w:sz w:val="21"/>
          <w:szCs w:val="21"/>
          <w:shd w:val="clear" w:color="auto" w:fill="auto"/>
          <w:lang w:val="en-US" w:eastAsia="zh-CN" w:bidi="ar-SA"/>
        </w:rPr>
      </w:pPr>
      <w:r>
        <w:rPr>
          <w:rFonts w:hint="eastAsia" w:ascii="宋体" w:hAnsi="宋体" w:eastAsia="宋体" w:cs="宋体"/>
          <w:color w:val="auto"/>
          <w:kern w:val="0"/>
          <w:sz w:val="21"/>
          <w:szCs w:val="21"/>
          <w:shd w:val="clear" w:color="auto" w:fill="auto"/>
          <w:lang w:val="en-US" w:eastAsia="zh-CN" w:bidi="ar-SA"/>
        </w:rPr>
        <w:t>2、甲方无故逾期验收和办理货款支付手续的,</w:t>
      </w:r>
      <w:r>
        <w:rPr>
          <w:rFonts w:hint="eastAsia" w:hAnsi="宋体" w:cs="宋体"/>
          <w:sz w:val="21"/>
          <w:szCs w:val="21"/>
          <w:highlight w:val="none"/>
          <w:lang w:bidi="ar-SA"/>
        </w:rPr>
        <w:t>甲方应按逾期付款总额按同期全国银行间同业拆借中心公布的一年期贷款市场报价利率向乙方支付违约金</w:t>
      </w:r>
      <w:r>
        <w:rPr>
          <w:rFonts w:hint="eastAsia" w:ascii="宋体" w:hAnsi="宋体" w:eastAsia="宋体" w:cs="宋体"/>
          <w:color w:val="auto"/>
          <w:kern w:val="0"/>
          <w:sz w:val="21"/>
          <w:szCs w:val="21"/>
          <w:shd w:val="clear" w:color="auto" w:fill="auto"/>
          <w:lang w:val="en-US" w:eastAsia="zh-CN" w:bidi="ar-SA"/>
        </w:rPr>
        <w:t>，时间为从约定应付之日起至支付之日止计算利息。</w:t>
      </w:r>
    </w:p>
    <w:p w14:paraId="0000F18A">
      <w:pPr>
        <w:widowControl w:val="0"/>
        <w:snapToGrid w:val="0"/>
        <w:spacing w:line="480" w:lineRule="exact"/>
        <w:jc w:val="both"/>
        <w:rPr>
          <w:rFonts w:hint="eastAsia" w:ascii="宋体" w:hAnsi="宋体" w:eastAsia="宋体" w:cs="宋体"/>
          <w:color w:val="auto"/>
          <w:kern w:val="0"/>
          <w:sz w:val="21"/>
          <w:szCs w:val="21"/>
          <w:shd w:val="clear" w:color="auto" w:fill="auto"/>
          <w:lang w:val="en-US" w:eastAsia="zh-CN" w:bidi="ar-SA"/>
        </w:rPr>
      </w:pPr>
      <w:r>
        <w:rPr>
          <w:rFonts w:hint="eastAsia" w:ascii="宋体" w:hAnsi="宋体" w:eastAsia="宋体" w:cs="宋体"/>
          <w:color w:val="auto"/>
          <w:kern w:val="0"/>
          <w:sz w:val="21"/>
          <w:szCs w:val="21"/>
          <w:shd w:val="clear" w:color="auto" w:fill="auto"/>
          <w:lang w:val="en-US" w:eastAsia="zh-CN" w:bidi="ar-SA"/>
        </w:rPr>
        <w:t>3、乙方逾期</w:t>
      </w:r>
      <w:r>
        <w:rPr>
          <w:rFonts w:hint="eastAsia" w:ascii="宋体" w:hAnsi="宋体" w:cs="宋体"/>
          <w:color w:val="auto"/>
          <w:kern w:val="0"/>
          <w:sz w:val="21"/>
          <w:szCs w:val="21"/>
          <w:shd w:val="clear" w:color="auto" w:fill="auto"/>
          <w:lang w:val="en-US" w:eastAsia="zh-CN" w:bidi="ar-SA"/>
        </w:rPr>
        <w:t>供货安装</w:t>
      </w:r>
      <w:r>
        <w:rPr>
          <w:rFonts w:hint="eastAsia" w:ascii="宋体" w:hAnsi="宋体" w:eastAsia="宋体" w:cs="宋体"/>
          <w:color w:val="auto"/>
          <w:kern w:val="0"/>
          <w:sz w:val="21"/>
          <w:szCs w:val="21"/>
          <w:shd w:val="clear" w:color="auto" w:fill="auto"/>
          <w:lang w:val="en-US" w:eastAsia="zh-CN" w:bidi="ar-SA"/>
        </w:rPr>
        <w:t>的，乙方应按逾期交货总额每日千分之六向甲方支付违约金，甲方</w:t>
      </w:r>
      <w:r>
        <w:rPr>
          <w:rFonts w:hint="eastAsia" w:ascii="宋体" w:hAnsi="宋体" w:cs="宋体"/>
          <w:color w:val="auto"/>
          <w:kern w:val="0"/>
          <w:sz w:val="21"/>
          <w:szCs w:val="21"/>
          <w:shd w:val="clear" w:color="auto" w:fill="auto"/>
          <w:lang w:val="en-US" w:eastAsia="zh-CN" w:bidi="ar-SA"/>
        </w:rPr>
        <w:t>有权</w:t>
      </w:r>
      <w:r>
        <w:rPr>
          <w:rFonts w:hint="eastAsia" w:ascii="宋体" w:hAnsi="宋体" w:eastAsia="宋体" w:cs="宋体"/>
          <w:color w:val="auto"/>
          <w:kern w:val="0"/>
          <w:sz w:val="21"/>
          <w:szCs w:val="21"/>
          <w:shd w:val="clear" w:color="auto" w:fill="auto"/>
          <w:lang w:val="en-US" w:eastAsia="zh-CN" w:bidi="ar-SA"/>
        </w:rPr>
        <w:t>从待付乙方货款中扣除。乙方逾期超过约定日期10个工作日不能交货的，甲方可解除本合同。乙方因逾期</w:t>
      </w:r>
      <w:r>
        <w:rPr>
          <w:rFonts w:hint="eastAsia" w:ascii="宋体" w:hAnsi="宋体" w:cs="宋体"/>
          <w:color w:val="auto"/>
          <w:kern w:val="0"/>
          <w:sz w:val="21"/>
          <w:szCs w:val="21"/>
          <w:shd w:val="clear" w:color="auto" w:fill="auto"/>
          <w:lang w:val="en-US" w:eastAsia="zh-CN" w:bidi="ar-SA"/>
        </w:rPr>
        <w:t>供货安装</w:t>
      </w:r>
      <w:r>
        <w:rPr>
          <w:rFonts w:hint="eastAsia" w:ascii="宋体" w:hAnsi="宋体" w:eastAsia="宋体" w:cs="宋体"/>
          <w:color w:val="auto"/>
          <w:kern w:val="0"/>
          <w:sz w:val="21"/>
          <w:szCs w:val="21"/>
          <w:shd w:val="clear" w:color="auto" w:fill="auto"/>
          <w:lang w:val="en-US" w:eastAsia="zh-CN" w:bidi="ar-SA"/>
        </w:rPr>
        <w:t>或因其他违约行为导致甲方解除合同的，履约保证金不予退回</w:t>
      </w:r>
      <w:r>
        <w:rPr>
          <w:rFonts w:hint="eastAsia" w:ascii="宋体" w:hAnsi="宋体" w:cs="宋体"/>
          <w:color w:val="auto"/>
          <w:kern w:val="0"/>
          <w:sz w:val="21"/>
          <w:szCs w:val="21"/>
          <w:shd w:val="clear" w:color="auto" w:fill="auto"/>
          <w:lang w:val="en-US" w:eastAsia="zh-CN" w:bidi="ar-SA"/>
        </w:rPr>
        <w:t>，乙方还应赔偿甲方全部损失，损失范围包括但不限于重新采购的差价、工期延误损失、甲方向第三方支付的违约金、维权产生的合理费用等。</w:t>
      </w:r>
      <w:r>
        <w:rPr>
          <w:rFonts w:hint="eastAsia" w:ascii="宋体" w:hAnsi="宋体" w:eastAsia="宋体" w:cs="宋体"/>
          <w:color w:val="auto"/>
          <w:kern w:val="0"/>
          <w:sz w:val="21"/>
          <w:szCs w:val="21"/>
          <w:shd w:val="clear" w:color="auto" w:fill="auto"/>
          <w:lang w:val="en-US" w:eastAsia="zh-CN" w:bidi="ar-SA"/>
        </w:rPr>
        <w:t xml:space="preserve"> </w:t>
      </w:r>
    </w:p>
    <w:p w14:paraId="01EF2D0E">
      <w:pPr>
        <w:widowControl w:val="0"/>
        <w:snapToGrid w:val="0"/>
        <w:spacing w:line="480" w:lineRule="exact"/>
        <w:jc w:val="both"/>
        <w:rPr>
          <w:rFonts w:hint="eastAsia" w:ascii="宋体" w:hAnsi="宋体" w:eastAsia="宋体" w:cs="宋体"/>
          <w:color w:val="auto"/>
          <w:kern w:val="0"/>
          <w:sz w:val="21"/>
          <w:szCs w:val="21"/>
          <w:shd w:val="clear" w:color="auto" w:fill="auto"/>
          <w:lang w:val="en-US" w:eastAsia="zh-CN" w:bidi="ar-SA"/>
        </w:rPr>
      </w:pPr>
      <w:r>
        <w:rPr>
          <w:rFonts w:hint="eastAsia" w:ascii="宋体" w:hAnsi="宋体" w:eastAsia="宋体" w:cs="宋体"/>
          <w:color w:val="auto"/>
          <w:kern w:val="0"/>
          <w:sz w:val="21"/>
          <w:szCs w:val="21"/>
          <w:shd w:val="clear" w:color="auto" w:fill="auto"/>
          <w:lang w:val="en-US" w:eastAsia="zh-CN" w:bidi="ar-SA"/>
        </w:rPr>
        <w:t>4、乙方所交的货物品种、型号、规格、技术参数、质量不符合合同规定及招标文件规定标准的，甲方有权拒收该货物，乙方愿意更换货物但逾期交货的，按乙方逾期交货处理。乙方拒绝更换货物的，甲方可单方面解除合同，履约保证金不予退回</w:t>
      </w:r>
      <w:r>
        <w:rPr>
          <w:rFonts w:hint="eastAsia" w:ascii="宋体" w:hAnsi="宋体" w:cs="宋体"/>
          <w:color w:val="auto"/>
          <w:kern w:val="0"/>
          <w:sz w:val="21"/>
          <w:szCs w:val="21"/>
          <w:shd w:val="clear" w:color="auto" w:fill="auto"/>
          <w:lang w:val="en-US" w:eastAsia="zh-CN" w:bidi="ar-SA"/>
        </w:rPr>
        <w:t>，对甲方造成的损失超过履约保证金的，乙方承担继续赔偿的责任</w:t>
      </w:r>
      <w:r>
        <w:rPr>
          <w:rFonts w:hint="eastAsia" w:ascii="宋体" w:hAnsi="宋体" w:eastAsia="宋体" w:cs="宋体"/>
          <w:color w:val="auto"/>
          <w:kern w:val="0"/>
          <w:sz w:val="21"/>
          <w:szCs w:val="21"/>
          <w:shd w:val="clear" w:color="auto" w:fill="auto"/>
          <w:lang w:val="en-US" w:eastAsia="zh-CN" w:bidi="ar-SA"/>
        </w:rPr>
        <w:t>。</w:t>
      </w:r>
    </w:p>
    <w:p w14:paraId="134E5032">
      <w:pPr>
        <w:widowControl w:val="0"/>
        <w:snapToGrid w:val="0"/>
        <w:spacing w:line="480" w:lineRule="exact"/>
        <w:jc w:val="both"/>
        <w:rPr>
          <w:rFonts w:hint="eastAsia" w:ascii="宋体" w:hAnsi="宋体" w:eastAsia="宋体" w:cs="宋体"/>
          <w:color w:val="auto"/>
          <w:kern w:val="0"/>
          <w:sz w:val="21"/>
          <w:szCs w:val="21"/>
          <w:shd w:val="clear" w:color="auto" w:fill="auto"/>
          <w:lang w:val="en-US" w:eastAsia="zh-CN" w:bidi="ar-SA"/>
        </w:rPr>
      </w:pPr>
      <w:r>
        <w:rPr>
          <w:rFonts w:hint="eastAsia" w:ascii="宋体" w:hAnsi="宋体" w:eastAsia="宋体" w:cs="宋体"/>
          <w:color w:val="auto"/>
          <w:kern w:val="0"/>
          <w:sz w:val="21"/>
          <w:szCs w:val="21"/>
          <w:shd w:val="clear" w:color="auto" w:fill="auto"/>
          <w:lang w:val="en-US" w:eastAsia="zh-CN" w:bidi="ar-SA"/>
        </w:rPr>
        <w:t>5、乙方应按国家相关规定要求做好现场防护工作，甲方现场检查发现乙方未做好安全防护的，每次</w:t>
      </w:r>
      <w:r>
        <w:rPr>
          <w:rFonts w:hint="eastAsia" w:ascii="宋体" w:hAnsi="宋体" w:cs="宋体"/>
          <w:color w:val="auto"/>
          <w:kern w:val="0"/>
          <w:sz w:val="21"/>
          <w:szCs w:val="21"/>
          <w:shd w:val="clear" w:color="auto" w:fill="auto"/>
          <w:lang w:val="en-US" w:eastAsia="zh-CN" w:bidi="ar-SA"/>
        </w:rPr>
        <w:t>可要求乙方支付违约金5000</w:t>
      </w:r>
      <w:r>
        <w:rPr>
          <w:rFonts w:hint="eastAsia" w:ascii="宋体" w:hAnsi="宋体" w:eastAsia="宋体" w:cs="宋体"/>
          <w:color w:val="auto"/>
          <w:kern w:val="0"/>
          <w:sz w:val="21"/>
          <w:szCs w:val="21"/>
          <w:shd w:val="clear" w:color="auto" w:fill="auto"/>
          <w:lang w:val="en-US" w:eastAsia="zh-CN" w:bidi="ar-SA"/>
        </w:rPr>
        <w:t>元</w:t>
      </w:r>
      <w:r>
        <w:rPr>
          <w:rFonts w:hint="eastAsia" w:ascii="宋体" w:hAnsi="宋体" w:cs="宋体"/>
          <w:color w:val="auto"/>
          <w:kern w:val="0"/>
          <w:sz w:val="21"/>
          <w:szCs w:val="21"/>
          <w:shd w:val="clear" w:color="auto" w:fill="auto"/>
          <w:lang w:val="en-US" w:eastAsia="zh-CN" w:bidi="ar-SA"/>
        </w:rPr>
        <w:t>，甲方有权从待付乙方货款中扣除</w:t>
      </w:r>
      <w:r>
        <w:rPr>
          <w:rFonts w:hint="eastAsia" w:ascii="宋体" w:hAnsi="宋体" w:eastAsia="宋体" w:cs="宋体"/>
          <w:color w:val="auto"/>
          <w:kern w:val="0"/>
          <w:sz w:val="21"/>
          <w:szCs w:val="21"/>
          <w:shd w:val="clear" w:color="auto" w:fill="auto"/>
          <w:lang w:val="en-US" w:eastAsia="zh-CN" w:bidi="ar-SA"/>
        </w:rPr>
        <w:t>。因乙方未做好安全防护造成的安全责任由乙方承担。</w:t>
      </w:r>
    </w:p>
    <w:p w14:paraId="032CDAAC">
      <w:pPr>
        <w:widowControl w:val="0"/>
        <w:snapToGrid w:val="0"/>
        <w:spacing w:line="480" w:lineRule="exact"/>
        <w:jc w:val="both"/>
        <w:rPr>
          <w:rFonts w:hint="eastAsia" w:ascii="宋体" w:hAnsi="宋体" w:eastAsia="宋体" w:cs="宋体"/>
          <w:b/>
          <w:color w:val="auto"/>
          <w:kern w:val="0"/>
          <w:sz w:val="21"/>
          <w:szCs w:val="21"/>
          <w:shd w:val="clear" w:color="auto" w:fill="auto"/>
          <w:lang w:val="en-US" w:eastAsia="zh-CN" w:bidi="ar-SA"/>
        </w:rPr>
      </w:pPr>
      <w:r>
        <w:rPr>
          <w:rFonts w:hint="eastAsia" w:ascii="宋体" w:hAnsi="宋体" w:eastAsia="宋体" w:cs="宋体"/>
          <w:b/>
          <w:color w:val="auto"/>
          <w:kern w:val="0"/>
          <w:sz w:val="21"/>
          <w:szCs w:val="21"/>
          <w:shd w:val="clear" w:color="auto" w:fill="auto"/>
          <w:lang w:val="en-US" w:eastAsia="zh-CN" w:bidi="ar-SA"/>
        </w:rPr>
        <w:t>十七、不可抗力事件处理</w:t>
      </w:r>
    </w:p>
    <w:p w14:paraId="11021E70">
      <w:pPr>
        <w:widowControl w:val="0"/>
        <w:snapToGrid w:val="0"/>
        <w:spacing w:line="480" w:lineRule="exact"/>
        <w:jc w:val="both"/>
        <w:rPr>
          <w:rFonts w:hint="eastAsia" w:ascii="宋体" w:hAnsi="宋体" w:eastAsia="宋体" w:cs="宋体"/>
          <w:color w:val="auto"/>
          <w:kern w:val="0"/>
          <w:sz w:val="21"/>
          <w:szCs w:val="21"/>
          <w:shd w:val="clear" w:color="auto" w:fill="auto"/>
          <w:lang w:val="en-US" w:eastAsia="zh-CN" w:bidi="ar-SA"/>
        </w:rPr>
      </w:pPr>
      <w:r>
        <w:rPr>
          <w:rFonts w:hint="eastAsia" w:ascii="宋体" w:hAnsi="宋体" w:eastAsia="宋体" w:cs="宋体"/>
          <w:color w:val="auto"/>
          <w:kern w:val="0"/>
          <w:sz w:val="21"/>
          <w:szCs w:val="21"/>
          <w:shd w:val="clear" w:color="auto" w:fill="auto"/>
          <w:lang w:val="en-US" w:eastAsia="zh-CN" w:bidi="ar-SA"/>
        </w:rPr>
        <w:t>1、在合同有效期内，任何一方因不可抗力事件导致不能履行合同，则合同履行期可延长，其延长期与不可抗力影响期相同。</w:t>
      </w:r>
    </w:p>
    <w:p w14:paraId="6AF16685">
      <w:pPr>
        <w:widowControl w:val="0"/>
        <w:snapToGrid w:val="0"/>
        <w:spacing w:line="480" w:lineRule="exact"/>
        <w:jc w:val="both"/>
        <w:rPr>
          <w:rFonts w:hint="eastAsia" w:ascii="宋体" w:hAnsi="宋体" w:eastAsia="宋体" w:cs="宋体"/>
          <w:color w:val="auto"/>
          <w:kern w:val="0"/>
          <w:sz w:val="21"/>
          <w:szCs w:val="21"/>
          <w:shd w:val="clear" w:color="auto" w:fill="auto"/>
          <w:lang w:val="en-US" w:eastAsia="zh-CN" w:bidi="ar-SA"/>
        </w:rPr>
      </w:pPr>
      <w:r>
        <w:rPr>
          <w:rFonts w:hint="eastAsia" w:ascii="宋体" w:hAnsi="宋体" w:eastAsia="宋体" w:cs="宋体"/>
          <w:color w:val="auto"/>
          <w:kern w:val="0"/>
          <w:sz w:val="21"/>
          <w:szCs w:val="21"/>
          <w:shd w:val="clear" w:color="auto" w:fill="auto"/>
          <w:lang w:val="en-US" w:eastAsia="zh-CN" w:bidi="ar-SA"/>
        </w:rPr>
        <w:t>2、不可抗力事件发生后，应立即通知对方，并寄送有关权威机构出具的证明。</w:t>
      </w:r>
    </w:p>
    <w:p w14:paraId="340BDDF7">
      <w:pPr>
        <w:widowControl w:val="0"/>
        <w:snapToGrid w:val="0"/>
        <w:spacing w:line="480" w:lineRule="exact"/>
        <w:jc w:val="both"/>
        <w:rPr>
          <w:rFonts w:hint="eastAsia" w:ascii="宋体" w:hAnsi="宋体" w:eastAsia="宋体" w:cs="宋体"/>
          <w:color w:val="auto"/>
          <w:kern w:val="0"/>
          <w:sz w:val="21"/>
          <w:szCs w:val="21"/>
          <w:shd w:val="clear" w:color="auto" w:fill="auto"/>
          <w:lang w:val="en-US" w:eastAsia="zh-CN" w:bidi="ar-SA"/>
        </w:rPr>
      </w:pPr>
      <w:r>
        <w:rPr>
          <w:rFonts w:hint="eastAsia" w:ascii="宋体" w:hAnsi="宋体" w:eastAsia="宋体" w:cs="宋体"/>
          <w:color w:val="auto"/>
          <w:kern w:val="0"/>
          <w:sz w:val="21"/>
          <w:szCs w:val="21"/>
          <w:shd w:val="clear" w:color="auto" w:fill="auto"/>
          <w:lang w:val="en-US" w:eastAsia="zh-CN" w:bidi="ar-SA"/>
        </w:rPr>
        <w:t>3、不可抗力事件延续120天以上，双方应通过友好协商，确定是否继续履行合同。</w:t>
      </w:r>
    </w:p>
    <w:p w14:paraId="0075BDA6">
      <w:pPr>
        <w:spacing w:line="440" w:lineRule="exact"/>
        <w:rPr>
          <w:rFonts w:hint="eastAsia" w:ascii="宋体" w:hAnsi="宋体" w:eastAsia="宋体" w:cs="Times New Roman"/>
          <w:b/>
          <w:bCs/>
          <w:color w:val="auto"/>
          <w:sz w:val="21"/>
          <w:szCs w:val="21"/>
          <w:shd w:val="clear" w:color="auto" w:fill="auto"/>
          <w:lang w:bidi="ar-SA"/>
        </w:rPr>
      </w:pPr>
      <w:r>
        <w:rPr>
          <w:rFonts w:hint="eastAsia" w:ascii="宋体" w:hAnsi="宋体" w:eastAsia="宋体" w:cs="Times New Roman"/>
          <w:b/>
          <w:bCs/>
          <w:color w:val="auto"/>
          <w:sz w:val="21"/>
          <w:szCs w:val="21"/>
          <w:shd w:val="clear" w:color="auto" w:fill="auto"/>
          <w:lang w:eastAsia="zh-CN" w:bidi="ar-SA"/>
        </w:rPr>
        <w:t>十八</w:t>
      </w:r>
      <w:r>
        <w:rPr>
          <w:rFonts w:hint="eastAsia" w:ascii="宋体" w:hAnsi="宋体" w:eastAsia="宋体" w:cs="Times New Roman"/>
          <w:b/>
          <w:bCs/>
          <w:color w:val="auto"/>
          <w:sz w:val="21"/>
          <w:szCs w:val="21"/>
          <w:shd w:val="clear" w:color="auto" w:fill="auto"/>
          <w:lang w:bidi="ar-SA"/>
        </w:rPr>
        <w:t>、其他要求</w:t>
      </w:r>
    </w:p>
    <w:p w14:paraId="71043FBF">
      <w:pPr>
        <w:spacing w:line="440" w:lineRule="exact"/>
        <w:rPr>
          <w:rFonts w:hint="eastAsia" w:ascii="宋体" w:hAnsi="宋体" w:eastAsia="宋体" w:cs="Times New Roman"/>
          <w:bCs/>
          <w:color w:val="auto"/>
          <w:sz w:val="21"/>
          <w:szCs w:val="21"/>
          <w:shd w:val="clear" w:color="auto" w:fill="auto"/>
          <w:lang w:bidi="ar-SA"/>
        </w:rPr>
      </w:pPr>
      <w:r>
        <w:rPr>
          <w:rFonts w:hint="eastAsia" w:ascii="宋体" w:hAnsi="宋体" w:eastAsia="宋体" w:cs="Times New Roman"/>
          <w:bCs/>
          <w:color w:val="auto"/>
          <w:sz w:val="21"/>
          <w:szCs w:val="21"/>
          <w:shd w:val="clear" w:color="auto" w:fill="auto"/>
          <w:lang w:bidi="ar-SA"/>
        </w:rPr>
        <w:t>1、所有产品和器件均应符合有关国家的标准及相关规定要求。</w:t>
      </w:r>
    </w:p>
    <w:p w14:paraId="779C97FE">
      <w:pPr>
        <w:widowControl w:val="0"/>
        <w:snapToGrid w:val="0"/>
        <w:spacing w:line="480" w:lineRule="exact"/>
        <w:jc w:val="both"/>
        <w:rPr>
          <w:rFonts w:hint="eastAsia" w:ascii="宋体" w:hAnsi="宋体" w:eastAsia="宋体" w:cs="Times New Roman"/>
          <w:color w:val="auto"/>
          <w:kern w:val="0"/>
          <w:sz w:val="21"/>
          <w:szCs w:val="21"/>
          <w:shd w:val="clear" w:color="auto" w:fill="auto"/>
          <w:lang w:val="en-US" w:eastAsia="zh-CN" w:bidi="ar-SA"/>
        </w:rPr>
      </w:pPr>
      <w:r>
        <w:rPr>
          <w:rFonts w:hint="eastAsia" w:ascii="宋体" w:hAnsi="宋体" w:eastAsia="宋体" w:cs="Times New Roman"/>
          <w:color w:val="auto"/>
          <w:kern w:val="0"/>
          <w:sz w:val="21"/>
          <w:szCs w:val="21"/>
          <w:shd w:val="clear" w:color="auto" w:fill="auto"/>
          <w:lang w:val="en-US" w:eastAsia="zh-CN" w:bidi="ar-SA"/>
        </w:rPr>
        <w:t>2、因施工需要对原有建筑进行开槽、开洞、凿除等由乙方恢复原样，相关费用包含在合同价中，不另行计取。</w:t>
      </w:r>
    </w:p>
    <w:p w14:paraId="6AFDCEFF">
      <w:pPr>
        <w:widowControl w:val="0"/>
        <w:snapToGrid w:val="0"/>
        <w:spacing w:line="480" w:lineRule="exact"/>
        <w:jc w:val="both"/>
        <w:rPr>
          <w:rFonts w:hint="eastAsia" w:ascii="宋体" w:hAnsi="宋体" w:eastAsia="宋体" w:cs="宋体"/>
          <w:b/>
          <w:color w:val="auto"/>
          <w:kern w:val="0"/>
          <w:sz w:val="21"/>
          <w:szCs w:val="21"/>
          <w:shd w:val="clear" w:color="auto" w:fill="auto"/>
          <w:lang w:val="en-US" w:eastAsia="zh-CN" w:bidi="ar-SA"/>
        </w:rPr>
      </w:pPr>
      <w:r>
        <w:rPr>
          <w:rFonts w:hint="eastAsia" w:ascii="宋体" w:hAnsi="宋体" w:eastAsia="宋体" w:cs="宋体"/>
          <w:b/>
          <w:color w:val="auto"/>
          <w:kern w:val="0"/>
          <w:sz w:val="21"/>
          <w:szCs w:val="21"/>
          <w:shd w:val="clear" w:color="auto" w:fill="auto"/>
          <w:lang w:val="en-US" w:eastAsia="zh-CN" w:bidi="ar-SA"/>
        </w:rPr>
        <w:t>十九、诉讼</w:t>
      </w:r>
    </w:p>
    <w:p w14:paraId="4CED7E60">
      <w:pPr>
        <w:widowControl w:val="0"/>
        <w:snapToGrid w:val="0"/>
        <w:spacing w:line="480" w:lineRule="exact"/>
        <w:jc w:val="both"/>
        <w:rPr>
          <w:rFonts w:hint="eastAsia" w:ascii="宋体" w:hAnsi="宋体" w:eastAsia="宋体" w:cs="宋体"/>
          <w:color w:val="auto"/>
          <w:kern w:val="0"/>
          <w:sz w:val="21"/>
          <w:szCs w:val="21"/>
          <w:shd w:val="clear" w:color="auto" w:fill="auto"/>
          <w:lang w:val="en-US" w:eastAsia="zh-CN" w:bidi="ar-SA"/>
        </w:rPr>
      </w:pPr>
      <w:r>
        <w:rPr>
          <w:rFonts w:hint="eastAsia" w:ascii="宋体" w:hAnsi="宋体" w:eastAsia="宋体" w:cs="宋体"/>
          <w:color w:val="auto"/>
          <w:kern w:val="0"/>
          <w:sz w:val="21"/>
          <w:szCs w:val="21"/>
          <w:shd w:val="clear" w:color="auto" w:fill="auto"/>
          <w:lang w:val="en-US" w:eastAsia="zh-CN" w:bidi="ar-SA"/>
        </w:rPr>
        <w:t>双方在执行合同中所发生的一切争议，应通过协商解决。如协商不成，可向</w:t>
      </w:r>
      <w:r>
        <w:rPr>
          <w:rFonts w:hint="eastAsia" w:ascii="宋体" w:hAnsi="宋体" w:cs="宋体"/>
          <w:color w:val="auto"/>
          <w:kern w:val="0"/>
          <w:sz w:val="21"/>
          <w:szCs w:val="21"/>
          <w:shd w:val="clear" w:color="auto" w:fill="auto"/>
          <w:lang w:val="en-US" w:eastAsia="zh-CN" w:bidi="ar-SA"/>
        </w:rPr>
        <w:t>项目</w:t>
      </w:r>
      <w:r>
        <w:rPr>
          <w:rFonts w:hint="eastAsia" w:ascii="宋体" w:hAnsi="宋体" w:eastAsia="宋体" w:cs="宋体"/>
          <w:color w:val="auto"/>
          <w:kern w:val="0"/>
          <w:sz w:val="21"/>
          <w:szCs w:val="21"/>
          <w:shd w:val="clear" w:color="auto" w:fill="auto"/>
          <w:lang w:val="en-US" w:eastAsia="zh-CN" w:bidi="ar-SA"/>
        </w:rPr>
        <w:t>所在地有管辖权的人民法院起诉。</w:t>
      </w:r>
    </w:p>
    <w:p w14:paraId="496D3594">
      <w:pPr>
        <w:widowControl w:val="0"/>
        <w:snapToGrid w:val="0"/>
        <w:spacing w:line="480" w:lineRule="exact"/>
        <w:jc w:val="both"/>
        <w:rPr>
          <w:rFonts w:hint="eastAsia" w:ascii="宋体" w:hAnsi="宋体" w:eastAsia="宋体" w:cs="宋体"/>
          <w:b/>
          <w:color w:val="auto"/>
          <w:kern w:val="0"/>
          <w:sz w:val="21"/>
          <w:szCs w:val="21"/>
          <w:shd w:val="clear" w:color="auto" w:fill="auto"/>
          <w:lang w:val="en-US" w:eastAsia="zh-CN" w:bidi="ar-SA"/>
        </w:rPr>
      </w:pPr>
      <w:r>
        <w:rPr>
          <w:rFonts w:hint="eastAsia" w:ascii="宋体" w:hAnsi="宋体" w:eastAsia="宋体" w:cs="宋体"/>
          <w:b/>
          <w:color w:val="auto"/>
          <w:kern w:val="0"/>
          <w:sz w:val="21"/>
          <w:szCs w:val="21"/>
          <w:shd w:val="clear" w:color="auto" w:fill="auto"/>
          <w:lang w:val="en-US" w:eastAsia="zh-CN" w:bidi="ar-SA"/>
        </w:rPr>
        <w:t>二十、合同生效及其它</w:t>
      </w:r>
    </w:p>
    <w:p w14:paraId="721BF033">
      <w:pPr>
        <w:widowControl w:val="0"/>
        <w:snapToGrid w:val="0"/>
        <w:spacing w:line="480" w:lineRule="exact"/>
        <w:ind w:left="420" w:hanging="420" w:hangingChars="200"/>
        <w:jc w:val="both"/>
        <w:rPr>
          <w:rFonts w:hint="eastAsia" w:ascii="宋体" w:hAnsi="宋体" w:eastAsia="宋体" w:cs="宋体"/>
          <w:color w:val="auto"/>
          <w:kern w:val="0"/>
          <w:sz w:val="21"/>
          <w:szCs w:val="21"/>
          <w:shd w:val="clear" w:color="auto" w:fill="auto"/>
          <w:lang w:val="en-US" w:eastAsia="zh-CN" w:bidi="ar-SA"/>
        </w:rPr>
      </w:pPr>
      <w:r>
        <w:rPr>
          <w:rFonts w:hint="eastAsia" w:ascii="宋体" w:hAnsi="宋体" w:eastAsia="宋体" w:cs="宋体"/>
          <w:color w:val="auto"/>
          <w:kern w:val="0"/>
          <w:sz w:val="21"/>
          <w:szCs w:val="21"/>
          <w:shd w:val="clear" w:color="auto" w:fill="auto"/>
          <w:lang w:val="en-US" w:eastAsia="zh-CN" w:bidi="ar-SA"/>
        </w:rPr>
        <w:t>1、 合同经双方法定代表人或授权代表签字并加盖单位公章后生效。</w:t>
      </w:r>
    </w:p>
    <w:p w14:paraId="00DD67CF">
      <w:pPr>
        <w:widowControl w:val="0"/>
        <w:snapToGrid w:val="0"/>
        <w:spacing w:line="480" w:lineRule="exact"/>
        <w:ind w:left="420" w:hanging="420" w:hangingChars="200"/>
        <w:jc w:val="both"/>
        <w:rPr>
          <w:rFonts w:hint="eastAsia" w:ascii="宋体" w:hAnsi="宋体" w:eastAsia="宋体" w:cs="宋体"/>
          <w:color w:val="auto"/>
          <w:kern w:val="0"/>
          <w:sz w:val="21"/>
          <w:szCs w:val="21"/>
          <w:shd w:val="clear" w:color="auto" w:fill="auto"/>
          <w:lang w:val="en-US" w:eastAsia="zh-CN" w:bidi="ar-SA"/>
        </w:rPr>
      </w:pPr>
      <w:r>
        <w:rPr>
          <w:rFonts w:hint="eastAsia" w:ascii="宋体" w:hAnsi="宋体" w:eastAsia="宋体" w:cs="宋体"/>
          <w:color w:val="auto"/>
          <w:kern w:val="0"/>
          <w:sz w:val="21"/>
          <w:szCs w:val="21"/>
          <w:shd w:val="clear" w:color="auto" w:fill="auto"/>
          <w:lang w:val="en-US" w:eastAsia="zh-CN" w:bidi="ar-SA"/>
        </w:rPr>
        <w:t>2、合同执行中涉及资金和内容修改或补充的，须签订书面补充协议，作为主合同不可分割的一部分。</w:t>
      </w:r>
    </w:p>
    <w:p w14:paraId="5F00916A">
      <w:pPr>
        <w:widowControl w:val="0"/>
        <w:snapToGrid w:val="0"/>
        <w:spacing w:line="480" w:lineRule="exact"/>
        <w:ind w:left="420" w:hanging="420" w:hangingChars="200"/>
        <w:jc w:val="both"/>
        <w:rPr>
          <w:rFonts w:hint="eastAsia" w:ascii="宋体" w:hAnsi="宋体" w:eastAsia="宋体" w:cs="宋体"/>
          <w:color w:val="auto"/>
          <w:kern w:val="0"/>
          <w:sz w:val="21"/>
          <w:szCs w:val="21"/>
          <w:shd w:val="clear" w:color="auto" w:fill="auto"/>
          <w:lang w:val="en-US" w:eastAsia="zh-CN" w:bidi="ar-SA"/>
        </w:rPr>
      </w:pPr>
      <w:r>
        <w:rPr>
          <w:rFonts w:hint="eastAsia" w:ascii="宋体" w:hAnsi="宋体" w:eastAsia="宋体" w:cs="宋体"/>
          <w:color w:val="auto"/>
          <w:kern w:val="0"/>
          <w:sz w:val="21"/>
          <w:szCs w:val="21"/>
          <w:shd w:val="clear" w:color="auto" w:fill="auto"/>
          <w:lang w:val="en-US" w:eastAsia="zh-CN" w:bidi="ar-SA"/>
        </w:rPr>
        <w:t>3、 本合同未尽事宜，遵照《民法典》有关条文执行。</w:t>
      </w:r>
    </w:p>
    <w:p w14:paraId="1DB02A8C">
      <w:pPr>
        <w:widowControl w:val="0"/>
        <w:snapToGrid w:val="0"/>
        <w:spacing w:line="480" w:lineRule="exact"/>
        <w:ind w:left="420" w:hanging="420" w:hangingChars="200"/>
        <w:jc w:val="both"/>
        <w:rPr>
          <w:rFonts w:hint="eastAsia" w:ascii="宋体" w:hAnsi="宋体" w:eastAsia="宋体" w:cs="宋体"/>
          <w:color w:val="auto"/>
          <w:kern w:val="0"/>
          <w:sz w:val="21"/>
          <w:szCs w:val="21"/>
          <w:shd w:val="clear" w:color="auto" w:fill="auto"/>
          <w:lang w:val="en-US" w:eastAsia="zh-CN" w:bidi="ar-SA"/>
        </w:rPr>
      </w:pPr>
      <w:r>
        <w:rPr>
          <w:rFonts w:hint="eastAsia" w:ascii="宋体" w:hAnsi="宋体" w:eastAsia="宋体" w:cs="宋体"/>
          <w:color w:val="auto"/>
          <w:kern w:val="0"/>
          <w:sz w:val="21"/>
          <w:szCs w:val="21"/>
          <w:shd w:val="clear" w:color="auto" w:fill="auto"/>
          <w:lang w:val="en-US" w:eastAsia="zh-CN" w:bidi="ar-SA"/>
        </w:rPr>
        <w:t>4、本合同一式柒份，甲方叁份，乙方叁份，代理机构壹份。</w:t>
      </w:r>
    </w:p>
    <w:p w14:paraId="6F128118">
      <w:pPr>
        <w:widowControl w:val="0"/>
        <w:snapToGrid w:val="0"/>
        <w:spacing w:line="480" w:lineRule="exact"/>
        <w:ind w:firstLine="210" w:firstLineChars="100"/>
        <w:jc w:val="both"/>
        <w:rPr>
          <w:rFonts w:hint="eastAsia" w:ascii="宋体" w:hAnsi="宋体" w:eastAsia="宋体" w:cs="宋体"/>
          <w:color w:val="auto"/>
          <w:kern w:val="0"/>
          <w:sz w:val="21"/>
          <w:szCs w:val="21"/>
          <w:shd w:val="clear" w:color="auto" w:fill="auto"/>
          <w:lang w:val="en-US" w:eastAsia="zh-CN" w:bidi="ar-SA"/>
        </w:rPr>
      </w:pPr>
    </w:p>
    <w:p w14:paraId="438BA12A">
      <w:pPr>
        <w:widowControl w:val="0"/>
        <w:snapToGrid w:val="0"/>
        <w:spacing w:line="480" w:lineRule="exact"/>
        <w:ind w:firstLine="210" w:firstLineChars="100"/>
        <w:jc w:val="both"/>
        <w:rPr>
          <w:rFonts w:hint="eastAsia" w:ascii="宋体" w:hAnsi="宋体" w:eastAsia="宋体" w:cs="宋体"/>
          <w:color w:val="auto"/>
          <w:kern w:val="0"/>
          <w:sz w:val="21"/>
          <w:szCs w:val="21"/>
          <w:shd w:val="clear" w:color="auto" w:fill="auto"/>
          <w:lang w:val="en-US" w:eastAsia="zh-CN" w:bidi="ar-SA"/>
        </w:rPr>
      </w:pPr>
      <w:r>
        <w:rPr>
          <w:rFonts w:hint="eastAsia" w:ascii="宋体" w:hAnsi="宋体" w:eastAsia="宋体" w:cs="宋体"/>
          <w:color w:val="auto"/>
          <w:kern w:val="0"/>
          <w:sz w:val="21"/>
          <w:szCs w:val="21"/>
          <w:shd w:val="clear" w:color="auto" w:fill="auto"/>
          <w:lang w:val="en-US" w:eastAsia="zh-CN" w:bidi="ar-SA"/>
        </w:rPr>
        <w:t xml:space="preserve">甲方：                                   乙方： </w:t>
      </w:r>
    </w:p>
    <w:p w14:paraId="4E7DEA8D">
      <w:pPr>
        <w:widowControl w:val="0"/>
        <w:snapToGrid w:val="0"/>
        <w:spacing w:line="480" w:lineRule="exact"/>
        <w:jc w:val="both"/>
        <w:rPr>
          <w:rFonts w:hint="eastAsia" w:ascii="宋体" w:hAnsi="宋体" w:eastAsia="宋体" w:cs="宋体"/>
          <w:color w:val="auto"/>
          <w:kern w:val="0"/>
          <w:sz w:val="21"/>
          <w:szCs w:val="21"/>
          <w:shd w:val="clear" w:color="auto" w:fill="auto"/>
          <w:lang w:val="en-US" w:eastAsia="zh-CN" w:bidi="ar-SA"/>
        </w:rPr>
      </w:pPr>
      <w:r>
        <w:rPr>
          <w:rFonts w:hint="eastAsia" w:ascii="宋体" w:hAnsi="宋体" w:eastAsia="宋体" w:cs="宋体"/>
          <w:color w:val="auto"/>
          <w:kern w:val="0"/>
          <w:sz w:val="21"/>
          <w:szCs w:val="21"/>
          <w:shd w:val="clear" w:color="auto" w:fill="auto"/>
          <w:lang w:val="en-US" w:eastAsia="zh-CN" w:bidi="ar-SA"/>
        </w:rPr>
        <w:t xml:space="preserve">  地址：                                   地址： </w:t>
      </w:r>
    </w:p>
    <w:p w14:paraId="533DF173">
      <w:pPr>
        <w:widowControl w:val="0"/>
        <w:snapToGrid w:val="0"/>
        <w:spacing w:line="480" w:lineRule="exact"/>
        <w:jc w:val="both"/>
        <w:rPr>
          <w:rFonts w:hint="eastAsia" w:ascii="宋体" w:hAnsi="宋体" w:eastAsia="宋体" w:cs="宋体"/>
          <w:color w:val="auto"/>
          <w:kern w:val="0"/>
          <w:sz w:val="21"/>
          <w:szCs w:val="21"/>
          <w:shd w:val="clear" w:color="auto" w:fill="auto"/>
          <w:lang w:val="en-US" w:eastAsia="zh-CN" w:bidi="ar-SA"/>
        </w:rPr>
      </w:pPr>
      <w:r>
        <w:rPr>
          <w:rFonts w:hint="eastAsia" w:ascii="宋体" w:hAnsi="宋体" w:eastAsia="宋体" w:cs="宋体"/>
          <w:color w:val="auto"/>
          <w:kern w:val="0"/>
          <w:sz w:val="21"/>
          <w:szCs w:val="21"/>
          <w:shd w:val="clear" w:color="auto" w:fill="auto"/>
          <w:lang w:val="en-US" w:eastAsia="zh-CN" w:bidi="ar-SA"/>
        </w:rPr>
        <w:t xml:space="preserve">  法定（授权）代表人：                     法定（授权）代表人：</w:t>
      </w:r>
    </w:p>
    <w:p w14:paraId="080DB140">
      <w:pPr>
        <w:widowControl w:val="0"/>
        <w:snapToGrid w:val="0"/>
        <w:spacing w:line="480" w:lineRule="exact"/>
        <w:ind w:firstLine="210" w:firstLineChars="100"/>
        <w:jc w:val="both"/>
        <w:rPr>
          <w:rFonts w:hint="eastAsia" w:ascii="宋体" w:hAnsi="宋体" w:eastAsia="宋体" w:cs="宋体"/>
          <w:color w:val="auto"/>
          <w:kern w:val="0"/>
          <w:sz w:val="21"/>
          <w:szCs w:val="21"/>
          <w:shd w:val="clear" w:color="auto" w:fill="auto"/>
          <w:lang w:val="en-US" w:eastAsia="zh-CN" w:bidi="ar-SA"/>
        </w:rPr>
      </w:pPr>
      <w:r>
        <w:rPr>
          <w:rFonts w:hint="eastAsia" w:ascii="宋体" w:hAnsi="宋体" w:eastAsia="宋体" w:cs="宋体"/>
          <w:color w:val="auto"/>
          <w:kern w:val="0"/>
          <w:sz w:val="21"/>
          <w:szCs w:val="21"/>
          <w:shd w:val="clear" w:color="auto" w:fill="auto"/>
          <w:lang w:val="en-US" w:eastAsia="zh-CN" w:bidi="ar-SA"/>
        </w:rPr>
        <w:t>签订日期：     年　  月　 日            签订日期：     年　  月　 日</w:t>
      </w:r>
    </w:p>
    <w:p w14:paraId="72BF84CB">
      <w:pPr>
        <w:pStyle w:val="153"/>
        <w:keepNext w:val="0"/>
        <w:keepLines w:val="0"/>
        <w:pageBreakBefore w:val="0"/>
        <w:widowControl w:val="0"/>
        <w:kinsoku/>
        <w:wordWrap/>
        <w:overflowPunct/>
        <w:topLinePunct w:val="0"/>
        <w:bidi w:val="0"/>
        <w:spacing w:line="420" w:lineRule="exact"/>
        <w:ind w:left="0" w:firstLine="211" w:firstLineChars="100"/>
        <w:textAlignment w:val="auto"/>
        <w:rPr>
          <w:rFonts w:hint="eastAsia"/>
          <w:color w:val="auto"/>
          <w:sz w:val="21"/>
          <w:szCs w:val="21"/>
        </w:rPr>
      </w:pPr>
      <w:r>
        <w:rPr>
          <w:rFonts w:hint="eastAsia" w:ascii="宋体" w:hAnsi="宋体" w:eastAsia="宋体" w:cs="Times New Roman"/>
          <w:b/>
          <w:bCs/>
          <w:color w:val="auto"/>
          <w:kern w:val="0"/>
          <w:sz w:val="21"/>
          <w:szCs w:val="21"/>
          <w:shd w:val="clear" w:color="auto" w:fill="auto"/>
          <w:lang w:val="en-US" w:eastAsia="zh-CN" w:bidi="ar-SA"/>
        </w:rPr>
        <w:t xml:space="preserve">附件：附上报价明细表 </w:t>
      </w:r>
    </w:p>
    <w:p w14:paraId="14DA68E5">
      <w:pPr>
        <w:spacing w:line="240" w:lineRule="auto"/>
        <w:ind w:firstLine="240" w:firstLineChars="100"/>
        <w:rPr>
          <w:rFonts w:hint="eastAsia" w:ascii="宋体" w:hAnsi="宋体" w:eastAsia="宋体" w:cs="宋体"/>
          <w:color w:val="auto"/>
          <w:kern w:val="2"/>
          <w:sz w:val="24"/>
          <w:szCs w:val="24"/>
          <w:highlight w:val="none"/>
          <w:lang w:val="en-US" w:eastAsia="zh-CN" w:bidi="ar-SA"/>
        </w:rPr>
      </w:pPr>
    </w:p>
    <w:bookmarkEnd w:id="133"/>
    <w:bookmarkEnd w:id="134"/>
    <w:p w14:paraId="0271A3D0">
      <w:pPr>
        <w:rPr>
          <w:rFonts w:hint="eastAsia" w:ascii="宋体" w:hAnsi="宋体" w:eastAsia="宋体" w:cs="宋体"/>
          <w:b/>
          <w:color w:val="auto"/>
          <w:sz w:val="30"/>
          <w:szCs w:val="30"/>
          <w:highlight w:val="none"/>
        </w:rPr>
      </w:pPr>
      <w:bookmarkStart w:id="135" w:name="_Toc7290"/>
      <w:r>
        <w:rPr>
          <w:rFonts w:hint="eastAsia" w:ascii="宋体" w:hAnsi="宋体" w:eastAsia="宋体" w:cs="宋体"/>
          <w:b/>
          <w:color w:val="auto"/>
          <w:sz w:val="30"/>
          <w:szCs w:val="30"/>
          <w:highlight w:val="none"/>
        </w:rPr>
        <w:br w:type="page"/>
      </w:r>
    </w:p>
    <w:p w14:paraId="18F2641B">
      <w:pPr>
        <w:pStyle w:val="30"/>
        <w:snapToGrid w:val="0"/>
        <w:spacing w:beforeLines="0" w:afterLines="0" w:line="420" w:lineRule="exact"/>
        <w:jc w:val="center"/>
        <w:outlineLvl w:val="0"/>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第六章　</w:t>
      </w:r>
      <w:bookmarkEnd w:id="135"/>
      <w:r>
        <w:rPr>
          <w:rFonts w:hint="eastAsia" w:ascii="宋体" w:hAnsi="宋体" w:eastAsia="宋体" w:cs="宋体"/>
          <w:b/>
          <w:color w:val="auto"/>
          <w:sz w:val="30"/>
          <w:szCs w:val="30"/>
          <w:highlight w:val="none"/>
        </w:rPr>
        <w:t>供应商谈判文件格式</w:t>
      </w:r>
    </w:p>
    <w:p w14:paraId="2B9A83CA">
      <w:pPr>
        <w:pStyle w:val="30"/>
        <w:snapToGrid w:val="0"/>
        <w:spacing w:beforeLines="0" w:afterLines="0" w:line="420" w:lineRule="exact"/>
        <w:jc w:val="center"/>
        <w:rPr>
          <w:rFonts w:hint="eastAsia" w:ascii="宋体" w:hAnsi="宋体" w:eastAsia="宋体" w:cs="宋体"/>
          <w:color w:val="auto"/>
          <w:sz w:val="30"/>
          <w:szCs w:val="30"/>
          <w:highlight w:val="none"/>
        </w:rPr>
      </w:pPr>
    </w:p>
    <w:p w14:paraId="4BEAC13D">
      <w:pPr>
        <w:snapToGrid w:val="0"/>
        <w:spacing w:beforeLines="50" w:after="50"/>
        <w:jc w:val="center"/>
        <w:outlineLvl w:val="1"/>
        <w:rPr>
          <w:rFonts w:hint="eastAsia" w:ascii="宋体" w:hAnsi="宋体" w:eastAsia="宋体" w:cs="宋体"/>
          <w:b/>
          <w:bCs/>
          <w:color w:val="auto"/>
          <w:sz w:val="28"/>
          <w:szCs w:val="28"/>
          <w:highlight w:val="none"/>
        </w:rPr>
      </w:pPr>
      <w:bookmarkStart w:id="136" w:name="_Toc11875"/>
      <w:bookmarkStart w:id="137" w:name="_Toc265669850"/>
      <w:r>
        <w:rPr>
          <w:rFonts w:hint="eastAsia" w:ascii="宋体" w:hAnsi="宋体" w:eastAsia="宋体" w:cs="宋体"/>
          <w:b/>
          <w:bCs/>
          <w:color w:val="auto"/>
          <w:sz w:val="28"/>
          <w:szCs w:val="28"/>
          <w:highlight w:val="none"/>
        </w:rPr>
        <w:t>一、资格响应文件格式</w:t>
      </w:r>
      <w:bookmarkEnd w:id="136"/>
    </w:p>
    <w:p w14:paraId="3E946576">
      <w:pPr>
        <w:snapToGrid w:val="0"/>
        <w:spacing w:beforeLines="50" w:after="50"/>
        <w:jc w:val="center"/>
        <w:rPr>
          <w:rFonts w:hint="eastAsia" w:ascii="宋体" w:hAnsi="宋体" w:eastAsia="宋体" w:cs="宋体"/>
          <w:color w:val="auto"/>
          <w:sz w:val="28"/>
          <w:szCs w:val="28"/>
          <w:highlight w:val="none"/>
        </w:rPr>
      </w:pPr>
    </w:p>
    <w:p w14:paraId="70D739EB">
      <w:pPr>
        <w:snapToGrid w:val="0"/>
        <w:spacing w:beforeLines="50" w:after="50"/>
        <w:jc w:val="center"/>
        <w:rPr>
          <w:rFonts w:hint="eastAsia" w:ascii="宋体" w:hAnsi="宋体" w:eastAsia="宋体" w:cs="宋体"/>
          <w:color w:val="auto"/>
          <w:sz w:val="28"/>
          <w:szCs w:val="28"/>
          <w:highlight w:val="none"/>
        </w:rPr>
      </w:pPr>
    </w:p>
    <w:p w14:paraId="1187D212">
      <w:pPr>
        <w:snapToGrid w:val="0"/>
        <w:spacing w:beforeLines="50" w:after="50"/>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1.资格响应文件封面格式： </w:t>
      </w:r>
    </w:p>
    <w:p w14:paraId="28FAD481">
      <w:pPr>
        <w:snapToGrid w:val="0"/>
        <w:spacing w:beforeLines="50" w:after="5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 </w:t>
      </w:r>
    </w:p>
    <w:p w14:paraId="6BC58E4F">
      <w:pPr>
        <w:snapToGrid w:val="0"/>
        <w:spacing w:beforeLines="50" w:after="50"/>
        <w:rPr>
          <w:rFonts w:hint="eastAsia" w:ascii="宋体" w:hAnsi="宋体" w:eastAsia="宋体" w:cs="宋体"/>
          <w:color w:val="auto"/>
          <w:sz w:val="28"/>
          <w:szCs w:val="28"/>
          <w:highlight w:val="none"/>
        </w:rPr>
      </w:pPr>
    </w:p>
    <w:p w14:paraId="02E0FBB2">
      <w:pPr>
        <w:snapToGrid w:val="0"/>
        <w:spacing w:beforeLines="50" w:after="50"/>
        <w:jc w:val="center"/>
        <w:rPr>
          <w:rFonts w:hint="eastAsia" w:ascii="宋体" w:hAnsi="宋体" w:eastAsia="宋体" w:cs="宋体"/>
          <w:bCs/>
          <w:color w:val="auto"/>
          <w:sz w:val="28"/>
          <w:szCs w:val="28"/>
          <w:highlight w:val="none"/>
        </w:rPr>
      </w:pPr>
    </w:p>
    <w:p w14:paraId="6F4EA4F8">
      <w:pPr>
        <w:snapToGrid w:val="0"/>
        <w:spacing w:beforeLines="50" w:after="50"/>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资格响应文件</w:t>
      </w:r>
    </w:p>
    <w:p w14:paraId="607C1EB4">
      <w:pPr>
        <w:snapToGrid w:val="0"/>
        <w:spacing w:beforeLines="50" w:after="50" w:line="360" w:lineRule="auto"/>
        <w:jc w:val="center"/>
        <w:rPr>
          <w:rFonts w:hint="eastAsia" w:ascii="宋体" w:hAnsi="宋体" w:eastAsia="宋体" w:cs="宋体"/>
          <w:bCs/>
          <w:color w:val="auto"/>
          <w:sz w:val="28"/>
          <w:szCs w:val="28"/>
          <w:highlight w:val="none"/>
        </w:rPr>
      </w:pPr>
    </w:p>
    <w:p w14:paraId="2F817C4F">
      <w:pPr>
        <w:snapToGrid w:val="0"/>
        <w:spacing w:beforeLines="50" w:after="50" w:line="360" w:lineRule="auto"/>
        <w:jc w:val="center"/>
        <w:rPr>
          <w:rFonts w:hint="eastAsia" w:ascii="宋体" w:hAnsi="宋体" w:eastAsia="宋体" w:cs="宋体"/>
          <w:bCs/>
          <w:color w:val="auto"/>
          <w:sz w:val="28"/>
          <w:szCs w:val="28"/>
          <w:highlight w:val="none"/>
        </w:rPr>
      </w:pPr>
    </w:p>
    <w:p w14:paraId="0857769E">
      <w:pPr>
        <w:snapToGrid w:val="0"/>
        <w:spacing w:beforeLines="50" w:after="50" w:line="360" w:lineRule="auto"/>
        <w:ind w:firstLine="1246" w:firstLineChars="445"/>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项目名称：</w:t>
      </w:r>
    </w:p>
    <w:p w14:paraId="7CBA5B41">
      <w:pPr>
        <w:snapToGrid w:val="0"/>
        <w:spacing w:beforeLines="50" w:after="50" w:line="360" w:lineRule="auto"/>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     项目编号：    </w:t>
      </w:r>
    </w:p>
    <w:p w14:paraId="26F418FD">
      <w:pPr>
        <w:pStyle w:val="15"/>
        <w:snapToGrid w:val="0"/>
        <w:spacing w:before="50" w:after="50" w:line="360" w:lineRule="auto"/>
        <w:ind w:firstLine="1164" w:firstLineChars="416"/>
        <w:rPr>
          <w:rFonts w:hint="eastAsia" w:ascii="宋体" w:hAnsi="宋体" w:eastAsia="宋体" w:cs="宋体"/>
          <w:bCs/>
          <w:color w:val="auto"/>
          <w:sz w:val="28"/>
          <w:szCs w:val="28"/>
          <w:highlight w:val="none"/>
        </w:rPr>
      </w:pPr>
    </w:p>
    <w:p w14:paraId="13CA635D">
      <w:pPr>
        <w:pStyle w:val="15"/>
        <w:snapToGrid w:val="0"/>
        <w:spacing w:before="50" w:after="50" w:line="360" w:lineRule="auto"/>
        <w:ind w:firstLine="1164" w:firstLineChars="416"/>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投标人名称：</w:t>
      </w:r>
    </w:p>
    <w:p w14:paraId="5A88311B">
      <w:pPr>
        <w:pStyle w:val="15"/>
        <w:snapToGrid w:val="0"/>
        <w:spacing w:before="50" w:after="50" w:line="360" w:lineRule="auto"/>
        <w:ind w:firstLine="1164" w:firstLineChars="416"/>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投标人地址：</w:t>
      </w:r>
    </w:p>
    <w:p w14:paraId="18946A01">
      <w:pPr>
        <w:pStyle w:val="15"/>
        <w:snapToGrid w:val="0"/>
        <w:spacing w:before="50" w:after="50"/>
        <w:ind w:firstLine="1120" w:firstLineChars="400"/>
        <w:rPr>
          <w:rFonts w:hint="eastAsia" w:ascii="宋体" w:hAnsi="宋体" w:eastAsia="宋体" w:cs="宋体"/>
          <w:bCs/>
          <w:color w:val="auto"/>
          <w:sz w:val="28"/>
          <w:szCs w:val="28"/>
          <w:highlight w:val="none"/>
        </w:rPr>
      </w:pPr>
    </w:p>
    <w:p w14:paraId="0CA1FAED">
      <w:pPr>
        <w:snapToGrid w:val="0"/>
        <w:spacing w:line="360" w:lineRule="auto"/>
        <w:ind w:firstLine="3360" w:firstLineChars="1200"/>
        <w:jc w:val="left"/>
        <w:rPr>
          <w:rFonts w:hint="eastAsia" w:ascii="宋体" w:hAnsi="宋体" w:eastAsia="宋体" w:cs="宋体"/>
          <w:color w:val="auto"/>
          <w:sz w:val="28"/>
          <w:szCs w:val="28"/>
          <w:highlight w:val="none"/>
        </w:rPr>
      </w:pPr>
    </w:p>
    <w:p w14:paraId="2A726F5C">
      <w:pPr>
        <w:snapToGrid w:val="0"/>
        <w:spacing w:line="360" w:lineRule="auto"/>
        <w:ind w:firstLine="3640" w:firstLineChars="1300"/>
        <w:jc w:val="left"/>
        <w:rPr>
          <w:rFonts w:hint="eastAsia" w:ascii="宋体" w:hAnsi="宋体" w:eastAsia="宋体" w:cs="宋体"/>
          <w:color w:val="auto"/>
          <w:sz w:val="24"/>
          <w:highlight w:val="none"/>
        </w:rPr>
      </w:pPr>
      <w:r>
        <w:rPr>
          <w:rFonts w:hint="eastAsia" w:ascii="宋体" w:hAnsi="宋体" w:eastAsia="宋体" w:cs="宋体"/>
          <w:color w:val="auto"/>
          <w:sz w:val="28"/>
          <w:szCs w:val="28"/>
          <w:highlight w:val="none"/>
        </w:rPr>
        <w:t>年  月  日</w:t>
      </w:r>
      <w:r>
        <w:rPr>
          <w:rFonts w:hint="eastAsia" w:ascii="宋体" w:hAnsi="宋体" w:eastAsia="宋体" w:cs="宋体"/>
          <w:color w:val="auto"/>
          <w:sz w:val="28"/>
          <w:szCs w:val="28"/>
          <w:highlight w:val="none"/>
        </w:rPr>
        <w:br w:type="page"/>
      </w:r>
      <w:bookmarkStart w:id="138" w:name="_Hlk60757343"/>
      <w:r>
        <w:rPr>
          <w:rFonts w:hint="eastAsia" w:ascii="宋体" w:hAnsi="宋体" w:eastAsia="宋体" w:cs="宋体"/>
          <w:color w:val="auto"/>
          <w:sz w:val="24"/>
          <w:highlight w:val="none"/>
        </w:rPr>
        <w:t>2.营业执照等：</w:t>
      </w:r>
      <w:bookmarkEnd w:id="138"/>
    </w:p>
    <w:p w14:paraId="26E70D63">
      <w:pPr>
        <w:snapToGrid w:val="0"/>
        <w:spacing w:line="360" w:lineRule="auto"/>
        <w:jc w:val="center"/>
        <w:rPr>
          <w:rFonts w:hint="eastAsia" w:ascii="宋体" w:hAnsi="宋体" w:eastAsia="宋体" w:cs="宋体"/>
          <w:b/>
          <w:color w:val="auto"/>
          <w:kern w:val="0"/>
          <w:sz w:val="32"/>
          <w:szCs w:val="32"/>
          <w:highlight w:val="none"/>
          <w:lang w:val="zh-CN"/>
        </w:rPr>
      </w:pPr>
    </w:p>
    <w:p w14:paraId="328CE589">
      <w:pPr>
        <w:snapToGrid w:val="0"/>
        <w:spacing w:line="360" w:lineRule="auto"/>
        <w:jc w:val="center"/>
        <w:rPr>
          <w:rFonts w:hint="eastAsia" w:ascii="宋体" w:hAnsi="宋体" w:eastAsia="宋体" w:cs="宋体"/>
          <w:b/>
          <w:color w:val="auto"/>
          <w:kern w:val="0"/>
          <w:sz w:val="32"/>
          <w:szCs w:val="32"/>
          <w:highlight w:val="none"/>
          <w:lang w:val="zh-CN"/>
        </w:rPr>
      </w:pPr>
    </w:p>
    <w:p w14:paraId="2CE56C33">
      <w:pPr>
        <w:snapToGrid w:val="0"/>
        <w:spacing w:line="360" w:lineRule="auto"/>
        <w:jc w:val="center"/>
        <w:rPr>
          <w:rFonts w:hint="eastAsia" w:ascii="宋体" w:hAnsi="宋体" w:eastAsia="宋体" w:cs="宋体"/>
          <w:b/>
          <w:color w:val="auto"/>
          <w:kern w:val="0"/>
          <w:sz w:val="32"/>
          <w:szCs w:val="32"/>
          <w:highlight w:val="none"/>
          <w:lang w:val="zh-CN"/>
        </w:rPr>
      </w:pPr>
      <w:r>
        <w:rPr>
          <w:rFonts w:hint="eastAsia" w:ascii="宋体" w:hAnsi="宋体" w:eastAsia="宋体" w:cs="宋体"/>
          <w:b/>
          <w:color w:val="auto"/>
          <w:kern w:val="0"/>
          <w:sz w:val="32"/>
          <w:szCs w:val="32"/>
          <w:highlight w:val="none"/>
          <w:lang w:val="zh-CN"/>
        </w:rPr>
        <w:t>营业执照（推荐使用电子营业执照）</w:t>
      </w:r>
    </w:p>
    <w:p w14:paraId="54066587">
      <w:pPr>
        <w:snapToGrid w:val="0"/>
        <w:spacing w:line="360" w:lineRule="auto"/>
        <w:rPr>
          <w:rFonts w:hint="eastAsia" w:ascii="宋体" w:hAnsi="宋体" w:eastAsia="宋体" w:cs="宋体"/>
          <w:b/>
          <w:color w:val="auto"/>
          <w:kern w:val="0"/>
          <w:sz w:val="32"/>
          <w:szCs w:val="32"/>
          <w:highlight w:val="none"/>
          <w:lang w:val="zh-CN"/>
        </w:rPr>
      </w:pPr>
      <w:r>
        <w:rPr>
          <w:rFonts w:hint="eastAsia" w:ascii="宋体" w:hAnsi="宋体" w:eastAsia="宋体" w:cs="宋体"/>
          <w:b/>
          <w:color w:val="auto"/>
          <w:kern w:val="0"/>
          <w:sz w:val="32"/>
          <w:szCs w:val="32"/>
          <w:highlight w:val="none"/>
          <w:lang w:val="zh-CN"/>
        </w:rPr>
        <w:t>或事业法人登记证或其他工商等登记证明材料原件扫描件或复印件</w:t>
      </w:r>
    </w:p>
    <w:p w14:paraId="1537597F">
      <w:pPr>
        <w:snapToGrid w:val="0"/>
        <w:spacing w:line="360" w:lineRule="auto"/>
        <w:rPr>
          <w:rFonts w:hint="eastAsia" w:ascii="宋体" w:hAnsi="宋体" w:eastAsia="宋体" w:cs="宋体"/>
          <w:bCs/>
          <w:color w:val="auto"/>
          <w:kern w:val="0"/>
          <w:sz w:val="28"/>
          <w:szCs w:val="28"/>
          <w:highlight w:val="none"/>
          <w:lang w:val="zh-CN"/>
        </w:rPr>
      </w:pPr>
      <w:r>
        <w:rPr>
          <w:rFonts w:hint="eastAsia" w:ascii="宋体" w:hAnsi="宋体" w:eastAsia="宋体" w:cs="宋体"/>
          <w:bCs/>
          <w:color w:val="auto"/>
          <w:kern w:val="0"/>
          <w:sz w:val="28"/>
          <w:szCs w:val="28"/>
          <w:highlight w:val="none"/>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458C9AB4">
      <w:pPr>
        <w:snapToGrid w:val="0"/>
        <w:spacing w:line="360" w:lineRule="auto"/>
        <w:jc w:val="center"/>
        <w:rPr>
          <w:rFonts w:hint="eastAsia" w:ascii="宋体" w:hAnsi="宋体" w:eastAsia="宋体" w:cs="宋体"/>
          <w:b/>
          <w:color w:val="auto"/>
          <w:sz w:val="30"/>
          <w:szCs w:val="30"/>
          <w:highlight w:val="none"/>
        </w:rPr>
      </w:pPr>
    </w:p>
    <w:p w14:paraId="0CC233BC">
      <w:pPr>
        <w:spacing w:line="360" w:lineRule="auto"/>
        <w:jc w:val="center"/>
        <w:rPr>
          <w:rFonts w:hint="eastAsia" w:ascii="宋体" w:hAnsi="宋体" w:eastAsia="宋体" w:cs="宋体"/>
          <w:b/>
          <w:color w:val="auto"/>
          <w:sz w:val="32"/>
          <w:szCs w:val="32"/>
          <w:highlight w:val="none"/>
        </w:rPr>
      </w:pPr>
    </w:p>
    <w:p w14:paraId="3E2245D2">
      <w:pPr>
        <w:spacing w:line="360" w:lineRule="auto"/>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特定资格条件要求的资质文件复印件（如有）</w:t>
      </w:r>
    </w:p>
    <w:p w14:paraId="080C14C1">
      <w:pPr>
        <w:snapToGrid w:val="0"/>
        <w:spacing w:line="360" w:lineRule="auto"/>
        <w:rPr>
          <w:rFonts w:hint="eastAsia" w:ascii="宋体" w:hAnsi="宋体" w:eastAsia="宋体" w:cs="宋体"/>
          <w:color w:val="auto"/>
          <w:sz w:val="24"/>
          <w:highlight w:val="none"/>
        </w:rPr>
      </w:pPr>
      <w:r>
        <w:rPr>
          <w:rFonts w:hint="eastAsia" w:ascii="宋体" w:hAnsi="宋体" w:eastAsia="宋体" w:cs="宋体"/>
          <w:bCs/>
          <w:color w:val="auto"/>
          <w:kern w:val="0"/>
          <w:sz w:val="28"/>
          <w:szCs w:val="28"/>
          <w:highlight w:val="none"/>
          <w:lang w:val="zh-CN"/>
        </w:rPr>
        <w:t>（由投标人根据招标公告合格的投标人应具备的特定资格要求编制，如果本项目没有设置特定资格条件，则不需要提供）</w:t>
      </w:r>
    </w:p>
    <w:p w14:paraId="6B9B24B6">
      <w:pPr>
        <w:spacing w:line="360" w:lineRule="auto"/>
        <w:jc w:val="center"/>
        <w:rPr>
          <w:rFonts w:hint="eastAsia" w:ascii="宋体" w:hAnsi="宋体" w:eastAsia="宋体" w:cs="宋体"/>
          <w:b/>
          <w:bCs/>
          <w:color w:val="auto"/>
          <w:sz w:val="32"/>
          <w:szCs w:val="32"/>
          <w:highlight w:val="none"/>
        </w:rPr>
      </w:pPr>
    </w:p>
    <w:p w14:paraId="5FECC298">
      <w:pPr>
        <w:spacing w:line="360" w:lineRule="auto"/>
        <w:jc w:val="center"/>
        <w:rPr>
          <w:rFonts w:hint="eastAsia" w:ascii="宋体" w:hAnsi="宋体" w:eastAsia="宋体" w:cs="宋体"/>
          <w:b/>
          <w:bCs/>
          <w:color w:val="auto"/>
          <w:sz w:val="32"/>
          <w:szCs w:val="32"/>
          <w:highlight w:val="none"/>
        </w:rPr>
      </w:pPr>
    </w:p>
    <w:p w14:paraId="1A497CC4">
      <w:pPr>
        <w:spacing w:line="360" w:lineRule="auto"/>
        <w:jc w:val="left"/>
        <w:rPr>
          <w:rFonts w:hint="eastAsia" w:ascii="宋体" w:hAnsi="宋体" w:eastAsia="宋体" w:cs="宋体"/>
          <w:color w:val="auto"/>
          <w:sz w:val="24"/>
          <w:highlight w:val="none"/>
        </w:rPr>
      </w:pPr>
      <w:r>
        <w:rPr>
          <w:rFonts w:hint="eastAsia" w:ascii="宋体" w:hAnsi="宋体" w:eastAsia="宋体" w:cs="宋体"/>
          <w:bCs/>
          <w:color w:val="auto"/>
          <w:kern w:val="0"/>
          <w:sz w:val="28"/>
          <w:szCs w:val="28"/>
          <w:highlight w:val="none"/>
          <w:lang w:val="zh-CN"/>
        </w:rPr>
        <w:t>未被“信用中国”（www.creditchina.gov.cn)、中国政府采购网（www.ccgp.gov.cn）列入失信被执行人、税收违法黑名单、政府采购严重违法失信行为记录名单</w:t>
      </w:r>
      <w:r>
        <w:rPr>
          <w:rFonts w:hint="eastAsia" w:ascii="宋体" w:hAnsi="宋体" w:eastAsia="宋体" w:cs="宋体"/>
          <w:bCs/>
          <w:color w:val="auto"/>
          <w:kern w:val="0"/>
          <w:sz w:val="28"/>
          <w:szCs w:val="28"/>
          <w:highlight w:val="none"/>
          <w:lang w:val="zh-CN" w:eastAsia="zh-CN"/>
        </w:rPr>
        <w:t>截图</w:t>
      </w:r>
      <w:r>
        <w:rPr>
          <w:rFonts w:hint="eastAsia" w:ascii="宋体" w:hAnsi="宋体" w:eastAsia="宋体" w:cs="宋体"/>
          <w:bCs/>
          <w:color w:val="auto"/>
          <w:kern w:val="0"/>
          <w:sz w:val="28"/>
          <w:szCs w:val="28"/>
          <w:highlight w:val="none"/>
          <w:lang w:val="zh-CN"/>
        </w:rPr>
        <w:br w:type="page"/>
      </w:r>
      <w:r>
        <w:rPr>
          <w:rFonts w:hint="eastAsia" w:ascii="宋体" w:hAnsi="宋体" w:eastAsia="宋体" w:cs="宋体"/>
          <w:color w:val="auto"/>
          <w:sz w:val="24"/>
          <w:highlight w:val="none"/>
        </w:rPr>
        <w:t>3.</w:t>
      </w:r>
      <w:r>
        <w:rPr>
          <w:rFonts w:hint="eastAsia" w:ascii="宋体" w:hAnsi="宋体" w:eastAsia="宋体" w:cs="宋体"/>
          <w:color w:val="auto"/>
          <w:highlight w:val="none"/>
        </w:rPr>
        <w:t xml:space="preserve"> </w:t>
      </w:r>
      <w:r>
        <w:rPr>
          <w:rFonts w:hint="eastAsia" w:ascii="宋体" w:hAnsi="宋体" w:eastAsia="宋体" w:cs="宋体"/>
          <w:color w:val="auto"/>
          <w:sz w:val="24"/>
          <w:highlight w:val="none"/>
        </w:rPr>
        <w:t>没有重大违法记录的承诺函格式：</w:t>
      </w:r>
    </w:p>
    <w:p w14:paraId="529867FB">
      <w:pPr>
        <w:spacing w:line="360" w:lineRule="auto"/>
        <w:jc w:val="center"/>
        <w:rPr>
          <w:rFonts w:hint="eastAsia" w:ascii="宋体" w:hAnsi="宋体" w:eastAsia="宋体" w:cs="宋体"/>
          <w:b/>
          <w:color w:val="auto"/>
          <w:kern w:val="0"/>
          <w:sz w:val="32"/>
          <w:szCs w:val="32"/>
          <w:highlight w:val="none"/>
        </w:rPr>
      </w:pPr>
    </w:p>
    <w:p w14:paraId="1A78FEF6">
      <w:pPr>
        <w:spacing w:line="520" w:lineRule="exact"/>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参加本次采购项目前三年内在经营活动中</w:t>
      </w:r>
    </w:p>
    <w:p w14:paraId="04AE319A">
      <w:pPr>
        <w:spacing w:line="520" w:lineRule="exact"/>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没有重大违法记录的承诺函</w:t>
      </w:r>
    </w:p>
    <w:p w14:paraId="4D6DB571">
      <w:pPr>
        <w:spacing w:line="520" w:lineRule="exact"/>
        <w:jc w:val="center"/>
        <w:rPr>
          <w:rFonts w:hint="eastAsia" w:ascii="宋体" w:hAnsi="宋体" w:eastAsia="宋体" w:cs="宋体"/>
          <w:bCs/>
          <w:color w:val="auto"/>
          <w:sz w:val="24"/>
          <w:highlight w:val="none"/>
        </w:rPr>
      </w:pPr>
    </w:p>
    <w:p w14:paraId="5221D421">
      <w:pPr>
        <w:ind w:firstLine="420"/>
        <w:rPr>
          <w:rFonts w:hint="eastAsia" w:ascii="宋体" w:hAnsi="宋体" w:eastAsia="宋体" w:cs="宋体"/>
          <w:color w:val="auto"/>
          <w:sz w:val="24"/>
          <w:highlight w:val="none"/>
        </w:rPr>
      </w:pPr>
    </w:p>
    <w:p w14:paraId="4F78BDC4">
      <w:pPr>
        <w:spacing w:line="360" w:lineRule="auto"/>
        <w:rPr>
          <w:rFonts w:hint="eastAsia" w:ascii="宋体" w:hAnsi="宋体" w:eastAsia="宋体" w:cs="宋体"/>
          <w:color w:val="auto"/>
          <w:kern w:val="0"/>
          <w:sz w:val="24"/>
          <w:highlight w:val="none"/>
        </w:rPr>
      </w:pPr>
      <w:r>
        <w:rPr>
          <w:rFonts w:hint="eastAsia" w:ascii="宋体" w:hAnsi="宋体" w:eastAsia="宋体" w:cs="宋体"/>
          <w:bCs/>
          <w:color w:val="auto"/>
          <w:sz w:val="24"/>
          <w:highlight w:val="none"/>
        </w:rPr>
        <w:t>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（招标人名称）</w:t>
      </w:r>
      <w:r>
        <w:rPr>
          <w:rFonts w:hint="eastAsia" w:ascii="宋体" w:hAnsi="宋体" w:eastAsia="宋体" w:cs="宋体"/>
          <w:b/>
          <w:bCs/>
          <w:color w:val="auto"/>
          <w:sz w:val="24"/>
          <w:highlight w:val="none"/>
        </w:rPr>
        <w:t xml:space="preserve"> </w:t>
      </w:r>
      <w:r>
        <w:rPr>
          <w:rFonts w:hint="eastAsia" w:ascii="宋体" w:hAnsi="宋体" w:eastAsia="宋体" w:cs="宋体"/>
          <w:color w:val="auto"/>
          <w:sz w:val="24"/>
          <w:highlight w:val="none"/>
        </w:rPr>
        <w:t>：</w:t>
      </w:r>
    </w:p>
    <w:p w14:paraId="63BCF292">
      <w:pPr>
        <w:snapToGrid w:val="0"/>
        <w:spacing w:beforeLines="50" w:after="50"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我方郑重承诺，我方在参加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项目（项目编号：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3FFF9FD4">
      <w:pPr>
        <w:ind w:firstLine="420"/>
        <w:rPr>
          <w:rFonts w:hint="eastAsia" w:ascii="宋体" w:hAnsi="宋体" w:eastAsia="宋体" w:cs="宋体"/>
          <w:color w:val="auto"/>
          <w:sz w:val="24"/>
          <w:highlight w:val="none"/>
        </w:rPr>
      </w:pPr>
    </w:p>
    <w:p w14:paraId="6AD03241">
      <w:pPr>
        <w:snapToGrid w:val="0"/>
        <w:spacing w:beforeLines="50" w:after="50"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特此</w:t>
      </w:r>
      <w:r>
        <w:rPr>
          <w:rFonts w:hint="eastAsia" w:ascii="宋体" w:hAnsi="宋体" w:eastAsia="宋体" w:cs="宋体"/>
          <w:color w:val="auto"/>
          <w:kern w:val="0"/>
          <w:sz w:val="24"/>
          <w:highlight w:val="none"/>
        </w:rPr>
        <w:t>承诺</w:t>
      </w:r>
      <w:r>
        <w:rPr>
          <w:rFonts w:hint="eastAsia" w:ascii="宋体" w:hAnsi="宋体" w:eastAsia="宋体" w:cs="宋体"/>
          <w:color w:val="auto"/>
          <w:sz w:val="24"/>
          <w:highlight w:val="none"/>
        </w:rPr>
        <w:t>！</w:t>
      </w:r>
    </w:p>
    <w:p w14:paraId="45C0858F">
      <w:pPr>
        <w:snapToGrid w:val="0"/>
        <w:spacing w:before="50" w:afterLines="50"/>
        <w:jc w:val="left"/>
        <w:rPr>
          <w:rFonts w:hint="eastAsia" w:ascii="宋体" w:hAnsi="宋体" w:eastAsia="宋体" w:cs="宋体"/>
          <w:color w:val="auto"/>
          <w:kern w:val="0"/>
          <w:sz w:val="24"/>
          <w:highlight w:val="none"/>
          <w:lang w:val="zh-CN"/>
        </w:rPr>
      </w:pPr>
    </w:p>
    <w:p w14:paraId="36EFE408">
      <w:pPr>
        <w:snapToGrid w:val="0"/>
        <w:spacing w:before="50" w:afterLines="50"/>
        <w:jc w:val="left"/>
        <w:rPr>
          <w:rFonts w:hint="eastAsia" w:ascii="宋体" w:hAnsi="宋体" w:eastAsia="宋体" w:cs="宋体"/>
          <w:color w:val="auto"/>
          <w:kern w:val="0"/>
          <w:sz w:val="24"/>
          <w:highlight w:val="none"/>
          <w:lang w:val="zh-CN"/>
        </w:rPr>
      </w:pPr>
    </w:p>
    <w:p w14:paraId="692CABBD">
      <w:pPr>
        <w:snapToGrid w:val="0"/>
        <w:spacing w:before="50" w:afterLines="50"/>
        <w:jc w:val="left"/>
        <w:rPr>
          <w:rFonts w:hint="eastAsia" w:ascii="宋体" w:hAnsi="宋体" w:eastAsia="宋体" w:cs="宋体"/>
          <w:color w:val="auto"/>
          <w:kern w:val="0"/>
          <w:sz w:val="24"/>
          <w:highlight w:val="none"/>
          <w:lang w:val="zh-CN"/>
        </w:rPr>
      </w:pPr>
    </w:p>
    <w:p w14:paraId="5787ABCF">
      <w:pPr>
        <w:snapToGrid w:val="0"/>
        <w:spacing w:before="50" w:afterLines="50"/>
        <w:jc w:val="left"/>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t>法定代表人签字（或盖章）：         投标人（盖章）：</w:t>
      </w:r>
    </w:p>
    <w:p w14:paraId="6B15CE04">
      <w:pPr>
        <w:snapToGrid w:val="0"/>
        <w:spacing w:before="50" w:afterLines="50"/>
        <w:jc w:val="left"/>
        <w:rPr>
          <w:rFonts w:hint="eastAsia" w:ascii="宋体" w:hAnsi="宋体" w:eastAsia="宋体" w:cs="宋体"/>
          <w:b/>
          <w:color w:val="auto"/>
          <w:sz w:val="24"/>
          <w:highlight w:val="none"/>
        </w:rPr>
      </w:pPr>
    </w:p>
    <w:p w14:paraId="0E632E8A">
      <w:pPr>
        <w:snapToGrid w:val="0"/>
        <w:spacing w:before="50" w:afterLines="50"/>
        <w:jc w:val="left"/>
        <w:rPr>
          <w:rFonts w:hint="eastAsia" w:ascii="宋体" w:hAnsi="宋体" w:eastAsia="宋体" w:cs="宋体"/>
          <w:b/>
          <w:color w:val="auto"/>
          <w:sz w:val="24"/>
          <w:highlight w:val="none"/>
        </w:rPr>
      </w:pPr>
    </w:p>
    <w:p w14:paraId="18A61052">
      <w:pPr>
        <w:snapToGrid w:val="0"/>
        <w:spacing w:before="50" w:afterLines="50"/>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日期：  _____年___月___日</w:t>
      </w:r>
    </w:p>
    <w:p w14:paraId="5FA076BE">
      <w:pPr>
        <w:snapToGrid w:val="0"/>
        <w:spacing w:before="50" w:afterLines="50"/>
        <w:jc w:val="left"/>
        <w:rPr>
          <w:rFonts w:hint="eastAsia" w:ascii="宋体" w:hAnsi="宋体" w:eastAsia="宋体" w:cs="宋体"/>
          <w:color w:val="auto"/>
          <w:sz w:val="28"/>
          <w:szCs w:val="28"/>
          <w:highlight w:val="none"/>
        </w:rPr>
      </w:pPr>
    </w:p>
    <w:p w14:paraId="2C9DED9A">
      <w:pPr>
        <w:snapToGrid w:val="0"/>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zh-CN"/>
        </w:rPr>
        <w:br w:type="page"/>
      </w:r>
    </w:p>
    <w:bookmarkEnd w:id="137"/>
    <w:p w14:paraId="23489C11">
      <w:pPr>
        <w:snapToGrid w:val="0"/>
        <w:spacing w:beforeLines="50" w:after="50"/>
        <w:jc w:val="center"/>
        <w:outlineLvl w:val="1"/>
        <w:rPr>
          <w:rFonts w:hint="eastAsia" w:ascii="宋体" w:hAnsi="宋体" w:cs="宋体"/>
          <w:b/>
          <w:bCs/>
          <w:color w:val="auto"/>
          <w:sz w:val="28"/>
          <w:szCs w:val="28"/>
          <w:highlight w:val="none"/>
          <w:lang w:eastAsia="zh-CN"/>
        </w:rPr>
      </w:pPr>
      <w:bookmarkStart w:id="139" w:name="_Hlk60757098"/>
    </w:p>
    <w:p w14:paraId="229A3FD6">
      <w:pPr>
        <w:snapToGrid w:val="0"/>
        <w:spacing w:beforeLines="50" w:after="50"/>
        <w:jc w:val="center"/>
        <w:outlineLvl w:val="1"/>
        <w:rPr>
          <w:rFonts w:hint="eastAsia" w:ascii="宋体" w:hAnsi="宋体" w:cs="宋体"/>
          <w:b/>
          <w:bCs/>
          <w:color w:val="auto"/>
          <w:sz w:val="28"/>
          <w:szCs w:val="28"/>
          <w:highlight w:val="none"/>
          <w:lang w:eastAsia="zh-CN"/>
        </w:rPr>
      </w:pPr>
    </w:p>
    <w:p w14:paraId="6B443BC9">
      <w:pPr>
        <w:snapToGrid w:val="0"/>
        <w:spacing w:beforeLines="50" w:after="50"/>
        <w:jc w:val="center"/>
        <w:outlineLvl w:val="1"/>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eastAsia="zh-CN"/>
        </w:rPr>
        <w:t>二</w:t>
      </w:r>
      <w:r>
        <w:rPr>
          <w:rFonts w:hint="eastAsia" w:ascii="宋体" w:hAnsi="宋体" w:eastAsia="宋体" w:cs="宋体"/>
          <w:b/>
          <w:bCs/>
          <w:color w:val="auto"/>
          <w:sz w:val="28"/>
          <w:szCs w:val="28"/>
          <w:highlight w:val="none"/>
        </w:rPr>
        <w:t>、商务技术响应文件格式</w:t>
      </w:r>
    </w:p>
    <w:p w14:paraId="446B68C5">
      <w:pPr>
        <w:snapToGrid w:val="0"/>
        <w:spacing w:beforeLines="50" w:after="50"/>
        <w:jc w:val="center"/>
        <w:rPr>
          <w:rFonts w:hint="eastAsia" w:ascii="宋体" w:hAnsi="宋体" w:eastAsia="宋体" w:cs="宋体"/>
          <w:color w:val="auto"/>
          <w:sz w:val="28"/>
          <w:szCs w:val="28"/>
          <w:highlight w:val="none"/>
        </w:rPr>
      </w:pPr>
    </w:p>
    <w:p w14:paraId="0908F2AD">
      <w:pPr>
        <w:snapToGrid w:val="0"/>
        <w:spacing w:beforeLines="50" w:after="50"/>
        <w:jc w:val="center"/>
        <w:rPr>
          <w:rFonts w:hint="eastAsia" w:ascii="宋体" w:hAnsi="宋体" w:eastAsia="宋体" w:cs="宋体"/>
          <w:color w:val="auto"/>
          <w:sz w:val="28"/>
          <w:szCs w:val="28"/>
          <w:highlight w:val="none"/>
        </w:rPr>
      </w:pPr>
    </w:p>
    <w:p w14:paraId="43DDB4B0">
      <w:pPr>
        <w:snapToGrid w:val="0"/>
        <w:spacing w:beforeLines="50" w:after="50"/>
        <w:ind w:firstLine="560" w:firstLineChars="200"/>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rPr>
        <w:t xml:space="preserve">.商务技术响应文件封面格式： </w:t>
      </w:r>
    </w:p>
    <w:p w14:paraId="42DF58C1">
      <w:pPr>
        <w:snapToGrid w:val="0"/>
        <w:spacing w:beforeLines="50" w:after="5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 </w:t>
      </w:r>
    </w:p>
    <w:p w14:paraId="294BB861">
      <w:pPr>
        <w:snapToGrid w:val="0"/>
        <w:spacing w:beforeLines="50" w:after="50"/>
        <w:rPr>
          <w:rFonts w:hint="eastAsia" w:ascii="宋体" w:hAnsi="宋体" w:eastAsia="宋体" w:cs="宋体"/>
          <w:color w:val="auto"/>
          <w:sz w:val="28"/>
          <w:szCs w:val="28"/>
          <w:highlight w:val="none"/>
        </w:rPr>
      </w:pPr>
    </w:p>
    <w:p w14:paraId="38C45533">
      <w:pPr>
        <w:snapToGrid w:val="0"/>
        <w:spacing w:beforeLines="50" w:after="50"/>
        <w:jc w:val="center"/>
        <w:rPr>
          <w:rFonts w:hint="eastAsia" w:ascii="宋体" w:hAnsi="宋体" w:eastAsia="宋体" w:cs="宋体"/>
          <w:bCs/>
          <w:color w:val="auto"/>
          <w:sz w:val="28"/>
          <w:szCs w:val="28"/>
          <w:highlight w:val="none"/>
        </w:rPr>
      </w:pPr>
    </w:p>
    <w:p w14:paraId="51EF448A">
      <w:pPr>
        <w:snapToGrid w:val="0"/>
        <w:spacing w:beforeLines="50" w:after="50"/>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商务技术响应文件</w:t>
      </w:r>
    </w:p>
    <w:p w14:paraId="0CDFCFF4">
      <w:pPr>
        <w:snapToGrid w:val="0"/>
        <w:spacing w:beforeLines="50" w:after="50" w:line="360" w:lineRule="auto"/>
        <w:jc w:val="center"/>
        <w:rPr>
          <w:rFonts w:hint="eastAsia" w:ascii="宋体" w:hAnsi="宋体" w:eastAsia="宋体" w:cs="宋体"/>
          <w:bCs/>
          <w:color w:val="auto"/>
          <w:sz w:val="28"/>
          <w:szCs w:val="28"/>
          <w:highlight w:val="none"/>
        </w:rPr>
      </w:pPr>
    </w:p>
    <w:p w14:paraId="0BC1C1AA">
      <w:pPr>
        <w:snapToGrid w:val="0"/>
        <w:spacing w:beforeLines="50" w:after="50" w:line="360" w:lineRule="auto"/>
        <w:jc w:val="center"/>
        <w:rPr>
          <w:rFonts w:hint="eastAsia" w:ascii="宋体" w:hAnsi="宋体" w:eastAsia="宋体" w:cs="宋体"/>
          <w:bCs/>
          <w:color w:val="auto"/>
          <w:sz w:val="28"/>
          <w:szCs w:val="28"/>
          <w:highlight w:val="none"/>
        </w:rPr>
      </w:pPr>
    </w:p>
    <w:p w14:paraId="4D7D90ED">
      <w:pPr>
        <w:snapToGrid w:val="0"/>
        <w:spacing w:beforeLines="50" w:after="50" w:line="360" w:lineRule="auto"/>
        <w:ind w:firstLine="1246" w:firstLineChars="445"/>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项目名称：</w:t>
      </w:r>
    </w:p>
    <w:p w14:paraId="3E97CEA2">
      <w:pPr>
        <w:snapToGrid w:val="0"/>
        <w:spacing w:beforeLines="50" w:after="50" w:line="360" w:lineRule="auto"/>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     项目编号：    </w:t>
      </w:r>
    </w:p>
    <w:p w14:paraId="24F8620B">
      <w:pPr>
        <w:pStyle w:val="15"/>
        <w:snapToGrid w:val="0"/>
        <w:spacing w:before="50" w:after="50" w:line="360" w:lineRule="auto"/>
        <w:ind w:firstLine="1164" w:firstLineChars="416"/>
        <w:rPr>
          <w:rFonts w:hint="eastAsia" w:ascii="宋体" w:hAnsi="宋体" w:eastAsia="宋体" w:cs="宋体"/>
          <w:bCs/>
          <w:color w:val="auto"/>
          <w:sz w:val="28"/>
          <w:szCs w:val="28"/>
          <w:highlight w:val="none"/>
        </w:rPr>
      </w:pPr>
    </w:p>
    <w:p w14:paraId="0B73124F">
      <w:pPr>
        <w:pStyle w:val="15"/>
        <w:snapToGrid w:val="0"/>
        <w:spacing w:before="50" w:after="50" w:line="360" w:lineRule="auto"/>
        <w:ind w:firstLine="1164" w:firstLineChars="416"/>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投标人名称：</w:t>
      </w:r>
    </w:p>
    <w:p w14:paraId="4FEFFE73">
      <w:pPr>
        <w:pStyle w:val="15"/>
        <w:snapToGrid w:val="0"/>
        <w:spacing w:before="50" w:after="50" w:line="360" w:lineRule="auto"/>
        <w:ind w:firstLine="1164" w:firstLineChars="416"/>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投标人地址：</w:t>
      </w:r>
    </w:p>
    <w:p w14:paraId="77564D34">
      <w:pPr>
        <w:pStyle w:val="15"/>
        <w:snapToGrid w:val="0"/>
        <w:spacing w:before="50" w:after="50"/>
        <w:ind w:firstLine="1120" w:firstLineChars="400"/>
        <w:rPr>
          <w:rFonts w:hint="eastAsia" w:ascii="宋体" w:hAnsi="宋体" w:eastAsia="宋体" w:cs="宋体"/>
          <w:bCs/>
          <w:color w:val="auto"/>
          <w:sz w:val="28"/>
          <w:szCs w:val="28"/>
          <w:highlight w:val="none"/>
        </w:rPr>
      </w:pPr>
    </w:p>
    <w:p w14:paraId="3D7D3CA1">
      <w:pPr>
        <w:snapToGrid w:val="0"/>
        <w:spacing w:line="360" w:lineRule="auto"/>
        <w:ind w:firstLine="3360" w:firstLineChars="1200"/>
        <w:jc w:val="left"/>
        <w:rPr>
          <w:rFonts w:hint="eastAsia" w:ascii="宋体" w:hAnsi="宋体" w:eastAsia="宋体" w:cs="宋体"/>
          <w:color w:val="auto"/>
          <w:sz w:val="28"/>
          <w:szCs w:val="28"/>
          <w:highlight w:val="none"/>
        </w:rPr>
      </w:pPr>
    </w:p>
    <w:p w14:paraId="31BB5204">
      <w:pPr>
        <w:snapToGrid w:val="0"/>
        <w:spacing w:beforeLines="50" w:after="5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年  月  日</w:t>
      </w:r>
    </w:p>
    <w:p w14:paraId="4EF9CD11">
      <w:pPr>
        <w:snapToGrid w:val="0"/>
        <w:spacing w:beforeLines="50" w:after="50"/>
        <w:jc w:val="center"/>
        <w:rPr>
          <w:rFonts w:hint="eastAsia" w:ascii="宋体" w:hAnsi="宋体" w:eastAsia="宋体" w:cs="宋体"/>
          <w:color w:val="auto"/>
          <w:sz w:val="28"/>
          <w:szCs w:val="28"/>
          <w:highlight w:val="none"/>
        </w:rPr>
      </w:pPr>
    </w:p>
    <w:p w14:paraId="2935736F">
      <w:pPr>
        <w:snapToGrid w:val="0"/>
        <w:spacing w:beforeLines="50" w:after="50"/>
        <w:jc w:val="center"/>
        <w:rPr>
          <w:rFonts w:hint="eastAsia" w:ascii="宋体" w:hAnsi="宋体" w:eastAsia="宋体" w:cs="宋体"/>
          <w:color w:val="auto"/>
          <w:sz w:val="28"/>
          <w:szCs w:val="28"/>
          <w:highlight w:val="none"/>
        </w:rPr>
      </w:pPr>
    </w:p>
    <w:p w14:paraId="26C10659">
      <w:pPr>
        <w:snapToGrid w:val="0"/>
        <w:spacing w:beforeLines="50" w:after="50"/>
        <w:jc w:val="center"/>
        <w:rPr>
          <w:rFonts w:hint="eastAsia" w:ascii="宋体" w:hAnsi="宋体" w:eastAsia="宋体" w:cs="宋体"/>
          <w:color w:val="auto"/>
          <w:sz w:val="28"/>
          <w:szCs w:val="28"/>
          <w:highlight w:val="none"/>
        </w:rPr>
      </w:pPr>
    </w:p>
    <w:p w14:paraId="0EEFF50A">
      <w:pPr>
        <w:snapToGrid w:val="0"/>
        <w:spacing w:beforeLines="50" w:after="50"/>
        <w:jc w:val="center"/>
        <w:rPr>
          <w:rFonts w:hint="eastAsia" w:ascii="宋体" w:hAnsi="宋体" w:eastAsia="宋体" w:cs="宋体"/>
          <w:color w:val="auto"/>
          <w:sz w:val="28"/>
          <w:szCs w:val="28"/>
          <w:highlight w:val="none"/>
        </w:rPr>
      </w:pPr>
    </w:p>
    <w:p w14:paraId="13AECA3C">
      <w:pPr>
        <w:snapToGrid w:val="0"/>
        <w:spacing w:beforeLines="50" w:after="50"/>
        <w:jc w:val="center"/>
        <w:rPr>
          <w:rFonts w:hint="eastAsia" w:ascii="宋体" w:hAnsi="宋体" w:eastAsia="宋体" w:cs="宋体"/>
          <w:color w:val="auto"/>
          <w:sz w:val="28"/>
          <w:szCs w:val="28"/>
          <w:highlight w:val="none"/>
        </w:rPr>
      </w:pPr>
    </w:p>
    <w:p w14:paraId="09420E27">
      <w:pPr>
        <w:snapToGrid w:val="0"/>
        <w:spacing w:beforeLines="50" w:after="50"/>
        <w:jc w:val="center"/>
        <w:rPr>
          <w:rFonts w:hint="eastAsia" w:ascii="宋体" w:hAnsi="宋体" w:eastAsia="宋体" w:cs="宋体"/>
          <w:color w:val="auto"/>
          <w:sz w:val="28"/>
          <w:szCs w:val="28"/>
          <w:highlight w:val="none"/>
        </w:rPr>
      </w:pPr>
    </w:p>
    <w:p w14:paraId="1974EFA3">
      <w:pPr>
        <w:snapToGrid w:val="0"/>
        <w:spacing w:beforeLines="50" w:after="50"/>
        <w:jc w:val="center"/>
        <w:rPr>
          <w:rFonts w:hint="eastAsia" w:ascii="宋体" w:hAnsi="宋体" w:eastAsia="宋体" w:cs="宋体"/>
          <w:color w:val="auto"/>
          <w:sz w:val="28"/>
          <w:szCs w:val="28"/>
          <w:highlight w:val="none"/>
        </w:rPr>
      </w:pPr>
    </w:p>
    <w:p w14:paraId="24BC1990">
      <w:pPr>
        <w:snapToGrid w:val="0"/>
        <w:spacing w:beforeLines="50" w:after="50"/>
        <w:jc w:val="center"/>
        <w:rPr>
          <w:rFonts w:hint="eastAsia" w:ascii="宋体" w:hAnsi="宋体" w:eastAsia="宋体" w:cs="宋体"/>
          <w:color w:val="auto"/>
          <w:sz w:val="28"/>
          <w:szCs w:val="28"/>
          <w:highlight w:val="none"/>
        </w:rPr>
      </w:pPr>
    </w:p>
    <w:p w14:paraId="0EFE2875">
      <w:pPr>
        <w:snapToGrid w:val="0"/>
        <w:spacing w:beforeLines="50" w:after="50"/>
        <w:jc w:val="center"/>
        <w:rPr>
          <w:rFonts w:hint="eastAsia" w:ascii="宋体" w:hAnsi="宋体" w:eastAsia="宋体" w:cs="宋体"/>
          <w:color w:val="auto"/>
          <w:sz w:val="28"/>
          <w:szCs w:val="28"/>
          <w:highlight w:val="none"/>
        </w:rPr>
      </w:pPr>
    </w:p>
    <w:p w14:paraId="28AEF62E">
      <w:pPr>
        <w:snapToGrid w:val="0"/>
        <w:spacing w:beforeLines="50" w:after="50"/>
        <w:jc w:val="both"/>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.投标函格式：</w:t>
      </w:r>
      <w:bookmarkEnd w:id="139"/>
    </w:p>
    <w:p w14:paraId="1F58DB5C">
      <w:pPr>
        <w:snapToGrid w:val="0"/>
        <w:spacing w:beforeLines="50" w:after="50"/>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投 标 函</w:t>
      </w:r>
    </w:p>
    <w:p w14:paraId="66D02142">
      <w:pPr>
        <w:snapToGrid w:val="0"/>
        <w:spacing w:beforeLines="50" w:after="50" w:line="380" w:lineRule="exact"/>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致：______</w:t>
      </w:r>
      <w:r>
        <w:rPr>
          <w:rFonts w:hint="eastAsia" w:ascii="宋体" w:hAnsi="宋体" w:eastAsia="宋体" w:cs="宋体"/>
          <w:color w:val="auto"/>
          <w:sz w:val="24"/>
          <w:highlight w:val="none"/>
          <w:u w:val="single"/>
        </w:rPr>
        <w:t>_     _</w:t>
      </w:r>
      <w:r>
        <w:rPr>
          <w:rFonts w:hint="eastAsia" w:ascii="宋体" w:hAnsi="宋体" w:eastAsia="宋体" w:cs="宋体"/>
          <w:color w:val="auto"/>
          <w:sz w:val="24"/>
          <w:highlight w:val="none"/>
        </w:rPr>
        <w:t>_（招标人名称）：</w:t>
      </w:r>
    </w:p>
    <w:p w14:paraId="0FEA5522">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我方自愿参加贵方组织的_____</w:t>
      </w:r>
      <w:r>
        <w:rPr>
          <w:rFonts w:hint="eastAsia" w:ascii="宋体" w:hAnsi="宋体" w:eastAsia="宋体" w:cs="宋体"/>
          <w:color w:val="auto"/>
          <w:sz w:val="24"/>
          <w:highlight w:val="none"/>
          <w:u w:val="single"/>
        </w:rPr>
        <w:t>_     _</w:t>
      </w:r>
      <w:r>
        <w:rPr>
          <w:rFonts w:hint="eastAsia" w:ascii="宋体" w:hAnsi="宋体" w:eastAsia="宋体" w:cs="宋体"/>
          <w:color w:val="auto"/>
          <w:sz w:val="24"/>
          <w:highlight w:val="none"/>
        </w:rPr>
        <w:t>_项目（项目编号：____</w:t>
      </w:r>
      <w:r>
        <w:rPr>
          <w:rFonts w:hint="eastAsia" w:ascii="宋体" w:hAnsi="宋体" w:eastAsia="宋体" w:cs="宋体"/>
          <w:color w:val="auto"/>
          <w:sz w:val="24"/>
          <w:highlight w:val="none"/>
          <w:u w:val="single"/>
        </w:rPr>
        <w:t xml:space="preserve"> _</w:t>
      </w:r>
      <w:r>
        <w:rPr>
          <w:rFonts w:hint="eastAsia" w:ascii="宋体" w:hAnsi="宋体" w:eastAsia="宋体" w:cs="宋体"/>
          <w:color w:val="auto"/>
          <w:sz w:val="24"/>
          <w:highlight w:val="none"/>
        </w:rPr>
        <w:t>_）的投标，并按采购文件的要求提交商务技术文件、报价文件。</w:t>
      </w:r>
    </w:p>
    <w:p w14:paraId="26AB219B">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我方完全理解并接受招标文件（包括修改补充文件）的各项规定和要求，不再对招标文件的合理性、合法性等相关内容提出质疑或投诉。</w:t>
      </w:r>
    </w:p>
    <w:p w14:paraId="3928103F">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我方不是招标人的附属机构以及其它法律法规所规定的限制投标单位。</w:t>
      </w:r>
    </w:p>
    <w:p w14:paraId="5E1B0218">
      <w:pPr>
        <w:snapToGrid w:val="0"/>
        <w:spacing w:line="360" w:lineRule="auto"/>
        <w:ind w:firstLine="482" w:firstLineChars="200"/>
        <w:rPr>
          <w:rFonts w:hint="eastAsia" w:ascii="宋体" w:hAnsi="宋体" w:eastAsia="宋体" w:cs="宋体"/>
          <w:b/>
          <w:bCs/>
          <w:color w:val="auto"/>
          <w:sz w:val="24"/>
          <w:highlight w:val="none"/>
          <w:shd w:val="pct10" w:color="auto" w:fill="FFFFFF"/>
        </w:rPr>
      </w:pPr>
      <w:r>
        <w:rPr>
          <w:rFonts w:hint="eastAsia" w:ascii="宋体" w:hAnsi="宋体" w:eastAsia="宋体" w:cs="宋体"/>
          <w:b/>
          <w:bCs/>
          <w:color w:val="auto"/>
          <w:sz w:val="24"/>
          <w:highlight w:val="none"/>
          <w:shd w:val="pct10" w:color="auto" w:fill="FFFFFF"/>
        </w:rPr>
        <w:t>4</w:t>
      </w:r>
      <w:r>
        <w:rPr>
          <w:rFonts w:hint="eastAsia" w:ascii="宋体" w:hAnsi="宋体" w:eastAsia="宋体" w:cs="宋体"/>
          <w:b/>
          <w:bCs/>
          <w:color w:val="auto"/>
          <w:sz w:val="24"/>
          <w:highlight w:val="none"/>
          <w:shd w:val="pct10" w:color="auto" w:fill="FFFFFF"/>
          <w:lang w:val="en-US" w:eastAsia="zh-CN"/>
        </w:rPr>
        <w:t>.</w:t>
      </w:r>
      <w:r>
        <w:rPr>
          <w:rFonts w:hint="eastAsia" w:ascii="宋体" w:hAnsi="宋体" w:eastAsia="宋体" w:cs="宋体"/>
          <w:b/>
          <w:bCs/>
          <w:color w:val="auto"/>
          <w:sz w:val="24"/>
          <w:highlight w:val="none"/>
          <w:shd w:val="pct10" w:color="auto" w:fill="FFFFFF"/>
        </w:rPr>
        <w:t>我方向贵方提交的所有投标文件、资料（包括所有</w:t>
      </w:r>
      <w:bookmarkStart w:id="140" w:name="_Hlk59707887"/>
      <w:r>
        <w:rPr>
          <w:rFonts w:hint="eastAsia" w:ascii="宋体" w:hAnsi="宋体" w:eastAsia="宋体" w:cs="宋体"/>
          <w:b/>
          <w:bCs/>
          <w:color w:val="auto"/>
          <w:sz w:val="24"/>
          <w:highlight w:val="none"/>
          <w:shd w:val="pct10" w:color="auto" w:fill="FFFFFF"/>
        </w:rPr>
        <w:t>证书、合同、报告等</w:t>
      </w:r>
      <w:bookmarkEnd w:id="140"/>
      <w:r>
        <w:rPr>
          <w:rFonts w:hint="eastAsia" w:ascii="宋体" w:hAnsi="宋体" w:eastAsia="宋体" w:cs="宋体"/>
          <w:b/>
          <w:bCs/>
          <w:color w:val="auto"/>
          <w:sz w:val="24"/>
          <w:highlight w:val="none"/>
          <w:shd w:val="pct10" w:color="auto" w:fill="FFFFFF"/>
        </w:rPr>
        <w:t>）都是准确、真实、合规的，如有虚假或隐瞒，我方愿意承担一切后果。</w:t>
      </w:r>
    </w:p>
    <w:p w14:paraId="7C5B90F2">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自投标截止日起 90天内有效。</w:t>
      </w:r>
    </w:p>
    <w:p w14:paraId="123E1F73">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如中标，本投标文件至本项目合同履行完毕均保持有效，同意按照贵方要求提供与投标有关的一切数据或资料，并按“招标文件”及相关法律、法规的规定履行合同责任和义务。</w:t>
      </w:r>
    </w:p>
    <w:p w14:paraId="58924F43">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以上事项如有虚假或隐瞒，我方愿意承担一切后果，并不再寻求任何旨在减轻或免除法律责任的辩解，同意我方的履约保证金不予退回，并对招标人因此引起的损失予以赔偿。</w:t>
      </w:r>
    </w:p>
    <w:p w14:paraId="12574AD7">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我方全权授权被授权人办理针对上述项目的投标、开标、评标、签约等具体事务和签署相关文件，对被授权的各项行为负全部责任，在撤销授权的书面通知以前，本授权书一直有效，被授权人无转委托权。</w:t>
      </w:r>
    </w:p>
    <w:p w14:paraId="303658C6">
      <w:pPr>
        <w:snapToGrid w:val="0"/>
        <w:spacing w:line="360" w:lineRule="auto"/>
        <w:ind w:firstLine="361" w:firstLineChars="150"/>
        <w:rPr>
          <w:rFonts w:hint="eastAsia" w:ascii="宋体" w:hAnsi="宋体" w:eastAsia="宋体" w:cs="宋体"/>
          <w:b/>
          <w:bCs/>
          <w:color w:val="auto"/>
          <w:sz w:val="24"/>
          <w:highlight w:val="none"/>
          <w:u w:val="single"/>
          <w:shd w:val="pct10" w:color="auto" w:fill="FFFFFF"/>
        </w:rPr>
      </w:pPr>
      <w:bookmarkStart w:id="141" w:name="_Hlk36048718"/>
      <w:r>
        <w:rPr>
          <w:rFonts w:hint="eastAsia" w:ascii="宋体" w:hAnsi="宋体" w:eastAsia="宋体" w:cs="宋体"/>
          <w:b/>
          <w:bCs/>
          <w:color w:val="auto"/>
          <w:sz w:val="24"/>
          <w:highlight w:val="none"/>
        </w:rPr>
        <w:t>与本投标有关的一切正式往来信函、传真或邮件</w:t>
      </w:r>
      <w:r>
        <w:rPr>
          <w:rFonts w:hint="eastAsia" w:ascii="宋体" w:hAnsi="宋体" w:eastAsia="宋体" w:cs="宋体"/>
          <w:b/>
          <w:bCs/>
          <w:color w:val="auto"/>
          <w:sz w:val="24"/>
          <w:highlight w:val="none"/>
          <w:u w:val="single"/>
          <w:shd w:val="pct10" w:color="auto" w:fill="FFFFFF"/>
        </w:rPr>
        <w:t>（例如质疑回复函、中标通知书、采购合同等）请采用如下联系方式送达，我方确保能够及时、准确收悉。</w:t>
      </w:r>
    </w:p>
    <w:p w14:paraId="47B4D85E">
      <w:pPr>
        <w:snapToGrid w:val="0"/>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邮寄详细地址：__________</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邮编：__________</w:t>
      </w:r>
    </w:p>
    <w:p w14:paraId="6FD0ABEF">
      <w:pPr>
        <w:snapToGrid w:val="0"/>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收件人姓名：_______</w:t>
      </w:r>
      <w:r>
        <w:rPr>
          <w:rFonts w:hint="eastAsia" w:ascii="宋体" w:hAnsi="宋体" w:eastAsia="宋体" w:cs="宋体"/>
          <w:color w:val="auto"/>
          <w:sz w:val="24"/>
          <w:highlight w:val="none"/>
          <w:u w:val="single"/>
        </w:rPr>
        <w:t xml:space="preserve">_   </w:t>
      </w:r>
      <w:r>
        <w:rPr>
          <w:rFonts w:hint="eastAsia" w:ascii="宋体" w:hAnsi="宋体" w:eastAsia="宋体" w:cs="宋体"/>
          <w:color w:val="auto"/>
          <w:sz w:val="24"/>
          <w:highlight w:val="none"/>
        </w:rPr>
        <w:t>联系手机：</w:t>
      </w:r>
      <w:bookmarkStart w:id="142" w:name="_Hlk59370410"/>
      <w:r>
        <w:rPr>
          <w:rFonts w:hint="eastAsia" w:ascii="宋体" w:hAnsi="宋体" w:eastAsia="宋体" w:cs="宋体"/>
          <w:color w:val="auto"/>
          <w:sz w:val="24"/>
          <w:highlight w:val="none"/>
        </w:rPr>
        <w:t>_______</w:t>
      </w:r>
      <w:r>
        <w:rPr>
          <w:rFonts w:hint="eastAsia" w:ascii="宋体" w:hAnsi="宋体" w:eastAsia="宋体" w:cs="宋体"/>
          <w:color w:val="auto"/>
          <w:sz w:val="24"/>
          <w:highlight w:val="none"/>
          <w:u w:val="single"/>
        </w:rPr>
        <w:t xml:space="preserve">_       </w:t>
      </w:r>
      <w:bookmarkEnd w:id="142"/>
      <w:r>
        <w:rPr>
          <w:rFonts w:hint="eastAsia" w:ascii="宋体" w:hAnsi="宋体" w:eastAsia="宋体" w:cs="宋体"/>
          <w:color w:val="auto"/>
          <w:sz w:val="24"/>
          <w:highlight w:val="none"/>
        </w:rPr>
        <w:t>公司电子邮箱</w:t>
      </w:r>
      <w:r>
        <w:rPr>
          <w:rFonts w:hint="eastAsia" w:ascii="宋体" w:hAnsi="宋体" w:eastAsia="宋体" w:cs="宋体"/>
          <w:b/>
          <w:bCs/>
          <w:color w:val="auto"/>
          <w:sz w:val="24"/>
          <w:highlight w:val="none"/>
        </w:rPr>
        <w:t>：</w:t>
      </w:r>
      <w:r>
        <w:rPr>
          <w:rFonts w:hint="eastAsia" w:ascii="宋体" w:hAnsi="宋体" w:eastAsia="宋体" w:cs="宋体"/>
          <w:color w:val="auto"/>
          <w:sz w:val="24"/>
          <w:highlight w:val="none"/>
          <w:u w:val="single"/>
        </w:rPr>
        <w:t xml:space="preserve"> _     __ </w:t>
      </w:r>
      <w:r>
        <w:rPr>
          <w:rFonts w:hint="eastAsia" w:ascii="宋体" w:hAnsi="宋体" w:eastAsia="宋体" w:cs="宋体"/>
          <w:color w:val="auto"/>
          <w:sz w:val="24"/>
          <w:highlight w:val="none"/>
        </w:rPr>
        <w:t xml:space="preserve"> </w:t>
      </w:r>
    </w:p>
    <w:p w14:paraId="3EA8CC30">
      <w:pPr>
        <w:snapToGrid w:val="0"/>
        <w:spacing w:line="360" w:lineRule="auto"/>
        <w:ind w:firstLine="361" w:firstLineChars="150"/>
        <w:jc w:val="left"/>
        <w:rPr>
          <w:rFonts w:hint="eastAsia" w:ascii="宋体" w:hAnsi="宋体" w:eastAsia="宋体" w:cs="宋体"/>
          <w:b/>
          <w:bCs/>
          <w:color w:val="auto"/>
          <w:sz w:val="24"/>
          <w:highlight w:val="none"/>
          <w:shd w:val="pct10" w:color="auto" w:fill="FFFFFF"/>
        </w:rPr>
      </w:pPr>
      <w:bookmarkStart w:id="143" w:name="_Hlk59370586"/>
      <w:r>
        <w:rPr>
          <w:rFonts w:hint="eastAsia" w:ascii="宋体" w:hAnsi="宋体" w:eastAsia="宋体" w:cs="宋体"/>
          <w:b/>
          <w:bCs/>
          <w:color w:val="auto"/>
          <w:sz w:val="24"/>
          <w:highlight w:val="none"/>
          <w:shd w:val="pct10" w:color="auto" w:fill="FFFFFF"/>
        </w:rPr>
        <w:t>为了方便评标委员会在必要时对投标人进行询标，请投标人填写以下投标文件编制人信息，以便及时、准确进行询标，投标文件编制人信息可不限于1人。</w:t>
      </w:r>
    </w:p>
    <w:p w14:paraId="7991594B">
      <w:pPr>
        <w:snapToGrid w:val="0"/>
        <w:spacing w:line="360" w:lineRule="auto"/>
        <w:ind w:firstLine="361" w:firstLineChars="150"/>
        <w:jc w:val="left"/>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rPr>
        <w:t>投标文件编制人</w:t>
      </w:r>
      <w:bookmarkEnd w:id="143"/>
      <w:r>
        <w:rPr>
          <w:rFonts w:hint="eastAsia" w:ascii="宋体" w:hAnsi="宋体" w:eastAsia="宋体" w:cs="宋体"/>
          <w:b/>
          <w:bCs/>
          <w:color w:val="auto"/>
          <w:sz w:val="24"/>
          <w:highlight w:val="none"/>
        </w:rPr>
        <w:t>姓名：_</w:t>
      </w:r>
      <w:r>
        <w:rPr>
          <w:rFonts w:hint="eastAsia" w:ascii="宋体" w:hAnsi="宋体" w:eastAsia="宋体" w:cs="宋体"/>
          <w:b/>
          <w:bCs/>
          <w:color w:val="auto"/>
          <w:sz w:val="24"/>
          <w:highlight w:val="none"/>
          <w:u w:val="single"/>
        </w:rPr>
        <w:t>_</w:t>
      </w:r>
      <w:r>
        <w:rPr>
          <w:rFonts w:hint="eastAsia" w:ascii="宋体" w:hAnsi="宋体" w:eastAsia="宋体" w:cs="宋体"/>
          <w:b/>
          <w:bCs/>
          <w:color w:val="auto"/>
          <w:sz w:val="24"/>
          <w:highlight w:val="none"/>
        </w:rPr>
        <w:t>________    手机号码：__</w:t>
      </w:r>
      <w:r>
        <w:rPr>
          <w:rFonts w:hint="eastAsia" w:ascii="宋体" w:hAnsi="宋体" w:eastAsia="宋体" w:cs="宋体"/>
          <w:b/>
          <w:bCs/>
          <w:color w:val="auto"/>
          <w:sz w:val="24"/>
          <w:highlight w:val="none"/>
          <w:u w:val="single"/>
        </w:rPr>
        <w:t>____    _    __</w:t>
      </w:r>
    </w:p>
    <w:p w14:paraId="53C2F1B7">
      <w:pPr>
        <w:snapToGrid w:val="0"/>
        <w:spacing w:line="360" w:lineRule="auto"/>
        <w:ind w:firstLine="361" w:firstLineChars="150"/>
        <w:jc w:val="left"/>
        <w:rPr>
          <w:rFonts w:hint="eastAsia" w:ascii="宋体" w:hAnsi="宋体" w:eastAsia="宋体" w:cs="宋体"/>
          <w:b/>
          <w:bCs/>
          <w:color w:val="auto"/>
          <w:sz w:val="24"/>
          <w:highlight w:val="none"/>
        </w:rPr>
      </w:pPr>
      <w:r>
        <w:rPr>
          <w:rFonts w:hint="eastAsia" w:ascii="宋体" w:hAnsi="宋体" w:eastAsia="宋体" w:cs="宋体"/>
          <w:b/>
          <w:color w:val="auto"/>
          <w:sz w:val="24"/>
          <w:highlight w:val="none"/>
          <w:shd w:val="pct10" w:color="auto" w:fill="FFFFFF"/>
        </w:rPr>
        <w:t>法定代表人（签字或盖章）：</w:t>
      </w:r>
      <w:r>
        <w:rPr>
          <w:rFonts w:hint="eastAsia" w:ascii="宋体" w:hAnsi="宋体" w:eastAsia="宋体" w:cs="宋体"/>
          <w:color w:val="auto"/>
          <w:sz w:val="24"/>
          <w:highlight w:val="none"/>
          <w:u w:val="single"/>
        </w:rPr>
        <w:t xml:space="preserve">   </w:t>
      </w:r>
    </w:p>
    <w:bookmarkEnd w:id="141"/>
    <w:p w14:paraId="2D82AAC1">
      <w:pPr>
        <w:snapToGrid w:val="0"/>
        <w:spacing w:line="360" w:lineRule="auto"/>
        <w:ind w:firstLine="361" w:firstLineChars="150"/>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被授权人（签字）:</w:t>
      </w:r>
      <w:bookmarkStart w:id="144" w:name="_Hlk34136414"/>
      <w:r>
        <w:rPr>
          <w:rFonts w:hint="eastAsia" w:ascii="宋体" w:hAnsi="宋体" w:eastAsia="宋体" w:cs="宋体"/>
          <w:b/>
          <w:bCs/>
          <w:color w:val="auto"/>
          <w:sz w:val="24"/>
          <w:highlight w:val="none"/>
        </w:rPr>
        <w:t>___________</w:t>
      </w:r>
      <w:bookmarkEnd w:id="144"/>
      <w:r>
        <w:rPr>
          <w:rFonts w:hint="eastAsia" w:ascii="宋体" w:hAnsi="宋体" w:eastAsia="宋体" w:cs="宋体"/>
          <w:b/>
          <w:bCs/>
          <w:color w:val="auto"/>
          <w:sz w:val="24"/>
          <w:highlight w:val="none"/>
        </w:rPr>
        <w:t xml:space="preserve">  被授权人手机号码：______    _    __  </w:t>
      </w:r>
    </w:p>
    <w:p w14:paraId="635E6CED">
      <w:pPr>
        <w:snapToGrid w:val="0"/>
        <w:spacing w:line="360" w:lineRule="auto"/>
        <w:ind w:firstLine="482" w:firstLineChars="200"/>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投标人:(公章) </w:t>
      </w:r>
      <w:r>
        <w:rPr>
          <w:rFonts w:hint="eastAsia" w:ascii="宋体" w:hAnsi="宋体" w:eastAsia="宋体" w:cs="宋体"/>
          <w:color w:val="auto"/>
          <w:sz w:val="24"/>
          <w:highlight w:val="none"/>
        </w:rPr>
        <w:t xml:space="preserve">                           </w:t>
      </w:r>
      <w:r>
        <w:rPr>
          <w:rFonts w:hint="eastAsia" w:ascii="宋体" w:hAnsi="宋体" w:eastAsia="宋体" w:cs="宋体"/>
          <w:b/>
          <w:color w:val="auto"/>
          <w:sz w:val="24"/>
          <w:highlight w:val="none"/>
        </w:rPr>
        <w:t>日期:_____年___月___日</w:t>
      </w:r>
    </w:p>
    <w:p w14:paraId="1BDD7868">
      <w:pPr>
        <w:snapToGrid w:val="0"/>
        <w:spacing w:beforeLines="50" w:after="50"/>
        <w:rPr>
          <w:rFonts w:hint="eastAsia" w:ascii="宋体" w:hAnsi="宋体" w:eastAsia="宋体" w:cs="宋体"/>
          <w:color w:val="auto"/>
          <w:sz w:val="24"/>
          <w:szCs w:val="20"/>
          <w:highlight w:val="none"/>
        </w:rPr>
      </w:pPr>
      <w:r>
        <w:rPr>
          <w:rFonts w:hint="eastAsia" w:ascii="宋体" w:hAnsi="宋体" w:eastAsia="宋体" w:cs="宋体"/>
          <w:color w:val="auto"/>
          <w:highlight w:val="none"/>
        </w:rPr>
        <w:br w:type="page"/>
      </w:r>
      <w:r>
        <w:rPr>
          <w:rFonts w:hint="eastAsia" w:ascii="宋体" w:hAnsi="宋体" w:cs="宋体"/>
          <w:color w:val="auto"/>
          <w:highlight w:val="none"/>
          <w:lang w:val="en-US" w:eastAsia="zh-CN"/>
        </w:rPr>
        <w:t>6</w:t>
      </w:r>
      <w:r>
        <w:rPr>
          <w:rFonts w:hint="eastAsia" w:ascii="宋体" w:hAnsi="宋体" w:eastAsia="宋体" w:cs="宋体"/>
          <w:color w:val="auto"/>
          <w:sz w:val="24"/>
          <w:highlight w:val="none"/>
        </w:rPr>
        <w:t>.法定代表人授权委托书格式：</w:t>
      </w:r>
    </w:p>
    <w:p w14:paraId="5023FC08">
      <w:pPr>
        <w:snapToGrid w:val="0"/>
        <w:spacing w:beforeLines="50" w:after="5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法定代表人授权委托书</w:t>
      </w:r>
    </w:p>
    <w:p w14:paraId="01659285">
      <w:pPr>
        <w:snapToGrid w:val="0"/>
        <w:spacing w:beforeLines="50" w:after="50" w:line="460" w:lineRule="exact"/>
        <w:rPr>
          <w:rFonts w:hint="eastAsia" w:ascii="宋体" w:hAnsi="宋体" w:eastAsia="宋体" w:cs="宋体"/>
          <w:b/>
          <w:bCs/>
          <w:color w:val="auto"/>
          <w:sz w:val="24"/>
          <w:szCs w:val="20"/>
          <w:highlight w:val="none"/>
        </w:rPr>
      </w:pPr>
      <w:r>
        <w:rPr>
          <w:rFonts w:hint="eastAsia" w:ascii="宋体" w:hAnsi="宋体" w:eastAsia="宋体" w:cs="宋体"/>
          <w:bCs/>
          <w:color w:val="auto"/>
          <w:sz w:val="24"/>
          <w:highlight w:val="none"/>
        </w:rPr>
        <w:t>致：</w:t>
      </w:r>
      <w:r>
        <w:rPr>
          <w:rFonts w:hint="eastAsia" w:ascii="宋体" w:hAnsi="宋体" w:eastAsia="宋体" w:cs="宋体"/>
          <w:color w:val="auto"/>
          <w:sz w:val="24"/>
          <w:highlight w:val="none"/>
        </w:rPr>
        <w:t>______</w:t>
      </w:r>
      <w:r>
        <w:rPr>
          <w:rFonts w:hint="eastAsia" w:ascii="宋体" w:hAnsi="宋体" w:eastAsia="宋体" w:cs="宋体"/>
          <w:color w:val="auto"/>
          <w:sz w:val="24"/>
          <w:highlight w:val="none"/>
          <w:u w:val="single"/>
        </w:rPr>
        <w:t>_     _</w:t>
      </w:r>
      <w:r>
        <w:rPr>
          <w:rFonts w:hint="eastAsia" w:ascii="宋体" w:hAnsi="宋体" w:eastAsia="宋体" w:cs="宋体"/>
          <w:color w:val="auto"/>
          <w:sz w:val="24"/>
          <w:highlight w:val="none"/>
        </w:rPr>
        <w:t>_（招标人名称）：</w:t>
      </w:r>
    </w:p>
    <w:p w14:paraId="5011D47F">
      <w:pPr>
        <w:snapToGrid w:val="0"/>
        <w:spacing w:beforeLines="50" w:after="50" w:line="460" w:lineRule="exact"/>
        <w:ind w:firstLine="480" w:firstLineChars="200"/>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我</w:t>
      </w:r>
      <w:bookmarkStart w:id="145" w:name="_Hlk12177807"/>
      <w:r>
        <w:rPr>
          <w:rFonts w:hint="eastAsia" w:ascii="宋体" w:hAnsi="宋体" w:eastAsia="宋体" w:cs="宋体"/>
          <w:color w:val="auto"/>
          <w:sz w:val="24"/>
          <w:highlight w:val="none"/>
        </w:rPr>
        <w:t>______</w:t>
      </w:r>
      <w:r>
        <w:rPr>
          <w:rFonts w:hint="eastAsia" w:ascii="宋体" w:hAnsi="宋体" w:eastAsia="宋体" w:cs="宋体"/>
          <w:color w:val="auto"/>
          <w:sz w:val="24"/>
          <w:highlight w:val="none"/>
          <w:u w:val="single"/>
        </w:rPr>
        <w:t>_</w:t>
      </w:r>
      <w:r>
        <w:rPr>
          <w:rFonts w:hint="eastAsia" w:ascii="宋体" w:hAnsi="宋体" w:eastAsia="宋体" w:cs="宋体"/>
          <w:color w:val="auto"/>
          <w:sz w:val="24"/>
          <w:highlight w:val="none"/>
        </w:rPr>
        <w:t>_</w:t>
      </w:r>
      <w:bookmarkEnd w:id="145"/>
      <w:r>
        <w:rPr>
          <w:rFonts w:hint="eastAsia" w:ascii="宋体" w:hAnsi="宋体" w:eastAsia="宋体" w:cs="宋体"/>
          <w:color w:val="auto"/>
          <w:sz w:val="24"/>
          <w:highlight w:val="none"/>
        </w:rPr>
        <w:t>（姓名）系______</w:t>
      </w:r>
      <w:r>
        <w:rPr>
          <w:rFonts w:hint="eastAsia" w:ascii="宋体" w:hAnsi="宋体" w:eastAsia="宋体" w:cs="宋体"/>
          <w:color w:val="auto"/>
          <w:sz w:val="24"/>
          <w:highlight w:val="none"/>
          <w:u w:val="single"/>
        </w:rPr>
        <w:t>_     _</w:t>
      </w:r>
      <w:r>
        <w:rPr>
          <w:rFonts w:hint="eastAsia" w:ascii="宋体" w:hAnsi="宋体" w:eastAsia="宋体" w:cs="宋体"/>
          <w:color w:val="auto"/>
          <w:sz w:val="24"/>
          <w:highlight w:val="none"/>
        </w:rPr>
        <w:t xml:space="preserve">_（投标单位名称）的法定代表人，现授权委托本单位职工 </w:t>
      </w:r>
      <w:bookmarkStart w:id="146" w:name="_Hlk12177819"/>
      <w:r>
        <w:rPr>
          <w:rFonts w:hint="eastAsia" w:ascii="宋体" w:hAnsi="宋体" w:eastAsia="宋体" w:cs="宋体"/>
          <w:color w:val="auto"/>
          <w:sz w:val="24"/>
          <w:highlight w:val="none"/>
        </w:rPr>
        <w:t>______</w:t>
      </w:r>
      <w:r>
        <w:rPr>
          <w:rFonts w:hint="eastAsia" w:ascii="宋体" w:hAnsi="宋体" w:eastAsia="宋体" w:cs="宋体"/>
          <w:color w:val="auto"/>
          <w:sz w:val="24"/>
          <w:highlight w:val="none"/>
          <w:u w:val="single"/>
        </w:rPr>
        <w:t xml:space="preserve">_ </w:t>
      </w:r>
      <w:bookmarkEnd w:id="146"/>
      <w:r>
        <w:rPr>
          <w:rFonts w:hint="eastAsia" w:ascii="宋体" w:hAnsi="宋体" w:eastAsia="宋体" w:cs="宋体"/>
          <w:color w:val="auto"/>
          <w:sz w:val="24"/>
          <w:highlight w:val="none"/>
        </w:rPr>
        <w:t>（姓名）以我方的名义参加______</w:t>
      </w:r>
      <w:r>
        <w:rPr>
          <w:rFonts w:hint="eastAsia" w:ascii="宋体" w:hAnsi="宋体" w:eastAsia="宋体" w:cs="宋体"/>
          <w:color w:val="auto"/>
          <w:sz w:val="24"/>
          <w:highlight w:val="none"/>
          <w:u w:val="single"/>
        </w:rPr>
        <w:t xml:space="preserve">_          </w:t>
      </w:r>
      <w:r>
        <w:rPr>
          <w:rFonts w:hint="eastAsia" w:ascii="宋体" w:hAnsi="宋体" w:eastAsia="宋体" w:cs="宋体"/>
          <w:color w:val="auto"/>
          <w:sz w:val="24"/>
          <w:highlight w:val="none"/>
        </w:rPr>
        <w:t>项目的投标活动，并代表我方全权办理针对上述项目的投标、开标、评标、签约等具体事务和签署相关文件。</w:t>
      </w:r>
    </w:p>
    <w:p w14:paraId="4D650815">
      <w:pPr>
        <w:snapToGrid w:val="0"/>
        <w:spacing w:beforeLines="50" w:after="50" w:line="460" w:lineRule="exact"/>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 xml:space="preserve">    我方对被授权人的签名事项负全部责任。</w:t>
      </w:r>
    </w:p>
    <w:p w14:paraId="1FFDA281">
      <w:pPr>
        <w:snapToGrid w:val="0"/>
        <w:spacing w:beforeLines="50" w:after="50" w:line="460" w:lineRule="exact"/>
        <w:ind w:firstLine="480"/>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u w:val="single"/>
        </w:rPr>
        <w:t>在撤销授权的书面通知以前，本授权书一直有效。</w:t>
      </w:r>
      <w:r>
        <w:rPr>
          <w:rFonts w:hint="eastAsia" w:ascii="宋体" w:hAnsi="宋体" w:eastAsia="宋体" w:cs="宋体"/>
          <w:color w:val="auto"/>
          <w:sz w:val="24"/>
          <w:highlight w:val="none"/>
        </w:rPr>
        <w:t>被授权人在授权书有效期内签署的所有文件不因授权的撤销而失效。</w:t>
      </w:r>
    </w:p>
    <w:p w14:paraId="00CAE143">
      <w:pPr>
        <w:snapToGrid w:val="0"/>
        <w:spacing w:beforeLines="50" w:after="50" w:line="460" w:lineRule="exact"/>
        <w:ind w:firstLine="480"/>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被授权人无转委托权，特此委托。</w:t>
      </w:r>
    </w:p>
    <w:p w14:paraId="601ADFC2">
      <w:pPr>
        <w:snapToGrid w:val="0"/>
        <w:spacing w:beforeLines="50" w:after="50" w:line="460" w:lineRule="exact"/>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u w:val="single"/>
        </w:rPr>
        <w:t>法定代表人签名或盖章：</w:t>
      </w:r>
      <w:r>
        <w:rPr>
          <w:rFonts w:hint="eastAsia" w:ascii="宋体" w:hAnsi="宋体" w:eastAsia="宋体" w:cs="宋体"/>
          <w:b/>
          <w:bCs/>
          <w:color w:val="auto"/>
          <w:sz w:val="28"/>
          <w:szCs w:val="28"/>
          <w:highlight w:val="none"/>
        </w:rPr>
        <w:t xml:space="preserve">           </w:t>
      </w:r>
      <w:r>
        <w:rPr>
          <w:rFonts w:hint="eastAsia" w:ascii="宋体" w:hAnsi="宋体" w:eastAsia="宋体" w:cs="宋体"/>
          <w:b/>
          <w:bCs/>
          <w:color w:val="auto"/>
          <w:sz w:val="28"/>
          <w:szCs w:val="28"/>
          <w:highlight w:val="none"/>
          <w:u w:val="single"/>
        </w:rPr>
        <w:t xml:space="preserve">   被授权人签字：</w:t>
      </w:r>
      <w:r>
        <w:rPr>
          <w:rFonts w:hint="eastAsia" w:ascii="宋体" w:hAnsi="宋体" w:eastAsia="宋体" w:cs="宋体"/>
          <w:color w:val="auto"/>
          <w:sz w:val="28"/>
          <w:szCs w:val="28"/>
          <w:highlight w:val="none"/>
        </w:rPr>
        <w:t xml:space="preserve">               </w:t>
      </w:r>
    </w:p>
    <w:p w14:paraId="3FAE172C">
      <w:pPr>
        <w:snapToGrid w:val="0"/>
        <w:spacing w:beforeLines="50" w:after="50" w:line="460" w:lineRule="exact"/>
        <w:rPr>
          <w:rFonts w:hint="eastAsia" w:ascii="宋体" w:hAnsi="宋体" w:eastAsia="宋体" w:cs="宋体"/>
          <w:color w:val="auto"/>
          <w:sz w:val="24"/>
          <w:szCs w:val="20"/>
          <w:highlight w:val="none"/>
          <w:u w:val="single"/>
        </w:rPr>
      </w:pPr>
    </w:p>
    <w:p w14:paraId="75871AFE">
      <w:pPr>
        <w:snapToGrid w:val="0"/>
        <w:spacing w:beforeLines="50" w:after="50"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法定代表人身份证复印件            被授权人身份证复印件</w:t>
      </w:r>
    </w:p>
    <w:tbl>
      <w:tblPr>
        <w:tblStyle w:val="51"/>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1B399F0C">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036B8580">
            <w:pP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身份证复印件粘贴处，正反两面均复印，复印件清晰可认。</w:t>
            </w:r>
          </w:p>
        </w:tc>
        <w:tc>
          <w:tcPr>
            <w:tcW w:w="4961" w:type="dxa"/>
          </w:tcPr>
          <w:p w14:paraId="4D519134">
            <w:pP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身份证复印件粘贴处，正反两面均复印，复印件清晰可认。</w:t>
            </w:r>
          </w:p>
        </w:tc>
      </w:tr>
      <w:tr w14:paraId="398A4F6A">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1768A32B">
            <w:pPr>
              <w:spacing w:line="360" w:lineRule="auto"/>
              <w:rPr>
                <w:rFonts w:hint="eastAsia" w:ascii="宋体" w:hAnsi="宋体" w:eastAsia="宋体" w:cs="宋体"/>
                <w:color w:val="auto"/>
                <w:sz w:val="30"/>
                <w:szCs w:val="30"/>
                <w:highlight w:val="none"/>
              </w:rPr>
            </w:pPr>
          </w:p>
        </w:tc>
        <w:tc>
          <w:tcPr>
            <w:tcW w:w="4961" w:type="dxa"/>
          </w:tcPr>
          <w:p w14:paraId="0B04EED4">
            <w:pPr>
              <w:spacing w:line="360" w:lineRule="auto"/>
              <w:rPr>
                <w:rFonts w:hint="eastAsia" w:ascii="宋体" w:hAnsi="宋体" w:eastAsia="宋体" w:cs="宋体"/>
                <w:color w:val="auto"/>
                <w:sz w:val="30"/>
                <w:szCs w:val="30"/>
                <w:highlight w:val="none"/>
              </w:rPr>
            </w:pPr>
          </w:p>
        </w:tc>
      </w:tr>
    </w:tbl>
    <w:p w14:paraId="6517F5EC">
      <w:pPr>
        <w:snapToGrid w:val="0"/>
        <w:spacing w:beforeLines="50" w:after="50" w:line="460" w:lineRule="exact"/>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b/>
          <w:bCs/>
          <w:color w:val="auto"/>
          <w:sz w:val="24"/>
          <w:highlight w:val="none"/>
        </w:rPr>
        <w:t>投标人:(公章)</w:t>
      </w:r>
    </w:p>
    <w:p w14:paraId="05D137E1">
      <w:pPr>
        <w:snapToGrid w:val="0"/>
        <w:spacing w:beforeLines="50" w:after="50"/>
        <w:jc w:val="center"/>
        <w:rPr>
          <w:rFonts w:hint="eastAsia" w:ascii="宋体" w:hAnsi="宋体" w:eastAsia="宋体" w:cs="宋体"/>
          <w:b/>
          <w:color w:val="auto"/>
          <w:sz w:val="24"/>
          <w:szCs w:val="20"/>
          <w:highlight w:val="none"/>
        </w:rPr>
      </w:pPr>
      <w:r>
        <w:rPr>
          <w:rFonts w:hint="eastAsia" w:ascii="宋体" w:hAnsi="宋体" w:eastAsia="宋体" w:cs="宋体"/>
          <w:b/>
          <w:color w:val="auto"/>
          <w:sz w:val="24"/>
          <w:highlight w:val="none"/>
        </w:rPr>
        <w:t xml:space="preserve">                                        日期：  _____年___月___日</w:t>
      </w:r>
    </w:p>
    <w:p w14:paraId="4AE0B8B9">
      <w:pPr>
        <w:adjustRightInd w:val="0"/>
        <w:snapToGrid w:val="0"/>
        <w:spacing w:before="156" w:beforeLines="50" w:line="360" w:lineRule="auto"/>
        <w:outlineLvl w:val="1"/>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w:t>
      </w:r>
      <w:r>
        <w:rPr>
          <w:rFonts w:hint="eastAsia" w:ascii="宋体" w:hAnsi="宋体" w:eastAsia="宋体" w:cs="宋体"/>
          <w:b/>
          <w:bCs/>
          <w:color w:val="auto"/>
          <w:sz w:val="24"/>
          <w:szCs w:val="24"/>
          <w:highlight w:val="none"/>
        </w:rPr>
        <w:t>法定代表人身份证明</w:t>
      </w:r>
    </w:p>
    <w:p w14:paraId="1F9FA1EB">
      <w:pPr>
        <w:rPr>
          <w:rFonts w:hint="eastAsia" w:ascii="宋体" w:hAnsi="宋体" w:eastAsia="宋体" w:cs="宋体"/>
          <w:color w:val="auto"/>
          <w:sz w:val="24"/>
          <w:szCs w:val="24"/>
          <w:highlight w:val="none"/>
        </w:rPr>
      </w:pPr>
    </w:p>
    <w:p w14:paraId="1307B248">
      <w:pPr>
        <w:widowControl/>
        <w:spacing w:line="360" w:lineRule="auto"/>
        <w:jc w:val="center"/>
        <w:outlineLvl w:val="2"/>
        <w:rPr>
          <w:rFonts w:hint="eastAsia" w:ascii="宋体" w:hAnsi="宋体" w:eastAsia="宋体" w:cs="宋体"/>
          <w:b/>
          <w:bCs/>
          <w:color w:val="auto"/>
          <w:sz w:val="28"/>
          <w:szCs w:val="28"/>
          <w:highlight w:val="none"/>
        </w:rPr>
      </w:pPr>
      <w:bookmarkStart w:id="147" w:name="_Toc32170"/>
      <w:bookmarkStart w:id="148" w:name="_Toc20791_WPSOffice_Level1"/>
      <w:bookmarkStart w:id="149" w:name="_Toc16853"/>
    </w:p>
    <w:p w14:paraId="47E232F0">
      <w:pPr>
        <w:widowControl/>
        <w:spacing w:line="360" w:lineRule="auto"/>
        <w:jc w:val="center"/>
        <w:outlineLvl w:val="2"/>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法定代表人身份证明</w:t>
      </w:r>
      <w:bookmarkEnd w:id="147"/>
      <w:bookmarkEnd w:id="148"/>
      <w:bookmarkEnd w:id="149"/>
    </w:p>
    <w:p w14:paraId="7E77F0A2">
      <w:pPr>
        <w:adjustRightInd w:val="0"/>
        <w:snapToGrid w:val="0"/>
        <w:spacing w:before="156" w:beforeLines="50" w:line="360" w:lineRule="auto"/>
        <w:jc w:val="center"/>
        <w:rPr>
          <w:rFonts w:hint="eastAsia" w:ascii="宋体" w:hAnsi="宋体" w:eastAsia="宋体" w:cs="宋体"/>
          <w:color w:val="auto"/>
          <w:sz w:val="28"/>
          <w:szCs w:val="28"/>
          <w:highlight w:val="none"/>
        </w:rPr>
      </w:pPr>
      <w:bookmarkStart w:id="150" w:name="_Toc31220_WPSOffice_Level1"/>
      <w:r>
        <w:rPr>
          <w:rFonts w:hint="eastAsia" w:ascii="宋体" w:hAnsi="宋体" w:eastAsia="宋体" w:cs="宋体"/>
          <w:color w:val="auto"/>
          <w:sz w:val="28"/>
          <w:szCs w:val="28"/>
          <w:highlight w:val="none"/>
        </w:rPr>
        <w:t>（参考样张）</w:t>
      </w:r>
      <w:bookmarkEnd w:id="150"/>
    </w:p>
    <w:p w14:paraId="214093D2">
      <w:pPr>
        <w:widowControl/>
        <w:spacing w:line="360" w:lineRule="auto"/>
        <w:jc w:val="center"/>
        <w:rPr>
          <w:rFonts w:hint="eastAsia" w:ascii="宋体" w:hAnsi="宋体" w:eastAsia="宋体" w:cs="宋体"/>
          <w:color w:val="auto"/>
          <w:sz w:val="28"/>
          <w:szCs w:val="28"/>
          <w:highlight w:val="none"/>
        </w:rPr>
      </w:pPr>
    </w:p>
    <w:p w14:paraId="2D6A0286">
      <w:pPr>
        <w:autoSpaceDE w:val="0"/>
        <w:autoSpaceDN w:val="0"/>
        <w:adjustRightInd w:val="0"/>
        <w:snapToGrid w:val="0"/>
        <w:spacing w:line="360" w:lineRule="auto"/>
        <w:ind w:firstLine="560" w:firstLineChars="200"/>
        <w:textAlignment w:val="baseline"/>
        <w:rPr>
          <w:rFonts w:hint="eastAsia" w:ascii="宋体" w:hAnsi="宋体" w:eastAsia="宋体" w:cs="宋体"/>
          <w:color w:val="auto"/>
          <w:kern w:val="0"/>
          <w:sz w:val="28"/>
          <w:szCs w:val="28"/>
          <w:highlight w:val="none"/>
          <w:u w:val="single"/>
        </w:rPr>
      </w:pPr>
      <w:r>
        <w:rPr>
          <w:rFonts w:hint="eastAsia" w:ascii="宋体" w:hAnsi="宋体" w:eastAsia="宋体" w:cs="宋体"/>
          <w:color w:val="auto"/>
          <w:kern w:val="0"/>
          <w:sz w:val="28"/>
          <w:szCs w:val="28"/>
          <w:highlight w:val="none"/>
        </w:rPr>
        <w:t>投标人名称：</w:t>
      </w:r>
      <w:r>
        <w:rPr>
          <w:rFonts w:hint="eastAsia" w:ascii="宋体" w:hAnsi="宋体" w:eastAsia="宋体" w:cs="宋体"/>
          <w:color w:val="auto"/>
          <w:kern w:val="0"/>
          <w:sz w:val="28"/>
          <w:szCs w:val="28"/>
          <w:highlight w:val="none"/>
          <w:u w:val="single"/>
        </w:rPr>
        <w:t xml:space="preserve">                              </w:t>
      </w:r>
    </w:p>
    <w:p w14:paraId="1EDDE8C9">
      <w:pPr>
        <w:autoSpaceDE w:val="0"/>
        <w:autoSpaceDN w:val="0"/>
        <w:adjustRightInd w:val="0"/>
        <w:snapToGrid w:val="0"/>
        <w:spacing w:line="360" w:lineRule="auto"/>
        <w:ind w:firstLine="560" w:firstLineChars="200"/>
        <w:textAlignment w:val="baseline"/>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单位性质：</w:t>
      </w:r>
      <w:r>
        <w:rPr>
          <w:rFonts w:hint="eastAsia" w:ascii="宋体" w:hAnsi="宋体" w:eastAsia="宋体" w:cs="宋体"/>
          <w:color w:val="auto"/>
          <w:kern w:val="0"/>
          <w:sz w:val="28"/>
          <w:szCs w:val="28"/>
          <w:highlight w:val="none"/>
          <w:u w:val="single"/>
        </w:rPr>
        <w:t xml:space="preserve">                                </w:t>
      </w:r>
    </w:p>
    <w:p w14:paraId="0171EF0A">
      <w:pPr>
        <w:autoSpaceDE w:val="0"/>
        <w:autoSpaceDN w:val="0"/>
        <w:adjustRightInd w:val="0"/>
        <w:snapToGrid w:val="0"/>
        <w:spacing w:line="360" w:lineRule="auto"/>
        <w:ind w:firstLine="560" w:firstLineChars="200"/>
        <w:textAlignment w:val="baseline"/>
        <w:rPr>
          <w:rFonts w:hint="eastAsia" w:ascii="宋体" w:hAnsi="宋体" w:eastAsia="宋体" w:cs="宋体"/>
          <w:color w:val="auto"/>
          <w:kern w:val="0"/>
          <w:sz w:val="28"/>
          <w:szCs w:val="28"/>
          <w:highlight w:val="none"/>
          <w:u w:val="single"/>
        </w:rPr>
      </w:pPr>
      <w:r>
        <w:rPr>
          <w:rFonts w:hint="eastAsia" w:ascii="宋体" w:hAnsi="宋体" w:eastAsia="宋体" w:cs="宋体"/>
          <w:color w:val="auto"/>
          <w:kern w:val="0"/>
          <w:sz w:val="28"/>
          <w:szCs w:val="28"/>
          <w:highlight w:val="none"/>
        </w:rPr>
        <w:t>地址：</w:t>
      </w:r>
      <w:r>
        <w:rPr>
          <w:rFonts w:hint="eastAsia" w:ascii="宋体" w:hAnsi="宋体" w:eastAsia="宋体" w:cs="宋体"/>
          <w:color w:val="auto"/>
          <w:kern w:val="0"/>
          <w:sz w:val="28"/>
          <w:szCs w:val="28"/>
          <w:highlight w:val="none"/>
          <w:u w:val="single"/>
        </w:rPr>
        <w:t xml:space="preserve">                                  </w:t>
      </w:r>
    </w:p>
    <w:p w14:paraId="1436D0D0">
      <w:pPr>
        <w:autoSpaceDE w:val="0"/>
        <w:autoSpaceDN w:val="0"/>
        <w:adjustRightInd w:val="0"/>
        <w:snapToGrid w:val="0"/>
        <w:spacing w:line="360" w:lineRule="auto"/>
        <w:ind w:firstLine="560" w:firstLineChars="200"/>
        <w:textAlignment w:val="baseline"/>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成立时间：</w:t>
      </w:r>
      <w:r>
        <w:rPr>
          <w:rFonts w:hint="eastAsia" w:ascii="宋体" w:hAnsi="宋体" w:eastAsia="宋体" w:cs="宋体"/>
          <w:color w:val="auto"/>
          <w:kern w:val="0"/>
          <w:sz w:val="28"/>
          <w:szCs w:val="28"/>
          <w:highlight w:val="none"/>
          <w:u w:val="single"/>
        </w:rPr>
        <w:t xml:space="preserve">       </w:t>
      </w:r>
      <w:r>
        <w:rPr>
          <w:rFonts w:hint="eastAsia" w:ascii="宋体" w:hAnsi="宋体" w:eastAsia="宋体" w:cs="宋体"/>
          <w:color w:val="auto"/>
          <w:kern w:val="0"/>
          <w:sz w:val="28"/>
          <w:szCs w:val="28"/>
          <w:highlight w:val="none"/>
        </w:rPr>
        <w:t>年</w:t>
      </w:r>
      <w:r>
        <w:rPr>
          <w:rFonts w:hint="eastAsia" w:ascii="宋体" w:hAnsi="宋体" w:eastAsia="宋体" w:cs="宋体"/>
          <w:color w:val="auto"/>
          <w:kern w:val="0"/>
          <w:sz w:val="28"/>
          <w:szCs w:val="28"/>
          <w:highlight w:val="none"/>
          <w:u w:val="single"/>
        </w:rPr>
        <w:t xml:space="preserve">       </w:t>
      </w:r>
      <w:r>
        <w:rPr>
          <w:rFonts w:hint="eastAsia" w:ascii="宋体" w:hAnsi="宋体" w:eastAsia="宋体" w:cs="宋体"/>
          <w:color w:val="auto"/>
          <w:kern w:val="0"/>
          <w:sz w:val="28"/>
          <w:szCs w:val="28"/>
          <w:highlight w:val="none"/>
        </w:rPr>
        <w:t>月</w:t>
      </w:r>
      <w:r>
        <w:rPr>
          <w:rFonts w:hint="eastAsia" w:ascii="宋体" w:hAnsi="宋体" w:eastAsia="宋体" w:cs="宋体"/>
          <w:color w:val="auto"/>
          <w:kern w:val="0"/>
          <w:sz w:val="28"/>
          <w:szCs w:val="28"/>
          <w:highlight w:val="none"/>
          <w:u w:val="single"/>
        </w:rPr>
        <w:t xml:space="preserve">       </w:t>
      </w:r>
      <w:r>
        <w:rPr>
          <w:rFonts w:hint="eastAsia" w:ascii="宋体" w:hAnsi="宋体" w:eastAsia="宋体" w:cs="宋体"/>
          <w:color w:val="auto"/>
          <w:kern w:val="0"/>
          <w:sz w:val="28"/>
          <w:szCs w:val="28"/>
          <w:highlight w:val="none"/>
        </w:rPr>
        <w:t>日</w:t>
      </w:r>
    </w:p>
    <w:p w14:paraId="4470F880">
      <w:pPr>
        <w:autoSpaceDE w:val="0"/>
        <w:autoSpaceDN w:val="0"/>
        <w:adjustRightInd w:val="0"/>
        <w:snapToGrid w:val="0"/>
        <w:spacing w:line="360" w:lineRule="auto"/>
        <w:ind w:firstLine="560" w:firstLineChars="200"/>
        <w:textAlignment w:val="baseline"/>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经营期限：</w:t>
      </w:r>
      <w:r>
        <w:rPr>
          <w:rFonts w:hint="eastAsia" w:ascii="宋体" w:hAnsi="宋体" w:eastAsia="宋体" w:cs="宋体"/>
          <w:color w:val="auto"/>
          <w:kern w:val="0"/>
          <w:sz w:val="28"/>
          <w:szCs w:val="28"/>
          <w:highlight w:val="none"/>
          <w:u w:val="single"/>
        </w:rPr>
        <w:t xml:space="preserve">                                </w:t>
      </w:r>
    </w:p>
    <w:p w14:paraId="7390FA43">
      <w:pPr>
        <w:autoSpaceDE w:val="0"/>
        <w:autoSpaceDN w:val="0"/>
        <w:adjustRightInd w:val="0"/>
        <w:snapToGrid w:val="0"/>
        <w:spacing w:line="360" w:lineRule="auto"/>
        <w:ind w:firstLine="560" w:firstLineChars="200"/>
        <w:textAlignment w:val="baseline"/>
        <w:rPr>
          <w:rFonts w:hint="eastAsia" w:ascii="宋体" w:hAnsi="宋体" w:eastAsia="宋体" w:cs="宋体"/>
          <w:color w:val="auto"/>
          <w:kern w:val="0"/>
          <w:sz w:val="28"/>
          <w:szCs w:val="28"/>
          <w:highlight w:val="none"/>
          <w:u w:val="single"/>
        </w:rPr>
      </w:pPr>
      <w:r>
        <w:rPr>
          <w:rFonts w:hint="eastAsia" w:ascii="宋体" w:hAnsi="宋体" w:eastAsia="宋体" w:cs="宋体"/>
          <w:color w:val="auto"/>
          <w:kern w:val="0"/>
          <w:sz w:val="28"/>
          <w:szCs w:val="28"/>
          <w:highlight w:val="none"/>
        </w:rPr>
        <w:t>姓名：</w:t>
      </w:r>
      <w:r>
        <w:rPr>
          <w:rFonts w:hint="eastAsia" w:ascii="宋体" w:hAnsi="宋体" w:eastAsia="宋体" w:cs="宋体"/>
          <w:color w:val="auto"/>
          <w:kern w:val="0"/>
          <w:sz w:val="28"/>
          <w:szCs w:val="28"/>
          <w:highlight w:val="none"/>
          <w:u w:val="single"/>
        </w:rPr>
        <w:t xml:space="preserve">       </w:t>
      </w:r>
      <w:r>
        <w:rPr>
          <w:rFonts w:hint="eastAsia" w:ascii="宋体" w:hAnsi="宋体" w:eastAsia="宋体" w:cs="宋体"/>
          <w:color w:val="auto"/>
          <w:kern w:val="0"/>
          <w:sz w:val="28"/>
          <w:szCs w:val="28"/>
          <w:highlight w:val="none"/>
        </w:rPr>
        <w:t>性别：</w:t>
      </w:r>
      <w:r>
        <w:rPr>
          <w:rFonts w:hint="eastAsia" w:ascii="宋体" w:hAnsi="宋体" w:eastAsia="宋体" w:cs="宋体"/>
          <w:color w:val="auto"/>
          <w:kern w:val="0"/>
          <w:sz w:val="28"/>
          <w:szCs w:val="28"/>
          <w:highlight w:val="none"/>
          <w:u w:val="single"/>
        </w:rPr>
        <w:t xml:space="preserve">       </w:t>
      </w:r>
      <w:r>
        <w:rPr>
          <w:rFonts w:hint="eastAsia" w:ascii="宋体" w:hAnsi="宋体" w:eastAsia="宋体" w:cs="宋体"/>
          <w:color w:val="auto"/>
          <w:kern w:val="0"/>
          <w:sz w:val="28"/>
          <w:szCs w:val="28"/>
          <w:highlight w:val="none"/>
        </w:rPr>
        <w:t>年龄：</w:t>
      </w:r>
      <w:r>
        <w:rPr>
          <w:rFonts w:hint="eastAsia" w:ascii="宋体" w:hAnsi="宋体" w:eastAsia="宋体" w:cs="宋体"/>
          <w:color w:val="auto"/>
          <w:kern w:val="0"/>
          <w:sz w:val="28"/>
          <w:szCs w:val="28"/>
          <w:highlight w:val="none"/>
          <w:u w:val="single"/>
        </w:rPr>
        <w:t xml:space="preserve">       </w:t>
      </w:r>
    </w:p>
    <w:p w14:paraId="05800C63">
      <w:pPr>
        <w:autoSpaceDE w:val="0"/>
        <w:autoSpaceDN w:val="0"/>
        <w:adjustRightInd w:val="0"/>
        <w:snapToGrid w:val="0"/>
        <w:spacing w:line="360" w:lineRule="auto"/>
        <w:ind w:firstLine="560" w:firstLineChars="200"/>
        <w:textAlignment w:val="baseline"/>
        <w:rPr>
          <w:rFonts w:hint="eastAsia" w:ascii="宋体" w:hAnsi="宋体" w:eastAsia="宋体" w:cs="宋体"/>
          <w:color w:val="auto"/>
          <w:kern w:val="0"/>
          <w:sz w:val="28"/>
          <w:szCs w:val="28"/>
          <w:highlight w:val="none"/>
          <w:u w:val="single"/>
        </w:rPr>
      </w:pPr>
      <w:r>
        <w:rPr>
          <w:rFonts w:hint="eastAsia" w:ascii="宋体" w:hAnsi="宋体" w:eastAsia="宋体" w:cs="宋体"/>
          <w:color w:val="auto"/>
          <w:kern w:val="0"/>
          <w:sz w:val="28"/>
          <w:szCs w:val="28"/>
          <w:highlight w:val="none"/>
        </w:rPr>
        <w:t>身份证号码：</w:t>
      </w:r>
      <w:r>
        <w:rPr>
          <w:rFonts w:hint="eastAsia" w:ascii="宋体" w:hAnsi="宋体" w:eastAsia="宋体" w:cs="宋体"/>
          <w:color w:val="auto"/>
          <w:kern w:val="0"/>
          <w:sz w:val="28"/>
          <w:szCs w:val="28"/>
          <w:highlight w:val="none"/>
          <w:u w:val="single"/>
        </w:rPr>
        <w:t xml:space="preserve">                              </w:t>
      </w:r>
    </w:p>
    <w:p w14:paraId="76339F66">
      <w:pPr>
        <w:autoSpaceDE w:val="0"/>
        <w:autoSpaceDN w:val="0"/>
        <w:adjustRightInd w:val="0"/>
        <w:snapToGrid w:val="0"/>
        <w:spacing w:line="360" w:lineRule="auto"/>
        <w:ind w:firstLine="560" w:firstLineChars="200"/>
        <w:textAlignment w:val="baseline"/>
        <w:rPr>
          <w:rFonts w:hint="eastAsia" w:ascii="宋体" w:hAnsi="宋体" w:eastAsia="宋体" w:cs="宋体"/>
          <w:color w:val="auto"/>
          <w:kern w:val="0"/>
          <w:sz w:val="28"/>
          <w:szCs w:val="28"/>
          <w:highlight w:val="none"/>
          <w:u w:val="single"/>
        </w:rPr>
      </w:pPr>
      <w:r>
        <w:rPr>
          <w:rFonts w:hint="eastAsia" w:ascii="宋体" w:hAnsi="宋体" w:eastAsia="宋体" w:cs="宋体"/>
          <w:color w:val="auto"/>
          <w:kern w:val="0"/>
          <w:sz w:val="28"/>
          <w:szCs w:val="28"/>
          <w:highlight w:val="none"/>
        </w:rPr>
        <w:t>联系电话：</w:t>
      </w:r>
      <w:r>
        <w:rPr>
          <w:rFonts w:hint="eastAsia" w:ascii="宋体" w:hAnsi="宋体" w:eastAsia="宋体" w:cs="宋体"/>
          <w:color w:val="auto"/>
          <w:kern w:val="0"/>
          <w:sz w:val="28"/>
          <w:szCs w:val="28"/>
          <w:highlight w:val="none"/>
          <w:u w:val="single"/>
        </w:rPr>
        <w:t xml:space="preserve">                                                                 </w:t>
      </w:r>
    </w:p>
    <w:p w14:paraId="23CCC141">
      <w:pPr>
        <w:autoSpaceDE w:val="0"/>
        <w:autoSpaceDN w:val="0"/>
        <w:adjustRightInd w:val="0"/>
        <w:snapToGrid w:val="0"/>
        <w:spacing w:line="360" w:lineRule="auto"/>
        <w:ind w:firstLine="560" w:firstLineChars="200"/>
        <w:textAlignment w:val="baseline"/>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职务：</w:t>
      </w:r>
      <w:r>
        <w:rPr>
          <w:rFonts w:hint="eastAsia" w:ascii="宋体" w:hAnsi="宋体" w:eastAsia="宋体" w:cs="宋体"/>
          <w:color w:val="auto"/>
          <w:kern w:val="0"/>
          <w:sz w:val="28"/>
          <w:szCs w:val="28"/>
          <w:highlight w:val="none"/>
          <w:u w:val="single"/>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rPr>
        <w:t>系</w:t>
      </w:r>
      <w:r>
        <w:rPr>
          <w:rFonts w:hint="eastAsia" w:ascii="宋体" w:hAnsi="宋体" w:eastAsia="宋体" w:cs="宋体"/>
          <w:color w:val="auto"/>
          <w:kern w:val="0"/>
          <w:sz w:val="28"/>
          <w:szCs w:val="28"/>
          <w:highlight w:val="none"/>
          <w:u w:val="single"/>
        </w:rPr>
        <w:t xml:space="preserve">       （投标人名称）</w:t>
      </w:r>
      <w:r>
        <w:rPr>
          <w:rFonts w:hint="eastAsia" w:ascii="宋体" w:hAnsi="宋体" w:eastAsia="宋体" w:cs="宋体"/>
          <w:color w:val="auto"/>
          <w:kern w:val="0"/>
          <w:sz w:val="28"/>
          <w:szCs w:val="28"/>
          <w:highlight w:val="none"/>
        </w:rPr>
        <w:t>的法定代表人。</w:t>
      </w:r>
    </w:p>
    <w:p w14:paraId="46BD13D1">
      <w:pPr>
        <w:autoSpaceDE w:val="0"/>
        <w:autoSpaceDN w:val="0"/>
        <w:adjustRightInd w:val="0"/>
        <w:snapToGrid w:val="0"/>
        <w:spacing w:line="360" w:lineRule="auto"/>
        <w:ind w:firstLine="560" w:firstLineChars="200"/>
        <w:textAlignment w:val="baseline"/>
        <w:rPr>
          <w:rFonts w:hint="eastAsia" w:ascii="宋体" w:hAnsi="宋体" w:eastAsia="宋体" w:cs="宋体"/>
          <w:color w:val="auto"/>
          <w:kern w:val="0"/>
          <w:sz w:val="28"/>
          <w:szCs w:val="28"/>
          <w:highlight w:val="none"/>
        </w:rPr>
      </w:pPr>
    </w:p>
    <w:p w14:paraId="66A02002">
      <w:pPr>
        <w:autoSpaceDE w:val="0"/>
        <w:autoSpaceDN w:val="0"/>
        <w:adjustRightInd w:val="0"/>
        <w:snapToGrid w:val="0"/>
        <w:spacing w:line="360" w:lineRule="auto"/>
        <w:ind w:firstLine="1120" w:firstLineChars="400"/>
        <w:textAlignment w:val="baseline"/>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特此证明。</w:t>
      </w:r>
    </w:p>
    <w:p w14:paraId="57E78F61">
      <w:pPr>
        <w:autoSpaceDE w:val="0"/>
        <w:autoSpaceDN w:val="0"/>
        <w:adjustRightInd w:val="0"/>
        <w:snapToGrid w:val="0"/>
        <w:spacing w:line="360" w:lineRule="auto"/>
        <w:ind w:firstLine="1120" w:firstLineChars="400"/>
        <w:textAlignment w:val="baseline"/>
        <w:rPr>
          <w:rFonts w:hint="eastAsia" w:ascii="宋体" w:hAnsi="宋体" w:eastAsia="宋体" w:cs="宋体"/>
          <w:color w:val="auto"/>
          <w:kern w:val="0"/>
          <w:sz w:val="28"/>
          <w:szCs w:val="28"/>
          <w:highlight w:val="none"/>
        </w:rPr>
      </w:pPr>
    </w:p>
    <w:p w14:paraId="1FE8CB85">
      <w:pPr>
        <w:autoSpaceDE w:val="0"/>
        <w:autoSpaceDN w:val="0"/>
        <w:adjustRightInd w:val="0"/>
        <w:snapToGrid w:val="0"/>
        <w:spacing w:line="360" w:lineRule="auto"/>
        <w:textAlignment w:val="baseline"/>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 xml:space="preserve">                                      投标人：（盖单位公章）</w:t>
      </w:r>
    </w:p>
    <w:p w14:paraId="5987C275">
      <w:pPr>
        <w:autoSpaceDE w:val="0"/>
        <w:autoSpaceDN w:val="0"/>
        <w:adjustRightInd w:val="0"/>
        <w:snapToGrid w:val="0"/>
        <w:spacing w:line="360" w:lineRule="auto"/>
        <w:ind w:firstLine="6020" w:firstLineChars="2150"/>
        <w:textAlignment w:val="baseline"/>
        <w:rPr>
          <w:rFonts w:hint="eastAsia" w:ascii="宋体" w:hAnsi="宋体" w:eastAsia="宋体" w:cs="宋体"/>
          <w:color w:val="auto"/>
          <w:kern w:val="0"/>
          <w:sz w:val="28"/>
          <w:szCs w:val="28"/>
          <w:highlight w:val="none"/>
          <w:u w:val="single"/>
        </w:rPr>
      </w:pPr>
    </w:p>
    <w:p w14:paraId="48805537">
      <w:pPr>
        <w:jc w:val="right"/>
        <w:rPr>
          <w:rFonts w:hint="eastAsia" w:ascii="宋体" w:hAnsi="宋体" w:eastAsia="宋体" w:cs="宋体"/>
          <w:color w:val="auto"/>
          <w:kern w:val="0"/>
          <w:sz w:val="28"/>
          <w:szCs w:val="28"/>
          <w:highlight w:val="none"/>
        </w:rPr>
        <w:sectPr>
          <w:headerReference r:id="rId6" w:type="default"/>
          <w:footerReference r:id="rId7" w:type="default"/>
          <w:pgSz w:w="11906" w:h="16838"/>
          <w:pgMar w:top="850" w:right="1587" w:bottom="850" w:left="1587" w:header="567" w:footer="454" w:gutter="0"/>
          <w:pgNumType w:fmt="decimal" w:start="2"/>
          <w:cols w:space="0" w:num="1"/>
          <w:rtlGutter w:val="0"/>
          <w:docGrid w:linePitch="286" w:charSpace="0"/>
        </w:sectPr>
      </w:pPr>
      <w:r>
        <w:rPr>
          <w:rFonts w:hint="eastAsia" w:ascii="宋体" w:hAnsi="宋体" w:eastAsia="宋体" w:cs="宋体"/>
          <w:color w:val="auto"/>
          <w:kern w:val="0"/>
          <w:sz w:val="28"/>
          <w:szCs w:val="28"/>
          <w:highlight w:val="none"/>
          <w:u w:val="single"/>
        </w:rPr>
        <w:t xml:space="preserve">      </w:t>
      </w:r>
      <w:r>
        <w:rPr>
          <w:rFonts w:hint="eastAsia" w:ascii="宋体" w:hAnsi="宋体" w:eastAsia="宋体" w:cs="宋体"/>
          <w:color w:val="auto"/>
          <w:kern w:val="0"/>
          <w:sz w:val="28"/>
          <w:szCs w:val="28"/>
          <w:highlight w:val="none"/>
        </w:rPr>
        <w:t>年</w:t>
      </w:r>
      <w:r>
        <w:rPr>
          <w:rFonts w:hint="eastAsia" w:ascii="宋体" w:hAnsi="宋体" w:eastAsia="宋体" w:cs="宋体"/>
          <w:color w:val="auto"/>
          <w:kern w:val="0"/>
          <w:sz w:val="28"/>
          <w:szCs w:val="28"/>
          <w:highlight w:val="none"/>
          <w:u w:val="single"/>
        </w:rPr>
        <w:t xml:space="preserve">       </w:t>
      </w:r>
      <w:r>
        <w:rPr>
          <w:rFonts w:hint="eastAsia" w:ascii="宋体" w:hAnsi="宋体" w:eastAsia="宋体" w:cs="宋体"/>
          <w:color w:val="auto"/>
          <w:kern w:val="0"/>
          <w:sz w:val="28"/>
          <w:szCs w:val="28"/>
          <w:highlight w:val="none"/>
        </w:rPr>
        <w:t>月</w:t>
      </w:r>
      <w:r>
        <w:rPr>
          <w:rFonts w:hint="eastAsia" w:ascii="宋体" w:hAnsi="宋体" w:eastAsia="宋体" w:cs="宋体"/>
          <w:color w:val="auto"/>
          <w:kern w:val="0"/>
          <w:sz w:val="28"/>
          <w:szCs w:val="28"/>
          <w:highlight w:val="none"/>
          <w:u w:val="single"/>
        </w:rPr>
        <w:t xml:space="preserve">      </w:t>
      </w:r>
      <w:r>
        <w:rPr>
          <w:rFonts w:hint="eastAsia" w:ascii="宋体" w:hAnsi="宋体" w:eastAsia="宋体" w:cs="宋体"/>
          <w:color w:val="auto"/>
          <w:kern w:val="0"/>
          <w:sz w:val="28"/>
          <w:szCs w:val="28"/>
          <w:highlight w:val="none"/>
        </w:rPr>
        <w:t>日</w:t>
      </w:r>
    </w:p>
    <w:p w14:paraId="4124389C">
      <w:pPr>
        <w:shd w:val="clear" w:color="auto" w:fill="auto"/>
        <w:snapToGrid w:val="0"/>
        <w:spacing w:before="50" w:after="120" w:afterLines="50"/>
        <w:jc w:val="left"/>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val="en-US" w:eastAsia="zh-CN"/>
        </w:rPr>
        <w:t>8</w:t>
      </w:r>
      <w:r>
        <w:rPr>
          <w:rFonts w:hint="eastAsia" w:ascii="宋体" w:hAnsi="宋体" w:eastAsia="宋体" w:cs="宋体"/>
          <w:color w:val="auto"/>
          <w:sz w:val="21"/>
          <w:szCs w:val="21"/>
          <w:shd w:val="clear" w:color="auto" w:fill="auto"/>
        </w:rPr>
        <w:t>.项目负责人简历：</w:t>
      </w:r>
    </w:p>
    <w:p w14:paraId="584A8806">
      <w:pPr>
        <w:shd w:val="clear" w:color="auto" w:fill="auto"/>
        <w:snapToGrid w:val="0"/>
        <w:spacing w:before="50" w:after="120" w:afterLines="50"/>
        <w:jc w:val="left"/>
        <w:rPr>
          <w:rFonts w:hint="eastAsia" w:ascii="宋体" w:hAnsi="宋体" w:eastAsia="宋体" w:cs="宋体"/>
          <w:color w:val="auto"/>
          <w:sz w:val="21"/>
          <w:szCs w:val="21"/>
          <w:shd w:val="clear" w:color="auto" w:fill="auto"/>
        </w:rPr>
      </w:pPr>
    </w:p>
    <w:p w14:paraId="3E67CA95">
      <w:pPr>
        <w:shd w:val="clear" w:color="auto" w:fill="auto"/>
        <w:jc w:val="center"/>
        <w:rPr>
          <w:rFonts w:hint="eastAsia" w:ascii="宋体" w:hAnsi="宋体" w:eastAsia="宋体" w:cs="宋体"/>
          <w:snapToGrid w:val="0"/>
          <w:color w:val="auto"/>
          <w:sz w:val="21"/>
          <w:szCs w:val="21"/>
          <w:shd w:val="clear" w:color="auto" w:fill="auto"/>
        </w:rPr>
      </w:pPr>
      <w:r>
        <w:rPr>
          <w:rFonts w:hint="eastAsia" w:ascii="宋体" w:hAnsi="宋体" w:eastAsia="宋体" w:cs="宋体"/>
          <w:snapToGrid w:val="0"/>
          <w:color w:val="auto"/>
          <w:sz w:val="21"/>
          <w:szCs w:val="21"/>
          <w:shd w:val="clear" w:color="auto" w:fill="auto"/>
        </w:rPr>
        <w:t>项目负责人简历表</w:t>
      </w:r>
    </w:p>
    <w:p w14:paraId="740B41DB">
      <w:pPr>
        <w:shd w:val="clear" w:color="auto" w:fill="auto"/>
        <w:snapToGrid w:val="0"/>
        <w:spacing w:before="120" w:beforeLines="50" w:after="50" w:line="360" w:lineRule="auto"/>
        <w:jc w:val="center"/>
        <w:rPr>
          <w:rFonts w:hint="eastAsia" w:ascii="宋体" w:hAnsi="宋体" w:eastAsia="宋体" w:cs="宋体"/>
          <w:bCs/>
          <w:color w:val="auto"/>
          <w:sz w:val="21"/>
          <w:szCs w:val="21"/>
          <w:shd w:val="clear" w:color="auto" w:fill="auto"/>
          <w:lang w:eastAsia="zh-CN"/>
        </w:rPr>
      </w:pPr>
    </w:p>
    <w:p w14:paraId="4744388A">
      <w:pPr>
        <w:shd w:val="clear" w:color="auto" w:fill="auto"/>
        <w:snapToGrid w:val="0"/>
        <w:spacing w:before="120" w:beforeLines="50" w:after="50" w:line="480" w:lineRule="auto"/>
        <w:rPr>
          <w:rFonts w:hint="eastAsia" w:ascii="宋体" w:hAnsi="宋体" w:eastAsia="宋体" w:cs="宋体"/>
          <w:color w:val="auto"/>
          <w:sz w:val="21"/>
          <w:szCs w:val="21"/>
          <w:shd w:val="clear" w:color="auto" w:fill="auto"/>
        </w:rPr>
      </w:pPr>
      <w:r>
        <w:rPr>
          <w:rFonts w:hint="eastAsia" w:ascii="宋体" w:hAnsi="宋体" w:eastAsia="宋体" w:cs="宋体"/>
          <w:bCs/>
          <w:color w:val="auto"/>
          <w:sz w:val="21"/>
          <w:szCs w:val="21"/>
          <w:shd w:val="clear" w:color="auto" w:fill="auto"/>
        </w:rPr>
        <w:t>项目名称：</w:t>
      </w:r>
    </w:p>
    <w:p w14:paraId="75AADEE3">
      <w:pPr>
        <w:shd w:val="clear" w:color="auto" w:fill="auto"/>
        <w:snapToGrid w:val="0"/>
        <w:spacing w:before="120" w:beforeLines="50" w:after="50" w:line="480" w:lineRule="auto"/>
        <w:rPr>
          <w:rFonts w:hint="eastAsia" w:ascii="宋体" w:hAnsi="宋体" w:eastAsia="宋体" w:cs="宋体"/>
          <w:bCs/>
          <w:color w:val="auto"/>
          <w:sz w:val="21"/>
          <w:szCs w:val="21"/>
          <w:shd w:val="clear" w:color="auto" w:fill="auto"/>
        </w:rPr>
      </w:pPr>
      <w:r>
        <w:rPr>
          <w:rFonts w:hint="eastAsia" w:ascii="宋体" w:hAnsi="宋体" w:eastAsia="宋体" w:cs="宋体"/>
          <w:bCs/>
          <w:color w:val="auto"/>
          <w:sz w:val="21"/>
          <w:szCs w:val="21"/>
          <w:shd w:val="clear" w:color="auto" w:fill="auto"/>
        </w:rPr>
        <w:t>项目编号：</w:t>
      </w:r>
    </w:p>
    <w:tbl>
      <w:tblPr>
        <w:tblStyle w:val="51"/>
        <w:tblpPr w:leftFromText="180" w:rightFromText="180" w:vertAnchor="text" w:tblpXSpec="left" w:tblpY="2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40431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5B22A381">
            <w:pPr>
              <w:shd w:val="clear" w:color="auto" w:fill="auto"/>
              <w:spacing w:line="351" w:lineRule="atLeast"/>
              <w:jc w:val="center"/>
              <w:rPr>
                <w:rFonts w:hint="eastAsia" w:ascii="宋体" w:hAnsi="宋体" w:eastAsia="宋体" w:cs="宋体"/>
                <w:color w:val="auto"/>
                <w:sz w:val="21"/>
                <w:szCs w:val="21"/>
                <w:u w:color="000000"/>
                <w:shd w:val="clear" w:color="auto" w:fill="auto"/>
              </w:rPr>
            </w:pPr>
            <w:r>
              <w:rPr>
                <w:rFonts w:hint="eastAsia" w:ascii="宋体" w:hAnsi="宋体" w:eastAsia="宋体" w:cs="宋体"/>
                <w:color w:val="auto"/>
                <w:sz w:val="21"/>
                <w:szCs w:val="21"/>
                <w:shd w:val="clear" w:color="auto" w:fill="auto"/>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3DD7090E">
            <w:pPr>
              <w:shd w:val="clear" w:color="auto" w:fill="auto"/>
              <w:spacing w:line="351" w:lineRule="atLeast"/>
              <w:jc w:val="center"/>
              <w:rPr>
                <w:rFonts w:hint="eastAsia" w:ascii="宋体" w:hAnsi="宋体" w:eastAsia="宋体" w:cs="宋体"/>
                <w:color w:val="auto"/>
                <w:sz w:val="21"/>
                <w:szCs w:val="21"/>
                <w:u w:color="000000"/>
                <w:shd w:val="clear" w:color="auto" w:fill="auto"/>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56AFC090">
            <w:pPr>
              <w:shd w:val="clear" w:color="auto" w:fill="auto"/>
              <w:spacing w:line="351" w:lineRule="atLeast"/>
              <w:jc w:val="center"/>
              <w:rPr>
                <w:rFonts w:hint="eastAsia" w:ascii="宋体" w:hAnsi="宋体" w:eastAsia="宋体" w:cs="宋体"/>
                <w:color w:val="auto"/>
                <w:sz w:val="21"/>
                <w:szCs w:val="21"/>
                <w:u w:color="000000"/>
                <w:shd w:val="clear" w:color="auto" w:fill="auto"/>
              </w:rPr>
            </w:pPr>
            <w:r>
              <w:rPr>
                <w:rFonts w:hint="eastAsia" w:ascii="宋体" w:hAnsi="宋体" w:eastAsia="宋体" w:cs="宋体"/>
                <w:color w:val="auto"/>
                <w:sz w:val="21"/>
                <w:szCs w:val="21"/>
                <w:shd w:val="clear" w:color="auto" w:fill="auto"/>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46718F84">
            <w:pPr>
              <w:shd w:val="clear" w:color="auto" w:fill="auto"/>
              <w:spacing w:line="351" w:lineRule="atLeast"/>
              <w:jc w:val="center"/>
              <w:rPr>
                <w:rFonts w:hint="eastAsia" w:ascii="宋体" w:hAnsi="宋体" w:eastAsia="宋体" w:cs="宋体"/>
                <w:color w:val="auto"/>
                <w:sz w:val="21"/>
                <w:szCs w:val="21"/>
                <w:u w:color="000000"/>
                <w:shd w:val="clear" w:color="auto" w:fill="auto"/>
              </w:rPr>
            </w:pPr>
          </w:p>
        </w:tc>
      </w:tr>
      <w:tr w14:paraId="0CF1E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62F51F64">
            <w:pPr>
              <w:shd w:val="clear" w:color="auto" w:fill="auto"/>
              <w:spacing w:line="351" w:lineRule="atLeast"/>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6175C7D5">
            <w:pPr>
              <w:shd w:val="clear" w:color="auto" w:fill="auto"/>
              <w:spacing w:line="351" w:lineRule="atLeast"/>
              <w:jc w:val="center"/>
              <w:rPr>
                <w:rFonts w:hint="eastAsia" w:ascii="宋体" w:hAnsi="宋体" w:eastAsia="宋体" w:cs="宋体"/>
                <w:color w:val="auto"/>
                <w:sz w:val="21"/>
                <w:szCs w:val="21"/>
                <w:u w:color="000000"/>
                <w:shd w:val="clear" w:color="auto" w:fill="auto"/>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52D41863">
            <w:pPr>
              <w:shd w:val="clear" w:color="auto" w:fill="auto"/>
              <w:spacing w:line="351" w:lineRule="atLeast"/>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48694B2B">
            <w:pPr>
              <w:shd w:val="clear" w:color="auto" w:fill="auto"/>
              <w:spacing w:line="351" w:lineRule="atLeast"/>
              <w:jc w:val="center"/>
              <w:rPr>
                <w:rFonts w:hint="eastAsia" w:ascii="宋体" w:hAnsi="宋体" w:eastAsia="宋体" w:cs="宋体"/>
                <w:color w:val="auto"/>
                <w:sz w:val="21"/>
                <w:szCs w:val="21"/>
                <w:u w:color="000000"/>
                <w:shd w:val="clear" w:color="auto" w:fill="auto"/>
              </w:rPr>
            </w:pPr>
          </w:p>
        </w:tc>
      </w:tr>
      <w:tr w14:paraId="3F14D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402F3454">
            <w:pPr>
              <w:shd w:val="clear" w:color="auto" w:fill="auto"/>
              <w:spacing w:line="351" w:lineRule="atLeast"/>
              <w:jc w:val="center"/>
              <w:rPr>
                <w:rFonts w:hint="eastAsia" w:ascii="宋体" w:hAnsi="宋体" w:eastAsia="宋体" w:cs="宋体"/>
                <w:color w:val="auto"/>
                <w:sz w:val="21"/>
                <w:szCs w:val="21"/>
                <w:u w:color="000000"/>
                <w:shd w:val="clear" w:color="auto" w:fill="auto"/>
              </w:rPr>
            </w:pPr>
            <w:r>
              <w:rPr>
                <w:rFonts w:hint="eastAsia" w:ascii="宋体" w:hAnsi="宋体" w:eastAsia="宋体" w:cs="宋体"/>
                <w:color w:val="auto"/>
                <w:sz w:val="21"/>
                <w:szCs w:val="21"/>
                <w:shd w:val="clear" w:color="auto" w:fill="auto"/>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403C6FC3">
            <w:pPr>
              <w:shd w:val="clear" w:color="auto" w:fill="auto"/>
              <w:spacing w:line="351" w:lineRule="atLeast"/>
              <w:jc w:val="center"/>
              <w:rPr>
                <w:rFonts w:hint="eastAsia" w:ascii="宋体" w:hAnsi="宋体" w:eastAsia="宋体" w:cs="宋体"/>
                <w:color w:val="auto"/>
                <w:sz w:val="21"/>
                <w:szCs w:val="21"/>
                <w:u w:color="000000"/>
                <w:shd w:val="clear" w:color="auto" w:fill="auto"/>
              </w:rPr>
            </w:pPr>
          </w:p>
        </w:tc>
        <w:tc>
          <w:tcPr>
            <w:tcW w:w="1952" w:type="dxa"/>
            <w:tcBorders>
              <w:top w:val="single" w:color="auto" w:sz="4" w:space="0"/>
              <w:left w:val="single" w:color="auto" w:sz="4" w:space="0"/>
              <w:bottom w:val="single" w:color="auto" w:sz="4" w:space="0"/>
              <w:right w:val="single" w:color="auto" w:sz="4" w:space="0"/>
            </w:tcBorders>
            <w:vAlign w:val="center"/>
          </w:tcPr>
          <w:p w14:paraId="0F520AFC">
            <w:pPr>
              <w:shd w:val="clear" w:color="auto" w:fill="auto"/>
              <w:spacing w:line="351" w:lineRule="atLeast"/>
              <w:jc w:val="center"/>
              <w:rPr>
                <w:rFonts w:hint="eastAsia" w:ascii="宋体" w:hAnsi="宋体" w:eastAsia="宋体" w:cs="宋体"/>
                <w:color w:val="auto"/>
                <w:sz w:val="21"/>
                <w:szCs w:val="21"/>
                <w:u w:color="000000"/>
                <w:shd w:val="clear" w:color="auto" w:fill="auto"/>
              </w:rPr>
            </w:pPr>
            <w:r>
              <w:rPr>
                <w:rFonts w:hint="eastAsia" w:ascii="宋体" w:hAnsi="宋体" w:eastAsia="宋体" w:cs="宋体"/>
                <w:color w:val="auto"/>
                <w:sz w:val="21"/>
                <w:szCs w:val="21"/>
                <w:shd w:val="clear" w:color="auto" w:fill="auto"/>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032C539A">
            <w:pPr>
              <w:shd w:val="clear" w:color="auto" w:fill="auto"/>
              <w:spacing w:line="351" w:lineRule="atLeast"/>
              <w:jc w:val="center"/>
              <w:rPr>
                <w:rFonts w:hint="eastAsia" w:ascii="宋体" w:hAnsi="宋体" w:eastAsia="宋体" w:cs="宋体"/>
                <w:color w:val="auto"/>
                <w:sz w:val="21"/>
                <w:szCs w:val="21"/>
                <w:u w:color="000000"/>
                <w:shd w:val="clear" w:color="auto" w:fill="auto"/>
              </w:rPr>
            </w:pPr>
          </w:p>
        </w:tc>
      </w:tr>
      <w:tr w14:paraId="79E0A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689EFA6F">
            <w:pPr>
              <w:shd w:val="clear" w:color="auto" w:fill="auto"/>
              <w:spacing w:line="351" w:lineRule="atLeast"/>
              <w:ind w:firstLine="417" w:firstLineChars="199"/>
              <w:rPr>
                <w:rFonts w:hint="eastAsia" w:ascii="宋体" w:hAnsi="宋体" w:eastAsia="宋体" w:cs="宋体"/>
                <w:color w:val="auto"/>
                <w:sz w:val="21"/>
                <w:szCs w:val="21"/>
                <w:u w:color="000000"/>
                <w:shd w:val="clear" w:color="auto" w:fill="auto"/>
              </w:rPr>
            </w:pPr>
            <w:r>
              <w:rPr>
                <w:rFonts w:hint="eastAsia" w:ascii="宋体" w:hAnsi="宋体" w:eastAsia="宋体" w:cs="宋体"/>
                <w:color w:val="auto"/>
                <w:sz w:val="21"/>
                <w:szCs w:val="21"/>
                <w:shd w:val="clear" w:color="auto" w:fill="auto"/>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600E6666">
            <w:pPr>
              <w:shd w:val="clear" w:color="auto" w:fill="auto"/>
              <w:spacing w:line="351" w:lineRule="atLeast"/>
              <w:ind w:firstLine="419"/>
              <w:jc w:val="center"/>
              <w:rPr>
                <w:rFonts w:hint="eastAsia" w:ascii="宋体" w:hAnsi="宋体" w:eastAsia="宋体" w:cs="宋体"/>
                <w:color w:val="auto"/>
                <w:sz w:val="21"/>
                <w:szCs w:val="21"/>
                <w:u w:color="000000"/>
                <w:shd w:val="clear" w:color="auto" w:fill="auto"/>
              </w:rPr>
            </w:pPr>
          </w:p>
        </w:tc>
        <w:tc>
          <w:tcPr>
            <w:tcW w:w="1952" w:type="dxa"/>
            <w:tcBorders>
              <w:top w:val="single" w:color="auto" w:sz="4" w:space="0"/>
              <w:left w:val="single" w:color="auto" w:sz="4" w:space="0"/>
              <w:bottom w:val="single" w:color="000000" w:sz="4" w:space="0"/>
              <w:right w:val="single" w:color="auto" w:sz="4" w:space="0"/>
            </w:tcBorders>
            <w:vAlign w:val="center"/>
          </w:tcPr>
          <w:p w14:paraId="2141D05D">
            <w:pPr>
              <w:shd w:val="clear" w:color="auto" w:fill="auto"/>
              <w:spacing w:line="351" w:lineRule="atLeast"/>
              <w:ind w:firstLine="415" w:firstLineChars="198"/>
              <w:rPr>
                <w:rFonts w:hint="eastAsia" w:ascii="宋体" w:hAnsi="宋体" w:eastAsia="宋体" w:cs="宋体"/>
                <w:color w:val="auto"/>
                <w:sz w:val="21"/>
                <w:szCs w:val="21"/>
                <w:u w:color="000000"/>
                <w:shd w:val="clear" w:color="auto" w:fill="auto"/>
              </w:rPr>
            </w:pPr>
            <w:r>
              <w:rPr>
                <w:rFonts w:hint="eastAsia" w:ascii="宋体" w:hAnsi="宋体" w:eastAsia="宋体" w:cs="宋体"/>
                <w:color w:val="auto"/>
                <w:sz w:val="21"/>
                <w:szCs w:val="21"/>
                <w:shd w:val="clear" w:color="auto" w:fill="auto"/>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5C025463">
            <w:pPr>
              <w:shd w:val="clear" w:color="auto" w:fill="auto"/>
              <w:spacing w:line="351" w:lineRule="atLeast"/>
              <w:jc w:val="center"/>
              <w:rPr>
                <w:rFonts w:hint="eastAsia" w:ascii="宋体" w:hAnsi="宋体" w:eastAsia="宋体" w:cs="宋体"/>
                <w:color w:val="auto"/>
                <w:sz w:val="21"/>
                <w:szCs w:val="21"/>
                <w:u w:color="000000"/>
                <w:shd w:val="clear" w:color="auto" w:fill="auto"/>
              </w:rPr>
            </w:pPr>
          </w:p>
        </w:tc>
      </w:tr>
      <w:tr w14:paraId="3B8BC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44AE907F">
            <w:pPr>
              <w:shd w:val="clear" w:color="auto" w:fill="auto"/>
              <w:spacing w:line="351" w:lineRule="atLeast"/>
              <w:jc w:val="center"/>
              <w:rPr>
                <w:rFonts w:hint="eastAsia" w:ascii="宋体" w:hAnsi="宋体" w:eastAsia="宋体" w:cs="宋体"/>
                <w:color w:val="auto"/>
                <w:sz w:val="21"/>
                <w:szCs w:val="21"/>
                <w:u w:color="000000"/>
                <w:shd w:val="clear" w:color="auto" w:fill="auto"/>
              </w:rPr>
            </w:pPr>
            <w:r>
              <w:rPr>
                <w:rFonts w:hint="eastAsia" w:ascii="宋体" w:hAnsi="宋体" w:eastAsia="宋体" w:cs="宋体"/>
                <w:color w:val="auto"/>
                <w:sz w:val="21"/>
                <w:szCs w:val="21"/>
                <w:u w:color="000000"/>
                <w:shd w:val="clear" w:color="auto" w:fill="auto"/>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25130049">
            <w:pPr>
              <w:shd w:val="clear" w:color="auto" w:fill="auto"/>
              <w:spacing w:line="351" w:lineRule="atLeast"/>
              <w:jc w:val="center"/>
              <w:rPr>
                <w:rFonts w:hint="eastAsia" w:ascii="宋体" w:hAnsi="宋体" w:eastAsia="宋体" w:cs="宋体"/>
                <w:color w:val="auto"/>
                <w:sz w:val="21"/>
                <w:szCs w:val="21"/>
                <w:u w:color="000000"/>
                <w:shd w:val="clear" w:color="auto" w:fill="auto"/>
              </w:rPr>
            </w:pPr>
          </w:p>
        </w:tc>
        <w:tc>
          <w:tcPr>
            <w:tcW w:w="1952" w:type="dxa"/>
            <w:tcBorders>
              <w:top w:val="single" w:color="auto" w:sz="4" w:space="0"/>
              <w:left w:val="single" w:color="auto" w:sz="4" w:space="0"/>
              <w:bottom w:val="single" w:color="000000" w:sz="4" w:space="0"/>
              <w:right w:val="single" w:color="auto" w:sz="4" w:space="0"/>
            </w:tcBorders>
            <w:vAlign w:val="center"/>
          </w:tcPr>
          <w:p w14:paraId="50A6E4DE">
            <w:pPr>
              <w:shd w:val="clear" w:color="auto" w:fill="auto"/>
              <w:spacing w:line="351" w:lineRule="atLeast"/>
              <w:jc w:val="center"/>
              <w:rPr>
                <w:rFonts w:hint="eastAsia" w:ascii="宋体" w:hAnsi="宋体" w:eastAsia="宋体" w:cs="宋体"/>
                <w:color w:val="auto"/>
                <w:sz w:val="21"/>
                <w:szCs w:val="21"/>
                <w:u w:color="000000"/>
                <w:shd w:val="clear" w:color="auto" w:fill="auto"/>
              </w:rPr>
            </w:pPr>
            <w:r>
              <w:rPr>
                <w:rFonts w:hint="eastAsia" w:ascii="宋体" w:hAnsi="宋体" w:eastAsia="宋体" w:cs="宋体"/>
                <w:color w:val="auto"/>
                <w:sz w:val="21"/>
                <w:szCs w:val="21"/>
                <w:u w:color="000000"/>
                <w:shd w:val="clear" w:color="auto" w:fill="auto"/>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1B0D2CD6">
            <w:pPr>
              <w:shd w:val="clear" w:color="auto" w:fill="auto"/>
              <w:spacing w:line="351" w:lineRule="atLeast"/>
              <w:jc w:val="center"/>
              <w:rPr>
                <w:rFonts w:hint="eastAsia" w:ascii="宋体" w:hAnsi="宋体" w:eastAsia="宋体" w:cs="宋体"/>
                <w:color w:val="auto"/>
                <w:sz w:val="21"/>
                <w:szCs w:val="21"/>
                <w:u w:color="000000"/>
                <w:shd w:val="clear" w:color="auto" w:fill="auto"/>
              </w:rPr>
            </w:pPr>
          </w:p>
        </w:tc>
      </w:tr>
      <w:tr w14:paraId="66F7F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7187D50E">
            <w:pPr>
              <w:shd w:val="clear" w:color="auto" w:fill="auto"/>
              <w:jc w:val="center"/>
              <w:rPr>
                <w:rFonts w:hint="eastAsia" w:ascii="宋体" w:hAnsi="宋体" w:eastAsia="宋体" w:cs="宋体"/>
                <w:color w:val="auto"/>
                <w:sz w:val="21"/>
                <w:szCs w:val="21"/>
                <w:u w:color="000000"/>
                <w:shd w:val="clear" w:color="auto" w:fill="auto"/>
              </w:rPr>
            </w:pPr>
            <w:r>
              <w:rPr>
                <w:rFonts w:hint="eastAsia" w:ascii="宋体" w:hAnsi="宋体" w:eastAsia="宋体" w:cs="宋体"/>
                <w:color w:val="auto"/>
                <w:sz w:val="21"/>
                <w:szCs w:val="21"/>
                <w:shd w:val="clear" w:color="auto" w:fill="auto"/>
              </w:rPr>
              <w:t>简</w:t>
            </w:r>
          </w:p>
          <w:p w14:paraId="4129A9B8">
            <w:pPr>
              <w:shd w:val="clear" w:color="auto" w:fill="auto"/>
              <w:jc w:val="center"/>
              <w:rPr>
                <w:rFonts w:hint="eastAsia" w:ascii="宋体" w:hAnsi="宋体" w:eastAsia="宋体" w:cs="宋体"/>
                <w:color w:val="auto"/>
                <w:sz w:val="21"/>
                <w:szCs w:val="21"/>
                <w:shd w:val="clear" w:color="auto" w:fill="auto"/>
              </w:rPr>
            </w:pPr>
          </w:p>
          <w:p w14:paraId="6F5B261B">
            <w:pPr>
              <w:shd w:val="clear" w:color="auto" w:fill="auto"/>
              <w:jc w:val="center"/>
              <w:rPr>
                <w:rFonts w:hint="eastAsia" w:ascii="宋体" w:hAnsi="宋体" w:eastAsia="宋体" w:cs="宋体"/>
                <w:color w:val="auto"/>
                <w:sz w:val="21"/>
                <w:szCs w:val="21"/>
                <w:shd w:val="clear" w:color="auto" w:fill="auto"/>
              </w:rPr>
            </w:pPr>
          </w:p>
          <w:p w14:paraId="219BEE89">
            <w:pPr>
              <w:shd w:val="clear" w:color="auto" w:fill="auto"/>
              <w:spacing w:line="351" w:lineRule="atLeast"/>
              <w:jc w:val="center"/>
              <w:rPr>
                <w:rFonts w:hint="eastAsia" w:ascii="宋体" w:hAnsi="宋体" w:eastAsia="宋体" w:cs="宋体"/>
                <w:color w:val="auto"/>
                <w:sz w:val="21"/>
                <w:szCs w:val="21"/>
                <w:u w:color="000000"/>
                <w:shd w:val="clear" w:color="auto" w:fill="auto"/>
              </w:rPr>
            </w:pPr>
            <w:r>
              <w:rPr>
                <w:rFonts w:hint="eastAsia" w:ascii="宋体" w:hAnsi="宋体" w:eastAsia="宋体" w:cs="宋体"/>
                <w:color w:val="auto"/>
                <w:sz w:val="21"/>
                <w:szCs w:val="21"/>
                <w:shd w:val="clear" w:color="auto" w:fill="auto"/>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4B0F8795">
            <w:pPr>
              <w:shd w:val="clear" w:color="auto" w:fill="auto"/>
              <w:spacing w:line="351" w:lineRule="atLeast"/>
              <w:jc w:val="center"/>
              <w:rPr>
                <w:rFonts w:hint="eastAsia" w:ascii="宋体" w:hAnsi="宋体" w:eastAsia="宋体" w:cs="宋体"/>
                <w:color w:val="auto"/>
                <w:sz w:val="21"/>
                <w:szCs w:val="21"/>
                <w:u w:color="000000"/>
                <w:shd w:val="clear" w:color="auto" w:fill="auto"/>
              </w:rPr>
            </w:pPr>
          </w:p>
        </w:tc>
      </w:tr>
    </w:tbl>
    <w:p w14:paraId="44183BF8">
      <w:pPr>
        <w:shd w:val="clear" w:color="auto" w:fill="auto"/>
        <w:rPr>
          <w:rFonts w:hint="eastAsia" w:ascii="宋体" w:hAnsi="宋体" w:eastAsia="宋体" w:cs="宋体"/>
          <w:bCs/>
          <w:snapToGrid w:val="0"/>
          <w:color w:val="auto"/>
          <w:sz w:val="21"/>
          <w:szCs w:val="21"/>
          <w:shd w:val="clear" w:color="auto" w:fill="auto"/>
        </w:rPr>
      </w:pPr>
    </w:p>
    <w:p w14:paraId="29D16078">
      <w:pPr>
        <w:shd w:val="clear" w:color="auto" w:fill="auto"/>
        <w:snapToGrid w:val="0"/>
        <w:spacing w:before="50" w:after="120" w:afterLines="50"/>
        <w:jc w:val="left"/>
        <w:rPr>
          <w:rFonts w:hint="eastAsia" w:ascii="宋体" w:hAnsi="宋体" w:eastAsia="宋体" w:cs="宋体"/>
          <w:b/>
          <w:color w:val="auto"/>
          <w:spacing w:val="20"/>
          <w:sz w:val="21"/>
          <w:szCs w:val="21"/>
          <w:shd w:val="clear" w:color="auto" w:fill="auto"/>
        </w:rPr>
      </w:pPr>
      <w:bookmarkStart w:id="151" w:name="_Hlk60757472"/>
      <w:r>
        <w:rPr>
          <w:rFonts w:hint="eastAsia" w:ascii="宋体" w:hAnsi="宋体" w:eastAsia="宋体" w:cs="宋体"/>
          <w:b/>
          <w:color w:val="auto"/>
          <w:spacing w:val="20"/>
          <w:sz w:val="21"/>
          <w:szCs w:val="21"/>
          <w:shd w:val="clear" w:color="auto" w:fill="auto"/>
        </w:rPr>
        <w:t>法定代表人签字（或盖章）：            投标人（盖章）：</w:t>
      </w:r>
    </w:p>
    <w:p w14:paraId="65D7DE25">
      <w:pPr>
        <w:shd w:val="clear" w:color="auto" w:fill="auto"/>
        <w:snapToGrid w:val="0"/>
        <w:spacing w:before="50" w:after="120" w:afterLines="50"/>
        <w:jc w:val="left"/>
        <w:rPr>
          <w:rFonts w:hint="eastAsia" w:ascii="宋体" w:hAnsi="宋体" w:eastAsia="宋体" w:cs="宋体"/>
          <w:b/>
          <w:color w:val="auto"/>
          <w:sz w:val="21"/>
          <w:szCs w:val="21"/>
          <w:shd w:val="clear" w:color="auto" w:fill="auto"/>
        </w:rPr>
      </w:pPr>
    </w:p>
    <w:p w14:paraId="7F41D4C9">
      <w:pPr>
        <w:shd w:val="clear" w:color="auto" w:fill="auto"/>
        <w:snapToGrid w:val="0"/>
        <w:spacing w:before="50" w:after="120" w:afterLines="50"/>
        <w:jc w:val="left"/>
        <w:rPr>
          <w:rFonts w:hint="eastAsia" w:ascii="宋体" w:hAnsi="宋体" w:eastAsia="宋体" w:cs="宋体"/>
          <w:color w:val="auto"/>
          <w:sz w:val="24"/>
          <w:shd w:val="clear" w:color="auto" w:fill="auto"/>
        </w:rPr>
      </w:pPr>
      <w:r>
        <w:rPr>
          <w:rFonts w:hint="eastAsia" w:ascii="宋体" w:hAnsi="宋体" w:eastAsia="宋体" w:cs="宋体"/>
          <w:b/>
          <w:color w:val="auto"/>
          <w:sz w:val="21"/>
          <w:szCs w:val="21"/>
          <w:shd w:val="clear" w:color="auto" w:fill="auto"/>
        </w:rPr>
        <w:t>日期：  _____年___月___日</w:t>
      </w:r>
      <w:r>
        <w:rPr>
          <w:rFonts w:hint="eastAsia" w:ascii="宋体" w:hAnsi="宋体" w:eastAsia="宋体" w:cs="宋体"/>
          <w:b/>
          <w:color w:val="auto"/>
          <w:sz w:val="21"/>
          <w:szCs w:val="21"/>
          <w:shd w:val="clear" w:color="auto" w:fill="auto"/>
        </w:rPr>
        <w:br w:type="page"/>
      </w:r>
      <w:bookmarkEnd w:id="151"/>
      <w:r>
        <w:rPr>
          <w:rFonts w:hint="eastAsia" w:ascii="宋体" w:hAnsi="宋体" w:cs="宋体"/>
          <w:color w:val="auto"/>
          <w:sz w:val="21"/>
          <w:szCs w:val="21"/>
          <w:shd w:val="clear" w:color="auto" w:fill="auto"/>
          <w:lang w:val="en-US" w:eastAsia="zh-CN"/>
        </w:rPr>
        <w:t>9</w:t>
      </w:r>
      <w:r>
        <w:rPr>
          <w:rFonts w:hint="eastAsia" w:ascii="宋体" w:hAnsi="宋体" w:eastAsia="宋体" w:cs="宋体"/>
          <w:color w:val="auto"/>
          <w:sz w:val="21"/>
          <w:szCs w:val="21"/>
          <w:shd w:val="clear" w:color="auto" w:fill="auto"/>
        </w:rPr>
        <w:t>、项目实施人员一览表格式</w:t>
      </w:r>
    </w:p>
    <w:p w14:paraId="2F2A6E58">
      <w:pPr>
        <w:shd w:val="clear" w:color="auto" w:fill="auto"/>
        <w:snapToGrid w:val="0"/>
        <w:spacing w:before="50" w:after="120" w:afterLines="50"/>
        <w:jc w:val="left"/>
        <w:rPr>
          <w:rFonts w:hint="eastAsia" w:ascii="宋体" w:hAnsi="宋体" w:eastAsia="宋体" w:cs="宋体"/>
          <w:color w:val="auto"/>
          <w:sz w:val="24"/>
          <w:szCs w:val="20"/>
          <w:shd w:val="clear" w:color="auto" w:fill="auto"/>
        </w:rPr>
      </w:pPr>
    </w:p>
    <w:p w14:paraId="3B10124A">
      <w:pPr>
        <w:shd w:val="clear" w:color="auto" w:fill="auto"/>
        <w:snapToGrid w:val="0"/>
        <w:spacing w:before="120" w:beforeLines="50" w:after="50"/>
        <w:jc w:val="center"/>
        <w:rPr>
          <w:rFonts w:hint="eastAsia" w:ascii="宋体" w:hAnsi="宋体" w:eastAsia="宋体" w:cs="宋体"/>
          <w:b/>
          <w:color w:val="auto"/>
          <w:sz w:val="21"/>
          <w:szCs w:val="21"/>
          <w:shd w:val="clear" w:color="auto" w:fill="auto"/>
        </w:rPr>
      </w:pPr>
      <w:r>
        <w:rPr>
          <w:rFonts w:hint="eastAsia" w:ascii="宋体" w:hAnsi="宋体" w:eastAsia="宋体" w:cs="宋体"/>
          <w:b/>
          <w:color w:val="auto"/>
          <w:sz w:val="21"/>
          <w:szCs w:val="21"/>
          <w:shd w:val="clear" w:color="auto" w:fill="auto"/>
        </w:rPr>
        <w:t>项目实施人员（主要从业人员及其技术资格）一览表</w:t>
      </w:r>
    </w:p>
    <w:p w14:paraId="3B834BBC">
      <w:pPr>
        <w:shd w:val="clear" w:color="auto" w:fill="auto"/>
        <w:snapToGrid w:val="0"/>
        <w:spacing w:before="120" w:beforeLines="50" w:after="50" w:line="480" w:lineRule="auto"/>
        <w:rPr>
          <w:rFonts w:hint="eastAsia" w:ascii="宋体" w:hAnsi="宋体" w:eastAsia="宋体" w:cs="宋体"/>
          <w:color w:val="auto"/>
          <w:sz w:val="21"/>
          <w:szCs w:val="21"/>
          <w:shd w:val="clear" w:color="auto" w:fill="auto"/>
        </w:rPr>
      </w:pPr>
      <w:r>
        <w:rPr>
          <w:rFonts w:hint="eastAsia" w:ascii="宋体" w:hAnsi="宋体" w:eastAsia="宋体" w:cs="宋体"/>
          <w:bCs/>
          <w:color w:val="auto"/>
          <w:sz w:val="21"/>
          <w:szCs w:val="21"/>
          <w:shd w:val="clear" w:color="auto" w:fill="auto"/>
        </w:rPr>
        <w:t>项目名称：</w:t>
      </w:r>
    </w:p>
    <w:p w14:paraId="0C520C19">
      <w:pPr>
        <w:shd w:val="clear" w:color="auto" w:fill="auto"/>
        <w:snapToGrid w:val="0"/>
        <w:spacing w:before="120" w:beforeLines="50" w:after="50" w:line="480" w:lineRule="auto"/>
        <w:rPr>
          <w:rFonts w:hint="eastAsia" w:ascii="宋体" w:hAnsi="宋体" w:eastAsia="宋体" w:cs="宋体"/>
          <w:bCs/>
          <w:color w:val="auto"/>
          <w:sz w:val="21"/>
          <w:szCs w:val="21"/>
          <w:shd w:val="clear" w:color="auto" w:fill="auto"/>
        </w:rPr>
      </w:pPr>
      <w:r>
        <w:rPr>
          <w:rFonts w:hint="eastAsia" w:ascii="宋体" w:hAnsi="宋体" w:eastAsia="宋体" w:cs="宋体"/>
          <w:bCs/>
          <w:color w:val="auto"/>
          <w:sz w:val="21"/>
          <w:szCs w:val="21"/>
          <w:shd w:val="clear" w:color="auto" w:fill="auto"/>
        </w:rPr>
        <w:t>项目编号：</w:t>
      </w:r>
    </w:p>
    <w:tbl>
      <w:tblPr>
        <w:tblStyle w:val="51"/>
        <w:tblW w:w="9878"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080"/>
        <w:gridCol w:w="2060"/>
        <w:gridCol w:w="2246"/>
        <w:gridCol w:w="2432"/>
        <w:gridCol w:w="2060"/>
      </w:tblGrid>
      <w:tr w14:paraId="50805F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4" w:hRule="atLeast"/>
        </w:trPr>
        <w:tc>
          <w:tcPr>
            <w:tcW w:w="1080" w:type="dxa"/>
            <w:tcBorders>
              <w:top w:val="single" w:color="auto" w:sz="4" w:space="0"/>
              <w:left w:val="single" w:color="auto" w:sz="4" w:space="0"/>
              <w:bottom w:val="single" w:color="auto" w:sz="4" w:space="0"/>
              <w:right w:val="single" w:color="auto" w:sz="4" w:space="0"/>
            </w:tcBorders>
            <w:vAlign w:val="center"/>
          </w:tcPr>
          <w:p w14:paraId="7F9BCAC9">
            <w:pPr>
              <w:shd w:val="clear" w:color="auto" w:fill="auto"/>
              <w:snapToGrid w:val="0"/>
              <w:spacing w:before="120" w:beforeLines="50" w:after="50" w:line="360" w:lineRule="auto"/>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序号</w:t>
            </w:r>
          </w:p>
        </w:tc>
        <w:tc>
          <w:tcPr>
            <w:tcW w:w="2060" w:type="dxa"/>
            <w:tcBorders>
              <w:top w:val="single" w:color="auto" w:sz="4" w:space="0"/>
              <w:left w:val="single" w:color="auto" w:sz="4" w:space="0"/>
              <w:bottom w:val="single" w:color="auto" w:sz="4" w:space="0"/>
              <w:right w:val="single" w:color="auto" w:sz="4" w:space="0"/>
            </w:tcBorders>
            <w:vAlign w:val="center"/>
          </w:tcPr>
          <w:p w14:paraId="53B62612">
            <w:pPr>
              <w:shd w:val="clear" w:color="auto" w:fill="auto"/>
              <w:snapToGrid w:val="0"/>
              <w:spacing w:before="120" w:beforeLines="50" w:after="50" w:line="360" w:lineRule="auto"/>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姓名</w:t>
            </w:r>
          </w:p>
        </w:tc>
        <w:tc>
          <w:tcPr>
            <w:tcW w:w="2246" w:type="dxa"/>
            <w:tcBorders>
              <w:top w:val="single" w:color="auto" w:sz="4" w:space="0"/>
              <w:left w:val="single" w:color="auto" w:sz="4" w:space="0"/>
              <w:bottom w:val="single" w:color="auto" w:sz="4" w:space="0"/>
              <w:right w:val="single" w:color="auto" w:sz="4" w:space="0"/>
            </w:tcBorders>
            <w:vAlign w:val="center"/>
          </w:tcPr>
          <w:p w14:paraId="6F0E393D">
            <w:pPr>
              <w:shd w:val="clear" w:color="auto" w:fill="auto"/>
              <w:snapToGrid w:val="0"/>
              <w:spacing w:before="120" w:beforeLines="50" w:after="50" w:line="360" w:lineRule="auto"/>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职务</w:t>
            </w:r>
          </w:p>
        </w:tc>
        <w:tc>
          <w:tcPr>
            <w:tcW w:w="2432" w:type="dxa"/>
            <w:tcBorders>
              <w:top w:val="single" w:color="auto" w:sz="4" w:space="0"/>
              <w:left w:val="single" w:color="auto" w:sz="4" w:space="0"/>
              <w:bottom w:val="single" w:color="auto" w:sz="4" w:space="0"/>
              <w:right w:val="single" w:color="auto" w:sz="4" w:space="0"/>
            </w:tcBorders>
            <w:vAlign w:val="center"/>
          </w:tcPr>
          <w:p w14:paraId="5EFD2BAD">
            <w:pPr>
              <w:shd w:val="clear" w:color="auto" w:fill="auto"/>
              <w:snapToGrid w:val="0"/>
              <w:spacing w:before="120" w:beforeLines="50" w:after="50" w:line="360" w:lineRule="auto"/>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专业技术资格</w:t>
            </w:r>
          </w:p>
        </w:tc>
        <w:tc>
          <w:tcPr>
            <w:tcW w:w="2060" w:type="dxa"/>
            <w:tcBorders>
              <w:top w:val="single" w:color="auto" w:sz="4" w:space="0"/>
              <w:left w:val="single" w:color="auto" w:sz="4" w:space="0"/>
              <w:bottom w:val="single" w:color="auto" w:sz="4" w:space="0"/>
              <w:right w:val="single" w:color="auto" w:sz="4" w:space="0"/>
            </w:tcBorders>
            <w:vAlign w:val="center"/>
          </w:tcPr>
          <w:p w14:paraId="1019D1F6">
            <w:pPr>
              <w:shd w:val="clear" w:color="auto" w:fill="auto"/>
              <w:snapToGrid w:val="0"/>
              <w:spacing w:before="120" w:beforeLines="50" w:after="50" w:line="360" w:lineRule="auto"/>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证书编号</w:t>
            </w:r>
          </w:p>
        </w:tc>
      </w:tr>
      <w:tr w14:paraId="0F5A7C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4" w:hRule="atLeast"/>
        </w:trPr>
        <w:tc>
          <w:tcPr>
            <w:tcW w:w="1080" w:type="dxa"/>
            <w:tcBorders>
              <w:top w:val="single" w:color="auto" w:sz="4" w:space="0"/>
              <w:left w:val="single" w:color="auto" w:sz="4" w:space="0"/>
              <w:bottom w:val="single" w:color="auto" w:sz="4" w:space="0"/>
              <w:right w:val="single" w:color="auto" w:sz="4" w:space="0"/>
            </w:tcBorders>
          </w:tcPr>
          <w:p w14:paraId="3939DED8">
            <w:pPr>
              <w:shd w:val="clear" w:color="auto" w:fill="auto"/>
              <w:snapToGrid w:val="0"/>
              <w:spacing w:before="120" w:beforeLines="50" w:after="50" w:line="360" w:lineRule="auto"/>
              <w:rPr>
                <w:rFonts w:hint="eastAsia" w:ascii="宋体" w:hAnsi="宋体" w:eastAsia="宋体" w:cs="宋体"/>
                <w:color w:val="auto"/>
                <w:sz w:val="21"/>
                <w:szCs w:val="21"/>
                <w:shd w:val="clear" w:color="auto" w:fill="auto"/>
              </w:rPr>
            </w:pPr>
          </w:p>
        </w:tc>
        <w:tc>
          <w:tcPr>
            <w:tcW w:w="2060" w:type="dxa"/>
            <w:tcBorders>
              <w:top w:val="single" w:color="auto" w:sz="4" w:space="0"/>
              <w:left w:val="single" w:color="auto" w:sz="4" w:space="0"/>
              <w:bottom w:val="single" w:color="auto" w:sz="4" w:space="0"/>
              <w:right w:val="single" w:color="auto" w:sz="4" w:space="0"/>
            </w:tcBorders>
          </w:tcPr>
          <w:p w14:paraId="3BA3EF1A">
            <w:pPr>
              <w:shd w:val="clear" w:color="auto" w:fill="auto"/>
              <w:snapToGrid w:val="0"/>
              <w:spacing w:before="120" w:beforeLines="50" w:after="50" w:line="360" w:lineRule="auto"/>
              <w:rPr>
                <w:rFonts w:hint="eastAsia" w:ascii="宋体" w:hAnsi="宋体" w:eastAsia="宋体" w:cs="宋体"/>
                <w:color w:val="auto"/>
                <w:sz w:val="21"/>
                <w:szCs w:val="21"/>
                <w:shd w:val="clear" w:color="auto" w:fill="auto"/>
              </w:rPr>
            </w:pPr>
          </w:p>
        </w:tc>
        <w:tc>
          <w:tcPr>
            <w:tcW w:w="2246" w:type="dxa"/>
            <w:tcBorders>
              <w:top w:val="single" w:color="auto" w:sz="4" w:space="0"/>
              <w:left w:val="single" w:color="auto" w:sz="4" w:space="0"/>
              <w:bottom w:val="single" w:color="auto" w:sz="4" w:space="0"/>
              <w:right w:val="single" w:color="auto" w:sz="4" w:space="0"/>
            </w:tcBorders>
          </w:tcPr>
          <w:p w14:paraId="0EF1F685">
            <w:pPr>
              <w:shd w:val="clear" w:color="auto" w:fill="auto"/>
              <w:snapToGrid w:val="0"/>
              <w:spacing w:before="120" w:beforeLines="50" w:after="50" w:line="360" w:lineRule="auto"/>
              <w:rPr>
                <w:rFonts w:hint="eastAsia" w:ascii="宋体" w:hAnsi="宋体" w:eastAsia="宋体" w:cs="宋体"/>
                <w:color w:val="auto"/>
                <w:sz w:val="21"/>
                <w:szCs w:val="21"/>
                <w:shd w:val="clear" w:color="auto" w:fill="auto"/>
              </w:rPr>
            </w:pPr>
          </w:p>
        </w:tc>
        <w:tc>
          <w:tcPr>
            <w:tcW w:w="2432" w:type="dxa"/>
            <w:tcBorders>
              <w:top w:val="single" w:color="auto" w:sz="4" w:space="0"/>
              <w:left w:val="single" w:color="auto" w:sz="4" w:space="0"/>
              <w:bottom w:val="single" w:color="auto" w:sz="4" w:space="0"/>
              <w:right w:val="single" w:color="auto" w:sz="4" w:space="0"/>
            </w:tcBorders>
          </w:tcPr>
          <w:p w14:paraId="5C63282C">
            <w:pPr>
              <w:shd w:val="clear" w:color="auto" w:fill="auto"/>
              <w:snapToGrid w:val="0"/>
              <w:spacing w:before="120" w:beforeLines="50" w:after="50" w:line="360" w:lineRule="auto"/>
              <w:rPr>
                <w:rFonts w:hint="eastAsia" w:ascii="宋体" w:hAnsi="宋体" w:eastAsia="宋体" w:cs="宋体"/>
                <w:color w:val="auto"/>
                <w:sz w:val="21"/>
                <w:szCs w:val="21"/>
                <w:shd w:val="clear" w:color="auto" w:fill="auto"/>
              </w:rPr>
            </w:pPr>
          </w:p>
        </w:tc>
        <w:tc>
          <w:tcPr>
            <w:tcW w:w="2060" w:type="dxa"/>
            <w:tcBorders>
              <w:top w:val="single" w:color="auto" w:sz="4" w:space="0"/>
              <w:left w:val="single" w:color="auto" w:sz="4" w:space="0"/>
              <w:bottom w:val="single" w:color="auto" w:sz="4" w:space="0"/>
              <w:right w:val="single" w:color="auto" w:sz="4" w:space="0"/>
            </w:tcBorders>
          </w:tcPr>
          <w:p w14:paraId="777B5C98">
            <w:pPr>
              <w:shd w:val="clear" w:color="auto" w:fill="auto"/>
              <w:snapToGrid w:val="0"/>
              <w:spacing w:before="120" w:beforeLines="50" w:after="50" w:line="360" w:lineRule="auto"/>
              <w:rPr>
                <w:rFonts w:hint="eastAsia" w:ascii="宋体" w:hAnsi="宋体" w:eastAsia="宋体" w:cs="宋体"/>
                <w:color w:val="auto"/>
                <w:sz w:val="21"/>
                <w:szCs w:val="21"/>
                <w:shd w:val="clear" w:color="auto" w:fill="auto"/>
              </w:rPr>
            </w:pPr>
          </w:p>
        </w:tc>
      </w:tr>
      <w:tr w14:paraId="406398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4" w:hRule="atLeast"/>
        </w:trPr>
        <w:tc>
          <w:tcPr>
            <w:tcW w:w="1080" w:type="dxa"/>
            <w:tcBorders>
              <w:top w:val="single" w:color="auto" w:sz="4" w:space="0"/>
              <w:left w:val="single" w:color="auto" w:sz="4" w:space="0"/>
              <w:bottom w:val="single" w:color="auto" w:sz="4" w:space="0"/>
              <w:right w:val="single" w:color="auto" w:sz="4" w:space="0"/>
            </w:tcBorders>
          </w:tcPr>
          <w:p w14:paraId="76EE2CEB">
            <w:pPr>
              <w:shd w:val="clear" w:color="auto" w:fill="auto"/>
              <w:snapToGrid w:val="0"/>
              <w:spacing w:before="120" w:beforeLines="50" w:after="50" w:line="360" w:lineRule="auto"/>
              <w:rPr>
                <w:rFonts w:hint="eastAsia" w:ascii="宋体" w:hAnsi="宋体" w:eastAsia="宋体" w:cs="宋体"/>
                <w:color w:val="auto"/>
                <w:sz w:val="21"/>
                <w:szCs w:val="21"/>
                <w:shd w:val="clear" w:color="auto" w:fill="auto"/>
              </w:rPr>
            </w:pPr>
          </w:p>
        </w:tc>
        <w:tc>
          <w:tcPr>
            <w:tcW w:w="2060" w:type="dxa"/>
            <w:tcBorders>
              <w:top w:val="single" w:color="auto" w:sz="4" w:space="0"/>
              <w:left w:val="single" w:color="auto" w:sz="4" w:space="0"/>
              <w:bottom w:val="single" w:color="auto" w:sz="4" w:space="0"/>
              <w:right w:val="single" w:color="auto" w:sz="4" w:space="0"/>
            </w:tcBorders>
          </w:tcPr>
          <w:p w14:paraId="70BBF6C6">
            <w:pPr>
              <w:shd w:val="clear" w:color="auto" w:fill="auto"/>
              <w:snapToGrid w:val="0"/>
              <w:spacing w:before="120" w:beforeLines="50" w:after="50" w:line="360" w:lineRule="auto"/>
              <w:rPr>
                <w:rFonts w:hint="eastAsia" w:ascii="宋体" w:hAnsi="宋体" w:eastAsia="宋体" w:cs="宋体"/>
                <w:color w:val="auto"/>
                <w:sz w:val="21"/>
                <w:szCs w:val="21"/>
                <w:shd w:val="clear" w:color="auto" w:fill="auto"/>
              </w:rPr>
            </w:pPr>
          </w:p>
        </w:tc>
        <w:tc>
          <w:tcPr>
            <w:tcW w:w="2246" w:type="dxa"/>
            <w:tcBorders>
              <w:top w:val="single" w:color="auto" w:sz="4" w:space="0"/>
              <w:left w:val="single" w:color="auto" w:sz="4" w:space="0"/>
              <w:bottom w:val="single" w:color="auto" w:sz="4" w:space="0"/>
              <w:right w:val="single" w:color="auto" w:sz="4" w:space="0"/>
            </w:tcBorders>
          </w:tcPr>
          <w:p w14:paraId="787DF4A5">
            <w:pPr>
              <w:shd w:val="clear" w:color="auto" w:fill="auto"/>
              <w:snapToGrid w:val="0"/>
              <w:spacing w:before="120" w:beforeLines="50" w:after="50" w:line="360" w:lineRule="auto"/>
              <w:rPr>
                <w:rFonts w:hint="eastAsia" w:ascii="宋体" w:hAnsi="宋体" w:eastAsia="宋体" w:cs="宋体"/>
                <w:color w:val="auto"/>
                <w:sz w:val="21"/>
                <w:szCs w:val="21"/>
                <w:shd w:val="clear" w:color="auto" w:fill="auto"/>
              </w:rPr>
            </w:pPr>
          </w:p>
        </w:tc>
        <w:tc>
          <w:tcPr>
            <w:tcW w:w="2432" w:type="dxa"/>
            <w:tcBorders>
              <w:top w:val="single" w:color="auto" w:sz="4" w:space="0"/>
              <w:left w:val="single" w:color="auto" w:sz="4" w:space="0"/>
              <w:bottom w:val="single" w:color="auto" w:sz="4" w:space="0"/>
              <w:right w:val="single" w:color="auto" w:sz="4" w:space="0"/>
            </w:tcBorders>
          </w:tcPr>
          <w:p w14:paraId="4CF4B6B0">
            <w:pPr>
              <w:shd w:val="clear" w:color="auto" w:fill="auto"/>
              <w:snapToGrid w:val="0"/>
              <w:spacing w:before="120" w:beforeLines="50" w:after="50" w:line="360" w:lineRule="auto"/>
              <w:rPr>
                <w:rFonts w:hint="eastAsia" w:ascii="宋体" w:hAnsi="宋体" w:eastAsia="宋体" w:cs="宋体"/>
                <w:color w:val="auto"/>
                <w:sz w:val="21"/>
                <w:szCs w:val="21"/>
                <w:shd w:val="clear" w:color="auto" w:fill="auto"/>
              </w:rPr>
            </w:pPr>
          </w:p>
        </w:tc>
        <w:tc>
          <w:tcPr>
            <w:tcW w:w="2060" w:type="dxa"/>
            <w:tcBorders>
              <w:top w:val="single" w:color="auto" w:sz="4" w:space="0"/>
              <w:left w:val="single" w:color="auto" w:sz="4" w:space="0"/>
              <w:bottom w:val="single" w:color="auto" w:sz="4" w:space="0"/>
              <w:right w:val="single" w:color="auto" w:sz="4" w:space="0"/>
            </w:tcBorders>
          </w:tcPr>
          <w:p w14:paraId="26B0EB2B">
            <w:pPr>
              <w:shd w:val="clear" w:color="auto" w:fill="auto"/>
              <w:snapToGrid w:val="0"/>
              <w:spacing w:before="120" w:beforeLines="50" w:after="50" w:line="360" w:lineRule="auto"/>
              <w:rPr>
                <w:rFonts w:hint="eastAsia" w:ascii="宋体" w:hAnsi="宋体" w:eastAsia="宋体" w:cs="宋体"/>
                <w:color w:val="auto"/>
                <w:sz w:val="21"/>
                <w:szCs w:val="21"/>
                <w:shd w:val="clear" w:color="auto" w:fill="auto"/>
              </w:rPr>
            </w:pPr>
          </w:p>
        </w:tc>
      </w:tr>
      <w:tr w14:paraId="4D298F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4" w:hRule="atLeast"/>
        </w:trPr>
        <w:tc>
          <w:tcPr>
            <w:tcW w:w="1080" w:type="dxa"/>
            <w:tcBorders>
              <w:top w:val="single" w:color="auto" w:sz="4" w:space="0"/>
              <w:left w:val="single" w:color="auto" w:sz="4" w:space="0"/>
              <w:bottom w:val="single" w:color="auto" w:sz="4" w:space="0"/>
              <w:right w:val="single" w:color="auto" w:sz="4" w:space="0"/>
            </w:tcBorders>
          </w:tcPr>
          <w:p w14:paraId="38158311">
            <w:pPr>
              <w:shd w:val="clear" w:color="auto" w:fill="auto"/>
              <w:snapToGrid w:val="0"/>
              <w:spacing w:before="120" w:beforeLines="50" w:after="50" w:line="360" w:lineRule="auto"/>
              <w:rPr>
                <w:rFonts w:hint="eastAsia" w:ascii="宋体" w:hAnsi="宋体" w:eastAsia="宋体" w:cs="宋体"/>
                <w:color w:val="auto"/>
                <w:sz w:val="21"/>
                <w:szCs w:val="21"/>
                <w:shd w:val="clear" w:color="auto" w:fill="auto"/>
              </w:rPr>
            </w:pPr>
          </w:p>
        </w:tc>
        <w:tc>
          <w:tcPr>
            <w:tcW w:w="2060" w:type="dxa"/>
            <w:tcBorders>
              <w:top w:val="single" w:color="auto" w:sz="4" w:space="0"/>
              <w:left w:val="single" w:color="auto" w:sz="4" w:space="0"/>
              <w:bottom w:val="single" w:color="auto" w:sz="4" w:space="0"/>
              <w:right w:val="single" w:color="auto" w:sz="4" w:space="0"/>
            </w:tcBorders>
          </w:tcPr>
          <w:p w14:paraId="1B7497E6">
            <w:pPr>
              <w:shd w:val="clear" w:color="auto" w:fill="auto"/>
              <w:snapToGrid w:val="0"/>
              <w:spacing w:before="120" w:beforeLines="50" w:after="50" w:line="360" w:lineRule="auto"/>
              <w:rPr>
                <w:rFonts w:hint="eastAsia" w:ascii="宋体" w:hAnsi="宋体" w:eastAsia="宋体" w:cs="宋体"/>
                <w:color w:val="auto"/>
                <w:sz w:val="21"/>
                <w:szCs w:val="21"/>
                <w:shd w:val="clear" w:color="auto" w:fill="auto"/>
              </w:rPr>
            </w:pPr>
          </w:p>
        </w:tc>
        <w:tc>
          <w:tcPr>
            <w:tcW w:w="2246" w:type="dxa"/>
            <w:tcBorders>
              <w:top w:val="single" w:color="auto" w:sz="4" w:space="0"/>
              <w:left w:val="single" w:color="auto" w:sz="4" w:space="0"/>
              <w:bottom w:val="single" w:color="auto" w:sz="4" w:space="0"/>
              <w:right w:val="single" w:color="auto" w:sz="4" w:space="0"/>
            </w:tcBorders>
          </w:tcPr>
          <w:p w14:paraId="3B1A5787">
            <w:pPr>
              <w:shd w:val="clear" w:color="auto" w:fill="auto"/>
              <w:snapToGrid w:val="0"/>
              <w:spacing w:before="120" w:beforeLines="50" w:after="50" w:line="360" w:lineRule="auto"/>
              <w:rPr>
                <w:rFonts w:hint="eastAsia" w:ascii="宋体" w:hAnsi="宋体" w:eastAsia="宋体" w:cs="宋体"/>
                <w:color w:val="auto"/>
                <w:sz w:val="21"/>
                <w:szCs w:val="21"/>
                <w:shd w:val="clear" w:color="auto" w:fill="auto"/>
              </w:rPr>
            </w:pPr>
          </w:p>
        </w:tc>
        <w:tc>
          <w:tcPr>
            <w:tcW w:w="2432" w:type="dxa"/>
            <w:tcBorders>
              <w:top w:val="single" w:color="auto" w:sz="4" w:space="0"/>
              <w:left w:val="single" w:color="auto" w:sz="4" w:space="0"/>
              <w:bottom w:val="single" w:color="auto" w:sz="4" w:space="0"/>
              <w:right w:val="single" w:color="auto" w:sz="4" w:space="0"/>
            </w:tcBorders>
          </w:tcPr>
          <w:p w14:paraId="7DC38A59">
            <w:pPr>
              <w:pStyle w:val="32"/>
              <w:shd w:val="clear" w:color="auto" w:fill="auto"/>
              <w:snapToGrid w:val="0"/>
              <w:spacing w:before="120" w:beforeLines="50" w:after="50" w:line="360" w:lineRule="auto"/>
              <w:rPr>
                <w:rFonts w:hint="eastAsia" w:ascii="宋体" w:hAnsi="宋体" w:eastAsia="宋体" w:cs="宋体"/>
                <w:color w:val="auto"/>
                <w:kern w:val="2"/>
                <w:sz w:val="21"/>
                <w:szCs w:val="21"/>
                <w:shd w:val="clear" w:color="auto" w:fill="auto"/>
              </w:rPr>
            </w:pPr>
          </w:p>
        </w:tc>
        <w:tc>
          <w:tcPr>
            <w:tcW w:w="2060" w:type="dxa"/>
            <w:tcBorders>
              <w:top w:val="single" w:color="auto" w:sz="4" w:space="0"/>
              <w:left w:val="single" w:color="auto" w:sz="4" w:space="0"/>
              <w:bottom w:val="single" w:color="auto" w:sz="4" w:space="0"/>
              <w:right w:val="single" w:color="auto" w:sz="4" w:space="0"/>
            </w:tcBorders>
          </w:tcPr>
          <w:p w14:paraId="2B7275E1">
            <w:pPr>
              <w:shd w:val="clear" w:color="auto" w:fill="auto"/>
              <w:snapToGrid w:val="0"/>
              <w:spacing w:before="120" w:beforeLines="50" w:after="50" w:line="360" w:lineRule="auto"/>
              <w:rPr>
                <w:rFonts w:hint="eastAsia" w:ascii="宋体" w:hAnsi="宋体" w:eastAsia="宋体" w:cs="宋体"/>
                <w:color w:val="auto"/>
                <w:sz w:val="21"/>
                <w:szCs w:val="21"/>
                <w:shd w:val="clear" w:color="auto" w:fill="auto"/>
              </w:rPr>
            </w:pPr>
          </w:p>
        </w:tc>
      </w:tr>
      <w:tr w14:paraId="5F5DED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4" w:hRule="atLeast"/>
        </w:trPr>
        <w:tc>
          <w:tcPr>
            <w:tcW w:w="1080" w:type="dxa"/>
            <w:tcBorders>
              <w:top w:val="single" w:color="auto" w:sz="4" w:space="0"/>
              <w:left w:val="single" w:color="auto" w:sz="4" w:space="0"/>
              <w:bottom w:val="single" w:color="auto" w:sz="4" w:space="0"/>
              <w:right w:val="single" w:color="auto" w:sz="4" w:space="0"/>
            </w:tcBorders>
          </w:tcPr>
          <w:p w14:paraId="268B7E79">
            <w:pPr>
              <w:shd w:val="clear" w:color="auto" w:fill="auto"/>
              <w:snapToGrid w:val="0"/>
              <w:spacing w:before="120" w:beforeLines="50" w:after="50" w:line="360" w:lineRule="auto"/>
              <w:rPr>
                <w:rFonts w:hint="eastAsia" w:ascii="宋体" w:hAnsi="宋体" w:eastAsia="宋体" w:cs="宋体"/>
                <w:color w:val="auto"/>
                <w:sz w:val="21"/>
                <w:szCs w:val="21"/>
                <w:shd w:val="clear" w:color="auto" w:fill="auto"/>
              </w:rPr>
            </w:pPr>
          </w:p>
        </w:tc>
        <w:tc>
          <w:tcPr>
            <w:tcW w:w="2060" w:type="dxa"/>
            <w:tcBorders>
              <w:top w:val="single" w:color="auto" w:sz="4" w:space="0"/>
              <w:left w:val="single" w:color="auto" w:sz="4" w:space="0"/>
              <w:bottom w:val="single" w:color="auto" w:sz="4" w:space="0"/>
              <w:right w:val="single" w:color="auto" w:sz="4" w:space="0"/>
            </w:tcBorders>
          </w:tcPr>
          <w:p w14:paraId="30DFFF1A">
            <w:pPr>
              <w:shd w:val="clear" w:color="auto" w:fill="auto"/>
              <w:snapToGrid w:val="0"/>
              <w:spacing w:before="120" w:beforeLines="50" w:after="50" w:line="360" w:lineRule="auto"/>
              <w:rPr>
                <w:rFonts w:hint="eastAsia" w:ascii="宋体" w:hAnsi="宋体" w:eastAsia="宋体" w:cs="宋体"/>
                <w:color w:val="auto"/>
                <w:sz w:val="21"/>
                <w:szCs w:val="21"/>
                <w:shd w:val="clear" w:color="auto" w:fill="auto"/>
              </w:rPr>
            </w:pPr>
          </w:p>
        </w:tc>
        <w:tc>
          <w:tcPr>
            <w:tcW w:w="2246" w:type="dxa"/>
            <w:tcBorders>
              <w:top w:val="single" w:color="auto" w:sz="4" w:space="0"/>
              <w:left w:val="single" w:color="auto" w:sz="4" w:space="0"/>
              <w:bottom w:val="single" w:color="auto" w:sz="4" w:space="0"/>
              <w:right w:val="single" w:color="auto" w:sz="4" w:space="0"/>
            </w:tcBorders>
          </w:tcPr>
          <w:p w14:paraId="3B40D14B">
            <w:pPr>
              <w:shd w:val="clear" w:color="auto" w:fill="auto"/>
              <w:snapToGrid w:val="0"/>
              <w:spacing w:before="120" w:beforeLines="50" w:after="50" w:line="360" w:lineRule="auto"/>
              <w:rPr>
                <w:rFonts w:hint="eastAsia" w:ascii="宋体" w:hAnsi="宋体" w:eastAsia="宋体" w:cs="宋体"/>
                <w:color w:val="auto"/>
                <w:sz w:val="21"/>
                <w:szCs w:val="21"/>
                <w:shd w:val="clear" w:color="auto" w:fill="auto"/>
              </w:rPr>
            </w:pPr>
          </w:p>
        </w:tc>
        <w:tc>
          <w:tcPr>
            <w:tcW w:w="2432" w:type="dxa"/>
            <w:tcBorders>
              <w:top w:val="single" w:color="auto" w:sz="4" w:space="0"/>
              <w:left w:val="single" w:color="auto" w:sz="4" w:space="0"/>
              <w:bottom w:val="single" w:color="auto" w:sz="4" w:space="0"/>
              <w:right w:val="single" w:color="auto" w:sz="4" w:space="0"/>
            </w:tcBorders>
          </w:tcPr>
          <w:p w14:paraId="115174FB">
            <w:pPr>
              <w:shd w:val="clear" w:color="auto" w:fill="auto"/>
              <w:snapToGrid w:val="0"/>
              <w:spacing w:before="120" w:beforeLines="50" w:after="50" w:line="360" w:lineRule="auto"/>
              <w:rPr>
                <w:rFonts w:hint="eastAsia" w:ascii="宋体" w:hAnsi="宋体" w:eastAsia="宋体" w:cs="宋体"/>
                <w:color w:val="auto"/>
                <w:sz w:val="21"/>
                <w:szCs w:val="21"/>
                <w:shd w:val="clear" w:color="auto" w:fill="auto"/>
              </w:rPr>
            </w:pPr>
          </w:p>
        </w:tc>
        <w:tc>
          <w:tcPr>
            <w:tcW w:w="2060" w:type="dxa"/>
            <w:tcBorders>
              <w:top w:val="single" w:color="auto" w:sz="4" w:space="0"/>
              <w:left w:val="single" w:color="auto" w:sz="4" w:space="0"/>
              <w:bottom w:val="single" w:color="auto" w:sz="4" w:space="0"/>
              <w:right w:val="single" w:color="auto" w:sz="4" w:space="0"/>
            </w:tcBorders>
          </w:tcPr>
          <w:p w14:paraId="502C88D8">
            <w:pPr>
              <w:shd w:val="clear" w:color="auto" w:fill="auto"/>
              <w:snapToGrid w:val="0"/>
              <w:spacing w:before="120" w:beforeLines="50" w:after="50" w:line="360" w:lineRule="auto"/>
              <w:rPr>
                <w:rFonts w:hint="eastAsia" w:ascii="宋体" w:hAnsi="宋体" w:eastAsia="宋体" w:cs="宋体"/>
                <w:color w:val="auto"/>
                <w:sz w:val="21"/>
                <w:szCs w:val="21"/>
                <w:shd w:val="clear" w:color="auto" w:fill="auto"/>
              </w:rPr>
            </w:pPr>
          </w:p>
        </w:tc>
      </w:tr>
      <w:tr w14:paraId="64D312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4" w:hRule="atLeast"/>
        </w:trPr>
        <w:tc>
          <w:tcPr>
            <w:tcW w:w="1080" w:type="dxa"/>
            <w:tcBorders>
              <w:top w:val="single" w:color="auto" w:sz="4" w:space="0"/>
              <w:left w:val="single" w:color="auto" w:sz="4" w:space="0"/>
              <w:bottom w:val="single" w:color="auto" w:sz="4" w:space="0"/>
              <w:right w:val="single" w:color="auto" w:sz="4" w:space="0"/>
            </w:tcBorders>
          </w:tcPr>
          <w:p w14:paraId="4753B8C4">
            <w:pPr>
              <w:shd w:val="clear" w:color="auto" w:fill="auto"/>
              <w:snapToGrid w:val="0"/>
              <w:spacing w:before="120" w:beforeLines="50" w:after="50" w:line="360" w:lineRule="auto"/>
              <w:rPr>
                <w:rFonts w:hint="eastAsia" w:ascii="宋体" w:hAnsi="宋体" w:eastAsia="宋体" w:cs="宋体"/>
                <w:color w:val="auto"/>
                <w:sz w:val="21"/>
                <w:szCs w:val="21"/>
                <w:shd w:val="clear" w:color="auto" w:fill="auto"/>
              </w:rPr>
            </w:pPr>
          </w:p>
        </w:tc>
        <w:tc>
          <w:tcPr>
            <w:tcW w:w="2060" w:type="dxa"/>
            <w:tcBorders>
              <w:top w:val="single" w:color="auto" w:sz="4" w:space="0"/>
              <w:left w:val="single" w:color="auto" w:sz="4" w:space="0"/>
              <w:bottom w:val="single" w:color="auto" w:sz="4" w:space="0"/>
              <w:right w:val="single" w:color="auto" w:sz="4" w:space="0"/>
            </w:tcBorders>
          </w:tcPr>
          <w:p w14:paraId="7E7DD4F0">
            <w:pPr>
              <w:shd w:val="clear" w:color="auto" w:fill="auto"/>
              <w:snapToGrid w:val="0"/>
              <w:spacing w:before="120" w:beforeLines="50" w:after="50" w:line="360" w:lineRule="auto"/>
              <w:rPr>
                <w:rFonts w:hint="eastAsia" w:ascii="宋体" w:hAnsi="宋体" w:eastAsia="宋体" w:cs="宋体"/>
                <w:color w:val="auto"/>
                <w:sz w:val="21"/>
                <w:szCs w:val="21"/>
                <w:shd w:val="clear" w:color="auto" w:fill="auto"/>
              </w:rPr>
            </w:pPr>
          </w:p>
        </w:tc>
        <w:tc>
          <w:tcPr>
            <w:tcW w:w="2246" w:type="dxa"/>
            <w:tcBorders>
              <w:top w:val="single" w:color="auto" w:sz="4" w:space="0"/>
              <w:left w:val="single" w:color="auto" w:sz="4" w:space="0"/>
              <w:bottom w:val="single" w:color="auto" w:sz="4" w:space="0"/>
              <w:right w:val="single" w:color="auto" w:sz="4" w:space="0"/>
            </w:tcBorders>
          </w:tcPr>
          <w:p w14:paraId="5539B7C7">
            <w:pPr>
              <w:shd w:val="clear" w:color="auto" w:fill="auto"/>
              <w:snapToGrid w:val="0"/>
              <w:spacing w:before="120" w:beforeLines="50" w:after="50" w:line="360" w:lineRule="auto"/>
              <w:rPr>
                <w:rFonts w:hint="eastAsia" w:ascii="宋体" w:hAnsi="宋体" w:eastAsia="宋体" w:cs="宋体"/>
                <w:color w:val="auto"/>
                <w:sz w:val="21"/>
                <w:szCs w:val="21"/>
                <w:shd w:val="clear" w:color="auto" w:fill="auto"/>
              </w:rPr>
            </w:pPr>
          </w:p>
        </w:tc>
        <w:tc>
          <w:tcPr>
            <w:tcW w:w="2432" w:type="dxa"/>
            <w:tcBorders>
              <w:top w:val="single" w:color="auto" w:sz="4" w:space="0"/>
              <w:left w:val="single" w:color="auto" w:sz="4" w:space="0"/>
              <w:bottom w:val="single" w:color="auto" w:sz="4" w:space="0"/>
              <w:right w:val="single" w:color="auto" w:sz="4" w:space="0"/>
            </w:tcBorders>
          </w:tcPr>
          <w:p w14:paraId="6F7AFAA6">
            <w:pPr>
              <w:shd w:val="clear" w:color="auto" w:fill="auto"/>
              <w:snapToGrid w:val="0"/>
              <w:spacing w:before="120" w:beforeLines="50" w:after="50" w:line="360" w:lineRule="auto"/>
              <w:rPr>
                <w:rFonts w:hint="eastAsia" w:ascii="宋体" w:hAnsi="宋体" w:eastAsia="宋体" w:cs="宋体"/>
                <w:color w:val="auto"/>
                <w:sz w:val="21"/>
                <w:szCs w:val="21"/>
                <w:shd w:val="clear" w:color="auto" w:fill="auto"/>
              </w:rPr>
            </w:pPr>
          </w:p>
        </w:tc>
        <w:tc>
          <w:tcPr>
            <w:tcW w:w="2060" w:type="dxa"/>
            <w:tcBorders>
              <w:top w:val="single" w:color="auto" w:sz="4" w:space="0"/>
              <w:left w:val="single" w:color="auto" w:sz="4" w:space="0"/>
              <w:bottom w:val="single" w:color="auto" w:sz="4" w:space="0"/>
              <w:right w:val="single" w:color="auto" w:sz="4" w:space="0"/>
            </w:tcBorders>
          </w:tcPr>
          <w:p w14:paraId="17F2FAE5">
            <w:pPr>
              <w:shd w:val="clear" w:color="auto" w:fill="auto"/>
              <w:snapToGrid w:val="0"/>
              <w:spacing w:before="120" w:beforeLines="50" w:after="50" w:line="360" w:lineRule="auto"/>
              <w:rPr>
                <w:rFonts w:hint="eastAsia" w:ascii="宋体" w:hAnsi="宋体" w:eastAsia="宋体" w:cs="宋体"/>
                <w:color w:val="auto"/>
                <w:sz w:val="21"/>
                <w:szCs w:val="21"/>
                <w:shd w:val="clear" w:color="auto" w:fill="auto"/>
              </w:rPr>
            </w:pPr>
          </w:p>
        </w:tc>
      </w:tr>
      <w:tr w14:paraId="39622D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4" w:hRule="atLeast"/>
        </w:trPr>
        <w:tc>
          <w:tcPr>
            <w:tcW w:w="1080" w:type="dxa"/>
            <w:tcBorders>
              <w:top w:val="single" w:color="auto" w:sz="4" w:space="0"/>
              <w:left w:val="single" w:color="auto" w:sz="4" w:space="0"/>
              <w:bottom w:val="single" w:color="auto" w:sz="4" w:space="0"/>
              <w:right w:val="single" w:color="auto" w:sz="4" w:space="0"/>
            </w:tcBorders>
          </w:tcPr>
          <w:p w14:paraId="59CA6D99">
            <w:pPr>
              <w:shd w:val="clear" w:color="auto" w:fill="auto"/>
              <w:snapToGrid w:val="0"/>
              <w:spacing w:before="120" w:beforeLines="50" w:after="50" w:line="360" w:lineRule="auto"/>
              <w:rPr>
                <w:rFonts w:hint="eastAsia" w:ascii="宋体" w:hAnsi="宋体" w:eastAsia="宋体" w:cs="宋体"/>
                <w:color w:val="auto"/>
                <w:sz w:val="21"/>
                <w:szCs w:val="21"/>
                <w:shd w:val="clear" w:color="auto" w:fill="auto"/>
              </w:rPr>
            </w:pPr>
          </w:p>
        </w:tc>
        <w:tc>
          <w:tcPr>
            <w:tcW w:w="2060" w:type="dxa"/>
            <w:tcBorders>
              <w:top w:val="single" w:color="auto" w:sz="4" w:space="0"/>
              <w:left w:val="single" w:color="auto" w:sz="4" w:space="0"/>
              <w:bottom w:val="single" w:color="auto" w:sz="4" w:space="0"/>
              <w:right w:val="single" w:color="auto" w:sz="4" w:space="0"/>
            </w:tcBorders>
          </w:tcPr>
          <w:p w14:paraId="479140AC">
            <w:pPr>
              <w:shd w:val="clear" w:color="auto" w:fill="auto"/>
              <w:snapToGrid w:val="0"/>
              <w:spacing w:before="120" w:beforeLines="50" w:after="50" w:line="360" w:lineRule="auto"/>
              <w:rPr>
                <w:rFonts w:hint="eastAsia" w:ascii="宋体" w:hAnsi="宋体" w:eastAsia="宋体" w:cs="宋体"/>
                <w:color w:val="auto"/>
                <w:sz w:val="21"/>
                <w:szCs w:val="21"/>
                <w:shd w:val="clear" w:color="auto" w:fill="auto"/>
              </w:rPr>
            </w:pPr>
          </w:p>
        </w:tc>
        <w:tc>
          <w:tcPr>
            <w:tcW w:w="2246" w:type="dxa"/>
            <w:tcBorders>
              <w:top w:val="single" w:color="auto" w:sz="4" w:space="0"/>
              <w:left w:val="single" w:color="auto" w:sz="4" w:space="0"/>
              <w:bottom w:val="single" w:color="auto" w:sz="4" w:space="0"/>
              <w:right w:val="single" w:color="auto" w:sz="4" w:space="0"/>
            </w:tcBorders>
          </w:tcPr>
          <w:p w14:paraId="3D28CC49">
            <w:pPr>
              <w:shd w:val="clear" w:color="auto" w:fill="auto"/>
              <w:snapToGrid w:val="0"/>
              <w:spacing w:before="120" w:beforeLines="50" w:after="50" w:line="360" w:lineRule="auto"/>
              <w:rPr>
                <w:rFonts w:hint="eastAsia" w:ascii="宋体" w:hAnsi="宋体" w:eastAsia="宋体" w:cs="宋体"/>
                <w:color w:val="auto"/>
                <w:sz w:val="21"/>
                <w:szCs w:val="21"/>
                <w:shd w:val="clear" w:color="auto" w:fill="auto"/>
              </w:rPr>
            </w:pPr>
          </w:p>
        </w:tc>
        <w:tc>
          <w:tcPr>
            <w:tcW w:w="2432" w:type="dxa"/>
            <w:tcBorders>
              <w:top w:val="single" w:color="auto" w:sz="4" w:space="0"/>
              <w:left w:val="single" w:color="auto" w:sz="4" w:space="0"/>
              <w:bottom w:val="single" w:color="auto" w:sz="4" w:space="0"/>
              <w:right w:val="single" w:color="auto" w:sz="4" w:space="0"/>
            </w:tcBorders>
          </w:tcPr>
          <w:p w14:paraId="28E92606">
            <w:pPr>
              <w:shd w:val="clear" w:color="auto" w:fill="auto"/>
              <w:snapToGrid w:val="0"/>
              <w:spacing w:before="120" w:beforeLines="50" w:after="50" w:line="360" w:lineRule="auto"/>
              <w:rPr>
                <w:rFonts w:hint="eastAsia" w:ascii="宋体" w:hAnsi="宋体" w:eastAsia="宋体" w:cs="宋体"/>
                <w:color w:val="auto"/>
                <w:sz w:val="21"/>
                <w:szCs w:val="21"/>
                <w:shd w:val="clear" w:color="auto" w:fill="auto"/>
              </w:rPr>
            </w:pPr>
          </w:p>
        </w:tc>
        <w:tc>
          <w:tcPr>
            <w:tcW w:w="2060" w:type="dxa"/>
            <w:tcBorders>
              <w:top w:val="single" w:color="auto" w:sz="4" w:space="0"/>
              <w:left w:val="single" w:color="auto" w:sz="4" w:space="0"/>
              <w:bottom w:val="single" w:color="auto" w:sz="4" w:space="0"/>
              <w:right w:val="single" w:color="auto" w:sz="4" w:space="0"/>
            </w:tcBorders>
          </w:tcPr>
          <w:p w14:paraId="71A9D90F">
            <w:pPr>
              <w:shd w:val="clear" w:color="auto" w:fill="auto"/>
              <w:snapToGrid w:val="0"/>
              <w:spacing w:before="120" w:beforeLines="50" w:after="50" w:line="360" w:lineRule="auto"/>
              <w:rPr>
                <w:rFonts w:hint="eastAsia" w:ascii="宋体" w:hAnsi="宋体" w:eastAsia="宋体" w:cs="宋体"/>
                <w:color w:val="auto"/>
                <w:sz w:val="21"/>
                <w:szCs w:val="21"/>
                <w:shd w:val="clear" w:color="auto" w:fill="auto"/>
              </w:rPr>
            </w:pPr>
          </w:p>
        </w:tc>
      </w:tr>
      <w:tr w14:paraId="51B162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4" w:hRule="atLeast"/>
        </w:trPr>
        <w:tc>
          <w:tcPr>
            <w:tcW w:w="1080" w:type="dxa"/>
            <w:tcBorders>
              <w:top w:val="single" w:color="auto" w:sz="4" w:space="0"/>
              <w:left w:val="single" w:color="auto" w:sz="4" w:space="0"/>
              <w:bottom w:val="single" w:color="auto" w:sz="4" w:space="0"/>
              <w:right w:val="single" w:color="auto" w:sz="4" w:space="0"/>
            </w:tcBorders>
          </w:tcPr>
          <w:p w14:paraId="3E9DC06F">
            <w:pPr>
              <w:shd w:val="clear" w:color="auto" w:fill="auto"/>
              <w:snapToGrid w:val="0"/>
              <w:spacing w:before="120" w:beforeLines="50" w:after="50" w:line="360" w:lineRule="auto"/>
              <w:rPr>
                <w:rFonts w:hint="eastAsia" w:ascii="宋体" w:hAnsi="宋体" w:eastAsia="宋体" w:cs="宋体"/>
                <w:color w:val="auto"/>
                <w:sz w:val="21"/>
                <w:szCs w:val="21"/>
                <w:shd w:val="clear" w:color="auto" w:fill="auto"/>
              </w:rPr>
            </w:pPr>
          </w:p>
        </w:tc>
        <w:tc>
          <w:tcPr>
            <w:tcW w:w="2060" w:type="dxa"/>
            <w:tcBorders>
              <w:top w:val="single" w:color="auto" w:sz="4" w:space="0"/>
              <w:left w:val="single" w:color="auto" w:sz="4" w:space="0"/>
              <w:bottom w:val="single" w:color="auto" w:sz="4" w:space="0"/>
              <w:right w:val="single" w:color="auto" w:sz="4" w:space="0"/>
            </w:tcBorders>
          </w:tcPr>
          <w:p w14:paraId="3806EB1A">
            <w:pPr>
              <w:shd w:val="clear" w:color="auto" w:fill="auto"/>
              <w:snapToGrid w:val="0"/>
              <w:spacing w:before="120" w:beforeLines="50" w:after="50" w:line="360" w:lineRule="auto"/>
              <w:rPr>
                <w:rFonts w:hint="eastAsia" w:ascii="宋体" w:hAnsi="宋体" w:eastAsia="宋体" w:cs="宋体"/>
                <w:color w:val="auto"/>
                <w:sz w:val="21"/>
                <w:szCs w:val="21"/>
                <w:shd w:val="clear" w:color="auto" w:fill="auto"/>
              </w:rPr>
            </w:pPr>
          </w:p>
        </w:tc>
        <w:tc>
          <w:tcPr>
            <w:tcW w:w="2246" w:type="dxa"/>
            <w:tcBorders>
              <w:top w:val="single" w:color="auto" w:sz="4" w:space="0"/>
              <w:left w:val="single" w:color="auto" w:sz="4" w:space="0"/>
              <w:bottom w:val="single" w:color="auto" w:sz="4" w:space="0"/>
              <w:right w:val="single" w:color="auto" w:sz="4" w:space="0"/>
            </w:tcBorders>
          </w:tcPr>
          <w:p w14:paraId="3EA956E7">
            <w:pPr>
              <w:shd w:val="clear" w:color="auto" w:fill="auto"/>
              <w:snapToGrid w:val="0"/>
              <w:spacing w:before="120" w:beforeLines="50" w:after="50" w:line="360" w:lineRule="auto"/>
              <w:rPr>
                <w:rFonts w:hint="eastAsia" w:ascii="宋体" w:hAnsi="宋体" w:eastAsia="宋体" w:cs="宋体"/>
                <w:color w:val="auto"/>
                <w:sz w:val="21"/>
                <w:szCs w:val="21"/>
                <w:shd w:val="clear" w:color="auto" w:fill="auto"/>
              </w:rPr>
            </w:pPr>
          </w:p>
        </w:tc>
        <w:tc>
          <w:tcPr>
            <w:tcW w:w="2432" w:type="dxa"/>
            <w:tcBorders>
              <w:top w:val="single" w:color="auto" w:sz="4" w:space="0"/>
              <w:left w:val="single" w:color="auto" w:sz="4" w:space="0"/>
              <w:bottom w:val="single" w:color="auto" w:sz="4" w:space="0"/>
              <w:right w:val="single" w:color="auto" w:sz="4" w:space="0"/>
            </w:tcBorders>
          </w:tcPr>
          <w:p w14:paraId="03FEECDB">
            <w:pPr>
              <w:shd w:val="clear" w:color="auto" w:fill="auto"/>
              <w:snapToGrid w:val="0"/>
              <w:spacing w:before="120" w:beforeLines="50" w:after="50" w:line="360" w:lineRule="auto"/>
              <w:rPr>
                <w:rFonts w:hint="eastAsia" w:ascii="宋体" w:hAnsi="宋体" w:eastAsia="宋体" w:cs="宋体"/>
                <w:color w:val="auto"/>
                <w:sz w:val="21"/>
                <w:szCs w:val="21"/>
                <w:shd w:val="clear" w:color="auto" w:fill="auto"/>
              </w:rPr>
            </w:pPr>
          </w:p>
        </w:tc>
        <w:tc>
          <w:tcPr>
            <w:tcW w:w="2060" w:type="dxa"/>
            <w:tcBorders>
              <w:top w:val="single" w:color="auto" w:sz="4" w:space="0"/>
              <w:left w:val="single" w:color="auto" w:sz="4" w:space="0"/>
              <w:bottom w:val="single" w:color="auto" w:sz="4" w:space="0"/>
              <w:right w:val="single" w:color="auto" w:sz="4" w:space="0"/>
            </w:tcBorders>
          </w:tcPr>
          <w:p w14:paraId="668348A0">
            <w:pPr>
              <w:shd w:val="clear" w:color="auto" w:fill="auto"/>
              <w:snapToGrid w:val="0"/>
              <w:spacing w:before="120" w:beforeLines="50" w:after="50" w:line="360" w:lineRule="auto"/>
              <w:rPr>
                <w:rFonts w:hint="eastAsia" w:ascii="宋体" w:hAnsi="宋体" w:eastAsia="宋体" w:cs="宋体"/>
                <w:color w:val="auto"/>
                <w:sz w:val="21"/>
                <w:szCs w:val="21"/>
                <w:shd w:val="clear" w:color="auto" w:fill="auto"/>
              </w:rPr>
            </w:pPr>
          </w:p>
        </w:tc>
      </w:tr>
      <w:tr w14:paraId="3CFF68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4" w:hRule="atLeast"/>
        </w:trPr>
        <w:tc>
          <w:tcPr>
            <w:tcW w:w="1080" w:type="dxa"/>
            <w:tcBorders>
              <w:top w:val="single" w:color="auto" w:sz="4" w:space="0"/>
              <w:left w:val="single" w:color="auto" w:sz="4" w:space="0"/>
              <w:bottom w:val="single" w:color="auto" w:sz="4" w:space="0"/>
              <w:right w:val="single" w:color="auto" w:sz="4" w:space="0"/>
            </w:tcBorders>
          </w:tcPr>
          <w:p w14:paraId="782DE104">
            <w:pPr>
              <w:shd w:val="clear" w:color="auto" w:fill="auto"/>
              <w:snapToGrid w:val="0"/>
              <w:spacing w:before="120" w:beforeLines="50" w:after="50" w:line="360" w:lineRule="auto"/>
              <w:rPr>
                <w:rFonts w:hint="eastAsia" w:ascii="宋体" w:hAnsi="宋体" w:eastAsia="宋体" w:cs="宋体"/>
                <w:color w:val="auto"/>
                <w:sz w:val="21"/>
                <w:szCs w:val="21"/>
                <w:shd w:val="clear" w:color="auto" w:fill="auto"/>
              </w:rPr>
            </w:pPr>
          </w:p>
        </w:tc>
        <w:tc>
          <w:tcPr>
            <w:tcW w:w="2060" w:type="dxa"/>
            <w:tcBorders>
              <w:top w:val="single" w:color="auto" w:sz="4" w:space="0"/>
              <w:left w:val="single" w:color="auto" w:sz="4" w:space="0"/>
              <w:bottom w:val="single" w:color="auto" w:sz="4" w:space="0"/>
              <w:right w:val="single" w:color="auto" w:sz="4" w:space="0"/>
            </w:tcBorders>
          </w:tcPr>
          <w:p w14:paraId="4B1525D0">
            <w:pPr>
              <w:shd w:val="clear" w:color="auto" w:fill="auto"/>
              <w:snapToGrid w:val="0"/>
              <w:spacing w:before="120" w:beforeLines="50" w:after="50" w:line="360" w:lineRule="auto"/>
              <w:rPr>
                <w:rFonts w:hint="eastAsia" w:ascii="宋体" w:hAnsi="宋体" w:eastAsia="宋体" w:cs="宋体"/>
                <w:color w:val="auto"/>
                <w:sz w:val="21"/>
                <w:szCs w:val="21"/>
                <w:shd w:val="clear" w:color="auto" w:fill="auto"/>
              </w:rPr>
            </w:pPr>
          </w:p>
        </w:tc>
        <w:tc>
          <w:tcPr>
            <w:tcW w:w="2246" w:type="dxa"/>
            <w:tcBorders>
              <w:top w:val="single" w:color="auto" w:sz="4" w:space="0"/>
              <w:left w:val="single" w:color="auto" w:sz="4" w:space="0"/>
              <w:bottom w:val="single" w:color="auto" w:sz="4" w:space="0"/>
              <w:right w:val="single" w:color="auto" w:sz="4" w:space="0"/>
            </w:tcBorders>
          </w:tcPr>
          <w:p w14:paraId="03146C7E">
            <w:pPr>
              <w:shd w:val="clear" w:color="auto" w:fill="auto"/>
              <w:snapToGrid w:val="0"/>
              <w:spacing w:before="120" w:beforeLines="50" w:after="50" w:line="360" w:lineRule="auto"/>
              <w:rPr>
                <w:rFonts w:hint="eastAsia" w:ascii="宋体" w:hAnsi="宋体" w:eastAsia="宋体" w:cs="宋体"/>
                <w:color w:val="auto"/>
                <w:sz w:val="21"/>
                <w:szCs w:val="21"/>
                <w:shd w:val="clear" w:color="auto" w:fill="auto"/>
              </w:rPr>
            </w:pPr>
          </w:p>
        </w:tc>
        <w:tc>
          <w:tcPr>
            <w:tcW w:w="2432" w:type="dxa"/>
            <w:tcBorders>
              <w:top w:val="single" w:color="auto" w:sz="4" w:space="0"/>
              <w:left w:val="single" w:color="auto" w:sz="4" w:space="0"/>
              <w:bottom w:val="single" w:color="auto" w:sz="4" w:space="0"/>
              <w:right w:val="single" w:color="auto" w:sz="4" w:space="0"/>
            </w:tcBorders>
          </w:tcPr>
          <w:p w14:paraId="79212A77">
            <w:pPr>
              <w:shd w:val="clear" w:color="auto" w:fill="auto"/>
              <w:snapToGrid w:val="0"/>
              <w:spacing w:before="120" w:beforeLines="50" w:after="50" w:line="360" w:lineRule="auto"/>
              <w:rPr>
                <w:rFonts w:hint="eastAsia" w:ascii="宋体" w:hAnsi="宋体" w:eastAsia="宋体" w:cs="宋体"/>
                <w:color w:val="auto"/>
                <w:sz w:val="21"/>
                <w:szCs w:val="21"/>
                <w:shd w:val="clear" w:color="auto" w:fill="auto"/>
              </w:rPr>
            </w:pPr>
          </w:p>
        </w:tc>
        <w:tc>
          <w:tcPr>
            <w:tcW w:w="2060" w:type="dxa"/>
            <w:tcBorders>
              <w:top w:val="single" w:color="auto" w:sz="4" w:space="0"/>
              <w:left w:val="single" w:color="auto" w:sz="4" w:space="0"/>
              <w:bottom w:val="single" w:color="auto" w:sz="4" w:space="0"/>
              <w:right w:val="single" w:color="auto" w:sz="4" w:space="0"/>
            </w:tcBorders>
          </w:tcPr>
          <w:p w14:paraId="50295355">
            <w:pPr>
              <w:shd w:val="clear" w:color="auto" w:fill="auto"/>
              <w:snapToGrid w:val="0"/>
              <w:spacing w:before="120" w:beforeLines="50" w:after="50" w:line="360" w:lineRule="auto"/>
              <w:rPr>
                <w:rFonts w:hint="eastAsia" w:ascii="宋体" w:hAnsi="宋体" w:eastAsia="宋体" w:cs="宋体"/>
                <w:color w:val="auto"/>
                <w:sz w:val="21"/>
                <w:szCs w:val="21"/>
                <w:shd w:val="clear" w:color="auto" w:fill="auto"/>
              </w:rPr>
            </w:pPr>
          </w:p>
        </w:tc>
      </w:tr>
      <w:tr w14:paraId="3C3F38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4" w:hRule="atLeast"/>
        </w:trPr>
        <w:tc>
          <w:tcPr>
            <w:tcW w:w="1080" w:type="dxa"/>
            <w:tcBorders>
              <w:top w:val="single" w:color="auto" w:sz="4" w:space="0"/>
              <w:left w:val="single" w:color="auto" w:sz="4" w:space="0"/>
              <w:bottom w:val="single" w:color="auto" w:sz="4" w:space="0"/>
              <w:right w:val="single" w:color="auto" w:sz="4" w:space="0"/>
            </w:tcBorders>
          </w:tcPr>
          <w:p w14:paraId="41DF72F3">
            <w:pPr>
              <w:shd w:val="clear" w:color="auto" w:fill="auto"/>
              <w:snapToGrid w:val="0"/>
              <w:spacing w:before="120" w:beforeLines="50" w:after="50" w:line="360" w:lineRule="auto"/>
              <w:rPr>
                <w:rFonts w:hint="eastAsia" w:ascii="宋体" w:hAnsi="宋体" w:eastAsia="宋体" w:cs="宋体"/>
                <w:color w:val="auto"/>
                <w:sz w:val="21"/>
                <w:szCs w:val="21"/>
                <w:shd w:val="clear" w:color="auto" w:fill="auto"/>
              </w:rPr>
            </w:pPr>
          </w:p>
        </w:tc>
        <w:tc>
          <w:tcPr>
            <w:tcW w:w="2060" w:type="dxa"/>
            <w:tcBorders>
              <w:top w:val="single" w:color="auto" w:sz="4" w:space="0"/>
              <w:left w:val="single" w:color="auto" w:sz="4" w:space="0"/>
              <w:bottom w:val="single" w:color="auto" w:sz="4" w:space="0"/>
              <w:right w:val="single" w:color="auto" w:sz="4" w:space="0"/>
            </w:tcBorders>
          </w:tcPr>
          <w:p w14:paraId="33857F15">
            <w:pPr>
              <w:shd w:val="clear" w:color="auto" w:fill="auto"/>
              <w:snapToGrid w:val="0"/>
              <w:spacing w:before="120" w:beforeLines="50" w:after="50" w:line="360" w:lineRule="auto"/>
              <w:rPr>
                <w:rFonts w:hint="eastAsia" w:ascii="宋体" w:hAnsi="宋体" w:eastAsia="宋体" w:cs="宋体"/>
                <w:color w:val="auto"/>
                <w:sz w:val="21"/>
                <w:szCs w:val="21"/>
                <w:shd w:val="clear" w:color="auto" w:fill="auto"/>
              </w:rPr>
            </w:pPr>
          </w:p>
        </w:tc>
        <w:tc>
          <w:tcPr>
            <w:tcW w:w="2246" w:type="dxa"/>
            <w:tcBorders>
              <w:top w:val="single" w:color="auto" w:sz="4" w:space="0"/>
              <w:left w:val="single" w:color="auto" w:sz="4" w:space="0"/>
              <w:bottom w:val="single" w:color="auto" w:sz="4" w:space="0"/>
              <w:right w:val="single" w:color="auto" w:sz="4" w:space="0"/>
            </w:tcBorders>
          </w:tcPr>
          <w:p w14:paraId="49B5D735">
            <w:pPr>
              <w:shd w:val="clear" w:color="auto" w:fill="auto"/>
              <w:snapToGrid w:val="0"/>
              <w:spacing w:before="120" w:beforeLines="50" w:after="50" w:line="360" w:lineRule="auto"/>
              <w:rPr>
                <w:rFonts w:hint="eastAsia" w:ascii="宋体" w:hAnsi="宋体" w:eastAsia="宋体" w:cs="宋体"/>
                <w:color w:val="auto"/>
                <w:sz w:val="21"/>
                <w:szCs w:val="21"/>
                <w:shd w:val="clear" w:color="auto" w:fill="auto"/>
              </w:rPr>
            </w:pPr>
          </w:p>
        </w:tc>
        <w:tc>
          <w:tcPr>
            <w:tcW w:w="2432" w:type="dxa"/>
            <w:tcBorders>
              <w:top w:val="single" w:color="auto" w:sz="4" w:space="0"/>
              <w:left w:val="single" w:color="auto" w:sz="4" w:space="0"/>
              <w:bottom w:val="single" w:color="auto" w:sz="4" w:space="0"/>
              <w:right w:val="single" w:color="auto" w:sz="4" w:space="0"/>
            </w:tcBorders>
          </w:tcPr>
          <w:p w14:paraId="122AD5CE">
            <w:pPr>
              <w:shd w:val="clear" w:color="auto" w:fill="auto"/>
              <w:snapToGrid w:val="0"/>
              <w:spacing w:before="120" w:beforeLines="50" w:after="50" w:line="360" w:lineRule="auto"/>
              <w:rPr>
                <w:rFonts w:hint="eastAsia" w:ascii="宋体" w:hAnsi="宋体" w:eastAsia="宋体" w:cs="宋体"/>
                <w:color w:val="auto"/>
                <w:sz w:val="21"/>
                <w:szCs w:val="21"/>
                <w:shd w:val="clear" w:color="auto" w:fill="auto"/>
              </w:rPr>
            </w:pPr>
          </w:p>
        </w:tc>
        <w:tc>
          <w:tcPr>
            <w:tcW w:w="2060" w:type="dxa"/>
            <w:tcBorders>
              <w:top w:val="single" w:color="auto" w:sz="4" w:space="0"/>
              <w:left w:val="single" w:color="auto" w:sz="4" w:space="0"/>
              <w:bottom w:val="single" w:color="auto" w:sz="4" w:space="0"/>
              <w:right w:val="single" w:color="auto" w:sz="4" w:space="0"/>
            </w:tcBorders>
          </w:tcPr>
          <w:p w14:paraId="7D175EDC">
            <w:pPr>
              <w:shd w:val="clear" w:color="auto" w:fill="auto"/>
              <w:snapToGrid w:val="0"/>
              <w:spacing w:before="120" w:beforeLines="50" w:after="50" w:line="360" w:lineRule="auto"/>
              <w:rPr>
                <w:rFonts w:hint="eastAsia" w:ascii="宋体" w:hAnsi="宋体" w:eastAsia="宋体" w:cs="宋体"/>
                <w:color w:val="auto"/>
                <w:sz w:val="21"/>
                <w:szCs w:val="21"/>
                <w:shd w:val="clear" w:color="auto" w:fill="auto"/>
              </w:rPr>
            </w:pPr>
          </w:p>
        </w:tc>
      </w:tr>
    </w:tbl>
    <w:p w14:paraId="0CE85775">
      <w:pPr>
        <w:shd w:val="clear" w:color="auto" w:fill="auto"/>
        <w:snapToGrid w:val="0"/>
        <w:spacing w:before="120" w:beforeLines="50" w:after="50" w:line="480" w:lineRule="auto"/>
        <w:rPr>
          <w:rFonts w:hint="eastAsia" w:ascii="宋体" w:hAnsi="宋体" w:eastAsia="宋体" w:cs="宋体"/>
          <w:bCs/>
          <w:color w:val="auto"/>
          <w:sz w:val="21"/>
          <w:szCs w:val="21"/>
          <w:shd w:val="clear" w:color="auto" w:fill="auto"/>
        </w:rPr>
      </w:pPr>
    </w:p>
    <w:p w14:paraId="11A655F9">
      <w:pPr>
        <w:shd w:val="clear" w:color="auto" w:fill="auto"/>
        <w:snapToGrid w:val="0"/>
        <w:spacing w:before="50" w:after="120" w:afterLines="50"/>
        <w:jc w:val="left"/>
        <w:rPr>
          <w:rFonts w:hint="eastAsia" w:ascii="宋体" w:hAnsi="宋体" w:eastAsia="宋体" w:cs="宋体"/>
          <w:b/>
          <w:bCs/>
          <w:color w:val="auto"/>
          <w:sz w:val="21"/>
          <w:szCs w:val="21"/>
          <w:shd w:val="clear" w:color="auto" w:fill="auto"/>
        </w:rPr>
      </w:pPr>
      <w:r>
        <w:rPr>
          <w:rFonts w:hint="eastAsia" w:ascii="宋体" w:hAnsi="宋体" w:eastAsia="宋体" w:cs="宋体"/>
          <w:b/>
          <w:bCs/>
          <w:color w:val="auto"/>
          <w:sz w:val="21"/>
          <w:szCs w:val="21"/>
          <w:shd w:val="clear" w:color="auto" w:fill="auto"/>
        </w:rPr>
        <w:t>注：在填写时，如本表格不适合投标人的实际情况，可根据本表格式自行划表填写。</w:t>
      </w:r>
    </w:p>
    <w:p w14:paraId="66E4C666">
      <w:pPr>
        <w:shd w:val="clear" w:color="auto" w:fill="auto"/>
        <w:snapToGrid w:val="0"/>
        <w:spacing w:before="50" w:after="120" w:afterLines="50" w:line="360" w:lineRule="auto"/>
        <w:jc w:val="left"/>
        <w:rPr>
          <w:rFonts w:hint="eastAsia" w:ascii="宋体" w:hAnsi="宋体" w:eastAsia="宋体" w:cs="宋体"/>
          <w:color w:val="auto"/>
          <w:sz w:val="21"/>
          <w:szCs w:val="21"/>
          <w:shd w:val="clear" w:color="auto" w:fill="auto"/>
        </w:rPr>
      </w:pPr>
    </w:p>
    <w:p w14:paraId="3BE8B876">
      <w:pPr>
        <w:shd w:val="clear" w:color="auto" w:fill="auto"/>
        <w:snapToGrid w:val="0"/>
        <w:spacing w:before="50" w:after="120" w:afterLines="50" w:line="360" w:lineRule="auto"/>
        <w:jc w:val="left"/>
        <w:rPr>
          <w:rFonts w:hint="eastAsia" w:ascii="宋体" w:hAnsi="宋体" w:eastAsia="宋体" w:cs="宋体"/>
          <w:color w:val="auto"/>
          <w:sz w:val="21"/>
          <w:szCs w:val="21"/>
          <w:shd w:val="clear" w:color="auto" w:fill="auto"/>
        </w:rPr>
      </w:pPr>
    </w:p>
    <w:p w14:paraId="60724D2B">
      <w:pPr>
        <w:shd w:val="clear" w:color="auto" w:fill="auto"/>
        <w:snapToGrid w:val="0"/>
        <w:spacing w:before="50" w:after="50" w:line="360" w:lineRule="auto"/>
        <w:rPr>
          <w:rFonts w:hint="eastAsia" w:ascii="宋体" w:hAnsi="宋体" w:eastAsia="宋体" w:cs="宋体"/>
          <w:b/>
          <w:color w:val="auto"/>
          <w:sz w:val="21"/>
          <w:szCs w:val="21"/>
          <w:shd w:val="clear" w:color="auto" w:fill="auto"/>
        </w:rPr>
      </w:pPr>
      <w:r>
        <w:rPr>
          <w:rFonts w:hint="eastAsia" w:ascii="宋体" w:hAnsi="宋体" w:eastAsia="宋体" w:cs="宋体"/>
          <w:b/>
          <w:color w:val="auto"/>
          <w:spacing w:val="20"/>
          <w:sz w:val="21"/>
          <w:szCs w:val="21"/>
          <w:shd w:val="clear" w:color="auto" w:fill="auto"/>
        </w:rPr>
        <w:t xml:space="preserve">法定代表人签字（或盖章）：            投标人（盖章）：          </w:t>
      </w:r>
    </w:p>
    <w:p w14:paraId="10D58280">
      <w:pPr>
        <w:pStyle w:val="30"/>
        <w:shd w:val="clear" w:color="auto" w:fill="auto"/>
        <w:snapToGrid w:val="0"/>
        <w:spacing w:before="50" w:beforeLines="0" w:after="50" w:afterLines="0" w:line="240" w:lineRule="auto"/>
        <w:rPr>
          <w:rFonts w:hint="eastAsia" w:ascii="宋体" w:hAnsi="宋体" w:eastAsia="宋体" w:cs="宋体"/>
          <w:b/>
          <w:color w:val="auto"/>
          <w:sz w:val="21"/>
          <w:szCs w:val="21"/>
          <w:shd w:val="clear" w:color="auto" w:fill="auto"/>
        </w:rPr>
      </w:pPr>
    </w:p>
    <w:p w14:paraId="79F8EA16">
      <w:pPr>
        <w:pStyle w:val="30"/>
        <w:shd w:val="clear" w:color="auto" w:fill="auto"/>
        <w:snapToGrid w:val="0"/>
        <w:spacing w:before="50" w:beforeLines="0" w:after="50" w:afterLines="0" w:line="240" w:lineRule="auto"/>
        <w:rPr>
          <w:rFonts w:hint="eastAsia" w:ascii="宋体" w:hAnsi="宋体" w:eastAsia="宋体" w:cs="宋体"/>
          <w:b/>
          <w:color w:val="auto"/>
          <w:sz w:val="21"/>
          <w:szCs w:val="21"/>
          <w:shd w:val="clear" w:color="auto" w:fill="auto"/>
        </w:rPr>
      </w:pPr>
      <w:r>
        <w:rPr>
          <w:rFonts w:hint="eastAsia" w:ascii="宋体" w:hAnsi="宋体" w:eastAsia="宋体" w:cs="宋体"/>
          <w:b/>
          <w:color w:val="auto"/>
          <w:sz w:val="21"/>
          <w:szCs w:val="21"/>
          <w:shd w:val="clear" w:color="auto" w:fill="auto"/>
        </w:rPr>
        <w:t>日期：  _____年___月___日</w:t>
      </w:r>
    </w:p>
    <w:p w14:paraId="56C97BEB">
      <w:pPr>
        <w:jc w:val="right"/>
        <w:rPr>
          <w:rFonts w:hint="eastAsia" w:ascii="宋体" w:hAnsi="宋体" w:eastAsia="宋体" w:cs="宋体"/>
          <w:color w:val="auto"/>
          <w:kern w:val="0"/>
          <w:sz w:val="28"/>
          <w:szCs w:val="28"/>
          <w:highlight w:val="none"/>
        </w:rPr>
        <w:sectPr>
          <w:footerReference r:id="rId8" w:type="default"/>
          <w:pgSz w:w="11906" w:h="16838"/>
          <w:pgMar w:top="850" w:right="1587" w:bottom="850" w:left="1587" w:header="567" w:footer="454" w:gutter="0"/>
          <w:pgNumType w:fmt="decimal" w:start="35"/>
          <w:cols w:space="0" w:num="1"/>
          <w:rtlGutter w:val="0"/>
          <w:docGrid w:linePitch="286" w:charSpace="0"/>
        </w:sectPr>
      </w:pPr>
    </w:p>
    <w:p w14:paraId="2E4E66EC">
      <w:pPr>
        <w:snapToGrid w:val="0"/>
        <w:spacing w:before="50" w:after="120" w:afterLines="50"/>
        <w:jc w:val="left"/>
        <w:rPr>
          <w:rFonts w:hint="eastAsia" w:ascii="宋体" w:hAnsi="宋体"/>
          <w:sz w:val="24"/>
          <w:highlight w:val="none"/>
        </w:rPr>
      </w:pPr>
      <w:r>
        <w:rPr>
          <w:rFonts w:hint="eastAsia" w:ascii="宋体" w:hAnsi="宋体" w:cs="宋体"/>
          <w:sz w:val="24"/>
          <w:highlight w:val="none"/>
          <w:lang w:val="en-US" w:eastAsia="zh-CN" w:bidi="ar-SA"/>
        </w:rPr>
        <w:t>10.</w:t>
      </w:r>
      <w:r>
        <w:rPr>
          <w:rFonts w:hint="eastAsia" w:ascii="宋体" w:hAnsi="宋体" w:cs="宋体"/>
          <w:sz w:val="24"/>
          <w:highlight w:val="none"/>
          <w:lang w:bidi="ar-SA"/>
        </w:rPr>
        <w:t>材料</w:t>
      </w:r>
      <w:r>
        <w:rPr>
          <w:rFonts w:hint="eastAsia" w:ascii="宋体" w:hAnsi="宋体"/>
          <w:sz w:val="24"/>
          <w:highlight w:val="none"/>
        </w:rPr>
        <w:t>说明表格式：</w:t>
      </w:r>
    </w:p>
    <w:p w14:paraId="648CA6EC">
      <w:pPr>
        <w:snapToGrid w:val="0"/>
        <w:spacing w:before="120" w:beforeLines="50" w:after="50" w:line="360" w:lineRule="auto"/>
        <w:jc w:val="center"/>
        <w:rPr>
          <w:highlight w:val="none"/>
        </w:rPr>
      </w:pPr>
      <w:r>
        <w:rPr>
          <w:rFonts w:hint="eastAsia" w:ascii="宋体" w:hAnsi="宋体"/>
          <w:b/>
          <w:sz w:val="24"/>
          <w:highlight w:val="none"/>
        </w:rPr>
        <w:t>材料说明表</w:t>
      </w:r>
    </w:p>
    <w:p w14:paraId="029A974C">
      <w:pPr>
        <w:pStyle w:val="3"/>
        <w:rPr>
          <w:highlight w:val="none"/>
        </w:rPr>
      </w:pPr>
      <w:r>
        <w:rPr>
          <w:rFonts w:hint="eastAsia" w:ascii="宋体" w:hAnsi="宋体"/>
          <w:bCs/>
          <w:sz w:val="24"/>
          <w:highlight w:val="none"/>
        </w:rPr>
        <w:t>项目名称：</w:t>
      </w:r>
    </w:p>
    <w:tbl>
      <w:tblPr>
        <w:tblStyle w:val="51"/>
        <w:tblW w:w="0" w:type="auto"/>
        <w:tblInd w:w="93" w:type="dxa"/>
        <w:tblLayout w:type="fixed"/>
        <w:tblCellMar>
          <w:top w:w="0" w:type="dxa"/>
          <w:left w:w="108" w:type="dxa"/>
          <w:bottom w:w="0" w:type="dxa"/>
          <w:right w:w="108" w:type="dxa"/>
        </w:tblCellMar>
      </w:tblPr>
      <w:tblGrid>
        <w:gridCol w:w="728"/>
        <w:gridCol w:w="2122"/>
        <w:gridCol w:w="1701"/>
        <w:gridCol w:w="3402"/>
        <w:gridCol w:w="1266"/>
      </w:tblGrid>
      <w:tr w14:paraId="018F436D">
        <w:tblPrEx>
          <w:tblCellMar>
            <w:top w:w="0" w:type="dxa"/>
            <w:left w:w="108" w:type="dxa"/>
            <w:bottom w:w="0" w:type="dxa"/>
            <w:right w:w="108" w:type="dxa"/>
          </w:tblCellMar>
        </w:tblPrEx>
        <w:trPr>
          <w:trHeight w:val="435" w:hRule="atLeast"/>
        </w:trPr>
        <w:tc>
          <w:tcPr>
            <w:tcW w:w="728"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684F8C">
            <w:pPr>
              <w:widowControl/>
              <w:jc w:val="center"/>
              <w:rPr>
                <w:rFonts w:hint="eastAsia" w:ascii="宋体" w:hAnsi="宋体" w:cs="宋体"/>
                <w:b/>
                <w:kern w:val="0"/>
                <w:sz w:val="24"/>
                <w:highlight w:val="none"/>
                <w:lang w:bidi="ar-SA"/>
              </w:rPr>
            </w:pPr>
            <w:r>
              <w:rPr>
                <w:rFonts w:hint="eastAsia" w:ascii="宋体" w:hAnsi="宋体" w:cs="宋体"/>
                <w:b/>
                <w:kern w:val="0"/>
                <w:sz w:val="24"/>
                <w:highlight w:val="none"/>
                <w:lang w:bidi="ar-SA"/>
              </w:rPr>
              <w:t>序号</w:t>
            </w:r>
          </w:p>
        </w:tc>
        <w:tc>
          <w:tcPr>
            <w:tcW w:w="2122"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BCCD66">
            <w:pPr>
              <w:widowControl/>
              <w:jc w:val="center"/>
              <w:rPr>
                <w:rFonts w:hint="eastAsia" w:ascii="宋体" w:hAnsi="宋体" w:cs="宋体"/>
                <w:b/>
                <w:kern w:val="0"/>
                <w:sz w:val="24"/>
                <w:highlight w:val="none"/>
                <w:lang w:bidi="ar-SA"/>
              </w:rPr>
            </w:pPr>
            <w:r>
              <w:rPr>
                <w:rFonts w:hint="eastAsia" w:ascii="宋体" w:hAnsi="宋体" w:cs="宋体"/>
                <w:b/>
                <w:kern w:val="0"/>
                <w:szCs w:val="21"/>
                <w:highlight w:val="none"/>
                <w:lang w:bidi="ar-SA"/>
              </w:rPr>
              <w:t>材料</w:t>
            </w:r>
          </w:p>
        </w:tc>
        <w:tc>
          <w:tcPr>
            <w:tcW w:w="1701"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E92FDD">
            <w:pPr>
              <w:widowControl/>
              <w:jc w:val="center"/>
              <w:rPr>
                <w:rFonts w:hint="eastAsia" w:ascii="宋体" w:hAnsi="宋体" w:cs="宋体"/>
                <w:b/>
                <w:kern w:val="0"/>
                <w:sz w:val="24"/>
                <w:highlight w:val="none"/>
                <w:lang w:bidi="ar-SA"/>
              </w:rPr>
            </w:pPr>
            <w:r>
              <w:rPr>
                <w:rFonts w:hint="eastAsia" w:ascii="宋体" w:hAnsi="宋体" w:cs="宋体"/>
                <w:b/>
                <w:kern w:val="0"/>
                <w:szCs w:val="21"/>
                <w:highlight w:val="none"/>
                <w:lang w:bidi="ar-SA"/>
              </w:rPr>
              <w:t>品牌</w:t>
            </w:r>
          </w:p>
        </w:tc>
        <w:tc>
          <w:tcPr>
            <w:tcW w:w="3402"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BF9C17">
            <w:pPr>
              <w:widowControl/>
              <w:jc w:val="center"/>
              <w:rPr>
                <w:rFonts w:hint="eastAsia" w:ascii="宋体" w:hAnsi="宋体" w:cs="宋体"/>
                <w:b/>
                <w:kern w:val="0"/>
                <w:sz w:val="24"/>
                <w:highlight w:val="none"/>
                <w:lang w:bidi="ar-SA"/>
              </w:rPr>
            </w:pPr>
            <w:r>
              <w:rPr>
                <w:rFonts w:hint="eastAsia" w:ascii="宋体" w:hAnsi="宋体" w:cs="宋体"/>
                <w:b/>
                <w:kern w:val="0"/>
                <w:szCs w:val="21"/>
                <w:highlight w:val="none"/>
                <w:lang w:bidi="ar-SA"/>
              </w:rPr>
              <w:t>详细参数</w:t>
            </w:r>
          </w:p>
        </w:tc>
        <w:tc>
          <w:tcPr>
            <w:tcW w:w="1266" w:type="dxa"/>
            <w:vMerge w:val="restart"/>
            <w:tcBorders>
              <w:top w:val="single" w:color="000000" w:sz="4" w:space="0"/>
              <w:left w:val="single" w:color="auto" w:sz="4" w:space="0"/>
              <w:bottom w:val="single" w:color="000000" w:sz="4" w:space="0"/>
              <w:right w:val="single" w:color="000000" w:sz="4" w:space="0"/>
            </w:tcBorders>
            <w:shd w:val="clear" w:color="auto" w:fill="FFFFFF"/>
            <w:noWrap w:val="0"/>
            <w:vAlign w:val="center"/>
          </w:tcPr>
          <w:p w14:paraId="1203753B">
            <w:pPr>
              <w:widowControl/>
              <w:jc w:val="center"/>
              <w:rPr>
                <w:rFonts w:hint="eastAsia" w:ascii="宋体" w:hAnsi="宋体" w:cs="宋体"/>
                <w:b/>
                <w:kern w:val="0"/>
                <w:sz w:val="24"/>
                <w:highlight w:val="none"/>
                <w:lang w:bidi="ar-SA"/>
              </w:rPr>
            </w:pPr>
            <w:r>
              <w:rPr>
                <w:rFonts w:hint="eastAsia" w:ascii="宋体" w:hAnsi="宋体" w:cs="宋体"/>
                <w:b/>
                <w:kern w:val="0"/>
                <w:szCs w:val="21"/>
                <w:highlight w:val="none"/>
                <w:lang w:bidi="ar-SA"/>
              </w:rPr>
              <w:t>备注</w:t>
            </w:r>
          </w:p>
        </w:tc>
      </w:tr>
      <w:tr w14:paraId="1EAC7A13">
        <w:tblPrEx>
          <w:tblCellMar>
            <w:top w:w="0" w:type="dxa"/>
            <w:left w:w="108" w:type="dxa"/>
            <w:bottom w:w="0" w:type="dxa"/>
            <w:right w:w="108" w:type="dxa"/>
          </w:tblCellMar>
        </w:tblPrEx>
        <w:trPr>
          <w:trHeight w:val="311" w:hRule="atLeast"/>
        </w:trPr>
        <w:tc>
          <w:tcPr>
            <w:tcW w:w="7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3F2215D">
            <w:pPr>
              <w:rPr>
                <w:highlight w:val="none"/>
              </w:rPr>
            </w:pPr>
          </w:p>
        </w:tc>
        <w:tc>
          <w:tcPr>
            <w:tcW w:w="21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21399076">
            <w:pPr>
              <w:rPr>
                <w:highlight w:val="none"/>
              </w:rPr>
            </w:pPr>
          </w:p>
        </w:tc>
        <w:tc>
          <w:tcPr>
            <w:tcW w:w="1701" w:type="dxa"/>
            <w:vMerge w:val="continue"/>
            <w:tcBorders>
              <w:top w:val="single" w:color="000000" w:sz="4" w:space="0"/>
              <w:left w:val="single" w:color="000000" w:sz="4" w:space="0"/>
              <w:bottom w:val="single" w:color="000000" w:sz="4" w:space="0"/>
              <w:right w:val="single" w:color="000000" w:sz="4" w:space="0"/>
            </w:tcBorders>
            <w:noWrap w:val="0"/>
            <w:vAlign w:val="center"/>
          </w:tcPr>
          <w:p w14:paraId="6739DFFA">
            <w:pPr>
              <w:rPr>
                <w:highlight w:val="none"/>
              </w:rPr>
            </w:pPr>
          </w:p>
        </w:tc>
        <w:tc>
          <w:tcPr>
            <w:tcW w:w="3402" w:type="dxa"/>
            <w:vMerge w:val="continue"/>
            <w:tcBorders>
              <w:top w:val="single" w:color="000000" w:sz="4" w:space="0"/>
              <w:left w:val="single" w:color="000000" w:sz="4" w:space="0"/>
              <w:bottom w:val="single" w:color="000000" w:sz="4" w:space="0"/>
              <w:right w:val="single" w:color="000000" w:sz="4" w:space="0"/>
            </w:tcBorders>
            <w:noWrap w:val="0"/>
            <w:vAlign w:val="center"/>
          </w:tcPr>
          <w:p w14:paraId="4F7078D7">
            <w:pPr>
              <w:rPr>
                <w:highlight w:val="none"/>
              </w:rPr>
            </w:pPr>
          </w:p>
        </w:tc>
        <w:tc>
          <w:tcPr>
            <w:tcW w:w="1266" w:type="dxa"/>
            <w:vMerge w:val="continue"/>
            <w:tcBorders>
              <w:top w:val="single" w:color="000000" w:sz="4" w:space="0"/>
              <w:left w:val="single" w:color="auto" w:sz="4" w:space="0"/>
              <w:bottom w:val="single" w:color="000000" w:sz="4" w:space="0"/>
              <w:right w:val="single" w:color="000000" w:sz="4" w:space="0"/>
            </w:tcBorders>
            <w:noWrap w:val="0"/>
            <w:vAlign w:val="center"/>
          </w:tcPr>
          <w:p w14:paraId="174663B8">
            <w:pPr>
              <w:rPr>
                <w:highlight w:val="none"/>
              </w:rPr>
            </w:pPr>
          </w:p>
        </w:tc>
      </w:tr>
      <w:tr w14:paraId="76E146B9">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5F574671">
            <w:pPr>
              <w:widowControl/>
              <w:jc w:val="center"/>
              <w:rPr>
                <w:rFonts w:hint="eastAsia" w:ascii="宋体" w:hAnsi="宋体" w:cs="宋体"/>
                <w:kern w:val="0"/>
                <w:sz w:val="24"/>
                <w:highlight w:val="none"/>
                <w:lang w:bidi="ar-SA"/>
              </w:rPr>
            </w:pPr>
            <w:r>
              <w:rPr>
                <w:rFonts w:hint="eastAsia" w:ascii="宋体" w:hAnsi="宋体" w:cs="宋体"/>
                <w:kern w:val="0"/>
                <w:sz w:val="24"/>
                <w:highlight w:val="none"/>
                <w:lang w:bidi="ar-SA"/>
              </w:rPr>
              <w:t>1</w:t>
            </w:r>
          </w:p>
        </w:tc>
        <w:tc>
          <w:tcPr>
            <w:tcW w:w="2122" w:type="dxa"/>
            <w:tcBorders>
              <w:top w:val="nil"/>
              <w:left w:val="nil"/>
              <w:bottom w:val="single" w:color="000000" w:sz="4" w:space="0"/>
              <w:right w:val="single" w:color="000000" w:sz="4" w:space="0"/>
            </w:tcBorders>
            <w:shd w:val="clear" w:color="auto" w:fill="FFFFFF"/>
            <w:noWrap w:val="0"/>
            <w:vAlign w:val="center"/>
          </w:tcPr>
          <w:p w14:paraId="764E7461">
            <w:pPr>
              <w:widowControl/>
              <w:jc w:val="left"/>
              <w:rPr>
                <w:rFonts w:hint="eastAsia" w:ascii="宋体" w:hAnsi="宋体" w:cs="宋体"/>
                <w:kern w:val="0"/>
                <w:sz w:val="24"/>
                <w:highlight w:val="none"/>
                <w:lang w:bidi="ar-SA"/>
              </w:rPr>
            </w:pPr>
          </w:p>
        </w:tc>
        <w:tc>
          <w:tcPr>
            <w:tcW w:w="1701" w:type="dxa"/>
            <w:tcBorders>
              <w:top w:val="nil"/>
              <w:left w:val="nil"/>
              <w:bottom w:val="single" w:color="000000" w:sz="4" w:space="0"/>
              <w:right w:val="single" w:color="000000" w:sz="4" w:space="0"/>
            </w:tcBorders>
            <w:shd w:val="clear" w:color="auto" w:fill="FFFFFF"/>
            <w:noWrap w:val="0"/>
            <w:vAlign w:val="center"/>
          </w:tcPr>
          <w:p w14:paraId="0B17FFF3">
            <w:pPr>
              <w:widowControl/>
              <w:jc w:val="left"/>
              <w:rPr>
                <w:rFonts w:hint="eastAsia" w:ascii="宋体" w:hAnsi="宋体" w:cs="宋体"/>
                <w:kern w:val="0"/>
                <w:sz w:val="24"/>
                <w:highlight w:val="none"/>
                <w:lang w:bidi="ar-SA"/>
              </w:rPr>
            </w:pPr>
          </w:p>
        </w:tc>
        <w:tc>
          <w:tcPr>
            <w:tcW w:w="3402" w:type="dxa"/>
            <w:tcBorders>
              <w:top w:val="nil"/>
              <w:left w:val="nil"/>
              <w:bottom w:val="single" w:color="000000" w:sz="4" w:space="0"/>
              <w:right w:val="single" w:color="000000" w:sz="4" w:space="0"/>
            </w:tcBorders>
            <w:shd w:val="clear" w:color="auto" w:fill="FFFFFF"/>
            <w:noWrap w:val="0"/>
            <w:vAlign w:val="center"/>
          </w:tcPr>
          <w:p w14:paraId="71F81B4E">
            <w:pPr>
              <w:widowControl/>
              <w:jc w:val="center"/>
              <w:rPr>
                <w:rFonts w:hint="eastAsia" w:ascii="宋体" w:hAnsi="宋体" w:cs="宋体"/>
                <w:kern w:val="0"/>
                <w:sz w:val="24"/>
                <w:highlight w:val="none"/>
                <w:lang w:bidi="ar-SA"/>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40437CC9">
            <w:pPr>
              <w:widowControl/>
              <w:jc w:val="center"/>
              <w:rPr>
                <w:rFonts w:hint="eastAsia" w:ascii="宋体" w:hAnsi="宋体" w:cs="宋体"/>
                <w:kern w:val="0"/>
                <w:sz w:val="24"/>
                <w:highlight w:val="none"/>
                <w:lang w:bidi="ar-SA"/>
              </w:rPr>
            </w:pPr>
          </w:p>
        </w:tc>
      </w:tr>
      <w:tr w14:paraId="0F40C48A">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529FC126">
            <w:pPr>
              <w:widowControl/>
              <w:jc w:val="center"/>
              <w:rPr>
                <w:rFonts w:hint="eastAsia" w:ascii="宋体" w:hAnsi="宋体" w:cs="宋体"/>
                <w:kern w:val="0"/>
                <w:sz w:val="24"/>
                <w:highlight w:val="none"/>
                <w:lang w:bidi="ar-SA"/>
              </w:rPr>
            </w:pPr>
            <w:r>
              <w:rPr>
                <w:rFonts w:hint="eastAsia" w:ascii="宋体" w:hAnsi="宋体" w:cs="宋体"/>
                <w:kern w:val="0"/>
                <w:sz w:val="24"/>
                <w:highlight w:val="none"/>
                <w:lang w:bidi="ar-SA"/>
              </w:rPr>
              <w:t>2</w:t>
            </w:r>
          </w:p>
        </w:tc>
        <w:tc>
          <w:tcPr>
            <w:tcW w:w="2122" w:type="dxa"/>
            <w:tcBorders>
              <w:top w:val="nil"/>
              <w:left w:val="nil"/>
              <w:bottom w:val="single" w:color="000000" w:sz="4" w:space="0"/>
              <w:right w:val="single" w:color="000000" w:sz="4" w:space="0"/>
            </w:tcBorders>
            <w:shd w:val="clear" w:color="auto" w:fill="FFFFFF"/>
            <w:noWrap w:val="0"/>
            <w:vAlign w:val="center"/>
          </w:tcPr>
          <w:p w14:paraId="1D4A05DE">
            <w:pPr>
              <w:widowControl/>
              <w:jc w:val="left"/>
              <w:rPr>
                <w:rFonts w:hint="eastAsia" w:ascii="宋体" w:hAnsi="宋体" w:cs="宋体"/>
                <w:kern w:val="0"/>
                <w:sz w:val="24"/>
                <w:highlight w:val="none"/>
                <w:lang w:bidi="ar-SA"/>
              </w:rPr>
            </w:pPr>
          </w:p>
        </w:tc>
        <w:tc>
          <w:tcPr>
            <w:tcW w:w="1701" w:type="dxa"/>
            <w:tcBorders>
              <w:top w:val="nil"/>
              <w:left w:val="nil"/>
              <w:bottom w:val="single" w:color="000000" w:sz="4" w:space="0"/>
              <w:right w:val="single" w:color="000000" w:sz="4" w:space="0"/>
            </w:tcBorders>
            <w:shd w:val="clear" w:color="auto" w:fill="FFFFFF"/>
            <w:noWrap w:val="0"/>
            <w:vAlign w:val="center"/>
          </w:tcPr>
          <w:p w14:paraId="2237B4BA">
            <w:pPr>
              <w:widowControl/>
              <w:jc w:val="left"/>
              <w:rPr>
                <w:rFonts w:hint="eastAsia" w:ascii="宋体" w:hAnsi="宋体" w:cs="宋体"/>
                <w:kern w:val="0"/>
                <w:sz w:val="24"/>
                <w:highlight w:val="none"/>
                <w:lang w:bidi="ar-SA"/>
              </w:rPr>
            </w:pPr>
          </w:p>
        </w:tc>
        <w:tc>
          <w:tcPr>
            <w:tcW w:w="3402" w:type="dxa"/>
            <w:tcBorders>
              <w:top w:val="nil"/>
              <w:left w:val="nil"/>
              <w:bottom w:val="single" w:color="000000" w:sz="4" w:space="0"/>
              <w:right w:val="single" w:color="000000" w:sz="4" w:space="0"/>
            </w:tcBorders>
            <w:shd w:val="clear" w:color="auto" w:fill="FFFFFF"/>
            <w:noWrap w:val="0"/>
            <w:vAlign w:val="center"/>
          </w:tcPr>
          <w:p w14:paraId="5E2B4BFB">
            <w:pPr>
              <w:widowControl/>
              <w:jc w:val="center"/>
              <w:rPr>
                <w:rFonts w:hint="eastAsia" w:ascii="宋体" w:hAnsi="宋体" w:cs="宋体"/>
                <w:kern w:val="0"/>
                <w:sz w:val="24"/>
                <w:highlight w:val="none"/>
                <w:lang w:bidi="ar-SA"/>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0A32857F">
            <w:pPr>
              <w:widowControl/>
              <w:jc w:val="center"/>
              <w:rPr>
                <w:rFonts w:hint="eastAsia" w:ascii="宋体" w:hAnsi="宋体" w:cs="宋体"/>
                <w:kern w:val="0"/>
                <w:sz w:val="24"/>
                <w:highlight w:val="none"/>
                <w:lang w:bidi="ar-SA"/>
              </w:rPr>
            </w:pPr>
          </w:p>
        </w:tc>
      </w:tr>
      <w:tr w14:paraId="0B49D52D">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5A495014">
            <w:pPr>
              <w:widowControl/>
              <w:jc w:val="center"/>
              <w:rPr>
                <w:rFonts w:hint="eastAsia" w:ascii="宋体" w:hAnsi="宋体" w:cs="宋体"/>
                <w:kern w:val="0"/>
                <w:sz w:val="24"/>
                <w:highlight w:val="none"/>
                <w:lang w:bidi="ar-SA"/>
              </w:rPr>
            </w:pPr>
            <w:r>
              <w:rPr>
                <w:rFonts w:hint="eastAsia" w:ascii="宋体" w:hAnsi="宋体" w:cs="宋体"/>
                <w:kern w:val="0"/>
                <w:sz w:val="24"/>
                <w:highlight w:val="none"/>
                <w:lang w:bidi="ar-SA"/>
              </w:rPr>
              <w:t>3</w:t>
            </w:r>
          </w:p>
        </w:tc>
        <w:tc>
          <w:tcPr>
            <w:tcW w:w="2122" w:type="dxa"/>
            <w:tcBorders>
              <w:top w:val="nil"/>
              <w:left w:val="nil"/>
              <w:bottom w:val="single" w:color="000000" w:sz="4" w:space="0"/>
              <w:right w:val="single" w:color="000000" w:sz="4" w:space="0"/>
            </w:tcBorders>
            <w:shd w:val="clear" w:color="auto" w:fill="FFFFFF"/>
            <w:noWrap w:val="0"/>
            <w:vAlign w:val="center"/>
          </w:tcPr>
          <w:p w14:paraId="17F20AA9">
            <w:pPr>
              <w:widowControl/>
              <w:jc w:val="left"/>
              <w:rPr>
                <w:rFonts w:hint="eastAsia" w:ascii="宋体" w:hAnsi="宋体" w:cs="宋体"/>
                <w:kern w:val="0"/>
                <w:sz w:val="24"/>
                <w:highlight w:val="none"/>
                <w:lang w:bidi="ar-SA"/>
              </w:rPr>
            </w:pPr>
          </w:p>
        </w:tc>
        <w:tc>
          <w:tcPr>
            <w:tcW w:w="1701" w:type="dxa"/>
            <w:tcBorders>
              <w:top w:val="nil"/>
              <w:left w:val="nil"/>
              <w:bottom w:val="single" w:color="000000" w:sz="4" w:space="0"/>
              <w:right w:val="single" w:color="000000" w:sz="4" w:space="0"/>
            </w:tcBorders>
            <w:shd w:val="clear" w:color="auto" w:fill="FFFFFF"/>
            <w:noWrap w:val="0"/>
            <w:vAlign w:val="center"/>
          </w:tcPr>
          <w:p w14:paraId="1ED30341">
            <w:pPr>
              <w:widowControl/>
              <w:jc w:val="left"/>
              <w:rPr>
                <w:rFonts w:hint="eastAsia" w:ascii="宋体" w:hAnsi="宋体" w:cs="宋体"/>
                <w:kern w:val="0"/>
                <w:sz w:val="24"/>
                <w:highlight w:val="none"/>
                <w:lang w:bidi="ar-SA"/>
              </w:rPr>
            </w:pPr>
          </w:p>
        </w:tc>
        <w:tc>
          <w:tcPr>
            <w:tcW w:w="3402" w:type="dxa"/>
            <w:tcBorders>
              <w:top w:val="nil"/>
              <w:left w:val="nil"/>
              <w:bottom w:val="single" w:color="000000" w:sz="4" w:space="0"/>
              <w:right w:val="single" w:color="000000" w:sz="4" w:space="0"/>
            </w:tcBorders>
            <w:shd w:val="clear" w:color="auto" w:fill="FFFFFF"/>
            <w:noWrap w:val="0"/>
            <w:vAlign w:val="center"/>
          </w:tcPr>
          <w:p w14:paraId="78E589EA">
            <w:pPr>
              <w:widowControl/>
              <w:jc w:val="center"/>
              <w:rPr>
                <w:rFonts w:hint="eastAsia" w:ascii="宋体" w:hAnsi="宋体" w:cs="宋体"/>
                <w:kern w:val="0"/>
                <w:sz w:val="24"/>
                <w:highlight w:val="none"/>
                <w:lang w:bidi="ar-SA"/>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4F0C3406">
            <w:pPr>
              <w:widowControl/>
              <w:jc w:val="center"/>
              <w:rPr>
                <w:rFonts w:hint="eastAsia" w:ascii="宋体" w:hAnsi="宋体" w:cs="宋体"/>
                <w:kern w:val="0"/>
                <w:sz w:val="24"/>
                <w:highlight w:val="none"/>
                <w:lang w:bidi="ar-SA"/>
              </w:rPr>
            </w:pPr>
          </w:p>
        </w:tc>
      </w:tr>
      <w:tr w14:paraId="29DE9E41">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6AAB80F7">
            <w:pPr>
              <w:widowControl/>
              <w:jc w:val="center"/>
              <w:rPr>
                <w:rFonts w:hint="eastAsia" w:ascii="宋体" w:hAnsi="宋体" w:cs="宋体"/>
                <w:kern w:val="0"/>
                <w:sz w:val="24"/>
                <w:highlight w:val="none"/>
                <w:lang w:bidi="ar-SA"/>
              </w:rPr>
            </w:pPr>
            <w:r>
              <w:rPr>
                <w:rFonts w:hint="eastAsia" w:ascii="宋体" w:hAnsi="宋体" w:cs="宋体"/>
                <w:kern w:val="0"/>
                <w:sz w:val="24"/>
                <w:highlight w:val="none"/>
                <w:lang w:bidi="ar-SA"/>
              </w:rPr>
              <w:t>4</w:t>
            </w:r>
          </w:p>
        </w:tc>
        <w:tc>
          <w:tcPr>
            <w:tcW w:w="2122" w:type="dxa"/>
            <w:tcBorders>
              <w:top w:val="nil"/>
              <w:left w:val="nil"/>
              <w:bottom w:val="single" w:color="000000" w:sz="4" w:space="0"/>
              <w:right w:val="single" w:color="000000" w:sz="4" w:space="0"/>
            </w:tcBorders>
            <w:shd w:val="clear" w:color="auto" w:fill="FFFFFF"/>
            <w:noWrap w:val="0"/>
            <w:vAlign w:val="center"/>
          </w:tcPr>
          <w:p w14:paraId="23181AEF">
            <w:pPr>
              <w:widowControl/>
              <w:jc w:val="left"/>
              <w:rPr>
                <w:rFonts w:hint="eastAsia" w:ascii="宋体" w:hAnsi="宋体" w:cs="宋体"/>
                <w:kern w:val="0"/>
                <w:sz w:val="24"/>
                <w:highlight w:val="none"/>
                <w:lang w:bidi="ar-SA"/>
              </w:rPr>
            </w:pPr>
          </w:p>
        </w:tc>
        <w:tc>
          <w:tcPr>
            <w:tcW w:w="1701" w:type="dxa"/>
            <w:tcBorders>
              <w:top w:val="nil"/>
              <w:left w:val="nil"/>
              <w:bottom w:val="single" w:color="000000" w:sz="4" w:space="0"/>
              <w:right w:val="single" w:color="000000" w:sz="4" w:space="0"/>
            </w:tcBorders>
            <w:shd w:val="clear" w:color="auto" w:fill="FFFFFF"/>
            <w:noWrap w:val="0"/>
            <w:vAlign w:val="center"/>
          </w:tcPr>
          <w:p w14:paraId="333DC63A">
            <w:pPr>
              <w:widowControl/>
              <w:jc w:val="left"/>
              <w:rPr>
                <w:rFonts w:hint="eastAsia" w:ascii="宋体" w:hAnsi="宋体" w:cs="宋体"/>
                <w:kern w:val="0"/>
                <w:sz w:val="24"/>
                <w:highlight w:val="none"/>
                <w:lang w:bidi="ar-SA"/>
              </w:rPr>
            </w:pPr>
          </w:p>
        </w:tc>
        <w:tc>
          <w:tcPr>
            <w:tcW w:w="3402" w:type="dxa"/>
            <w:tcBorders>
              <w:top w:val="nil"/>
              <w:left w:val="nil"/>
              <w:bottom w:val="single" w:color="000000" w:sz="4" w:space="0"/>
              <w:right w:val="single" w:color="000000" w:sz="4" w:space="0"/>
            </w:tcBorders>
            <w:shd w:val="clear" w:color="auto" w:fill="FFFFFF"/>
            <w:noWrap w:val="0"/>
            <w:vAlign w:val="center"/>
          </w:tcPr>
          <w:p w14:paraId="3D2E464B">
            <w:pPr>
              <w:widowControl/>
              <w:jc w:val="center"/>
              <w:rPr>
                <w:rFonts w:hint="eastAsia" w:ascii="宋体" w:hAnsi="宋体" w:cs="宋体"/>
                <w:kern w:val="0"/>
                <w:sz w:val="24"/>
                <w:highlight w:val="none"/>
                <w:lang w:bidi="ar-SA"/>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7A725F48">
            <w:pPr>
              <w:widowControl/>
              <w:jc w:val="center"/>
              <w:rPr>
                <w:rFonts w:hint="eastAsia" w:ascii="宋体" w:hAnsi="宋体" w:cs="宋体"/>
                <w:kern w:val="0"/>
                <w:sz w:val="24"/>
                <w:highlight w:val="none"/>
                <w:lang w:bidi="ar-SA"/>
              </w:rPr>
            </w:pPr>
          </w:p>
        </w:tc>
      </w:tr>
      <w:tr w14:paraId="392B622D">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7C6520DA">
            <w:pPr>
              <w:widowControl/>
              <w:jc w:val="center"/>
              <w:rPr>
                <w:rFonts w:hint="eastAsia" w:ascii="宋体" w:hAnsi="宋体" w:cs="宋体"/>
                <w:kern w:val="0"/>
                <w:sz w:val="24"/>
                <w:highlight w:val="none"/>
                <w:lang w:bidi="ar-SA"/>
              </w:rPr>
            </w:pPr>
            <w:r>
              <w:rPr>
                <w:rFonts w:hint="eastAsia" w:ascii="宋体" w:hAnsi="宋体" w:cs="宋体"/>
                <w:kern w:val="0"/>
                <w:sz w:val="24"/>
                <w:highlight w:val="none"/>
                <w:lang w:bidi="ar-SA"/>
              </w:rPr>
              <w:t>5</w:t>
            </w:r>
          </w:p>
        </w:tc>
        <w:tc>
          <w:tcPr>
            <w:tcW w:w="2122" w:type="dxa"/>
            <w:tcBorders>
              <w:top w:val="nil"/>
              <w:left w:val="nil"/>
              <w:bottom w:val="single" w:color="000000" w:sz="4" w:space="0"/>
              <w:right w:val="single" w:color="000000" w:sz="4" w:space="0"/>
            </w:tcBorders>
            <w:shd w:val="clear" w:color="auto" w:fill="FFFFFF"/>
            <w:noWrap w:val="0"/>
            <w:vAlign w:val="center"/>
          </w:tcPr>
          <w:p w14:paraId="74468416">
            <w:pPr>
              <w:widowControl/>
              <w:jc w:val="left"/>
              <w:rPr>
                <w:rFonts w:hint="eastAsia" w:ascii="宋体" w:hAnsi="宋体" w:cs="宋体"/>
                <w:kern w:val="0"/>
                <w:sz w:val="24"/>
                <w:highlight w:val="none"/>
                <w:lang w:bidi="ar-SA"/>
              </w:rPr>
            </w:pPr>
          </w:p>
        </w:tc>
        <w:tc>
          <w:tcPr>
            <w:tcW w:w="1701" w:type="dxa"/>
            <w:tcBorders>
              <w:top w:val="nil"/>
              <w:left w:val="nil"/>
              <w:bottom w:val="single" w:color="000000" w:sz="4" w:space="0"/>
              <w:right w:val="single" w:color="000000" w:sz="4" w:space="0"/>
            </w:tcBorders>
            <w:shd w:val="clear" w:color="auto" w:fill="FFFFFF"/>
            <w:noWrap w:val="0"/>
            <w:vAlign w:val="center"/>
          </w:tcPr>
          <w:p w14:paraId="28BABFBC">
            <w:pPr>
              <w:widowControl/>
              <w:jc w:val="left"/>
              <w:rPr>
                <w:rFonts w:hint="eastAsia" w:ascii="宋体" w:hAnsi="宋体" w:cs="宋体"/>
                <w:kern w:val="0"/>
                <w:sz w:val="24"/>
                <w:highlight w:val="none"/>
                <w:lang w:bidi="ar-SA"/>
              </w:rPr>
            </w:pPr>
          </w:p>
        </w:tc>
        <w:tc>
          <w:tcPr>
            <w:tcW w:w="3402" w:type="dxa"/>
            <w:tcBorders>
              <w:top w:val="nil"/>
              <w:left w:val="nil"/>
              <w:bottom w:val="single" w:color="000000" w:sz="4" w:space="0"/>
              <w:right w:val="single" w:color="000000" w:sz="4" w:space="0"/>
            </w:tcBorders>
            <w:shd w:val="clear" w:color="auto" w:fill="FFFFFF"/>
            <w:noWrap w:val="0"/>
            <w:vAlign w:val="center"/>
          </w:tcPr>
          <w:p w14:paraId="7FB9F6B2">
            <w:pPr>
              <w:widowControl/>
              <w:jc w:val="center"/>
              <w:rPr>
                <w:rFonts w:hint="eastAsia" w:ascii="宋体" w:hAnsi="宋体" w:cs="宋体"/>
                <w:kern w:val="0"/>
                <w:sz w:val="24"/>
                <w:highlight w:val="none"/>
                <w:lang w:bidi="ar-SA"/>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1A10E654">
            <w:pPr>
              <w:widowControl/>
              <w:jc w:val="center"/>
              <w:rPr>
                <w:rFonts w:hint="eastAsia" w:ascii="宋体" w:hAnsi="宋体" w:cs="宋体"/>
                <w:kern w:val="0"/>
                <w:sz w:val="24"/>
                <w:highlight w:val="none"/>
                <w:lang w:bidi="ar-SA"/>
              </w:rPr>
            </w:pPr>
          </w:p>
        </w:tc>
      </w:tr>
      <w:tr w14:paraId="222ACC2E">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434587E3">
            <w:pPr>
              <w:widowControl/>
              <w:jc w:val="center"/>
              <w:rPr>
                <w:rFonts w:hint="eastAsia" w:ascii="宋体" w:hAnsi="宋体" w:cs="宋体"/>
                <w:kern w:val="0"/>
                <w:sz w:val="24"/>
                <w:highlight w:val="none"/>
                <w:lang w:bidi="ar-SA"/>
              </w:rPr>
            </w:pPr>
            <w:r>
              <w:rPr>
                <w:rFonts w:hint="eastAsia" w:ascii="宋体" w:hAnsi="宋体" w:cs="宋体"/>
                <w:kern w:val="0"/>
                <w:sz w:val="24"/>
                <w:highlight w:val="none"/>
                <w:lang w:bidi="ar-SA"/>
              </w:rPr>
              <w:t>6</w:t>
            </w:r>
          </w:p>
        </w:tc>
        <w:tc>
          <w:tcPr>
            <w:tcW w:w="2122" w:type="dxa"/>
            <w:tcBorders>
              <w:top w:val="nil"/>
              <w:left w:val="nil"/>
              <w:bottom w:val="single" w:color="000000" w:sz="4" w:space="0"/>
              <w:right w:val="single" w:color="000000" w:sz="4" w:space="0"/>
            </w:tcBorders>
            <w:shd w:val="clear" w:color="auto" w:fill="FFFFFF"/>
            <w:noWrap w:val="0"/>
            <w:vAlign w:val="center"/>
          </w:tcPr>
          <w:p w14:paraId="58287472">
            <w:pPr>
              <w:widowControl/>
              <w:jc w:val="left"/>
              <w:rPr>
                <w:rFonts w:hint="eastAsia" w:ascii="宋体" w:hAnsi="宋体" w:cs="宋体"/>
                <w:kern w:val="0"/>
                <w:sz w:val="24"/>
                <w:highlight w:val="none"/>
                <w:lang w:bidi="ar-SA"/>
              </w:rPr>
            </w:pPr>
          </w:p>
        </w:tc>
        <w:tc>
          <w:tcPr>
            <w:tcW w:w="1701" w:type="dxa"/>
            <w:tcBorders>
              <w:top w:val="nil"/>
              <w:left w:val="nil"/>
              <w:bottom w:val="single" w:color="000000" w:sz="4" w:space="0"/>
              <w:right w:val="single" w:color="000000" w:sz="4" w:space="0"/>
            </w:tcBorders>
            <w:shd w:val="clear" w:color="auto" w:fill="FFFFFF"/>
            <w:noWrap w:val="0"/>
            <w:vAlign w:val="center"/>
          </w:tcPr>
          <w:p w14:paraId="6B6530AB">
            <w:pPr>
              <w:widowControl/>
              <w:jc w:val="left"/>
              <w:rPr>
                <w:rFonts w:hint="eastAsia" w:ascii="宋体" w:hAnsi="宋体" w:cs="宋体"/>
                <w:kern w:val="0"/>
                <w:sz w:val="24"/>
                <w:highlight w:val="none"/>
                <w:lang w:bidi="ar-SA"/>
              </w:rPr>
            </w:pPr>
          </w:p>
        </w:tc>
        <w:tc>
          <w:tcPr>
            <w:tcW w:w="3402" w:type="dxa"/>
            <w:tcBorders>
              <w:top w:val="nil"/>
              <w:left w:val="nil"/>
              <w:bottom w:val="single" w:color="000000" w:sz="4" w:space="0"/>
              <w:right w:val="single" w:color="000000" w:sz="4" w:space="0"/>
            </w:tcBorders>
            <w:shd w:val="clear" w:color="auto" w:fill="FFFFFF"/>
            <w:noWrap w:val="0"/>
            <w:vAlign w:val="center"/>
          </w:tcPr>
          <w:p w14:paraId="7E079AF9">
            <w:pPr>
              <w:widowControl/>
              <w:jc w:val="center"/>
              <w:rPr>
                <w:rFonts w:hint="eastAsia" w:ascii="宋体" w:hAnsi="宋体" w:cs="宋体"/>
                <w:kern w:val="0"/>
                <w:sz w:val="24"/>
                <w:highlight w:val="none"/>
                <w:lang w:bidi="ar-SA"/>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15B31BEB">
            <w:pPr>
              <w:widowControl/>
              <w:jc w:val="center"/>
              <w:rPr>
                <w:rFonts w:hint="eastAsia" w:ascii="宋体" w:hAnsi="宋体" w:cs="宋体"/>
                <w:kern w:val="0"/>
                <w:sz w:val="24"/>
                <w:highlight w:val="none"/>
                <w:lang w:bidi="ar-SA"/>
              </w:rPr>
            </w:pPr>
          </w:p>
        </w:tc>
      </w:tr>
      <w:tr w14:paraId="2FF184BF">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62E7B12B">
            <w:pPr>
              <w:widowControl/>
              <w:jc w:val="center"/>
              <w:rPr>
                <w:rFonts w:hint="eastAsia" w:ascii="宋体" w:hAnsi="宋体" w:cs="宋体"/>
                <w:kern w:val="0"/>
                <w:sz w:val="24"/>
                <w:highlight w:val="none"/>
                <w:lang w:bidi="ar-SA"/>
              </w:rPr>
            </w:pPr>
            <w:r>
              <w:rPr>
                <w:rFonts w:hint="eastAsia" w:ascii="宋体" w:hAnsi="宋体" w:cs="宋体"/>
                <w:kern w:val="0"/>
                <w:sz w:val="24"/>
                <w:highlight w:val="none"/>
                <w:lang w:bidi="ar-SA"/>
              </w:rPr>
              <w:t>7</w:t>
            </w:r>
          </w:p>
        </w:tc>
        <w:tc>
          <w:tcPr>
            <w:tcW w:w="2122" w:type="dxa"/>
            <w:tcBorders>
              <w:top w:val="nil"/>
              <w:left w:val="nil"/>
              <w:bottom w:val="single" w:color="000000" w:sz="4" w:space="0"/>
              <w:right w:val="single" w:color="000000" w:sz="4" w:space="0"/>
            </w:tcBorders>
            <w:shd w:val="clear" w:color="auto" w:fill="FFFFFF"/>
            <w:noWrap w:val="0"/>
            <w:vAlign w:val="center"/>
          </w:tcPr>
          <w:p w14:paraId="4B82E525">
            <w:pPr>
              <w:widowControl/>
              <w:jc w:val="left"/>
              <w:rPr>
                <w:rFonts w:hint="eastAsia" w:ascii="宋体" w:hAnsi="宋体" w:cs="宋体"/>
                <w:kern w:val="0"/>
                <w:sz w:val="24"/>
                <w:highlight w:val="none"/>
                <w:lang w:bidi="ar-SA"/>
              </w:rPr>
            </w:pPr>
          </w:p>
        </w:tc>
        <w:tc>
          <w:tcPr>
            <w:tcW w:w="1701" w:type="dxa"/>
            <w:tcBorders>
              <w:top w:val="nil"/>
              <w:left w:val="nil"/>
              <w:bottom w:val="single" w:color="000000" w:sz="4" w:space="0"/>
              <w:right w:val="single" w:color="000000" w:sz="4" w:space="0"/>
            </w:tcBorders>
            <w:shd w:val="clear" w:color="auto" w:fill="FFFFFF"/>
            <w:noWrap w:val="0"/>
            <w:vAlign w:val="center"/>
          </w:tcPr>
          <w:p w14:paraId="6DBE3D70">
            <w:pPr>
              <w:widowControl/>
              <w:jc w:val="left"/>
              <w:rPr>
                <w:rFonts w:hint="eastAsia" w:ascii="宋体" w:hAnsi="宋体" w:cs="宋体"/>
                <w:kern w:val="0"/>
                <w:sz w:val="24"/>
                <w:highlight w:val="none"/>
                <w:lang w:bidi="ar-SA"/>
              </w:rPr>
            </w:pPr>
          </w:p>
        </w:tc>
        <w:tc>
          <w:tcPr>
            <w:tcW w:w="3402" w:type="dxa"/>
            <w:tcBorders>
              <w:top w:val="nil"/>
              <w:left w:val="nil"/>
              <w:bottom w:val="single" w:color="000000" w:sz="4" w:space="0"/>
              <w:right w:val="single" w:color="000000" w:sz="4" w:space="0"/>
            </w:tcBorders>
            <w:shd w:val="clear" w:color="auto" w:fill="FFFFFF"/>
            <w:noWrap w:val="0"/>
            <w:vAlign w:val="center"/>
          </w:tcPr>
          <w:p w14:paraId="49612204">
            <w:pPr>
              <w:widowControl/>
              <w:jc w:val="center"/>
              <w:rPr>
                <w:rFonts w:hint="eastAsia" w:ascii="宋体" w:hAnsi="宋体" w:cs="宋体"/>
                <w:kern w:val="0"/>
                <w:sz w:val="24"/>
                <w:highlight w:val="none"/>
                <w:lang w:bidi="ar-SA"/>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24283F2D">
            <w:pPr>
              <w:widowControl/>
              <w:jc w:val="center"/>
              <w:rPr>
                <w:rFonts w:hint="eastAsia" w:ascii="宋体" w:hAnsi="宋体" w:cs="宋体"/>
                <w:kern w:val="0"/>
                <w:sz w:val="24"/>
                <w:highlight w:val="none"/>
                <w:lang w:bidi="ar-SA"/>
              </w:rPr>
            </w:pPr>
          </w:p>
        </w:tc>
      </w:tr>
      <w:tr w14:paraId="3DEAB130">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54245729">
            <w:pPr>
              <w:widowControl/>
              <w:jc w:val="center"/>
              <w:rPr>
                <w:rFonts w:hint="eastAsia" w:ascii="宋体" w:hAnsi="宋体" w:cs="宋体"/>
                <w:kern w:val="0"/>
                <w:sz w:val="24"/>
                <w:highlight w:val="none"/>
                <w:lang w:bidi="ar-SA"/>
              </w:rPr>
            </w:pPr>
            <w:r>
              <w:rPr>
                <w:rFonts w:hint="eastAsia" w:ascii="宋体" w:hAnsi="宋体" w:cs="宋体"/>
                <w:kern w:val="0"/>
                <w:sz w:val="24"/>
                <w:highlight w:val="none"/>
                <w:lang w:bidi="ar-SA"/>
              </w:rPr>
              <w:t>8</w:t>
            </w:r>
          </w:p>
        </w:tc>
        <w:tc>
          <w:tcPr>
            <w:tcW w:w="2122" w:type="dxa"/>
            <w:tcBorders>
              <w:top w:val="nil"/>
              <w:left w:val="nil"/>
              <w:bottom w:val="single" w:color="000000" w:sz="4" w:space="0"/>
              <w:right w:val="single" w:color="000000" w:sz="4" w:space="0"/>
            </w:tcBorders>
            <w:shd w:val="clear" w:color="auto" w:fill="FFFFFF"/>
            <w:noWrap w:val="0"/>
            <w:vAlign w:val="center"/>
          </w:tcPr>
          <w:p w14:paraId="56972D5D">
            <w:pPr>
              <w:widowControl/>
              <w:jc w:val="left"/>
              <w:rPr>
                <w:rFonts w:hint="eastAsia" w:ascii="宋体" w:hAnsi="宋体" w:cs="宋体"/>
                <w:kern w:val="0"/>
                <w:sz w:val="24"/>
                <w:highlight w:val="none"/>
                <w:lang w:bidi="ar-SA"/>
              </w:rPr>
            </w:pPr>
          </w:p>
        </w:tc>
        <w:tc>
          <w:tcPr>
            <w:tcW w:w="1701" w:type="dxa"/>
            <w:tcBorders>
              <w:top w:val="nil"/>
              <w:left w:val="nil"/>
              <w:bottom w:val="single" w:color="000000" w:sz="4" w:space="0"/>
              <w:right w:val="single" w:color="000000" w:sz="4" w:space="0"/>
            </w:tcBorders>
            <w:shd w:val="clear" w:color="auto" w:fill="FFFFFF"/>
            <w:noWrap w:val="0"/>
            <w:vAlign w:val="center"/>
          </w:tcPr>
          <w:p w14:paraId="01DB5BE9">
            <w:pPr>
              <w:widowControl/>
              <w:jc w:val="left"/>
              <w:rPr>
                <w:rFonts w:hint="eastAsia" w:ascii="宋体" w:hAnsi="宋体" w:cs="宋体"/>
                <w:kern w:val="0"/>
                <w:sz w:val="24"/>
                <w:highlight w:val="none"/>
                <w:lang w:bidi="ar-SA"/>
              </w:rPr>
            </w:pPr>
          </w:p>
        </w:tc>
        <w:tc>
          <w:tcPr>
            <w:tcW w:w="3402" w:type="dxa"/>
            <w:tcBorders>
              <w:top w:val="nil"/>
              <w:left w:val="nil"/>
              <w:bottom w:val="single" w:color="000000" w:sz="4" w:space="0"/>
              <w:right w:val="single" w:color="000000" w:sz="4" w:space="0"/>
            </w:tcBorders>
            <w:shd w:val="clear" w:color="auto" w:fill="FFFFFF"/>
            <w:noWrap w:val="0"/>
            <w:vAlign w:val="center"/>
          </w:tcPr>
          <w:p w14:paraId="641E2B1D">
            <w:pPr>
              <w:widowControl/>
              <w:jc w:val="center"/>
              <w:rPr>
                <w:rFonts w:hint="eastAsia" w:ascii="宋体" w:hAnsi="宋体" w:cs="宋体"/>
                <w:kern w:val="0"/>
                <w:sz w:val="24"/>
                <w:highlight w:val="none"/>
                <w:lang w:bidi="ar-SA"/>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25953A8C">
            <w:pPr>
              <w:widowControl/>
              <w:jc w:val="center"/>
              <w:rPr>
                <w:rFonts w:hint="eastAsia" w:ascii="宋体" w:hAnsi="宋体" w:cs="宋体"/>
                <w:kern w:val="0"/>
                <w:sz w:val="24"/>
                <w:highlight w:val="none"/>
                <w:lang w:bidi="ar-SA"/>
              </w:rPr>
            </w:pPr>
          </w:p>
        </w:tc>
      </w:tr>
      <w:tr w14:paraId="3D591EB9">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462E99D8">
            <w:pPr>
              <w:widowControl/>
              <w:jc w:val="center"/>
              <w:rPr>
                <w:rFonts w:hint="eastAsia" w:ascii="宋体" w:hAnsi="宋体" w:cs="宋体"/>
                <w:kern w:val="0"/>
                <w:sz w:val="24"/>
                <w:highlight w:val="none"/>
                <w:lang w:bidi="ar-SA"/>
              </w:rPr>
            </w:pPr>
            <w:r>
              <w:rPr>
                <w:rFonts w:hint="eastAsia" w:ascii="宋体" w:hAnsi="宋体" w:cs="宋体"/>
                <w:kern w:val="0"/>
                <w:sz w:val="24"/>
                <w:highlight w:val="none"/>
                <w:lang w:bidi="ar-SA"/>
              </w:rPr>
              <w:t>9</w:t>
            </w:r>
          </w:p>
        </w:tc>
        <w:tc>
          <w:tcPr>
            <w:tcW w:w="2122" w:type="dxa"/>
            <w:tcBorders>
              <w:top w:val="nil"/>
              <w:left w:val="nil"/>
              <w:bottom w:val="single" w:color="000000" w:sz="4" w:space="0"/>
              <w:right w:val="single" w:color="000000" w:sz="4" w:space="0"/>
            </w:tcBorders>
            <w:shd w:val="clear" w:color="auto" w:fill="FFFFFF"/>
            <w:noWrap w:val="0"/>
            <w:vAlign w:val="center"/>
          </w:tcPr>
          <w:p w14:paraId="73F18712">
            <w:pPr>
              <w:widowControl/>
              <w:jc w:val="left"/>
              <w:rPr>
                <w:rFonts w:hint="eastAsia" w:ascii="宋体" w:hAnsi="宋体" w:cs="宋体"/>
                <w:kern w:val="0"/>
                <w:sz w:val="24"/>
                <w:highlight w:val="none"/>
                <w:lang w:bidi="ar-SA"/>
              </w:rPr>
            </w:pPr>
          </w:p>
        </w:tc>
        <w:tc>
          <w:tcPr>
            <w:tcW w:w="1701" w:type="dxa"/>
            <w:tcBorders>
              <w:top w:val="nil"/>
              <w:left w:val="nil"/>
              <w:bottom w:val="single" w:color="000000" w:sz="4" w:space="0"/>
              <w:right w:val="single" w:color="000000" w:sz="4" w:space="0"/>
            </w:tcBorders>
            <w:shd w:val="clear" w:color="auto" w:fill="FFFFFF"/>
            <w:noWrap w:val="0"/>
            <w:vAlign w:val="center"/>
          </w:tcPr>
          <w:p w14:paraId="7397AE8E">
            <w:pPr>
              <w:widowControl/>
              <w:jc w:val="left"/>
              <w:rPr>
                <w:rFonts w:hint="eastAsia" w:ascii="宋体" w:hAnsi="宋体" w:cs="宋体"/>
                <w:kern w:val="0"/>
                <w:sz w:val="24"/>
                <w:highlight w:val="none"/>
                <w:lang w:bidi="ar-SA"/>
              </w:rPr>
            </w:pPr>
          </w:p>
        </w:tc>
        <w:tc>
          <w:tcPr>
            <w:tcW w:w="3402" w:type="dxa"/>
            <w:tcBorders>
              <w:top w:val="nil"/>
              <w:left w:val="nil"/>
              <w:bottom w:val="single" w:color="000000" w:sz="4" w:space="0"/>
              <w:right w:val="single" w:color="000000" w:sz="4" w:space="0"/>
            </w:tcBorders>
            <w:shd w:val="clear" w:color="auto" w:fill="FFFFFF"/>
            <w:noWrap w:val="0"/>
            <w:vAlign w:val="center"/>
          </w:tcPr>
          <w:p w14:paraId="6B814821">
            <w:pPr>
              <w:widowControl/>
              <w:jc w:val="center"/>
              <w:rPr>
                <w:rFonts w:hint="eastAsia" w:ascii="宋体" w:hAnsi="宋体" w:cs="宋体"/>
                <w:kern w:val="0"/>
                <w:sz w:val="24"/>
                <w:highlight w:val="none"/>
                <w:lang w:bidi="ar-SA"/>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3D06FFBF">
            <w:pPr>
              <w:widowControl/>
              <w:jc w:val="center"/>
              <w:rPr>
                <w:rFonts w:hint="eastAsia" w:ascii="宋体" w:hAnsi="宋体" w:cs="宋体"/>
                <w:kern w:val="0"/>
                <w:sz w:val="24"/>
                <w:highlight w:val="none"/>
                <w:lang w:bidi="ar-SA"/>
              </w:rPr>
            </w:pPr>
          </w:p>
        </w:tc>
      </w:tr>
      <w:tr w14:paraId="4A0D9149">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70880071">
            <w:pPr>
              <w:widowControl/>
              <w:jc w:val="center"/>
              <w:rPr>
                <w:rFonts w:hint="eastAsia" w:ascii="宋体" w:hAnsi="宋体" w:cs="宋体"/>
                <w:kern w:val="0"/>
                <w:sz w:val="24"/>
                <w:highlight w:val="none"/>
                <w:lang w:bidi="ar-SA"/>
              </w:rPr>
            </w:pPr>
            <w:r>
              <w:rPr>
                <w:rFonts w:hint="eastAsia" w:ascii="宋体" w:hAnsi="宋体" w:cs="宋体"/>
                <w:kern w:val="0"/>
                <w:sz w:val="24"/>
                <w:highlight w:val="none"/>
                <w:lang w:bidi="ar-SA"/>
              </w:rPr>
              <w:t>10</w:t>
            </w:r>
          </w:p>
        </w:tc>
        <w:tc>
          <w:tcPr>
            <w:tcW w:w="2122" w:type="dxa"/>
            <w:tcBorders>
              <w:top w:val="nil"/>
              <w:left w:val="nil"/>
              <w:bottom w:val="single" w:color="000000" w:sz="4" w:space="0"/>
              <w:right w:val="single" w:color="000000" w:sz="4" w:space="0"/>
            </w:tcBorders>
            <w:shd w:val="clear" w:color="auto" w:fill="FFFFFF"/>
            <w:noWrap w:val="0"/>
            <w:vAlign w:val="center"/>
          </w:tcPr>
          <w:p w14:paraId="2A8BFDF4">
            <w:pPr>
              <w:widowControl/>
              <w:jc w:val="left"/>
              <w:rPr>
                <w:rFonts w:hint="eastAsia" w:ascii="宋体" w:hAnsi="宋体" w:cs="宋体"/>
                <w:kern w:val="0"/>
                <w:sz w:val="24"/>
                <w:highlight w:val="none"/>
                <w:lang w:bidi="ar-SA"/>
              </w:rPr>
            </w:pPr>
          </w:p>
        </w:tc>
        <w:tc>
          <w:tcPr>
            <w:tcW w:w="1701" w:type="dxa"/>
            <w:tcBorders>
              <w:top w:val="nil"/>
              <w:left w:val="nil"/>
              <w:bottom w:val="single" w:color="000000" w:sz="4" w:space="0"/>
              <w:right w:val="single" w:color="000000" w:sz="4" w:space="0"/>
            </w:tcBorders>
            <w:shd w:val="clear" w:color="auto" w:fill="FFFFFF"/>
            <w:noWrap w:val="0"/>
            <w:vAlign w:val="center"/>
          </w:tcPr>
          <w:p w14:paraId="3C4169F1">
            <w:pPr>
              <w:widowControl/>
              <w:jc w:val="left"/>
              <w:rPr>
                <w:rFonts w:hint="eastAsia" w:ascii="宋体" w:hAnsi="宋体" w:cs="宋体"/>
                <w:kern w:val="0"/>
                <w:sz w:val="24"/>
                <w:highlight w:val="none"/>
                <w:lang w:bidi="ar-SA"/>
              </w:rPr>
            </w:pPr>
          </w:p>
        </w:tc>
        <w:tc>
          <w:tcPr>
            <w:tcW w:w="3402" w:type="dxa"/>
            <w:tcBorders>
              <w:top w:val="nil"/>
              <w:left w:val="nil"/>
              <w:bottom w:val="single" w:color="000000" w:sz="4" w:space="0"/>
              <w:right w:val="single" w:color="000000" w:sz="4" w:space="0"/>
            </w:tcBorders>
            <w:shd w:val="clear" w:color="auto" w:fill="FFFFFF"/>
            <w:noWrap w:val="0"/>
            <w:vAlign w:val="center"/>
          </w:tcPr>
          <w:p w14:paraId="6AA0B3C1">
            <w:pPr>
              <w:widowControl/>
              <w:jc w:val="center"/>
              <w:rPr>
                <w:rFonts w:hint="eastAsia" w:ascii="宋体" w:hAnsi="宋体" w:cs="宋体"/>
                <w:kern w:val="0"/>
                <w:sz w:val="24"/>
                <w:highlight w:val="none"/>
                <w:lang w:bidi="ar-SA"/>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1714600C">
            <w:pPr>
              <w:widowControl/>
              <w:jc w:val="center"/>
              <w:rPr>
                <w:rFonts w:hint="eastAsia" w:ascii="宋体" w:hAnsi="宋体" w:cs="宋体"/>
                <w:kern w:val="0"/>
                <w:sz w:val="24"/>
                <w:highlight w:val="none"/>
                <w:lang w:bidi="ar-SA"/>
              </w:rPr>
            </w:pPr>
          </w:p>
        </w:tc>
      </w:tr>
      <w:tr w14:paraId="57994FFB">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7F8A13EB">
            <w:pPr>
              <w:widowControl/>
              <w:jc w:val="center"/>
              <w:rPr>
                <w:rFonts w:hint="eastAsia" w:ascii="宋体" w:hAnsi="宋体" w:cs="宋体"/>
                <w:kern w:val="0"/>
                <w:sz w:val="24"/>
                <w:highlight w:val="none"/>
                <w:lang w:bidi="ar-SA"/>
              </w:rPr>
            </w:pPr>
            <w:r>
              <w:rPr>
                <w:rFonts w:hint="eastAsia" w:ascii="宋体" w:hAnsi="宋体" w:cs="宋体"/>
                <w:kern w:val="0"/>
                <w:sz w:val="24"/>
                <w:highlight w:val="none"/>
                <w:lang w:bidi="ar-SA"/>
              </w:rPr>
              <w:t>11</w:t>
            </w:r>
          </w:p>
        </w:tc>
        <w:tc>
          <w:tcPr>
            <w:tcW w:w="2122" w:type="dxa"/>
            <w:tcBorders>
              <w:top w:val="nil"/>
              <w:left w:val="nil"/>
              <w:bottom w:val="single" w:color="000000" w:sz="4" w:space="0"/>
              <w:right w:val="single" w:color="000000" w:sz="4" w:space="0"/>
            </w:tcBorders>
            <w:shd w:val="clear" w:color="auto" w:fill="FFFFFF"/>
            <w:noWrap w:val="0"/>
            <w:vAlign w:val="center"/>
          </w:tcPr>
          <w:p w14:paraId="6BC4F411">
            <w:pPr>
              <w:widowControl/>
              <w:jc w:val="left"/>
              <w:rPr>
                <w:rFonts w:hint="eastAsia" w:ascii="宋体" w:hAnsi="宋体" w:cs="宋体"/>
                <w:kern w:val="0"/>
                <w:sz w:val="24"/>
                <w:highlight w:val="none"/>
                <w:lang w:bidi="ar-SA"/>
              </w:rPr>
            </w:pPr>
          </w:p>
        </w:tc>
        <w:tc>
          <w:tcPr>
            <w:tcW w:w="1701" w:type="dxa"/>
            <w:tcBorders>
              <w:top w:val="nil"/>
              <w:left w:val="nil"/>
              <w:bottom w:val="single" w:color="000000" w:sz="4" w:space="0"/>
              <w:right w:val="single" w:color="000000" w:sz="4" w:space="0"/>
            </w:tcBorders>
            <w:shd w:val="clear" w:color="auto" w:fill="FFFFFF"/>
            <w:noWrap w:val="0"/>
            <w:vAlign w:val="center"/>
          </w:tcPr>
          <w:p w14:paraId="6D872914">
            <w:pPr>
              <w:widowControl/>
              <w:jc w:val="left"/>
              <w:rPr>
                <w:rFonts w:hint="eastAsia" w:ascii="宋体" w:hAnsi="宋体" w:cs="宋体"/>
                <w:kern w:val="0"/>
                <w:sz w:val="24"/>
                <w:highlight w:val="none"/>
                <w:lang w:bidi="ar-SA"/>
              </w:rPr>
            </w:pPr>
          </w:p>
        </w:tc>
        <w:tc>
          <w:tcPr>
            <w:tcW w:w="3402" w:type="dxa"/>
            <w:tcBorders>
              <w:top w:val="nil"/>
              <w:left w:val="nil"/>
              <w:bottom w:val="single" w:color="000000" w:sz="4" w:space="0"/>
              <w:right w:val="single" w:color="000000" w:sz="4" w:space="0"/>
            </w:tcBorders>
            <w:shd w:val="clear" w:color="auto" w:fill="FFFFFF"/>
            <w:noWrap w:val="0"/>
            <w:vAlign w:val="center"/>
          </w:tcPr>
          <w:p w14:paraId="7072E1F9">
            <w:pPr>
              <w:widowControl/>
              <w:jc w:val="center"/>
              <w:rPr>
                <w:rFonts w:hint="eastAsia" w:ascii="宋体" w:hAnsi="宋体" w:cs="宋体"/>
                <w:kern w:val="0"/>
                <w:sz w:val="24"/>
                <w:highlight w:val="none"/>
                <w:lang w:bidi="ar-SA"/>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4FD7AB41">
            <w:pPr>
              <w:widowControl/>
              <w:jc w:val="center"/>
              <w:rPr>
                <w:rFonts w:hint="eastAsia" w:ascii="宋体" w:hAnsi="宋体" w:cs="宋体"/>
                <w:kern w:val="0"/>
                <w:sz w:val="24"/>
                <w:highlight w:val="none"/>
                <w:lang w:bidi="ar-SA"/>
              </w:rPr>
            </w:pPr>
          </w:p>
        </w:tc>
      </w:tr>
      <w:tr w14:paraId="50601627">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297CE46F">
            <w:pPr>
              <w:widowControl/>
              <w:jc w:val="center"/>
              <w:rPr>
                <w:rFonts w:hint="eastAsia" w:ascii="宋体" w:hAnsi="宋体" w:cs="宋体"/>
                <w:kern w:val="0"/>
                <w:sz w:val="24"/>
                <w:highlight w:val="none"/>
                <w:lang w:bidi="ar-SA"/>
              </w:rPr>
            </w:pPr>
            <w:r>
              <w:rPr>
                <w:rFonts w:hint="eastAsia" w:ascii="宋体" w:hAnsi="宋体" w:cs="宋体"/>
                <w:kern w:val="0"/>
                <w:sz w:val="24"/>
                <w:highlight w:val="none"/>
                <w:lang w:bidi="ar-SA"/>
              </w:rPr>
              <w:t>12</w:t>
            </w:r>
          </w:p>
        </w:tc>
        <w:tc>
          <w:tcPr>
            <w:tcW w:w="2122" w:type="dxa"/>
            <w:tcBorders>
              <w:top w:val="nil"/>
              <w:left w:val="nil"/>
              <w:bottom w:val="single" w:color="000000" w:sz="4" w:space="0"/>
              <w:right w:val="single" w:color="000000" w:sz="4" w:space="0"/>
            </w:tcBorders>
            <w:shd w:val="clear" w:color="auto" w:fill="FFFFFF"/>
            <w:noWrap w:val="0"/>
            <w:vAlign w:val="center"/>
          </w:tcPr>
          <w:p w14:paraId="6D77D872">
            <w:pPr>
              <w:widowControl/>
              <w:jc w:val="left"/>
              <w:rPr>
                <w:rFonts w:hint="eastAsia" w:ascii="宋体" w:hAnsi="宋体" w:cs="宋体"/>
                <w:kern w:val="0"/>
                <w:sz w:val="24"/>
                <w:highlight w:val="none"/>
                <w:lang w:bidi="ar-SA"/>
              </w:rPr>
            </w:pPr>
          </w:p>
        </w:tc>
        <w:tc>
          <w:tcPr>
            <w:tcW w:w="1701" w:type="dxa"/>
            <w:tcBorders>
              <w:top w:val="nil"/>
              <w:left w:val="nil"/>
              <w:bottom w:val="single" w:color="000000" w:sz="4" w:space="0"/>
              <w:right w:val="single" w:color="000000" w:sz="4" w:space="0"/>
            </w:tcBorders>
            <w:shd w:val="clear" w:color="auto" w:fill="FFFFFF"/>
            <w:noWrap w:val="0"/>
            <w:vAlign w:val="center"/>
          </w:tcPr>
          <w:p w14:paraId="3A55005A">
            <w:pPr>
              <w:widowControl/>
              <w:jc w:val="left"/>
              <w:rPr>
                <w:rFonts w:hint="eastAsia" w:ascii="宋体" w:hAnsi="宋体" w:cs="宋体"/>
                <w:kern w:val="0"/>
                <w:sz w:val="24"/>
                <w:highlight w:val="none"/>
                <w:lang w:bidi="ar-SA"/>
              </w:rPr>
            </w:pPr>
          </w:p>
        </w:tc>
        <w:tc>
          <w:tcPr>
            <w:tcW w:w="3402" w:type="dxa"/>
            <w:tcBorders>
              <w:top w:val="nil"/>
              <w:left w:val="nil"/>
              <w:bottom w:val="single" w:color="000000" w:sz="4" w:space="0"/>
              <w:right w:val="single" w:color="000000" w:sz="4" w:space="0"/>
            </w:tcBorders>
            <w:shd w:val="clear" w:color="auto" w:fill="FFFFFF"/>
            <w:noWrap w:val="0"/>
            <w:vAlign w:val="center"/>
          </w:tcPr>
          <w:p w14:paraId="4D6F07A4">
            <w:pPr>
              <w:widowControl/>
              <w:jc w:val="center"/>
              <w:rPr>
                <w:rFonts w:hint="eastAsia" w:ascii="宋体" w:hAnsi="宋体" w:cs="宋体"/>
                <w:kern w:val="0"/>
                <w:sz w:val="24"/>
                <w:highlight w:val="none"/>
                <w:lang w:bidi="ar-SA"/>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0BF908B6">
            <w:pPr>
              <w:widowControl/>
              <w:jc w:val="center"/>
              <w:rPr>
                <w:rFonts w:hint="eastAsia" w:ascii="宋体" w:hAnsi="宋体" w:cs="宋体"/>
                <w:kern w:val="0"/>
                <w:sz w:val="24"/>
                <w:highlight w:val="none"/>
                <w:lang w:bidi="ar-SA"/>
              </w:rPr>
            </w:pPr>
          </w:p>
        </w:tc>
      </w:tr>
      <w:tr w14:paraId="5C41F199">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61C16ACF">
            <w:pPr>
              <w:widowControl/>
              <w:jc w:val="center"/>
              <w:rPr>
                <w:rFonts w:hint="eastAsia" w:ascii="宋体" w:hAnsi="宋体" w:cs="宋体"/>
                <w:kern w:val="0"/>
                <w:sz w:val="24"/>
                <w:highlight w:val="none"/>
                <w:lang w:bidi="ar-SA"/>
              </w:rPr>
            </w:pPr>
            <w:r>
              <w:rPr>
                <w:rFonts w:hint="eastAsia" w:ascii="宋体" w:hAnsi="宋体" w:cs="宋体"/>
                <w:kern w:val="0"/>
                <w:sz w:val="24"/>
                <w:highlight w:val="none"/>
                <w:lang w:bidi="ar-SA"/>
              </w:rPr>
              <w:t>13</w:t>
            </w:r>
          </w:p>
        </w:tc>
        <w:tc>
          <w:tcPr>
            <w:tcW w:w="2122" w:type="dxa"/>
            <w:tcBorders>
              <w:top w:val="nil"/>
              <w:left w:val="nil"/>
              <w:bottom w:val="single" w:color="000000" w:sz="4" w:space="0"/>
              <w:right w:val="single" w:color="000000" w:sz="4" w:space="0"/>
            </w:tcBorders>
            <w:shd w:val="clear" w:color="auto" w:fill="FFFFFF"/>
            <w:noWrap w:val="0"/>
            <w:vAlign w:val="center"/>
          </w:tcPr>
          <w:p w14:paraId="6F8CF4ED">
            <w:pPr>
              <w:widowControl/>
              <w:jc w:val="left"/>
              <w:rPr>
                <w:rFonts w:hint="eastAsia" w:ascii="宋体" w:hAnsi="宋体" w:cs="宋体"/>
                <w:kern w:val="0"/>
                <w:sz w:val="24"/>
                <w:highlight w:val="none"/>
                <w:lang w:bidi="ar-SA"/>
              </w:rPr>
            </w:pPr>
          </w:p>
        </w:tc>
        <w:tc>
          <w:tcPr>
            <w:tcW w:w="1701" w:type="dxa"/>
            <w:tcBorders>
              <w:top w:val="nil"/>
              <w:left w:val="nil"/>
              <w:bottom w:val="single" w:color="000000" w:sz="4" w:space="0"/>
              <w:right w:val="single" w:color="000000" w:sz="4" w:space="0"/>
            </w:tcBorders>
            <w:shd w:val="clear" w:color="auto" w:fill="FFFFFF"/>
            <w:noWrap w:val="0"/>
            <w:vAlign w:val="center"/>
          </w:tcPr>
          <w:p w14:paraId="5DA946C1">
            <w:pPr>
              <w:widowControl/>
              <w:jc w:val="left"/>
              <w:rPr>
                <w:rFonts w:hint="eastAsia" w:ascii="宋体" w:hAnsi="宋体" w:cs="宋体"/>
                <w:kern w:val="0"/>
                <w:sz w:val="24"/>
                <w:highlight w:val="none"/>
                <w:lang w:bidi="ar-SA"/>
              </w:rPr>
            </w:pPr>
          </w:p>
        </w:tc>
        <w:tc>
          <w:tcPr>
            <w:tcW w:w="3402" w:type="dxa"/>
            <w:tcBorders>
              <w:top w:val="nil"/>
              <w:left w:val="nil"/>
              <w:bottom w:val="single" w:color="000000" w:sz="4" w:space="0"/>
              <w:right w:val="single" w:color="000000" w:sz="4" w:space="0"/>
            </w:tcBorders>
            <w:shd w:val="clear" w:color="auto" w:fill="FFFFFF"/>
            <w:noWrap w:val="0"/>
            <w:vAlign w:val="center"/>
          </w:tcPr>
          <w:p w14:paraId="685B35F6">
            <w:pPr>
              <w:widowControl/>
              <w:jc w:val="center"/>
              <w:rPr>
                <w:rFonts w:hint="eastAsia" w:ascii="宋体" w:hAnsi="宋体" w:cs="宋体"/>
                <w:kern w:val="0"/>
                <w:sz w:val="24"/>
                <w:highlight w:val="none"/>
                <w:lang w:bidi="ar-SA"/>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25CA6768">
            <w:pPr>
              <w:widowControl/>
              <w:jc w:val="center"/>
              <w:rPr>
                <w:rFonts w:hint="eastAsia" w:ascii="宋体" w:hAnsi="宋体" w:cs="宋体"/>
                <w:kern w:val="0"/>
                <w:sz w:val="24"/>
                <w:highlight w:val="none"/>
                <w:lang w:bidi="ar-SA"/>
              </w:rPr>
            </w:pPr>
          </w:p>
        </w:tc>
      </w:tr>
    </w:tbl>
    <w:p w14:paraId="57F63E5C">
      <w:pPr>
        <w:snapToGrid w:val="0"/>
        <w:spacing w:before="120" w:beforeLines="50" w:after="50" w:line="360" w:lineRule="auto"/>
        <w:rPr>
          <w:rFonts w:hint="eastAsia" w:ascii="宋体" w:hAnsi="宋体"/>
          <w:b/>
          <w:szCs w:val="21"/>
          <w:highlight w:val="none"/>
        </w:rPr>
      </w:pPr>
      <w:r>
        <w:rPr>
          <w:rFonts w:hint="eastAsia" w:ascii="宋体" w:hAnsi="宋体"/>
          <w:b/>
          <w:szCs w:val="21"/>
          <w:highlight w:val="none"/>
        </w:rPr>
        <w:t>注：投标人根据招标清单中的内容进行填写，</w:t>
      </w:r>
      <w:bookmarkStart w:id="152" w:name="_Hlk52958408"/>
      <w:r>
        <w:rPr>
          <w:rFonts w:hint="eastAsia" w:ascii="宋体" w:hAnsi="宋体"/>
          <w:b/>
          <w:szCs w:val="21"/>
          <w:highlight w:val="none"/>
        </w:rPr>
        <w:t>材料说明表中勿填写价格信息。</w:t>
      </w:r>
      <w:bookmarkEnd w:id="152"/>
    </w:p>
    <w:p w14:paraId="32D188BC">
      <w:pPr>
        <w:snapToGrid w:val="0"/>
        <w:spacing w:before="50" w:after="120" w:afterLines="50"/>
        <w:jc w:val="left"/>
        <w:rPr>
          <w:rFonts w:hint="eastAsia" w:ascii="宋体" w:hAnsi="宋体"/>
          <w:spacing w:val="20"/>
          <w:sz w:val="24"/>
          <w:highlight w:val="none"/>
        </w:rPr>
      </w:pPr>
      <w:r>
        <w:rPr>
          <w:rFonts w:hint="eastAsia" w:ascii="宋体" w:hAnsi="宋体"/>
          <w:spacing w:val="20"/>
          <w:sz w:val="24"/>
          <w:highlight w:val="none"/>
        </w:rPr>
        <w:t>法定代表人签字（或盖章）：            投标人（盖章）：</w:t>
      </w:r>
    </w:p>
    <w:p w14:paraId="69148016">
      <w:pPr>
        <w:snapToGrid w:val="0"/>
        <w:spacing w:before="50" w:after="120" w:afterLines="50"/>
        <w:jc w:val="left"/>
        <w:rPr>
          <w:rFonts w:hint="eastAsia" w:ascii="宋体" w:hAnsi="宋体"/>
          <w:sz w:val="24"/>
          <w:highlight w:val="none"/>
        </w:rPr>
      </w:pPr>
      <w:r>
        <w:rPr>
          <w:rFonts w:hint="eastAsia" w:ascii="宋体" w:hAnsi="宋体"/>
          <w:sz w:val="24"/>
          <w:szCs w:val="20"/>
          <w:highlight w:val="none"/>
        </w:rPr>
        <w:t>日期：</w:t>
      </w:r>
    </w:p>
    <w:p w14:paraId="0CC9D09B">
      <w:pPr>
        <w:snapToGrid w:val="0"/>
        <w:spacing w:before="50" w:after="120" w:afterLines="50"/>
        <w:jc w:val="left"/>
        <w:rPr>
          <w:rFonts w:hint="eastAsia" w:ascii="宋体" w:hAnsi="宋体"/>
          <w:sz w:val="24"/>
          <w:highlight w:val="none"/>
        </w:rPr>
      </w:pPr>
    </w:p>
    <w:p w14:paraId="74E93D4B">
      <w:pPr>
        <w:pStyle w:val="50"/>
        <w:rPr>
          <w:rFonts w:hint="eastAsia"/>
        </w:rPr>
        <w:sectPr>
          <w:footerReference r:id="rId9" w:type="default"/>
          <w:pgSz w:w="11906" w:h="16838"/>
          <w:pgMar w:top="850" w:right="1587" w:bottom="850" w:left="1587" w:header="567" w:footer="454" w:gutter="0"/>
          <w:pgNumType w:fmt="decimal" w:start="37"/>
          <w:cols w:space="0" w:num="1"/>
          <w:rtlGutter w:val="0"/>
          <w:docGrid w:linePitch="286" w:charSpace="0"/>
        </w:sectPr>
      </w:pPr>
    </w:p>
    <w:p w14:paraId="42018363">
      <w:pPr>
        <w:snapToGrid w:val="0"/>
        <w:spacing w:before="50" w:after="120" w:afterLines="50"/>
        <w:jc w:val="left"/>
        <w:rPr>
          <w:rFonts w:hint="eastAsia" w:ascii="宋体" w:hAnsi="宋体" w:cs="宋体"/>
          <w:sz w:val="24"/>
          <w:szCs w:val="20"/>
          <w:highlight w:val="none"/>
          <w:lang w:bidi="ar-SA"/>
        </w:rPr>
      </w:pPr>
      <w:r>
        <w:rPr>
          <w:rFonts w:hint="eastAsia" w:ascii="宋体" w:hAnsi="宋体" w:cs="宋体"/>
          <w:sz w:val="24"/>
          <w:highlight w:val="none"/>
          <w:lang w:val="en-US" w:eastAsia="zh-CN" w:bidi="ar-SA"/>
        </w:rPr>
        <w:t>11、</w:t>
      </w:r>
      <w:r>
        <w:rPr>
          <w:rFonts w:hint="eastAsia" w:ascii="宋体" w:hAnsi="宋体" w:cs="宋体"/>
          <w:sz w:val="24"/>
          <w:highlight w:val="none"/>
          <w:lang w:bidi="ar-SA"/>
        </w:rPr>
        <w:t>售后服务网点情况表格式：</w:t>
      </w:r>
    </w:p>
    <w:p w14:paraId="24B2DF5B">
      <w:pPr>
        <w:snapToGrid w:val="0"/>
        <w:spacing w:before="50" w:after="120" w:afterLines="50"/>
        <w:jc w:val="left"/>
        <w:rPr>
          <w:rFonts w:hint="eastAsia" w:ascii="宋体" w:hAnsi="宋体" w:cs="宋体"/>
          <w:sz w:val="24"/>
          <w:szCs w:val="20"/>
          <w:highlight w:val="none"/>
          <w:lang w:bidi="ar-SA"/>
        </w:rPr>
      </w:pPr>
      <w:r>
        <w:rPr>
          <w:rFonts w:hint="eastAsia" w:ascii="宋体" w:hAnsi="宋体" w:cs="宋体"/>
          <w:sz w:val="24"/>
          <w:szCs w:val="20"/>
          <w:highlight w:val="none"/>
          <w:lang w:bidi="ar-SA"/>
        </w:rPr>
        <w:t xml:space="preserve"> </w:t>
      </w:r>
    </w:p>
    <w:p w14:paraId="6852929D">
      <w:pPr>
        <w:pStyle w:val="39"/>
        <w:snapToGrid w:val="0"/>
        <w:rPr>
          <w:rFonts w:hint="eastAsia" w:ascii="宋体" w:hAnsi="宋体" w:cs="宋体"/>
          <w:sz w:val="24"/>
          <w:highlight w:val="none"/>
          <w:lang w:bidi="ar-SA"/>
        </w:rPr>
      </w:pPr>
    </w:p>
    <w:p w14:paraId="7456EFE5">
      <w:pPr>
        <w:pStyle w:val="39"/>
        <w:snapToGrid w:val="0"/>
        <w:jc w:val="center"/>
        <w:rPr>
          <w:rFonts w:hint="eastAsia" w:ascii="宋体" w:hAnsi="宋体" w:cs="宋体"/>
          <w:b/>
          <w:sz w:val="24"/>
          <w:highlight w:val="none"/>
          <w:lang w:bidi="ar-SA"/>
        </w:rPr>
      </w:pPr>
      <w:r>
        <w:rPr>
          <w:rFonts w:hint="eastAsia" w:ascii="宋体" w:hAnsi="宋体" w:cs="宋体"/>
          <w:b/>
          <w:sz w:val="24"/>
          <w:highlight w:val="none"/>
          <w:lang w:bidi="ar-SA"/>
        </w:rPr>
        <w:t>售后服务网点情况表</w:t>
      </w:r>
    </w:p>
    <w:p w14:paraId="673A0472">
      <w:pPr>
        <w:snapToGrid w:val="0"/>
        <w:spacing w:before="120" w:beforeLines="50" w:after="50" w:line="360" w:lineRule="auto"/>
        <w:jc w:val="center"/>
        <w:rPr>
          <w:rFonts w:hint="eastAsia" w:ascii="宋体" w:hAnsi="宋体" w:cs="宋体"/>
          <w:bCs/>
          <w:sz w:val="24"/>
          <w:highlight w:val="none"/>
          <w:lang w:bidi="ar-SA"/>
        </w:rPr>
      </w:pPr>
    </w:p>
    <w:p w14:paraId="05D57F9D">
      <w:pPr>
        <w:snapToGrid w:val="0"/>
        <w:spacing w:before="120" w:beforeLines="50" w:after="50" w:line="480" w:lineRule="auto"/>
        <w:rPr>
          <w:rFonts w:hint="default" w:ascii="宋体" w:hAnsi="宋体" w:eastAsia="宋体" w:cs="宋体"/>
          <w:bCs/>
          <w:sz w:val="24"/>
          <w:szCs w:val="20"/>
          <w:highlight w:val="none"/>
          <w:lang w:val="en-US" w:eastAsia="zh-CN" w:bidi="ar-SA"/>
        </w:rPr>
      </w:pPr>
      <w:r>
        <w:rPr>
          <w:rFonts w:hint="eastAsia" w:ascii="宋体" w:hAnsi="宋体" w:cs="宋体"/>
          <w:bCs/>
          <w:sz w:val="24"/>
          <w:highlight w:val="none"/>
          <w:lang w:bidi="ar-SA"/>
        </w:rPr>
        <w:t>项目名称：</w:t>
      </w:r>
      <w:r>
        <w:rPr>
          <w:rFonts w:hint="eastAsia" w:ascii="宋体" w:hAnsi="宋体" w:cs="宋体"/>
          <w:bCs/>
          <w:sz w:val="24"/>
          <w:highlight w:val="none"/>
          <w:lang w:val="en-US" w:eastAsia="zh-CN" w:bidi="ar-SA"/>
        </w:rPr>
        <w:t xml:space="preserve">                    项目编号：</w:t>
      </w:r>
    </w:p>
    <w:tbl>
      <w:tblPr>
        <w:tblStyle w:val="51"/>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5EC5EA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noWrap w:val="0"/>
            <w:vAlign w:val="top"/>
          </w:tcPr>
          <w:p w14:paraId="0A001BA1">
            <w:pPr>
              <w:snapToGrid w:val="0"/>
              <w:spacing w:before="50" w:after="120" w:afterLines="50" w:line="360" w:lineRule="auto"/>
              <w:jc w:val="left"/>
              <w:rPr>
                <w:rFonts w:hint="eastAsia" w:ascii="宋体" w:hAnsi="宋体" w:cs="宋体"/>
                <w:sz w:val="24"/>
                <w:szCs w:val="20"/>
                <w:highlight w:val="none"/>
                <w:lang w:bidi="ar-SA"/>
              </w:rPr>
            </w:pPr>
            <w:r>
              <w:rPr>
                <w:rFonts w:hint="eastAsia" w:ascii="宋体" w:hAnsi="宋体" w:cs="宋体"/>
                <w:sz w:val="24"/>
                <w:highlight w:val="none"/>
                <w:lang w:bidi="ar-SA"/>
              </w:rPr>
              <w:t>服务网点名称</w:t>
            </w:r>
          </w:p>
        </w:tc>
        <w:tc>
          <w:tcPr>
            <w:tcW w:w="6538" w:type="dxa"/>
            <w:gridSpan w:val="5"/>
            <w:tcBorders>
              <w:top w:val="single" w:color="auto" w:sz="4" w:space="0"/>
              <w:left w:val="single" w:color="auto" w:sz="4" w:space="0"/>
              <w:bottom w:val="single" w:color="auto" w:sz="4" w:space="0"/>
              <w:right w:val="single" w:color="auto" w:sz="4" w:space="0"/>
            </w:tcBorders>
            <w:noWrap w:val="0"/>
            <w:vAlign w:val="top"/>
          </w:tcPr>
          <w:p w14:paraId="20910CC2">
            <w:pPr>
              <w:snapToGrid w:val="0"/>
              <w:spacing w:before="50" w:after="120" w:afterLines="50" w:line="360" w:lineRule="auto"/>
              <w:jc w:val="left"/>
              <w:rPr>
                <w:rFonts w:hint="eastAsia" w:ascii="宋体" w:hAnsi="宋体" w:cs="宋体"/>
                <w:sz w:val="24"/>
                <w:szCs w:val="20"/>
                <w:highlight w:val="none"/>
                <w:lang w:bidi="ar-SA"/>
              </w:rPr>
            </w:pPr>
          </w:p>
        </w:tc>
        <w:tc>
          <w:tcPr>
            <w:tcW w:w="1080" w:type="dxa"/>
            <w:vMerge w:val="restart"/>
            <w:tcBorders>
              <w:top w:val="single" w:color="auto" w:sz="4" w:space="0"/>
              <w:left w:val="single" w:color="auto" w:sz="4" w:space="0"/>
              <w:bottom w:val="single" w:color="auto" w:sz="4" w:space="0"/>
              <w:right w:val="single" w:color="auto" w:sz="4" w:space="0"/>
            </w:tcBorders>
            <w:noWrap w:val="0"/>
            <w:vAlign w:val="top"/>
          </w:tcPr>
          <w:p w14:paraId="2D435E70">
            <w:pPr>
              <w:snapToGrid w:val="0"/>
              <w:spacing w:before="50" w:after="120" w:afterLines="50" w:line="360" w:lineRule="auto"/>
              <w:jc w:val="center"/>
              <w:rPr>
                <w:rFonts w:hint="eastAsia" w:ascii="宋体" w:hAnsi="宋体" w:cs="宋体"/>
                <w:sz w:val="24"/>
                <w:szCs w:val="20"/>
                <w:highlight w:val="none"/>
                <w:lang w:bidi="ar-SA"/>
              </w:rPr>
            </w:pPr>
            <w:r>
              <w:rPr>
                <w:rFonts w:hint="eastAsia" w:ascii="宋体" w:hAnsi="宋体" w:cs="宋体"/>
                <w:sz w:val="24"/>
                <w:highlight w:val="none"/>
                <w:lang w:bidi="ar-SA"/>
              </w:rPr>
              <w:t>投标文件页码</w:t>
            </w:r>
          </w:p>
        </w:tc>
      </w:tr>
      <w:tr w14:paraId="5BE27C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noWrap w:val="0"/>
            <w:vAlign w:val="top"/>
          </w:tcPr>
          <w:p w14:paraId="23E973FD">
            <w:pPr>
              <w:snapToGrid w:val="0"/>
              <w:spacing w:before="50" w:after="120" w:afterLines="50" w:line="360" w:lineRule="auto"/>
              <w:jc w:val="left"/>
              <w:rPr>
                <w:rFonts w:hint="eastAsia" w:ascii="宋体" w:hAnsi="宋体" w:cs="宋体"/>
                <w:sz w:val="24"/>
                <w:szCs w:val="20"/>
                <w:highlight w:val="none"/>
                <w:lang w:bidi="ar-SA"/>
              </w:rPr>
            </w:pPr>
            <w:r>
              <w:rPr>
                <w:rFonts w:hint="eastAsia" w:ascii="宋体" w:hAnsi="宋体" w:cs="宋体"/>
                <w:sz w:val="24"/>
                <w:highlight w:val="none"/>
                <w:lang w:bidi="ar-SA"/>
              </w:rPr>
              <w:t>地址</w:t>
            </w:r>
          </w:p>
        </w:tc>
        <w:tc>
          <w:tcPr>
            <w:tcW w:w="6538" w:type="dxa"/>
            <w:gridSpan w:val="5"/>
            <w:tcBorders>
              <w:top w:val="single" w:color="auto" w:sz="4" w:space="0"/>
              <w:left w:val="single" w:color="auto" w:sz="4" w:space="0"/>
              <w:bottom w:val="single" w:color="auto" w:sz="4" w:space="0"/>
              <w:right w:val="single" w:color="auto" w:sz="4" w:space="0"/>
            </w:tcBorders>
            <w:noWrap w:val="0"/>
            <w:vAlign w:val="top"/>
          </w:tcPr>
          <w:p w14:paraId="425E9540">
            <w:pPr>
              <w:snapToGrid w:val="0"/>
              <w:spacing w:before="50" w:after="120" w:afterLines="50" w:line="360" w:lineRule="auto"/>
              <w:jc w:val="left"/>
              <w:rPr>
                <w:rFonts w:hint="eastAsia" w:ascii="宋体" w:hAnsi="宋体" w:cs="宋体"/>
                <w:sz w:val="24"/>
                <w:szCs w:val="20"/>
                <w:highlight w:val="none"/>
                <w:lang w:bidi="ar-SA"/>
              </w:rPr>
            </w:pPr>
          </w:p>
        </w:tc>
        <w:tc>
          <w:tcPr>
            <w:tcW w:w="1080" w:type="dxa"/>
            <w:vMerge w:val="continue"/>
            <w:tcBorders>
              <w:top w:val="single" w:color="auto" w:sz="4" w:space="0"/>
              <w:left w:val="single" w:color="auto" w:sz="4" w:space="0"/>
              <w:bottom w:val="single" w:color="auto" w:sz="4" w:space="0"/>
              <w:right w:val="single" w:color="auto" w:sz="4" w:space="0"/>
            </w:tcBorders>
            <w:noWrap w:val="0"/>
            <w:vAlign w:val="center"/>
          </w:tcPr>
          <w:p w14:paraId="6A2031B8">
            <w:pPr>
              <w:rPr>
                <w:highlight w:val="none"/>
              </w:rPr>
            </w:pPr>
          </w:p>
        </w:tc>
      </w:tr>
      <w:tr w14:paraId="75561D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noWrap w:val="0"/>
            <w:vAlign w:val="top"/>
          </w:tcPr>
          <w:p w14:paraId="1C9D9E8C">
            <w:pPr>
              <w:snapToGrid w:val="0"/>
              <w:spacing w:before="50" w:after="120" w:afterLines="50" w:line="360" w:lineRule="auto"/>
              <w:jc w:val="left"/>
              <w:rPr>
                <w:rFonts w:hint="eastAsia" w:ascii="宋体" w:hAnsi="宋体" w:cs="宋体"/>
                <w:sz w:val="24"/>
                <w:szCs w:val="20"/>
                <w:highlight w:val="none"/>
                <w:lang w:bidi="ar-SA"/>
              </w:rPr>
            </w:pPr>
            <w:r>
              <w:rPr>
                <w:rFonts w:hint="eastAsia" w:ascii="宋体" w:hAnsi="宋体" w:cs="宋体"/>
                <w:sz w:val="24"/>
                <w:highlight w:val="none"/>
                <w:lang w:bidi="ar-SA"/>
              </w:rPr>
              <w:t>注册资本金</w:t>
            </w:r>
          </w:p>
        </w:tc>
        <w:tc>
          <w:tcPr>
            <w:tcW w:w="1622" w:type="dxa"/>
            <w:tcBorders>
              <w:top w:val="single" w:color="auto" w:sz="4" w:space="0"/>
              <w:left w:val="single" w:color="auto" w:sz="4" w:space="0"/>
              <w:bottom w:val="single" w:color="auto" w:sz="4" w:space="0"/>
              <w:right w:val="single" w:color="auto" w:sz="4" w:space="0"/>
            </w:tcBorders>
            <w:noWrap w:val="0"/>
            <w:vAlign w:val="top"/>
          </w:tcPr>
          <w:p w14:paraId="460C97F8">
            <w:pPr>
              <w:snapToGrid w:val="0"/>
              <w:spacing w:before="50" w:after="120" w:afterLines="50" w:line="360" w:lineRule="auto"/>
              <w:jc w:val="left"/>
              <w:rPr>
                <w:rFonts w:hint="eastAsia" w:ascii="宋体" w:hAnsi="宋体" w:cs="宋体"/>
                <w:sz w:val="24"/>
                <w:szCs w:val="20"/>
                <w:highlight w:val="none"/>
                <w:lang w:bidi="ar-SA"/>
              </w:rPr>
            </w:pPr>
          </w:p>
        </w:tc>
        <w:tc>
          <w:tcPr>
            <w:tcW w:w="2754" w:type="dxa"/>
            <w:gridSpan w:val="3"/>
            <w:tcBorders>
              <w:top w:val="single" w:color="auto" w:sz="4" w:space="0"/>
              <w:left w:val="single" w:color="auto" w:sz="4" w:space="0"/>
              <w:bottom w:val="single" w:color="auto" w:sz="4" w:space="0"/>
              <w:right w:val="single" w:color="auto" w:sz="4" w:space="0"/>
            </w:tcBorders>
            <w:noWrap w:val="0"/>
            <w:vAlign w:val="top"/>
          </w:tcPr>
          <w:p w14:paraId="72490827">
            <w:pPr>
              <w:snapToGrid w:val="0"/>
              <w:spacing w:before="50" w:after="120" w:afterLines="50" w:line="360" w:lineRule="auto"/>
              <w:jc w:val="left"/>
              <w:rPr>
                <w:rFonts w:hint="eastAsia" w:ascii="宋体" w:hAnsi="宋体" w:cs="宋体"/>
                <w:sz w:val="24"/>
                <w:szCs w:val="20"/>
                <w:highlight w:val="none"/>
                <w:lang w:bidi="ar-SA"/>
              </w:rPr>
            </w:pPr>
            <w:r>
              <w:rPr>
                <w:rFonts w:hint="eastAsia" w:ascii="宋体" w:hAnsi="宋体" w:cs="宋体"/>
                <w:sz w:val="24"/>
                <w:highlight w:val="none"/>
                <w:lang w:bidi="ar-SA"/>
              </w:rPr>
              <w:t>其中：投标人出资比例</w:t>
            </w:r>
          </w:p>
        </w:tc>
        <w:tc>
          <w:tcPr>
            <w:tcW w:w="2162" w:type="dxa"/>
            <w:tcBorders>
              <w:top w:val="single" w:color="auto" w:sz="4" w:space="0"/>
              <w:left w:val="single" w:color="auto" w:sz="4" w:space="0"/>
              <w:bottom w:val="single" w:color="auto" w:sz="4" w:space="0"/>
              <w:right w:val="single" w:color="auto" w:sz="4" w:space="0"/>
            </w:tcBorders>
            <w:noWrap w:val="0"/>
            <w:vAlign w:val="top"/>
          </w:tcPr>
          <w:p w14:paraId="78E00B33">
            <w:pPr>
              <w:snapToGrid w:val="0"/>
              <w:spacing w:before="50" w:after="120" w:afterLines="50" w:line="360" w:lineRule="auto"/>
              <w:jc w:val="left"/>
              <w:rPr>
                <w:rFonts w:hint="eastAsia" w:ascii="宋体" w:hAnsi="宋体" w:cs="宋体"/>
                <w:sz w:val="24"/>
                <w:szCs w:val="20"/>
                <w:highlight w:val="none"/>
                <w:lang w:bidi="ar-SA"/>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0999B0C0">
            <w:pPr>
              <w:snapToGrid w:val="0"/>
              <w:spacing w:before="50" w:after="120" w:afterLines="50" w:line="360" w:lineRule="auto"/>
              <w:jc w:val="left"/>
              <w:rPr>
                <w:rFonts w:hint="eastAsia" w:ascii="宋体" w:hAnsi="宋体" w:cs="宋体"/>
                <w:sz w:val="24"/>
                <w:szCs w:val="20"/>
                <w:highlight w:val="none"/>
                <w:lang w:bidi="ar-SA"/>
              </w:rPr>
            </w:pPr>
          </w:p>
        </w:tc>
      </w:tr>
      <w:tr w14:paraId="3277C3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noWrap w:val="0"/>
            <w:vAlign w:val="top"/>
          </w:tcPr>
          <w:p w14:paraId="09CFB3CC">
            <w:pPr>
              <w:snapToGrid w:val="0"/>
              <w:spacing w:before="50" w:after="120" w:afterLines="50" w:line="360" w:lineRule="auto"/>
              <w:jc w:val="left"/>
              <w:rPr>
                <w:rFonts w:hint="eastAsia" w:ascii="宋体" w:hAnsi="宋体" w:cs="宋体"/>
                <w:sz w:val="24"/>
                <w:szCs w:val="20"/>
                <w:highlight w:val="none"/>
                <w:lang w:bidi="ar-SA"/>
              </w:rPr>
            </w:pPr>
            <w:r>
              <w:rPr>
                <w:rFonts w:hint="eastAsia" w:ascii="宋体" w:hAnsi="宋体" w:cs="宋体"/>
                <w:sz w:val="24"/>
                <w:highlight w:val="none"/>
                <w:lang w:bidi="ar-SA"/>
              </w:rPr>
              <w:t>员工总人数</w:t>
            </w:r>
          </w:p>
        </w:tc>
        <w:tc>
          <w:tcPr>
            <w:tcW w:w="1622" w:type="dxa"/>
            <w:tcBorders>
              <w:top w:val="single" w:color="auto" w:sz="4" w:space="0"/>
              <w:left w:val="single" w:color="auto" w:sz="4" w:space="0"/>
              <w:bottom w:val="single" w:color="auto" w:sz="4" w:space="0"/>
              <w:right w:val="single" w:color="auto" w:sz="4" w:space="0"/>
            </w:tcBorders>
            <w:noWrap w:val="0"/>
            <w:vAlign w:val="top"/>
          </w:tcPr>
          <w:p w14:paraId="2B9601D3">
            <w:pPr>
              <w:snapToGrid w:val="0"/>
              <w:spacing w:before="50" w:after="120" w:afterLines="50" w:line="360" w:lineRule="auto"/>
              <w:jc w:val="left"/>
              <w:rPr>
                <w:rFonts w:hint="eastAsia" w:ascii="宋体" w:hAnsi="宋体" w:cs="宋体"/>
                <w:sz w:val="24"/>
                <w:szCs w:val="20"/>
                <w:highlight w:val="none"/>
                <w:lang w:bidi="ar-SA"/>
              </w:rPr>
            </w:pPr>
          </w:p>
        </w:tc>
        <w:tc>
          <w:tcPr>
            <w:tcW w:w="2754" w:type="dxa"/>
            <w:gridSpan w:val="3"/>
            <w:tcBorders>
              <w:top w:val="single" w:color="auto" w:sz="4" w:space="0"/>
              <w:left w:val="single" w:color="auto" w:sz="4" w:space="0"/>
              <w:bottom w:val="single" w:color="auto" w:sz="4" w:space="0"/>
              <w:right w:val="single" w:color="auto" w:sz="4" w:space="0"/>
            </w:tcBorders>
            <w:noWrap w:val="0"/>
            <w:vAlign w:val="top"/>
          </w:tcPr>
          <w:p w14:paraId="54E67CFF">
            <w:pPr>
              <w:snapToGrid w:val="0"/>
              <w:spacing w:before="50" w:after="120" w:afterLines="50" w:line="360" w:lineRule="auto"/>
              <w:ind w:left="120"/>
              <w:jc w:val="left"/>
              <w:rPr>
                <w:rFonts w:hint="eastAsia" w:ascii="宋体" w:hAnsi="宋体" w:cs="宋体"/>
                <w:sz w:val="24"/>
                <w:szCs w:val="20"/>
                <w:highlight w:val="none"/>
                <w:lang w:bidi="ar-SA"/>
              </w:rPr>
            </w:pPr>
            <w:r>
              <w:rPr>
                <w:rFonts w:hint="eastAsia" w:ascii="宋体" w:hAnsi="宋体" w:cs="宋体"/>
                <w:sz w:val="24"/>
                <w:highlight w:val="none"/>
                <w:lang w:bidi="ar-SA"/>
              </w:rPr>
              <w:t>其中：技术人员数</w:t>
            </w:r>
          </w:p>
        </w:tc>
        <w:tc>
          <w:tcPr>
            <w:tcW w:w="2162" w:type="dxa"/>
            <w:tcBorders>
              <w:top w:val="single" w:color="auto" w:sz="4" w:space="0"/>
              <w:left w:val="single" w:color="auto" w:sz="4" w:space="0"/>
              <w:bottom w:val="single" w:color="auto" w:sz="4" w:space="0"/>
              <w:right w:val="single" w:color="auto" w:sz="4" w:space="0"/>
            </w:tcBorders>
            <w:noWrap w:val="0"/>
            <w:vAlign w:val="top"/>
          </w:tcPr>
          <w:p w14:paraId="3EB0FB62">
            <w:pPr>
              <w:snapToGrid w:val="0"/>
              <w:spacing w:before="50" w:after="120" w:afterLines="50" w:line="360" w:lineRule="auto"/>
              <w:jc w:val="left"/>
              <w:rPr>
                <w:rFonts w:hint="eastAsia" w:ascii="宋体" w:hAnsi="宋体" w:cs="宋体"/>
                <w:sz w:val="24"/>
                <w:szCs w:val="20"/>
                <w:highlight w:val="none"/>
                <w:lang w:bidi="ar-SA"/>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27F5E7CE">
            <w:pPr>
              <w:snapToGrid w:val="0"/>
              <w:spacing w:before="50" w:after="120" w:afterLines="50" w:line="360" w:lineRule="auto"/>
              <w:jc w:val="left"/>
              <w:rPr>
                <w:rFonts w:hint="eastAsia" w:ascii="宋体" w:hAnsi="宋体" w:cs="宋体"/>
                <w:sz w:val="24"/>
                <w:szCs w:val="20"/>
                <w:highlight w:val="none"/>
                <w:lang w:bidi="ar-SA"/>
              </w:rPr>
            </w:pPr>
          </w:p>
        </w:tc>
      </w:tr>
      <w:tr w14:paraId="28B649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noWrap w:val="0"/>
            <w:vAlign w:val="top"/>
          </w:tcPr>
          <w:p w14:paraId="20FE914B">
            <w:pPr>
              <w:snapToGrid w:val="0"/>
              <w:spacing w:before="50" w:after="120" w:afterLines="50" w:line="360" w:lineRule="auto"/>
              <w:jc w:val="left"/>
              <w:rPr>
                <w:rFonts w:hint="eastAsia" w:ascii="宋体" w:hAnsi="宋体" w:cs="宋体"/>
                <w:sz w:val="24"/>
                <w:szCs w:val="20"/>
                <w:highlight w:val="none"/>
                <w:lang w:bidi="ar-SA"/>
              </w:rPr>
            </w:pPr>
            <w:r>
              <w:rPr>
                <w:rFonts w:hint="eastAsia" w:ascii="宋体" w:hAnsi="宋体" w:cs="宋体"/>
                <w:sz w:val="24"/>
                <w:szCs w:val="20"/>
                <w:highlight w:val="none"/>
                <w:lang w:bidi="ar-SA"/>
              </w:rPr>
              <w:t>设立日期</w:t>
            </w:r>
          </w:p>
        </w:tc>
        <w:tc>
          <w:tcPr>
            <w:tcW w:w="6538" w:type="dxa"/>
            <w:gridSpan w:val="5"/>
            <w:tcBorders>
              <w:top w:val="single" w:color="auto" w:sz="4" w:space="0"/>
              <w:left w:val="single" w:color="auto" w:sz="4" w:space="0"/>
              <w:bottom w:val="single" w:color="auto" w:sz="4" w:space="0"/>
              <w:right w:val="single" w:color="auto" w:sz="4" w:space="0"/>
            </w:tcBorders>
            <w:noWrap w:val="0"/>
            <w:vAlign w:val="top"/>
          </w:tcPr>
          <w:p w14:paraId="5E3C62F7">
            <w:pPr>
              <w:snapToGrid w:val="0"/>
              <w:spacing w:before="50" w:after="120" w:afterLines="50" w:line="360" w:lineRule="auto"/>
              <w:jc w:val="left"/>
              <w:rPr>
                <w:rFonts w:hint="eastAsia" w:ascii="宋体" w:hAnsi="宋体" w:cs="宋体"/>
                <w:sz w:val="24"/>
                <w:szCs w:val="20"/>
                <w:highlight w:val="none"/>
                <w:lang w:bidi="ar-SA"/>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6D5AE2D1">
            <w:pPr>
              <w:snapToGrid w:val="0"/>
              <w:spacing w:before="50" w:after="120" w:afterLines="50" w:line="360" w:lineRule="auto"/>
              <w:jc w:val="left"/>
              <w:rPr>
                <w:rFonts w:hint="eastAsia" w:ascii="宋体" w:hAnsi="宋体" w:cs="宋体"/>
                <w:sz w:val="24"/>
                <w:szCs w:val="20"/>
                <w:highlight w:val="none"/>
                <w:lang w:bidi="ar-SA"/>
              </w:rPr>
            </w:pPr>
          </w:p>
        </w:tc>
      </w:tr>
      <w:tr w14:paraId="26EBE5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noWrap w:val="0"/>
            <w:vAlign w:val="top"/>
          </w:tcPr>
          <w:p w14:paraId="09954D0D">
            <w:pPr>
              <w:snapToGrid w:val="0"/>
              <w:spacing w:before="50" w:after="120" w:afterLines="50" w:line="360" w:lineRule="auto"/>
              <w:jc w:val="left"/>
              <w:rPr>
                <w:rFonts w:hint="eastAsia" w:ascii="宋体" w:hAnsi="宋体" w:cs="宋体"/>
                <w:sz w:val="24"/>
                <w:szCs w:val="20"/>
                <w:highlight w:val="none"/>
                <w:lang w:bidi="ar-SA"/>
              </w:rPr>
            </w:pPr>
            <w:r>
              <w:rPr>
                <w:rFonts w:hint="eastAsia" w:ascii="宋体" w:hAnsi="宋体" w:cs="宋体"/>
                <w:sz w:val="24"/>
                <w:highlight w:val="none"/>
                <w:lang w:bidi="ar-SA"/>
              </w:rPr>
              <w:t>售后服务内容</w:t>
            </w:r>
          </w:p>
        </w:tc>
        <w:tc>
          <w:tcPr>
            <w:tcW w:w="6538" w:type="dxa"/>
            <w:gridSpan w:val="5"/>
            <w:tcBorders>
              <w:top w:val="single" w:color="auto" w:sz="4" w:space="0"/>
              <w:left w:val="single" w:color="auto" w:sz="4" w:space="0"/>
              <w:bottom w:val="single" w:color="auto" w:sz="4" w:space="0"/>
              <w:right w:val="single" w:color="auto" w:sz="4" w:space="0"/>
            </w:tcBorders>
            <w:noWrap w:val="0"/>
            <w:vAlign w:val="top"/>
          </w:tcPr>
          <w:p w14:paraId="713F785F">
            <w:pPr>
              <w:snapToGrid w:val="0"/>
              <w:spacing w:before="50" w:after="120" w:afterLines="50" w:line="360" w:lineRule="auto"/>
              <w:jc w:val="left"/>
              <w:rPr>
                <w:rFonts w:hint="eastAsia" w:ascii="宋体" w:hAnsi="宋体" w:cs="宋体"/>
                <w:sz w:val="24"/>
                <w:szCs w:val="20"/>
                <w:highlight w:val="none"/>
                <w:lang w:bidi="ar-SA"/>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6FD1EC95">
            <w:pPr>
              <w:snapToGrid w:val="0"/>
              <w:spacing w:before="50" w:after="120" w:afterLines="50" w:line="360" w:lineRule="auto"/>
              <w:jc w:val="left"/>
              <w:rPr>
                <w:rFonts w:hint="eastAsia" w:ascii="宋体" w:hAnsi="宋体" w:cs="宋体"/>
                <w:sz w:val="24"/>
                <w:szCs w:val="20"/>
                <w:highlight w:val="none"/>
                <w:lang w:bidi="ar-SA"/>
              </w:rPr>
            </w:pPr>
          </w:p>
        </w:tc>
      </w:tr>
      <w:tr w14:paraId="6569D6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noWrap w:val="0"/>
            <w:vAlign w:val="top"/>
          </w:tcPr>
          <w:p w14:paraId="29B592F3">
            <w:pPr>
              <w:snapToGrid w:val="0"/>
              <w:spacing w:before="50" w:after="120" w:afterLines="50" w:line="360" w:lineRule="auto"/>
              <w:jc w:val="left"/>
              <w:rPr>
                <w:rFonts w:hint="eastAsia" w:ascii="宋体" w:hAnsi="宋体" w:cs="宋体"/>
                <w:sz w:val="24"/>
                <w:szCs w:val="20"/>
                <w:highlight w:val="none"/>
                <w:lang w:bidi="ar-SA"/>
              </w:rPr>
            </w:pPr>
            <w:r>
              <w:rPr>
                <w:rFonts w:hint="eastAsia" w:ascii="宋体" w:hAnsi="宋体" w:cs="宋体"/>
                <w:sz w:val="24"/>
                <w:highlight w:val="none"/>
                <w:lang w:bidi="ar-SA"/>
              </w:rPr>
              <w:t>服务承诺</w:t>
            </w:r>
          </w:p>
        </w:tc>
        <w:tc>
          <w:tcPr>
            <w:tcW w:w="6538" w:type="dxa"/>
            <w:gridSpan w:val="5"/>
            <w:tcBorders>
              <w:top w:val="single" w:color="auto" w:sz="4" w:space="0"/>
              <w:left w:val="single" w:color="auto" w:sz="4" w:space="0"/>
              <w:bottom w:val="single" w:color="auto" w:sz="4" w:space="0"/>
              <w:right w:val="single" w:color="auto" w:sz="4" w:space="0"/>
            </w:tcBorders>
            <w:noWrap w:val="0"/>
            <w:vAlign w:val="top"/>
          </w:tcPr>
          <w:p w14:paraId="4B2330FF">
            <w:pPr>
              <w:snapToGrid w:val="0"/>
              <w:spacing w:before="50" w:after="120" w:afterLines="50" w:line="360" w:lineRule="auto"/>
              <w:jc w:val="left"/>
              <w:rPr>
                <w:rFonts w:hint="eastAsia" w:ascii="宋体" w:hAnsi="宋体" w:cs="宋体"/>
                <w:sz w:val="24"/>
                <w:szCs w:val="20"/>
                <w:highlight w:val="none"/>
                <w:lang w:bidi="ar-SA"/>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1B9F6A17">
            <w:pPr>
              <w:snapToGrid w:val="0"/>
              <w:spacing w:before="50" w:after="120" w:afterLines="50" w:line="360" w:lineRule="auto"/>
              <w:jc w:val="left"/>
              <w:rPr>
                <w:rFonts w:hint="eastAsia" w:ascii="宋体" w:hAnsi="宋体" w:cs="宋体"/>
                <w:sz w:val="24"/>
                <w:szCs w:val="20"/>
                <w:highlight w:val="none"/>
                <w:lang w:bidi="ar-SA"/>
              </w:rPr>
            </w:pPr>
          </w:p>
        </w:tc>
      </w:tr>
      <w:tr w14:paraId="5F67F5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noWrap w:val="0"/>
            <w:vAlign w:val="top"/>
          </w:tcPr>
          <w:p w14:paraId="12B2C23A">
            <w:pPr>
              <w:snapToGrid w:val="0"/>
              <w:spacing w:before="50" w:after="120" w:afterLines="50" w:line="360" w:lineRule="auto"/>
              <w:jc w:val="left"/>
              <w:rPr>
                <w:rFonts w:hint="eastAsia" w:ascii="宋体" w:hAnsi="宋体" w:cs="宋体"/>
                <w:sz w:val="24"/>
                <w:szCs w:val="20"/>
                <w:highlight w:val="none"/>
                <w:lang w:bidi="ar-SA"/>
              </w:rPr>
            </w:pPr>
            <w:r>
              <w:rPr>
                <w:rFonts w:hint="eastAsia" w:ascii="宋体" w:hAnsi="宋体" w:cs="宋体"/>
                <w:sz w:val="24"/>
                <w:highlight w:val="none"/>
                <w:lang w:bidi="ar-SA"/>
              </w:rPr>
              <w:t>业务咨询电话</w:t>
            </w:r>
          </w:p>
        </w:tc>
        <w:tc>
          <w:tcPr>
            <w:tcW w:w="2162" w:type="dxa"/>
            <w:gridSpan w:val="2"/>
            <w:tcBorders>
              <w:top w:val="single" w:color="auto" w:sz="4" w:space="0"/>
              <w:left w:val="single" w:color="auto" w:sz="4" w:space="0"/>
              <w:bottom w:val="single" w:color="auto" w:sz="4" w:space="0"/>
              <w:right w:val="single" w:color="auto" w:sz="2" w:space="0"/>
            </w:tcBorders>
            <w:noWrap w:val="0"/>
            <w:vAlign w:val="top"/>
          </w:tcPr>
          <w:p w14:paraId="6EB4FA15">
            <w:pPr>
              <w:snapToGrid w:val="0"/>
              <w:spacing w:before="50" w:after="120" w:afterLines="50" w:line="360" w:lineRule="auto"/>
              <w:jc w:val="left"/>
              <w:rPr>
                <w:rFonts w:hint="eastAsia" w:ascii="宋体" w:hAnsi="宋体" w:cs="宋体"/>
                <w:sz w:val="24"/>
                <w:szCs w:val="20"/>
                <w:highlight w:val="none"/>
                <w:lang w:bidi="ar-SA"/>
              </w:rPr>
            </w:pPr>
          </w:p>
        </w:tc>
        <w:tc>
          <w:tcPr>
            <w:tcW w:w="1326" w:type="dxa"/>
            <w:tcBorders>
              <w:top w:val="single" w:color="auto" w:sz="4" w:space="0"/>
              <w:left w:val="single" w:color="auto" w:sz="2" w:space="0"/>
              <w:bottom w:val="single" w:color="auto" w:sz="4" w:space="0"/>
              <w:right w:val="single" w:color="auto" w:sz="2" w:space="0"/>
            </w:tcBorders>
            <w:noWrap w:val="0"/>
            <w:vAlign w:val="top"/>
          </w:tcPr>
          <w:p w14:paraId="4A95EBB0">
            <w:pPr>
              <w:snapToGrid w:val="0"/>
              <w:spacing w:before="50" w:after="120" w:afterLines="50" w:line="360" w:lineRule="auto"/>
              <w:jc w:val="center"/>
              <w:rPr>
                <w:rFonts w:hint="eastAsia" w:ascii="宋体" w:hAnsi="宋体" w:cs="宋体"/>
                <w:sz w:val="24"/>
                <w:szCs w:val="20"/>
                <w:highlight w:val="none"/>
                <w:lang w:bidi="ar-SA"/>
              </w:rPr>
            </w:pPr>
            <w:r>
              <w:rPr>
                <w:rFonts w:hint="eastAsia" w:ascii="宋体" w:hAnsi="宋体" w:cs="宋体"/>
                <w:sz w:val="24"/>
                <w:highlight w:val="none"/>
                <w:lang w:bidi="ar-SA"/>
              </w:rPr>
              <w:t>传 真</w:t>
            </w:r>
          </w:p>
        </w:tc>
        <w:tc>
          <w:tcPr>
            <w:tcW w:w="3050" w:type="dxa"/>
            <w:gridSpan w:val="2"/>
            <w:tcBorders>
              <w:top w:val="single" w:color="auto" w:sz="4" w:space="0"/>
              <w:left w:val="single" w:color="auto" w:sz="2" w:space="0"/>
              <w:bottom w:val="single" w:color="auto" w:sz="4" w:space="0"/>
              <w:right w:val="single" w:color="auto" w:sz="2" w:space="0"/>
            </w:tcBorders>
            <w:noWrap w:val="0"/>
            <w:vAlign w:val="top"/>
          </w:tcPr>
          <w:p w14:paraId="263E7D08">
            <w:pPr>
              <w:snapToGrid w:val="0"/>
              <w:spacing w:before="50" w:after="120" w:afterLines="50" w:line="360" w:lineRule="auto"/>
              <w:jc w:val="left"/>
              <w:rPr>
                <w:rFonts w:hint="eastAsia" w:ascii="宋体" w:hAnsi="宋体" w:cs="宋体"/>
                <w:sz w:val="24"/>
                <w:szCs w:val="20"/>
                <w:highlight w:val="none"/>
                <w:lang w:bidi="ar-SA"/>
              </w:rPr>
            </w:pPr>
          </w:p>
        </w:tc>
        <w:tc>
          <w:tcPr>
            <w:tcW w:w="1080" w:type="dxa"/>
            <w:tcBorders>
              <w:top w:val="single" w:color="auto" w:sz="4" w:space="0"/>
              <w:left w:val="single" w:color="auto" w:sz="2" w:space="0"/>
              <w:bottom w:val="single" w:color="auto" w:sz="4" w:space="0"/>
              <w:right w:val="single" w:color="auto" w:sz="4" w:space="0"/>
            </w:tcBorders>
            <w:noWrap w:val="0"/>
            <w:vAlign w:val="top"/>
          </w:tcPr>
          <w:p w14:paraId="41BFB9BE">
            <w:pPr>
              <w:snapToGrid w:val="0"/>
              <w:spacing w:before="50" w:after="120" w:afterLines="50" w:line="360" w:lineRule="auto"/>
              <w:jc w:val="left"/>
              <w:rPr>
                <w:rFonts w:hint="eastAsia" w:ascii="宋体" w:hAnsi="宋体" w:cs="宋体"/>
                <w:sz w:val="24"/>
                <w:szCs w:val="20"/>
                <w:highlight w:val="none"/>
                <w:lang w:bidi="ar-SA"/>
              </w:rPr>
            </w:pPr>
          </w:p>
        </w:tc>
      </w:tr>
      <w:tr w14:paraId="62B4295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noWrap w:val="0"/>
            <w:vAlign w:val="top"/>
          </w:tcPr>
          <w:p w14:paraId="3CDB282A">
            <w:pPr>
              <w:snapToGrid w:val="0"/>
              <w:spacing w:before="50" w:after="120" w:afterLines="50" w:line="360" w:lineRule="auto"/>
              <w:jc w:val="left"/>
              <w:rPr>
                <w:rFonts w:hint="eastAsia" w:ascii="宋体" w:hAnsi="宋体" w:cs="宋体"/>
                <w:sz w:val="24"/>
                <w:szCs w:val="20"/>
                <w:highlight w:val="none"/>
                <w:lang w:bidi="ar-SA"/>
              </w:rPr>
            </w:pPr>
            <w:r>
              <w:rPr>
                <w:rFonts w:hint="eastAsia" w:ascii="宋体" w:hAnsi="宋体" w:cs="宋体"/>
                <w:sz w:val="24"/>
                <w:highlight w:val="none"/>
                <w:lang w:bidi="ar-SA"/>
              </w:rPr>
              <w:t>负责人</w:t>
            </w:r>
          </w:p>
        </w:tc>
        <w:tc>
          <w:tcPr>
            <w:tcW w:w="2162" w:type="dxa"/>
            <w:gridSpan w:val="2"/>
            <w:tcBorders>
              <w:top w:val="single" w:color="auto" w:sz="4" w:space="0"/>
              <w:left w:val="single" w:color="auto" w:sz="4" w:space="0"/>
              <w:bottom w:val="single" w:color="auto" w:sz="4" w:space="0"/>
              <w:right w:val="single" w:color="auto" w:sz="2" w:space="0"/>
            </w:tcBorders>
            <w:noWrap w:val="0"/>
            <w:vAlign w:val="top"/>
          </w:tcPr>
          <w:p w14:paraId="7A566298">
            <w:pPr>
              <w:snapToGrid w:val="0"/>
              <w:spacing w:before="50" w:after="120" w:afterLines="50" w:line="360" w:lineRule="auto"/>
              <w:jc w:val="left"/>
              <w:rPr>
                <w:rFonts w:hint="eastAsia" w:ascii="宋体" w:hAnsi="宋体" w:cs="宋体"/>
                <w:sz w:val="24"/>
                <w:szCs w:val="20"/>
                <w:highlight w:val="none"/>
                <w:lang w:bidi="ar-SA"/>
              </w:rPr>
            </w:pPr>
          </w:p>
        </w:tc>
        <w:tc>
          <w:tcPr>
            <w:tcW w:w="1326" w:type="dxa"/>
            <w:tcBorders>
              <w:top w:val="single" w:color="auto" w:sz="4" w:space="0"/>
              <w:left w:val="single" w:color="auto" w:sz="2" w:space="0"/>
              <w:bottom w:val="single" w:color="auto" w:sz="4" w:space="0"/>
              <w:right w:val="single" w:color="auto" w:sz="2" w:space="0"/>
            </w:tcBorders>
            <w:noWrap w:val="0"/>
            <w:vAlign w:val="top"/>
          </w:tcPr>
          <w:p w14:paraId="4D45E3D9">
            <w:pPr>
              <w:snapToGrid w:val="0"/>
              <w:spacing w:before="50" w:after="120" w:afterLines="50" w:line="360" w:lineRule="auto"/>
              <w:jc w:val="center"/>
              <w:rPr>
                <w:rFonts w:hint="eastAsia" w:ascii="宋体" w:hAnsi="宋体" w:cs="宋体"/>
                <w:sz w:val="24"/>
                <w:szCs w:val="20"/>
                <w:highlight w:val="none"/>
                <w:lang w:bidi="ar-SA"/>
              </w:rPr>
            </w:pPr>
            <w:r>
              <w:rPr>
                <w:rFonts w:hint="eastAsia" w:ascii="宋体" w:hAnsi="宋体" w:cs="宋体"/>
                <w:sz w:val="24"/>
                <w:highlight w:val="none"/>
                <w:lang w:bidi="ar-SA"/>
              </w:rPr>
              <w:t>联系电话</w:t>
            </w:r>
          </w:p>
        </w:tc>
        <w:tc>
          <w:tcPr>
            <w:tcW w:w="3050" w:type="dxa"/>
            <w:gridSpan w:val="2"/>
            <w:tcBorders>
              <w:top w:val="single" w:color="auto" w:sz="4" w:space="0"/>
              <w:left w:val="single" w:color="auto" w:sz="2" w:space="0"/>
              <w:bottom w:val="single" w:color="auto" w:sz="4" w:space="0"/>
              <w:right w:val="single" w:color="auto" w:sz="4" w:space="0"/>
            </w:tcBorders>
            <w:noWrap w:val="0"/>
            <w:vAlign w:val="top"/>
          </w:tcPr>
          <w:p w14:paraId="4C45A10C">
            <w:pPr>
              <w:snapToGrid w:val="0"/>
              <w:spacing w:before="50" w:after="120" w:afterLines="50" w:line="360" w:lineRule="auto"/>
              <w:jc w:val="left"/>
              <w:rPr>
                <w:rFonts w:hint="eastAsia" w:ascii="宋体" w:hAnsi="宋体" w:cs="宋体"/>
                <w:sz w:val="24"/>
                <w:szCs w:val="20"/>
                <w:highlight w:val="none"/>
                <w:lang w:bidi="ar-SA"/>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045EA23A">
            <w:pPr>
              <w:snapToGrid w:val="0"/>
              <w:spacing w:before="50" w:after="120" w:afterLines="50" w:line="360" w:lineRule="auto"/>
              <w:jc w:val="left"/>
              <w:rPr>
                <w:rFonts w:hint="eastAsia" w:ascii="宋体" w:hAnsi="宋体" w:cs="宋体"/>
                <w:sz w:val="24"/>
                <w:szCs w:val="20"/>
                <w:highlight w:val="none"/>
                <w:lang w:bidi="ar-SA"/>
              </w:rPr>
            </w:pPr>
          </w:p>
        </w:tc>
      </w:tr>
    </w:tbl>
    <w:p w14:paraId="3E1BB442">
      <w:pPr>
        <w:pStyle w:val="39"/>
        <w:snapToGrid w:val="0"/>
        <w:ind w:left="199" w:hanging="199" w:hangingChars="83"/>
        <w:rPr>
          <w:rFonts w:hint="eastAsia" w:ascii="宋体" w:hAnsi="宋体" w:cs="宋体"/>
          <w:sz w:val="24"/>
          <w:highlight w:val="none"/>
          <w:lang w:bidi="ar-SA"/>
        </w:rPr>
      </w:pPr>
    </w:p>
    <w:p w14:paraId="027DA8C5">
      <w:pPr>
        <w:pStyle w:val="16"/>
        <w:snapToGrid w:val="0"/>
        <w:rPr>
          <w:rFonts w:hint="eastAsia" w:ascii="宋体" w:hAnsi="宋体" w:eastAsia="宋体" w:cs="宋体"/>
          <w:sz w:val="24"/>
          <w:highlight w:val="none"/>
          <w:lang w:bidi="ar-SA"/>
        </w:rPr>
      </w:pPr>
    </w:p>
    <w:p w14:paraId="7986FA58">
      <w:pPr>
        <w:pStyle w:val="3"/>
        <w:snapToGrid w:val="0"/>
        <w:rPr>
          <w:rFonts w:hint="eastAsia" w:ascii="宋体" w:hAnsi="宋体" w:cs="宋体"/>
          <w:b/>
          <w:sz w:val="24"/>
          <w:highlight w:val="none"/>
          <w:lang w:bidi="ar-SA"/>
        </w:rPr>
      </w:pPr>
      <w:r>
        <w:rPr>
          <w:rFonts w:hint="eastAsia" w:ascii="宋体" w:hAnsi="宋体" w:cs="宋体"/>
          <w:b/>
          <w:spacing w:val="20"/>
          <w:sz w:val="24"/>
          <w:highlight w:val="none"/>
          <w:lang w:bidi="ar-SA"/>
        </w:rPr>
        <w:t xml:space="preserve">法定代表人签字（或盖章）：            投标人（盖章）： </w:t>
      </w:r>
      <w:r>
        <w:rPr>
          <w:rFonts w:hint="eastAsia" w:ascii="宋体" w:hAnsi="宋体" w:cs="宋体"/>
          <w:b/>
          <w:sz w:val="24"/>
          <w:highlight w:val="none"/>
          <w:lang w:bidi="ar-SA"/>
        </w:rPr>
        <w:t xml:space="preserve">           　 </w:t>
      </w:r>
    </w:p>
    <w:p w14:paraId="05E3B4A5">
      <w:pPr>
        <w:pStyle w:val="3"/>
        <w:snapToGrid w:val="0"/>
        <w:rPr>
          <w:rFonts w:hint="eastAsia" w:ascii="宋体" w:hAnsi="宋体" w:cs="宋体"/>
          <w:b/>
          <w:sz w:val="24"/>
          <w:highlight w:val="none"/>
          <w:lang w:bidi="ar-SA"/>
        </w:rPr>
      </w:pPr>
    </w:p>
    <w:p w14:paraId="06A94BC1">
      <w:pPr>
        <w:snapToGrid w:val="0"/>
        <w:spacing w:before="50" w:after="120" w:afterLines="50"/>
        <w:jc w:val="left"/>
        <w:rPr>
          <w:rFonts w:hint="eastAsia" w:ascii="宋体" w:hAnsi="宋体" w:cs="宋体"/>
          <w:b/>
          <w:sz w:val="24"/>
          <w:szCs w:val="20"/>
          <w:highlight w:val="none"/>
          <w:lang w:bidi="ar-SA"/>
        </w:rPr>
      </w:pPr>
      <w:r>
        <w:rPr>
          <w:rFonts w:hint="eastAsia" w:ascii="宋体" w:hAnsi="宋体" w:cs="宋体"/>
          <w:b/>
          <w:kern w:val="0"/>
          <w:sz w:val="24"/>
          <w:highlight w:val="none"/>
          <w:lang w:bidi="ar-SA"/>
        </w:rPr>
        <w:t>日期：  _____年___月___日</w:t>
      </w:r>
    </w:p>
    <w:p w14:paraId="0181F137">
      <w:pPr>
        <w:snapToGrid w:val="0"/>
        <w:spacing w:before="50"/>
        <w:jc w:val="left"/>
        <w:rPr>
          <w:rFonts w:hint="eastAsia" w:ascii="宋体" w:hAnsi="宋体" w:cs="宋体"/>
          <w:sz w:val="24"/>
          <w:highlight w:val="none"/>
          <w:lang w:bidi="ar-SA"/>
        </w:rPr>
      </w:pPr>
    </w:p>
    <w:p w14:paraId="61E0E5F7">
      <w:pPr>
        <w:snapToGrid w:val="0"/>
        <w:spacing w:before="50"/>
        <w:jc w:val="left"/>
        <w:rPr>
          <w:rFonts w:hint="eastAsia" w:ascii="宋体" w:hAnsi="宋体" w:cs="宋体"/>
          <w:sz w:val="24"/>
          <w:highlight w:val="none"/>
          <w:lang w:bidi="ar-SA"/>
        </w:rPr>
      </w:pPr>
    </w:p>
    <w:p w14:paraId="74D87568">
      <w:pPr>
        <w:snapToGrid w:val="0"/>
        <w:spacing w:before="50"/>
        <w:jc w:val="left"/>
        <w:rPr>
          <w:rFonts w:hint="eastAsia" w:ascii="宋体" w:hAnsi="宋体" w:cs="宋体"/>
          <w:sz w:val="24"/>
          <w:highlight w:val="none"/>
          <w:lang w:bidi="ar-SA"/>
        </w:rPr>
      </w:pPr>
      <w:r>
        <w:rPr>
          <w:rFonts w:hint="eastAsia" w:ascii="宋体" w:hAnsi="宋体" w:cs="宋体"/>
          <w:sz w:val="24"/>
          <w:highlight w:val="none"/>
          <w:lang w:bidi="ar-SA"/>
        </w:rPr>
        <w:br w:type="page"/>
      </w:r>
      <w:bookmarkStart w:id="153" w:name="_Hlk77588362"/>
      <w:r>
        <w:rPr>
          <w:rFonts w:hint="eastAsia" w:ascii="宋体" w:hAnsi="宋体" w:cs="宋体"/>
          <w:sz w:val="24"/>
          <w:highlight w:val="none"/>
          <w:lang w:bidi="ar-SA"/>
        </w:rPr>
        <w:t>1</w:t>
      </w:r>
      <w:r>
        <w:rPr>
          <w:rFonts w:hint="eastAsia" w:ascii="宋体" w:hAnsi="宋体" w:cs="宋体"/>
          <w:sz w:val="24"/>
          <w:highlight w:val="none"/>
          <w:lang w:val="en-US" w:eastAsia="zh-CN" w:bidi="ar-SA"/>
        </w:rPr>
        <w:t>2、</w:t>
      </w:r>
      <w:r>
        <w:rPr>
          <w:rFonts w:hint="eastAsia" w:ascii="宋体" w:hAnsi="宋体" w:cs="宋体"/>
          <w:sz w:val="24"/>
          <w:highlight w:val="none"/>
          <w:lang w:bidi="ar-SA"/>
        </w:rPr>
        <w:t>.商务及技术响应表格式：</w:t>
      </w:r>
      <w:bookmarkEnd w:id="153"/>
    </w:p>
    <w:p w14:paraId="6A7F1812">
      <w:pPr>
        <w:snapToGrid w:val="0"/>
        <w:spacing w:before="50"/>
        <w:jc w:val="left"/>
        <w:rPr>
          <w:rFonts w:hint="eastAsia" w:ascii="宋体" w:hAnsi="宋体" w:cs="宋体"/>
          <w:sz w:val="24"/>
          <w:highlight w:val="none"/>
          <w:lang w:bidi="ar-SA"/>
        </w:rPr>
      </w:pPr>
    </w:p>
    <w:p w14:paraId="45938398">
      <w:pPr>
        <w:snapToGrid w:val="0"/>
        <w:spacing w:before="50"/>
        <w:jc w:val="center"/>
        <w:rPr>
          <w:rFonts w:hint="eastAsia" w:ascii="宋体" w:hAnsi="宋体" w:cs="宋体"/>
          <w:bCs/>
          <w:sz w:val="24"/>
          <w:highlight w:val="none"/>
          <w:lang w:bidi="ar-SA"/>
        </w:rPr>
      </w:pPr>
      <w:r>
        <w:rPr>
          <w:rFonts w:hint="eastAsia" w:ascii="宋体" w:hAnsi="宋体" w:cs="宋体"/>
          <w:b/>
          <w:sz w:val="24"/>
          <w:highlight w:val="none"/>
          <w:lang w:bidi="ar-SA"/>
        </w:rPr>
        <w:t>商务及技术响应表</w:t>
      </w:r>
    </w:p>
    <w:p w14:paraId="39975EB1">
      <w:pPr>
        <w:snapToGrid w:val="0"/>
        <w:spacing w:before="120" w:beforeLines="50" w:after="50" w:line="480" w:lineRule="auto"/>
        <w:rPr>
          <w:rFonts w:hint="default" w:ascii="宋体" w:hAnsi="宋体" w:eastAsia="宋体" w:cs="宋体"/>
          <w:sz w:val="24"/>
          <w:highlight w:val="none"/>
          <w:lang w:val="en-US" w:eastAsia="zh-CN" w:bidi="ar-SA"/>
        </w:rPr>
      </w:pPr>
      <w:r>
        <w:rPr>
          <w:rFonts w:hint="eastAsia" w:ascii="宋体" w:hAnsi="宋体" w:cs="宋体"/>
          <w:bCs/>
          <w:sz w:val="24"/>
          <w:highlight w:val="none"/>
          <w:lang w:bidi="ar-SA"/>
        </w:rPr>
        <w:t>项目名称：</w:t>
      </w:r>
      <w:r>
        <w:rPr>
          <w:rFonts w:hint="eastAsia" w:ascii="宋体" w:hAnsi="宋体" w:cs="宋体"/>
          <w:bCs/>
          <w:sz w:val="24"/>
          <w:highlight w:val="none"/>
          <w:lang w:val="en-US" w:eastAsia="zh-CN" w:bidi="ar-SA"/>
        </w:rPr>
        <w:t xml:space="preserve">                              项目编号：</w:t>
      </w:r>
    </w:p>
    <w:tbl>
      <w:tblPr>
        <w:tblStyle w:val="51"/>
        <w:tblW w:w="1031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972"/>
        <w:gridCol w:w="4047"/>
        <w:gridCol w:w="1228"/>
        <w:gridCol w:w="3071"/>
      </w:tblGrid>
      <w:tr w14:paraId="74B8BE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8" w:hRule="atLeast"/>
          <w:jc w:val="center"/>
        </w:trPr>
        <w:tc>
          <w:tcPr>
            <w:tcW w:w="1972" w:type="dxa"/>
            <w:tcBorders>
              <w:top w:val="single" w:color="auto" w:sz="4" w:space="0"/>
              <w:left w:val="single" w:color="auto" w:sz="4" w:space="0"/>
              <w:bottom w:val="single" w:color="auto" w:sz="4" w:space="0"/>
              <w:right w:val="single" w:color="auto" w:sz="4" w:space="0"/>
            </w:tcBorders>
            <w:noWrap w:val="0"/>
            <w:vAlign w:val="top"/>
          </w:tcPr>
          <w:p w14:paraId="43A2C755">
            <w:pPr>
              <w:snapToGrid w:val="0"/>
              <w:spacing w:line="360" w:lineRule="exact"/>
              <w:jc w:val="center"/>
              <w:rPr>
                <w:rFonts w:hint="eastAsia" w:ascii="宋体" w:hAnsi="宋体"/>
                <w:b/>
                <w:szCs w:val="21"/>
                <w:highlight w:val="none"/>
              </w:rPr>
            </w:pPr>
            <w:r>
              <w:rPr>
                <w:rFonts w:hint="eastAsia" w:ascii="宋体" w:hAnsi="宋体"/>
                <w:b/>
                <w:szCs w:val="21"/>
                <w:highlight w:val="none"/>
              </w:rPr>
              <w:t>名称</w:t>
            </w:r>
          </w:p>
        </w:tc>
        <w:tc>
          <w:tcPr>
            <w:tcW w:w="4047" w:type="dxa"/>
            <w:tcBorders>
              <w:top w:val="single" w:color="auto" w:sz="4" w:space="0"/>
              <w:left w:val="single" w:color="auto" w:sz="4" w:space="0"/>
              <w:bottom w:val="single" w:color="auto" w:sz="4" w:space="0"/>
              <w:right w:val="single" w:color="auto" w:sz="4" w:space="0"/>
            </w:tcBorders>
            <w:noWrap w:val="0"/>
            <w:vAlign w:val="top"/>
          </w:tcPr>
          <w:p w14:paraId="20EE71B9">
            <w:pPr>
              <w:snapToGrid w:val="0"/>
              <w:spacing w:line="360" w:lineRule="exact"/>
              <w:jc w:val="center"/>
              <w:rPr>
                <w:rFonts w:hint="eastAsia" w:ascii="宋体" w:hAnsi="宋体"/>
                <w:b/>
                <w:szCs w:val="21"/>
                <w:highlight w:val="none"/>
              </w:rPr>
            </w:pPr>
            <w:r>
              <w:rPr>
                <w:rFonts w:hint="eastAsia" w:ascii="宋体" w:hAnsi="宋体"/>
                <w:b/>
                <w:szCs w:val="21"/>
                <w:highlight w:val="none"/>
              </w:rPr>
              <w:t>招标文件要求</w:t>
            </w:r>
          </w:p>
        </w:tc>
        <w:tc>
          <w:tcPr>
            <w:tcW w:w="1228" w:type="dxa"/>
            <w:tcBorders>
              <w:top w:val="single" w:color="auto" w:sz="4" w:space="0"/>
              <w:left w:val="single" w:color="auto" w:sz="4" w:space="0"/>
              <w:bottom w:val="single" w:color="auto" w:sz="4" w:space="0"/>
              <w:right w:val="single" w:color="auto" w:sz="4" w:space="0"/>
            </w:tcBorders>
            <w:noWrap w:val="0"/>
            <w:vAlign w:val="top"/>
          </w:tcPr>
          <w:p w14:paraId="3C019314">
            <w:pPr>
              <w:snapToGrid w:val="0"/>
              <w:spacing w:line="360" w:lineRule="exact"/>
              <w:jc w:val="center"/>
              <w:rPr>
                <w:rFonts w:hint="eastAsia" w:ascii="宋体" w:hAnsi="宋体"/>
                <w:b/>
                <w:szCs w:val="21"/>
                <w:highlight w:val="none"/>
              </w:rPr>
            </w:pPr>
            <w:r>
              <w:rPr>
                <w:rFonts w:hint="eastAsia" w:ascii="宋体" w:hAnsi="宋体"/>
                <w:b/>
                <w:szCs w:val="21"/>
                <w:highlight w:val="none"/>
              </w:rPr>
              <w:t>是否响应</w:t>
            </w:r>
          </w:p>
        </w:tc>
        <w:tc>
          <w:tcPr>
            <w:tcW w:w="3071" w:type="dxa"/>
            <w:tcBorders>
              <w:top w:val="single" w:color="auto" w:sz="4" w:space="0"/>
              <w:left w:val="single" w:color="auto" w:sz="4" w:space="0"/>
              <w:bottom w:val="single" w:color="auto" w:sz="4" w:space="0"/>
              <w:right w:val="single" w:color="auto" w:sz="4" w:space="0"/>
            </w:tcBorders>
            <w:noWrap w:val="0"/>
            <w:vAlign w:val="top"/>
          </w:tcPr>
          <w:p w14:paraId="1A071EBA">
            <w:pPr>
              <w:snapToGrid w:val="0"/>
              <w:spacing w:line="360" w:lineRule="exact"/>
              <w:jc w:val="center"/>
              <w:rPr>
                <w:rFonts w:hint="eastAsia" w:ascii="宋体" w:hAnsi="宋体"/>
                <w:b/>
                <w:szCs w:val="21"/>
                <w:highlight w:val="none"/>
              </w:rPr>
            </w:pPr>
            <w:r>
              <w:rPr>
                <w:rFonts w:hint="eastAsia" w:ascii="宋体" w:hAnsi="宋体"/>
                <w:b/>
                <w:szCs w:val="21"/>
                <w:highlight w:val="none"/>
              </w:rPr>
              <w:t>投标人的承诺或说明</w:t>
            </w:r>
          </w:p>
        </w:tc>
      </w:tr>
      <w:tr w14:paraId="401650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3" w:hRule="atLeast"/>
          <w:jc w:val="center"/>
        </w:trPr>
        <w:tc>
          <w:tcPr>
            <w:tcW w:w="1972" w:type="dxa"/>
            <w:tcBorders>
              <w:top w:val="single" w:color="auto" w:sz="4" w:space="0"/>
              <w:left w:val="single" w:color="auto" w:sz="4" w:space="0"/>
              <w:bottom w:val="single" w:color="auto" w:sz="4" w:space="0"/>
              <w:right w:val="single" w:color="auto" w:sz="4" w:space="0"/>
            </w:tcBorders>
            <w:noWrap w:val="0"/>
            <w:vAlign w:val="center"/>
          </w:tcPr>
          <w:p w14:paraId="40292E56">
            <w:pPr>
              <w:snapToGrid w:val="0"/>
              <w:spacing w:line="360" w:lineRule="exact"/>
              <w:jc w:val="center"/>
              <w:rPr>
                <w:rFonts w:hint="eastAsia" w:ascii="宋体" w:hAnsi="宋体"/>
                <w:szCs w:val="21"/>
                <w:highlight w:val="none"/>
              </w:rPr>
            </w:pPr>
          </w:p>
        </w:tc>
        <w:tc>
          <w:tcPr>
            <w:tcW w:w="4047" w:type="dxa"/>
            <w:tcBorders>
              <w:top w:val="single" w:color="auto" w:sz="4" w:space="0"/>
              <w:left w:val="single" w:color="auto" w:sz="4" w:space="0"/>
              <w:bottom w:val="single" w:color="auto" w:sz="4" w:space="0"/>
              <w:right w:val="single" w:color="auto" w:sz="4" w:space="0"/>
            </w:tcBorders>
            <w:noWrap w:val="0"/>
            <w:vAlign w:val="center"/>
          </w:tcPr>
          <w:p w14:paraId="28FF4C51">
            <w:pPr>
              <w:snapToGrid w:val="0"/>
              <w:spacing w:line="360" w:lineRule="exact"/>
              <w:rPr>
                <w:rFonts w:hint="eastAsia" w:ascii="宋体" w:hAnsi="宋体"/>
                <w:szCs w:val="21"/>
                <w:highlight w:val="none"/>
              </w:rPr>
            </w:pPr>
          </w:p>
        </w:tc>
        <w:tc>
          <w:tcPr>
            <w:tcW w:w="1228" w:type="dxa"/>
            <w:tcBorders>
              <w:top w:val="single" w:color="auto" w:sz="4" w:space="0"/>
              <w:left w:val="single" w:color="auto" w:sz="4" w:space="0"/>
              <w:bottom w:val="single" w:color="auto" w:sz="4" w:space="0"/>
              <w:right w:val="single" w:color="auto" w:sz="4" w:space="0"/>
            </w:tcBorders>
            <w:noWrap w:val="0"/>
            <w:vAlign w:val="top"/>
          </w:tcPr>
          <w:p w14:paraId="4B56C8B4">
            <w:pPr>
              <w:snapToGrid w:val="0"/>
              <w:spacing w:line="360" w:lineRule="exact"/>
              <w:rPr>
                <w:rFonts w:hint="eastAsia" w:ascii="宋体" w:hAnsi="宋体"/>
                <w:szCs w:val="21"/>
                <w:highlight w:val="none"/>
              </w:rPr>
            </w:pPr>
          </w:p>
        </w:tc>
        <w:tc>
          <w:tcPr>
            <w:tcW w:w="3071" w:type="dxa"/>
            <w:tcBorders>
              <w:top w:val="single" w:color="auto" w:sz="4" w:space="0"/>
              <w:left w:val="single" w:color="auto" w:sz="4" w:space="0"/>
              <w:bottom w:val="single" w:color="auto" w:sz="4" w:space="0"/>
              <w:right w:val="single" w:color="auto" w:sz="4" w:space="0"/>
            </w:tcBorders>
            <w:noWrap w:val="0"/>
            <w:vAlign w:val="top"/>
          </w:tcPr>
          <w:p w14:paraId="7859EB51">
            <w:pPr>
              <w:snapToGrid w:val="0"/>
              <w:spacing w:line="360" w:lineRule="exact"/>
              <w:rPr>
                <w:rFonts w:hint="eastAsia" w:ascii="宋体" w:hAnsi="宋体"/>
                <w:szCs w:val="21"/>
                <w:highlight w:val="none"/>
              </w:rPr>
            </w:pPr>
          </w:p>
        </w:tc>
      </w:tr>
      <w:tr w14:paraId="3286DA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9" w:hRule="atLeast"/>
          <w:jc w:val="center"/>
        </w:trPr>
        <w:tc>
          <w:tcPr>
            <w:tcW w:w="1972" w:type="dxa"/>
            <w:tcBorders>
              <w:top w:val="single" w:color="auto" w:sz="4" w:space="0"/>
              <w:left w:val="single" w:color="auto" w:sz="4" w:space="0"/>
              <w:bottom w:val="single" w:color="auto" w:sz="4" w:space="0"/>
              <w:right w:val="single" w:color="auto" w:sz="4" w:space="0"/>
            </w:tcBorders>
            <w:noWrap w:val="0"/>
            <w:vAlign w:val="center"/>
          </w:tcPr>
          <w:p w14:paraId="65F6CC7E">
            <w:pPr>
              <w:snapToGrid w:val="0"/>
              <w:spacing w:line="360" w:lineRule="exact"/>
              <w:jc w:val="center"/>
              <w:rPr>
                <w:rFonts w:hint="eastAsia" w:ascii="宋体" w:hAnsi="宋体"/>
                <w:szCs w:val="21"/>
                <w:highlight w:val="none"/>
              </w:rPr>
            </w:pPr>
          </w:p>
        </w:tc>
        <w:tc>
          <w:tcPr>
            <w:tcW w:w="4047" w:type="dxa"/>
            <w:tcBorders>
              <w:top w:val="single" w:color="auto" w:sz="4" w:space="0"/>
              <w:left w:val="single" w:color="auto" w:sz="4" w:space="0"/>
              <w:bottom w:val="single" w:color="auto" w:sz="4" w:space="0"/>
              <w:right w:val="single" w:color="auto" w:sz="4" w:space="0"/>
            </w:tcBorders>
            <w:noWrap w:val="0"/>
            <w:vAlign w:val="center"/>
          </w:tcPr>
          <w:p w14:paraId="71C4C5C6">
            <w:pPr>
              <w:snapToGrid w:val="0"/>
              <w:spacing w:line="360" w:lineRule="exact"/>
              <w:rPr>
                <w:rFonts w:hint="eastAsia" w:ascii="宋体" w:hAnsi="宋体"/>
                <w:szCs w:val="21"/>
                <w:highlight w:val="none"/>
              </w:rPr>
            </w:pPr>
          </w:p>
        </w:tc>
        <w:tc>
          <w:tcPr>
            <w:tcW w:w="1228" w:type="dxa"/>
            <w:tcBorders>
              <w:top w:val="single" w:color="auto" w:sz="4" w:space="0"/>
              <w:left w:val="single" w:color="auto" w:sz="4" w:space="0"/>
              <w:bottom w:val="single" w:color="auto" w:sz="4" w:space="0"/>
              <w:right w:val="single" w:color="auto" w:sz="4" w:space="0"/>
            </w:tcBorders>
            <w:noWrap w:val="0"/>
            <w:vAlign w:val="top"/>
          </w:tcPr>
          <w:p w14:paraId="36208048">
            <w:pPr>
              <w:snapToGrid w:val="0"/>
              <w:spacing w:line="360" w:lineRule="exact"/>
              <w:rPr>
                <w:rFonts w:hint="eastAsia" w:ascii="宋体" w:hAnsi="宋体"/>
                <w:szCs w:val="21"/>
                <w:highlight w:val="none"/>
              </w:rPr>
            </w:pPr>
          </w:p>
        </w:tc>
        <w:tc>
          <w:tcPr>
            <w:tcW w:w="3071" w:type="dxa"/>
            <w:tcBorders>
              <w:top w:val="single" w:color="auto" w:sz="4" w:space="0"/>
              <w:left w:val="single" w:color="auto" w:sz="4" w:space="0"/>
              <w:bottom w:val="single" w:color="auto" w:sz="4" w:space="0"/>
              <w:right w:val="single" w:color="auto" w:sz="4" w:space="0"/>
            </w:tcBorders>
            <w:noWrap w:val="0"/>
            <w:vAlign w:val="top"/>
          </w:tcPr>
          <w:p w14:paraId="41C50587">
            <w:pPr>
              <w:snapToGrid w:val="0"/>
              <w:spacing w:line="360" w:lineRule="exact"/>
              <w:rPr>
                <w:rFonts w:hint="eastAsia" w:ascii="宋体" w:hAnsi="宋体"/>
                <w:szCs w:val="21"/>
                <w:highlight w:val="none"/>
              </w:rPr>
            </w:pPr>
          </w:p>
        </w:tc>
      </w:tr>
      <w:tr w14:paraId="7F21F6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95" w:hRule="atLeast"/>
          <w:jc w:val="center"/>
        </w:trPr>
        <w:tc>
          <w:tcPr>
            <w:tcW w:w="1972" w:type="dxa"/>
            <w:tcBorders>
              <w:top w:val="single" w:color="auto" w:sz="4" w:space="0"/>
              <w:left w:val="single" w:color="auto" w:sz="4" w:space="0"/>
              <w:bottom w:val="single" w:color="auto" w:sz="4" w:space="0"/>
              <w:right w:val="single" w:color="auto" w:sz="4" w:space="0"/>
            </w:tcBorders>
            <w:noWrap w:val="0"/>
            <w:vAlign w:val="center"/>
          </w:tcPr>
          <w:p w14:paraId="469473A2">
            <w:pPr>
              <w:snapToGrid w:val="0"/>
              <w:spacing w:line="360" w:lineRule="exact"/>
              <w:jc w:val="center"/>
              <w:rPr>
                <w:rFonts w:hint="eastAsia" w:ascii="宋体" w:hAnsi="宋体"/>
                <w:szCs w:val="21"/>
                <w:highlight w:val="none"/>
              </w:rPr>
            </w:pPr>
          </w:p>
        </w:tc>
        <w:tc>
          <w:tcPr>
            <w:tcW w:w="4047" w:type="dxa"/>
            <w:tcBorders>
              <w:top w:val="single" w:color="auto" w:sz="4" w:space="0"/>
              <w:left w:val="single" w:color="auto" w:sz="4" w:space="0"/>
              <w:bottom w:val="single" w:color="auto" w:sz="4" w:space="0"/>
              <w:right w:val="single" w:color="auto" w:sz="4" w:space="0"/>
            </w:tcBorders>
            <w:noWrap w:val="0"/>
            <w:vAlign w:val="top"/>
          </w:tcPr>
          <w:p w14:paraId="5F5343DD">
            <w:pPr>
              <w:keepNext w:val="0"/>
              <w:keepLines w:val="0"/>
              <w:pageBreakBefore w:val="0"/>
              <w:kinsoku/>
              <w:wordWrap/>
              <w:overflowPunct/>
              <w:topLinePunct w:val="0"/>
              <w:bidi w:val="0"/>
              <w:spacing w:line="360" w:lineRule="auto"/>
              <w:ind w:firstLine="420" w:firstLineChars="200"/>
              <w:rPr>
                <w:rFonts w:hint="eastAsia" w:ascii="宋体" w:hAnsi="宋体"/>
                <w:szCs w:val="21"/>
                <w:highlight w:val="none"/>
              </w:rPr>
            </w:pPr>
          </w:p>
        </w:tc>
        <w:tc>
          <w:tcPr>
            <w:tcW w:w="1228" w:type="dxa"/>
            <w:tcBorders>
              <w:top w:val="single" w:color="auto" w:sz="4" w:space="0"/>
              <w:left w:val="single" w:color="auto" w:sz="4" w:space="0"/>
              <w:bottom w:val="single" w:color="auto" w:sz="4" w:space="0"/>
              <w:right w:val="single" w:color="auto" w:sz="4" w:space="0"/>
            </w:tcBorders>
            <w:noWrap w:val="0"/>
            <w:vAlign w:val="top"/>
          </w:tcPr>
          <w:p w14:paraId="69244628">
            <w:pPr>
              <w:snapToGrid w:val="0"/>
              <w:spacing w:line="360" w:lineRule="exact"/>
              <w:rPr>
                <w:rFonts w:hint="eastAsia" w:ascii="宋体" w:hAnsi="宋体"/>
                <w:szCs w:val="21"/>
                <w:highlight w:val="none"/>
              </w:rPr>
            </w:pPr>
          </w:p>
        </w:tc>
        <w:tc>
          <w:tcPr>
            <w:tcW w:w="3071" w:type="dxa"/>
            <w:tcBorders>
              <w:top w:val="single" w:color="auto" w:sz="4" w:space="0"/>
              <w:left w:val="single" w:color="auto" w:sz="4" w:space="0"/>
              <w:bottom w:val="single" w:color="auto" w:sz="4" w:space="0"/>
              <w:right w:val="single" w:color="auto" w:sz="4" w:space="0"/>
            </w:tcBorders>
            <w:noWrap w:val="0"/>
            <w:vAlign w:val="top"/>
          </w:tcPr>
          <w:p w14:paraId="04D1990B">
            <w:pPr>
              <w:snapToGrid w:val="0"/>
              <w:spacing w:line="360" w:lineRule="exact"/>
              <w:rPr>
                <w:rFonts w:hint="eastAsia" w:ascii="宋体" w:hAnsi="宋体"/>
                <w:szCs w:val="21"/>
                <w:highlight w:val="none"/>
              </w:rPr>
            </w:pPr>
          </w:p>
        </w:tc>
      </w:tr>
      <w:tr w14:paraId="795DB8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7" w:hRule="atLeast"/>
          <w:jc w:val="center"/>
        </w:trPr>
        <w:tc>
          <w:tcPr>
            <w:tcW w:w="1972" w:type="dxa"/>
            <w:tcBorders>
              <w:top w:val="single" w:color="auto" w:sz="4" w:space="0"/>
              <w:left w:val="single" w:color="auto" w:sz="4" w:space="0"/>
              <w:bottom w:val="single" w:color="auto" w:sz="4" w:space="0"/>
              <w:right w:val="single" w:color="auto" w:sz="4" w:space="0"/>
            </w:tcBorders>
            <w:noWrap w:val="0"/>
            <w:vAlign w:val="center"/>
          </w:tcPr>
          <w:p w14:paraId="2CBA65A6">
            <w:pPr>
              <w:snapToGrid w:val="0"/>
              <w:spacing w:line="360" w:lineRule="exact"/>
              <w:jc w:val="center"/>
              <w:rPr>
                <w:rFonts w:hint="eastAsia" w:ascii="宋体" w:hAnsi="宋体"/>
                <w:szCs w:val="21"/>
                <w:highlight w:val="none"/>
              </w:rPr>
            </w:pPr>
          </w:p>
        </w:tc>
        <w:tc>
          <w:tcPr>
            <w:tcW w:w="4047" w:type="dxa"/>
            <w:tcBorders>
              <w:top w:val="single" w:color="auto" w:sz="4" w:space="0"/>
              <w:left w:val="single" w:color="auto" w:sz="4" w:space="0"/>
              <w:bottom w:val="single" w:color="auto" w:sz="4" w:space="0"/>
              <w:right w:val="single" w:color="auto" w:sz="4" w:space="0"/>
            </w:tcBorders>
            <w:noWrap w:val="0"/>
            <w:vAlign w:val="top"/>
          </w:tcPr>
          <w:p w14:paraId="37D955F5">
            <w:pPr>
              <w:snapToGrid w:val="0"/>
              <w:spacing w:line="360" w:lineRule="exact"/>
              <w:rPr>
                <w:rFonts w:hint="eastAsia" w:ascii="宋体" w:hAnsi="宋体"/>
                <w:szCs w:val="21"/>
                <w:highlight w:val="none"/>
              </w:rPr>
            </w:pPr>
          </w:p>
        </w:tc>
        <w:tc>
          <w:tcPr>
            <w:tcW w:w="1228" w:type="dxa"/>
            <w:tcBorders>
              <w:top w:val="single" w:color="auto" w:sz="4" w:space="0"/>
              <w:left w:val="single" w:color="auto" w:sz="4" w:space="0"/>
              <w:bottom w:val="single" w:color="auto" w:sz="4" w:space="0"/>
              <w:right w:val="single" w:color="auto" w:sz="4" w:space="0"/>
            </w:tcBorders>
            <w:noWrap w:val="0"/>
            <w:vAlign w:val="top"/>
          </w:tcPr>
          <w:p w14:paraId="070407D4">
            <w:pPr>
              <w:snapToGrid w:val="0"/>
              <w:spacing w:line="360" w:lineRule="exact"/>
              <w:ind w:left="86"/>
              <w:rPr>
                <w:rFonts w:hint="eastAsia" w:ascii="宋体" w:hAnsi="宋体"/>
                <w:szCs w:val="21"/>
                <w:highlight w:val="none"/>
              </w:rPr>
            </w:pPr>
          </w:p>
        </w:tc>
        <w:tc>
          <w:tcPr>
            <w:tcW w:w="3071" w:type="dxa"/>
            <w:tcBorders>
              <w:top w:val="single" w:color="auto" w:sz="4" w:space="0"/>
              <w:left w:val="single" w:color="auto" w:sz="4" w:space="0"/>
              <w:bottom w:val="single" w:color="auto" w:sz="4" w:space="0"/>
              <w:right w:val="single" w:color="auto" w:sz="4" w:space="0"/>
            </w:tcBorders>
            <w:noWrap w:val="0"/>
            <w:vAlign w:val="top"/>
          </w:tcPr>
          <w:p w14:paraId="75AD5FB7">
            <w:pPr>
              <w:snapToGrid w:val="0"/>
              <w:spacing w:line="360" w:lineRule="exact"/>
              <w:ind w:left="86"/>
              <w:rPr>
                <w:rFonts w:hint="eastAsia" w:ascii="宋体" w:hAnsi="宋体"/>
                <w:szCs w:val="21"/>
                <w:highlight w:val="none"/>
              </w:rPr>
            </w:pPr>
          </w:p>
        </w:tc>
      </w:tr>
      <w:tr w14:paraId="59A9A7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2" w:hRule="atLeast"/>
          <w:jc w:val="center"/>
        </w:trPr>
        <w:tc>
          <w:tcPr>
            <w:tcW w:w="1972" w:type="dxa"/>
            <w:tcBorders>
              <w:top w:val="single" w:color="auto" w:sz="4" w:space="0"/>
              <w:left w:val="single" w:color="auto" w:sz="4" w:space="0"/>
              <w:bottom w:val="single" w:color="auto" w:sz="4" w:space="0"/>
              <w:right w:val="single" w:color="auto" w:sz="4" w:space="0"/>
            </w:tcBorders>
            <w:noWrap w:val="0"/>
            <w:vAlign w:val="top"/>
          </w:tcPr>
          <w:p w14:paraId="70084093">
            <w:pPr>
              <w:snapToGrid w:val="0"/>
              <w:spacing w:line="360" w:lineRule="exact"/>
              <w:jc w:val="center"/>
              <w:rPr>
                <w:rFonts w:hint="default" w:ascii="宋体" w:hAnsi="宋体" w:eastAsia="宋体" w:cs="宋体"/>
                <w:szCs w:val="21"/>
                <w:highlight w:val="none"/>
                <w:lang w:val="en-US" w:eastAsia="zh-CN" w:bidi="ar-SA"/>
              </w:rPr>
            </w:pPr>
          </w:p>
        </w:tc>
        <w:tc>
          <w:tcPr>
            <w:tcW w:w="4047" w:type="dxa"/>
            <w:tcBorders>
              <w:top w:val="single" w:color="auto" w:sz="4" w:space="0"/>
              <w:left w:val="single" w:color="auto" w:sz="4" w:space="0"/>
              <w:bottom w:val="single" w:color="auto" w:sz="4" w:space="0"/>
              <w:right w:val="single" w:color="auto" w:sz="4" w:space="0"/>
            </w:tcBorders>
            <w:noWrap w:val="0"/>
            <w:vAlign w:val="top"/>
          </w:tcPr>
          <w:p w14:paraId="232F5250">
            <w:pPr>
              <w:snapToGrid w:val="0"/>
              <w:spacing w:line="360" w:lineRule="exact"/>
              <w:jc w:val="center"/>
              <w:rPr>
                <w:rFonts w:hint="eastAsia" w:ascii="宋体" w:hAnsi="宋体" w:cs="宋体"/>
                <w:szCs w:val="21"/>
                <w:highlight w:val="none"/>
                <w:lang w:bidi="ar-SA"/>
              </w:rPr>
            </w:pPr>
          </w:p>
        </w:tc>
        <w:tc>
          <w:tcPr>
            <w:tcW w:w="1228" w:type="dxa"/>
            <w:tcBorders>
              <w:top w:val="single" w:color="auto" w:sz="4" w:space="0"/>
              <w:left w:val="single" w:color="auto" w:sz="4" w:space="0"/>
              <w:bottom w:val="single" w:color="auto" w:sz="4" w:space="0"/>
              <w:right w:val="single" w:color="auto" w:sz="4" w:space="0"/>
            </w:tcBorders>
            <w:noWrap w:val="0"/>
            <w:vAlign w:val="top"/>
          </w:tcPr>
          <w:p w14:paraId="6305B8D7">
            <w:pPr>
              <w:snapToGrid w:val="0"/>
              <w:spacing w:line="360" w:lineRule="exact"/>
              <w:jc w:val="center"/>
              <w:rPr>
                <w:rFonts w:hint="eastAsia" w:ascii="宋体" w:hAnsi="宋体"/>
                <w:szCs w:val="21"/>
                <w:highlight w:val="none"/>
              </w:rPr>
            </w:pPr>
          </w:p>
        </w:tc>
        <w:tc>
          <w:tcPr>
            <w:tcW w:w="3071" w:type="dxa"/>
            <w:tcBorders>
              <w:top w:val="single" w:color="auto" w:sz="4" w:space="0"/>
              <w:left w:val="single" w:color="auto" w:sz="4" w:space="0"/>
              <w:bottom w:val="single" w:color="auto" w:sz="4" w:space="0"/>
              <w:right w:val="single" w:color="auto" w:sz="4" w:space="0"/>
            </w:tcBorders>
            <w:noWrap w:val="0"/>
            <w:vAlign w:val="top"/>
          </w:tcPr>
          <w:p w14:paraId="127191DF">
            <w:pPr>
              <w:snapToGrid w:val="0"/>
              <w:spacing w:line="360" w:lineRule="exact"/>
              <w:rPr>
                <w:rFonts w:hint="eastAsia" w:ascii="宋体" w:hAnsi="宋体"/>
                <w:szCs w:val="21"/>
                <w:highlight w:val="none"/>
              </w:rPr>
            </w:pPr>
          </w:p>
        </w:tc>
      </w:tr>
    </w:tbl>
    <w:p w14:paraId="5CBDD4E5">
      <w:pPr>
        <w:snapToGrid w:val="0"/>
        <w:spacing w:line="400" w:lineRule="exact"/>
        <w:rPr>
          <w:rFonts w:ascii="宋体" w:hAnsi="宋体"/>
          <w:b/>
          <w:sz w:val="21"/>
          <w:szCs w:val="21"/>
          <w:highlight w:val="none"/>
          <w:u w:val="single"/>
          <w:shd w:val="pct10" w:color="auto" w:fill="FFFFFF"/>
        </w:rPr>
      </w:pPr>
      <w:r>
        <w:rPr>
          <w:rFonts w:hint="eastAsia" w:ascii="宋体" w:hAnsi="宋体"/>
          <w:b/>
          <w:sz w:val="21"/>
          <w:szCs w:val="21"/>
          <w:highlight w:val="none"/>
          <w:u w:val="single"/>
          <w:shd w:val="pct10" w:color="auto" w:fill="FFFFFF"/>
        </w:rPr>
        <w:t>特别说明：</w:t>
      </w:r>
    </w:p>
    <w:p w14:paraId="4FF31F20">
      <w:pPr>
        <w:snapToGrid w:val="0"/>
        <w:spacing w:line="400" w:lineRule="exact"/>
        <w:rPr>
          <w:rFonts w:ascii="宋体" w:hAnsi="宋体"/>
          <w:b/>
          <w:sz w:val="21"/>
          <w:szCs w:val="21"/>
          <w:highlight w:val="none"/>
          <w:u w:val="single"/>
          <w:shd w:val="pct10" w:color="auto" w:fill="FFFFFF"/>
        </w:rPr>
      </w:pPr>
      <w:r>
        <w:rPr>
          <w:rFonts w:hint="eastAsia" w:ascii="宋体" w:hAnsi="宋体"/>
          <w:b/>
          <w:sz w:val="21"/>
          <w:szCs w:val="21"/>
          <w:highlight w:val="none"/>
          <w:u w:val="single"/>
          <w:shd w:val="pct10" w:color="auto" w:fill="FFFFFF"/>
        </w:rPr>
        <w:t>投标人应在此表中将招标文件中列明</w:t>
      </w:r>
      <w:bookmarkStart w:id="154" w:name="_Hlk535995896"/>
      <w:r>
        <w:rPr>
          <w:rFonts w:hint="eastAsia" w:ascii="宋体" w:hAnsi="宋体"/>
          <w:b/>
          <w:sz w:val="21"/>
          <w:szCs w:val="21"/>
          <w:highlight w:val="none"/>
          <w:u w:val="single"/>
          <w:shd w:val="pct10" w:color="auto" w:fill="FFFFFF"/>
        </w:rPr>
        <w:t>的商务要求和技术参数要求的正偏离或负偏离的应标内容详细写明，</w:t>
      </w:r>
      <w:bookmarkEnd w:id="154"/>
      <w:r>
        <w:rPr>
          <w:rFonts w:hint="eastAsia" w:ascii="宋体" w:hAnsi="宋体"/>
          <w:b/>
          <w:sz w:val="21"/>
          <w:szCs w:val="21"/>
          <w:highlight w:val="none"/>
          <w:u w:val="single"/>
          <w:shd w:val="pct10" w:color="auto" w:fill="FFFFFF"/>
        </w:rPr>
        <w:t>特别是勿遗漏招标文件中打▲的商务和技术要求的应标内容。</w:t>
      </w:r>
      <w:r>
        <w:rPr>
          <w:rFonts w:hint="eastAsia" w:hAnsi="宋体"/>
          <w:b/>
          <w:sz w:val="21"/>
          <w:szCs w:val="21"/>
          <w:highlight w:val="none"/>
          <w:u w:val="single"/>
          <w:shd w:val="pct10" w:color="auto" w:fill="FFFFFF"/>
        </w:rPr>
        <w:t>如果投标人在本响应表中缺失部分招标文件中</w:t>
      </w:r>
      <w:r>
        <w:rPr>
          <w:rFonts w:hint="eastAsia" w:ascii="宋体" w:hAnsi="宋体"/>
          <w:b/>
          <w:sz w:val="21"/>
          <w:szCs w:val="21"/>
          <w:highlight w:val="none"/>
          <w:u w:val="single"/>
          <w:shd w:val="pct10" w:color="auto" w:fill="FFFFFF"/>
        </w:rPr>
        <w:t>打▲</w:t>
      </w:r>
      <w:r>
        <w:rPr>
          <w:rFonts w:hint="eastAsia" w:hAnsi="宋体"/>
          <w:b/>
          <w:sz w:val="21"/>
          <w:szCs w:val="21"/>
          <w:highlight w:val="none"/>
          <w:u w:val="single"/>
          <w:shd w:val="pct10" w:color="auto" w:fill="FFFFFF"/>
        </w:rPr>
        <w:t>的</w:t>
      </w:r>
      <w:r>
        <w:rPr>
          <w:rFonts w:hint="eastAsia" w:ascii="宋体" w:hAnsi="宋体"/>
          <w:b/>
          <w:sz w:val="21"/>
          <w:szCs w:val="21"/>
          <w:highlight w:val="none"/>
          <w:u w:val="single"/>
          <w:shd w:val="pct10" w:color="auto" w:fill="FFFFFF"/>
        </w:rPr>
        <w:t>商务和技术</w:t>
      </w:r>
      <w:r>
        <w:rPr>
          <w:rFonts w:hint="eastAsia" w:hAnsi="宋体"/>
          <w:b/>
          <w:sz w:val="21"/>
          <w:szCs w:val="21"/>
          <w:highlight w:val="none"/>
          <w:u w:val="single"/>
          <w:shd w:val="pct10" w:color="auto" w:fill="FFFFFF"/>
        </w:rPr>
        <w:t>要求的应标内容，同时在评标委员会对其进行询标时，投标人未能在规定时间内提供出其投标文件中有该项响应内容，其投标文件将会被判定为无效。</w:t>
      </w:r>
    </w:p>
    <w:p w14:paraId="42ABF329">
      <w:pPr>
        <w:snapToGrid w:val="0"/>
        <w:spacing w:after="120"/>
        <w:rPr>
          <w:rFonts w:hint="eastAsia" w:ascii="宋体" w:hAnsi="宋体" w:cs="宋体"/>
          <w:b/>
          <w:kern w:val="0"/>
          <w:sz w:val="24"/>
          <w:highlight w:val="none"/>
          <w:lang w:bidi="ar-SA"/>
        </w:rPr>
      </w:pPr>
      <w:r>
        <w:rPr>
          <w:rFonts w:hint="eastAsia" w:ascii="宋体" w:hAnsi="宋体" w:cs="宋体"/>
          <w:b/>
          <w:spacing w:val="20"/>
          <w:kern w:val="0"/>
          <w:sz w:val="24"/>
          <w:highlight w:val="none"/>
          <w:lang w:bidi="ar-SA"/>
        </w:rPr>
        <w:t xml:space="preserve">法定代表人签字（或盖章）：            投标人（盖章）： </w:t>
      </w:r>
      <w:r>
        <w:rPr>
          <w:rFonts w:hint="eastAsia" w:ascii="宋体" w:hAnsi="宋体" w:cs="宋体"/>
          <w:b/>
          <w:kern w:val="0"/>
          <w:sz w:val="24"/>
          <w:highlight w:val="none"/>
          <w:lang w:bidi="ar-SA"/>
        </w:rPr>
        <w:t xml:space="preserve">           　 </w:t>
      </w:r>
    </w:p>
    <w:p w14:paraId="71FA4803">
      <w:pPr>
        <w:snapToGrid w:val="0"/>
        <w:spacing w:before="50" w:after="120" w:afterLines="50"/>
        <w:jc w:val="left"/>
        <w:rPr>
          <w:rFonts w:hint="eastAsia" w:ascii="宋体" w:hAnsi="宋体" w:eastAsia="宋体" w:cs="宋体"/>
          <w:b/>
          <w:kern w:val="0"/>
          <w:sz w:val="24"/>
          <w:highlight w:val="none"/>
          <w:lang w:val="en-US" w:eastAsia="zh-CN" w:bidi="ar-SA"/>
        </w:rPr>
        <w:sectPr>
          <w:footerReference r:id="rId10" w:type="default"/>
          <w:footerReference r:id="rId11" w:type="even"/>
          <w:pgSz w:w="11906" w:h="16838"/>
          <w:pgMar w:top="1361" w:right="1361" w:bottom="1361" w:left="1361" w:header="567" w:footer="454" w:gutter="0"/>
          <w:pgNumType w:fmt="decimal"/>
          <w:cols w:space="720" w:num="1"/>
          <w:docGrid w:linePitch="1" w:charSpace="0"/>
        </w:sectPr>
      </w:pPr>
      <w:r>
        <w:rPr>
          <w:rFonts w:hint="eastAsia" w:ascii="宋体" w:hAnsi="宋体" w:cs="宋体"/>
          <w:b/>
          <w:kern w:val="0"/>
          <w:sz w:val="24"/>
          <w:highlight w:val="none"/>
          <w:lang w:bidi="ar-SA"/>
        </w:rPr>
        <w:t>日期：  _____年___月___</w:t>
      </w:r>
      <w:r>
        <w:rPr>
          <w:rFonts w:hint="eastAsia" w:ascii="宋体" w:hAnsi="宋体" w:cs="宋体"/>
          <w:b/>
          <w:kern w:val="0"/>
          <w:sz w:val="24"/>
          <w:highlight w:val="none"/>
          <w:lang w:val="en-US" w:eastAsia="zh-CN" w:bidi="ar-SA"/>
        </w:rPr>
        <w:t>日</w:t>
      </w:r>
    </w:p>
    <w:p w14:paraId="15A0FA10">
      <w:pPr>
        <w:snapToGrid w:val="0"/>
        <w:spacing w:before="50" w:afterLines="50"/>
        <w:jc w:val="center"/>
        <w:outlineLvl w:val="1"/>
        <w:rPr>
          <w:rFonts w:hint="eastAsia" w:ascii="宋体" w:hAnsi="宋体" w:eastAsia="宋体" w:cs="宋体"/>
          <w:b/>
          <w:color w:val="auto"/>
          <w:sz w:val="30"/>
          <w:szCs w:val="30"/>
          <w:highlight w:val="none"/>
        </w:rPr>
      </w:pPr>
      <w:bookmarkStart w:id="155" w:name="_Toc265669851"/>
      <w:bookmarkStart w:id="156" w:name="_Toc11317"/>
      <w:bookmarkStart w:id="157" w:name="_Toc466534754"/>
      <w:r>
        <w:rPr>
          <w:rFonts w:hint="eastAsia" w:ascii="宋体" w:hAnsi="宋体" w:cs="宋体"/>
          <w:b/>
          <w:color w:val="auto"/>
          <w:sz w:val="30"/>
          <w:szCs w:val="30"/>
          <w:highlight w:val="none"/>
          <w:lang w:eastAsia="zh-CN"/>
        </w:rPr>
        <w:t>三</w:t>
      </w:r>
      <w:r>
        <w:rPr>
          <w:rFonts w:hint="eastAsia" w:ascii="宋体" w:hAnsi="宋体" w:eastAsia="宋体" w:cs="宋体"/>
          <w:b/>
          <w:color w:val="auto"/>
          <w:sz w:val="30"/>
          <w:szCs w:val="30"/>
          <w:highlight w:val="none"/>
        </w:rPr>
        <w:t>、</w:t>
      </w:r>
      <w:bookmarkEnd w:id="155"/>
      <w:bookmarkEnd w:id="156"/>
      <w:bookmarkEnd w:id="157"/>
      <w:r>
        <w:rPr>
          <w:rFonts w:hint="eastAsia" w:ascii="宋体" w:hAnsi="宋体" w:eastAsia="宋体" w:cs="宋体"/>
          <w:b/>
          <w:color w:val="auto"/>
          <w:sz w:val="30"/>
          <w:szCs w:val="30"/>
          <w:highlight w:val="none"/>
        </w:rPr>
        <w:t>报价响应文件格式</w:t>
      </w:r>
    </w:p>
    <w:p w14:paraId="584CAEC1">
      <w:pPr>
        <w:snapToGrid w:val="0"/>
        <w:spacing w:beforeLines="50" w:after="50"/>
        <w:ind w:firstLine="645"/>
        <w:jc w:val="center"/>
        <w:rPr>
          <w:rFonts w:hint="eastAsia" w:ascii="宋体" w:hAnsi="宋体" w:eastAsia="宋体" w:cs="宋体"/>
          <w:color w:val="auto"/>
          <w:sz w:val="24"/>
          <w:szCs w:val="20"/>
          <w:highlight w:val="none"/>
        </w:rPr>
      </w:pPr>
      <w:r>
        <w:rPr>
          <w:rFonts w:hint="eastAsia" w:ascii="宋体" w:hAnsi="宋体" w:eastAsia="宋体" w:cs="宋体"/>
          <w:bCs/>
          <w:color w:val="auto"/>
          <w:sz w:val="24"/>
          <w:highlight w:val="none"/>
        </w:rPr>
        <w:t xml:space="preserve"> </w:t>
      </w:r>
    </w:p>
    <w:p w14:paraId="15DA935E">
      <w:pPr>
        <w:snapToGrid w:val="0"/>
        <w:spacing w:beforeLines="50" w:after="50"/>
        <w:rPr>
          <w:rFonts w:hint="eastAsia" w:ascii="宋体" w:hAnsi="宋体" w:eastAsia="宋体" w:cs="宋体"/>
          <w:color w:val="auto"/>
          <w:sz w:val="24"/>
          <w:szCs w:val="20"/>
          <w:highlight w:val="none"/>
        </w:rPr>
      </w:pPr>
    </w:p>
    <w:p w14:paraId="63560BD2">
      <w:pPr>
        <w:snapToGrid w:val="0"/>
        <w:spacing w:beforeLines="50" w:after="50"/>
        <w:rPr>
          <w:rFonts w:hint="eastAsia" w:ascii="宋体" w:hAnsi="宋体" w:eastAsia="宋体" w:cs="宋体"/>
          <w:color w:val="auto"/>
          <w:sz w:val="24"/>
          <w:szCs w:val="20"/>
          <w:highlight w:val="none"/>
        </w:rPr>
      </w:pPr>
    </w:p>
    <w:p w14:paraId="3E9CC3C6">
      <w:pPr>
        <w:snapToGrid w:val="0"/>
        <w:spacing w:beforeLines="50" w:after="50"/>
        <w:ind w:firstLine="560" w:firstLineChars="200"/>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13</w:t>
      </w:r>
      <w:r>
        <w:rPr>
          <w:rFonts w:hint="eastAsia" w:ascii="宋体" w:hAnsi="宋体" w:eastAsia="宋体" w:cs="宋体"/>
          <w:color w:val="auto"/>
          <w:sz w:val="28"/>
          <w:szCs w:val="28"/>
          <w:highlight w:val="none"/>
        </w:rPr>
        <w:t>.报价</w:t>
      </w:r>
      <w:r>
        <w:rPr>
          <w:rFonts w:hint="eastAsia" w:ascii="宋体" w:hAnsi="宋体" w:cs="宋体"/>
          <w:color w:val="auto"/>
          <w:sz w:val="28"/>
          <w:szCs w:val="28"/>
          <w:highlight w:val="none"/>
          <w:lang w:eastAsia="zh-CN"/>
        </w:rPr>
        <w:t>响应</w:t>
      </w:r>
      <w:r>
        <w:rPr>
          <w:rFonts w:hint="eastAsia" w:ascii="宋体" w:hAnsi="宋体" w:eastAsia="宋体" w:cs="宋体"/>
          <w:color w:val="auto"/>
          <w:sz w:val="28"/>
          <w:szCs w:val="28"/>
          <w:highlight w:val="none"/>
        </w:rPr>
        <w:t xml:space="preserve">文件封面格式： </w:t>
      </w:r>
    </w:p>
    <w:p w14:paraId="66D18836">
      <w:pPr>
        <w:snapToGrid w:val="0"/>
        <w:spacing w:beforeLines="50" w:after="50"/>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报 价</w:t>
      </w:r>
      <w:r>
        <w:rPr>
          <w:rFonts w:hint="eastAsia" w:ascii="宋体" w:hAnsi="宋体" w:cs="宋体"/>
          <w:bCs/>
          <w:color w:val="auto"/>
          <w:sz w:val="28"/>
          <w:szCs w:val="28"/>
          <w:highlight w:val="none"/>
          <w:lang w:val="en-US" w:eastAsia="zh-CN"/>
        </w:rPr>
        <w:t xml:space="preserve"> </w:t>
      </w:r>
      <w:r>
        <w:rPr>
          <w:rFonts w:hint="eastAsia" w:ascii="宋体" w:hAnsi="宋体" w:cs="宋体"/>
          <w:bCs/>
          <w:color w:val="auto"/>
          <w:sz w:val="28"/>
          <w:szCs w:val="28"/>
          <w:highlight w:val="none"/>
          <w:lang w:eastAsia="zh-CN"/>
        </w:rPr>
        <w:t>响</w:t>
      </w:r>
      <w:r>
        <w:rPr>
          <w:rFonts w:hint="eastAsia" w:ascii="宋体" w:hAnsi="宋体" w:cs="宋体"/>
          <w:bCs/>
          <w:color w:val="auto"/>
          <w:sz w:val="28"/>
          <w:szCs w:val="28"/>
          <w:highlight w:val="none"/>
          <w:lang w:val="en-US" w:eastAsia="zh-CN"/>
        </w:rPr>
        <w:t xml:space="preserve"> </w:t>
      </w:r>
      <w:r>
        <w:rPr>
          <w:rFonts w:hint="eastAsia" w:ascii="宋体" w:hAnsi="宋体" w:cs="宋体"/>
          <w:bCs/>
          <w:color w:val="auto"/>
          <w:sz w:val="28"/>
          <w:szCs w:val="28"/>
          <w:highlight w:val="none"/>
          <w:lang w:eastAsia="zh-CN"/>
        </w:rPr>
        <w:t>应</w:t>
      </w:r>
      <w:r>
        <w:rPr>
          <w:rFonts w:hint="eastAsia" w:ascii="宋体" w:hAnsi="宋体" w:cs="宋体"/>
          <w:bCs/>
          <w:color w:val="auto"/>
          <w:sz w:val="28"/>
          <w:szCs w:val="28"/>
          <w:highlight w:val="none"/>
          <w:lang w:val="en-US" w:eastAsia="zh-CN"/>
        </w:rPr>
        <w:t xml:space="preserve"> </w:t>
      </w:r>
      <w:r>
        <w:rPr>
          <w:rFonts w:hint="eastAsia" w:ascii="宋体" w:hAnsi="宋体" w:eastAsia="宋体" w:cs="宋体"/>
          <w:bCs/>
          <w:color w:val="auto"/>
          <w:sz w:val="28"/>
          <w:szCs w:val="28"/>
          <w:highlight w:val="none"/>
        </w:rPr>
        <w:t>文 件</w:t>
      </w:r>
    </w:p>
    <w:p w14:paraId="0EB2317E">
      <w:pPr>
        <w:snapToGrid w:val="0"/>
        <w:spacing w:beforeLines="50" w:after="5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 </w:t>
      </w:r>
    </w:p>
    <w:p w14:paraId="4826FD8E">
      <w:pPr>
        <w:snapToGrid w:val="0"/>
        <w:spacing w:beforeLines="50" w:after="50" w:line="360" w:lineRule="auto"/>
        <w:jc w:val="center"/>
        <w:rPr>
          <w:rFonts w:hint="eastAsia" w:ascii="宋体" w:hAnsi="宋体" w:eastAsia="宋体" w:cs="宋体"/>
          <w:bCs/>
          <w:color w:val="auto"/>
          <w:sz w:val="28"/>
          <w:szCs w:val="28"/>
          <w:highlight w:val="none"/>
        </w:rPr>
      </w:pPr>
    </w:p>
    <w:p w14:paraId="266A99E2">
      <w:pPr>
        <w:snapToGrid w:val="0"/>
        <w:spacing w:beforeLines="50" w:after="50" w:line="360" w:lineRule="auto"/>
        <w:ind w:firstLine="1246" w:firstLineChars="445"/>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项目名称：</w:t>
      </w:r>
    </w:p>
    <w:p w14:paraId="0620111B">
      <w:pPr>
        <w:snapToGrid w:val="0"/>
        <w:spacing w:beforeLines="50" w:after="50" w:line="360" w:lineRule="auto"/>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     项目编号：</w:t>
      </w:r>
    </w:p>
    <w:p w14:paraId="7CDB62DC">
      <w:pPr>
        <w:pStyle w:val="15"/>
        <w:snapToGrid w:val="0"/>
        <w:spacing w:before="50" w:after="50" w:line="360" w:lineRule="auto"/>
        <w:ind w:firstLine="1164" w:firstLineChars="416"/>
        <w:rPr>
          <w:rFonts w:hint="eastAsia" w:ascii="宋体" w:hAnsi="宋体" w:eastAsia="宋体" w:cs="宋体"/>
          <w:bCs/>
          <w:color w:val="auto"/>
          <w:sz w:val="28"/>
          <w:szCs w:val="28"/>
          <w:highlight w:val="none"/>
        </w:rPr>
      </w:pPr>
    </w:p>
    <w:p w14:paraId="39095191">
      <w:pPr>
        <w:pStyle w:val="15"/>
        <w:snapToGrid w:val="0"/>
        <w:spacing w:before="50" w:after="50" w:line="360" w:lineRule="auto"/>
        <w:ind w:firstLine="1164" w:firstLineChars="416"/>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投标人名称：</w:t>
      </w:r>
    </w:p>
    <w:p w14:paraId="51B4AF7D">
      <w:pPr>
        <w:pStyle w:val="15"/>
        <w:snapToGrid w:val="0"/>
        <w:spacing w:before="50" w:after="50" w:line="360" w:lineRule="auto"/>
        <w:ind w:firstLine="1164" w:firstLineChars="416"/>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投标人地址：</w:t>
      </w:r>
    </w:p>
    <w:p w14:paraId="644A8231">
      <w:pPr>
        <w:snapToGrid w:val="0"/>
        <w:spacing w:beforeLines="50" w:after="50" w:line="360" w:lineRule="auto"/>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p>
    <w:p w14:paraId="63EA11AA">
      <w:pPr>
        <w:snapToGrid w:val="0"/>
        <w:spacing w:beforeLines="50" w:after="50" w:line="360" w:lineRule="auto"/>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年  月  日</w:t>
      </w:r>
    </w:p>
    <w:p w14:paraId="64FFD871">
      <w:pPr>
        <w:rPr>
          <w:rFonts w:hint="eastAsia" w:ascii="宋体" w:hAnsi="宋体" w:eastAsia="宋体" w:cs="宋体"/>
          <w:color w:val="auto"/>
          <w:sz w:val="28"/>
          <w:szCs w:val="28"/>
          <w:highlight w:val="none"/>
        </w:rPr>
      </w:pPr>
      <w:r>
        <w:rPr>
          <w:rFonts w:hint="eastAsia" w:ascii="宋体" w:hAnsi="宋体" w:eastAsia="宋体" w:cs="宋体"/>
          <w:color w:val="auto"/>
          <w:highlight w:val="none"/>
        </w:rPr>
        <w:br w:type="page"/>
      </w:r>
      <w:r>
        <w:rPr>
          <w:rFonts w:hint="eastAsia" w:ascii="宋体" w:hAnsi="宋体" w:cs="宋体"/>
          <w:color w:val="auto"/>
          <w:highlight w:val="none"/>
          <w:lang w:val="en-US" w:eastAsia="zh-CN"/>
        </w:rPr>
        <w:t>14.</w:t>
      </w:r>
      <w:r>
        <w:rPr>
          <w:rFonts w:hint="eastAsia" w:ascii="宋体" w:hAnsi="宋体" w:eastAsia="宋体" w:cs="宋体"/>
          <w:b/>
          <w:color w:val="auto"/>
          <w:sz w:val="24"/>
          <w:highlight w:val="none"/>
        </w:rPr>
        <w:t>初次总报价表格式</w:t>
      </w:r>
    </w:p>
    <w:p w14:paraId="7A6D8E0C">
      <w:pPr>
        <w:pStyle w:val="30"/>
        <w:snapToGrid w:val="0"/>
        <w:spacing w:before="120" w:after="120" w:line="240" w:lineRule="auto"/>
        <w:jc w:val="center"/>
        <w:rPr>
          <w:rFonts w:hint="eastAsia" w:ascii="宋体" w:hAnsi="宋体" w:eastAsia="宋体" w:cs="宋体"/>
          <w:b/>
          <w:color w:val="auto"/>
          <w:sz w:val="21"/>
          <w:szCs w:val="21"/>
          <w:highlight w:val="none"/>
        </w:rPr>
      </w:pPr>
    </w:p>
    <w:p w14:paraId="7008996F">
      <w:pPr>
        <w:spacing w:line="360" w:lineRule="auto"/>
        <w:jc w:val="center"/>
        <w:rPr>
          <w:rFonts w:hint="eastAsia" w:ascii="宋体" w:hAnsi="宋体" w:eastAsia="宋体" w:cs="宋体"/>
          <w:b/>
          <w:color w:val="auto"/>
          <w:sz w:val="36"/>
          <w:szCs w:val="36"/>
          <w:highlight w:val="none"/>
        </w:rPr>
      </w:pPr>
    </w:p>
    <w:p w14:paraId="41528218">
      <w:pPr>
        <w:spacing w:line="360" w:lineRule="auto"/>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初 次 总 报 价 表</w:t>
      </w:r>
    </w:p>
    <w:p w14:paraId="5E54321A">
      <w:pPr>
        <w:pStyle w:val="30"/>
        <w:spacing w:before="120" w:after="120" w:line="360" w:lineRule="auto"/>
        <w:ind w:firstLine="354" w:firstLineChars="147"/>
        <w:rPr>
          <w:rFonts w:hint="eastAsia" w:ascii="宋体" w:hAnsi="宋体" w:eastAsia="宋体" w:cs="宋体"/>
          <w:bCs/>
          <w:color w:val="auto"/>
          <w:highlight w:val="none"/>
        </w:rPr>
      </w:pPr>
      <w:r>
        <w:rPr>
          <w:rFonts w:hint="eastAsia" w:ascii="宋体" w:hAnsi="宋体" w:eastAsia="宋体" w:cs="宋体"/>
          <w:b/>
          <w:color w:val="auto"/>
          <w:highlight w:val="none"/>
        </w:rPr>
        <w:t>项目名称：</w:t>
      </w:r>
      <w:r>
        <w:rPr>
          <w:rFonts w:hint="eastAsia" w:ascii="宋体" w:hAnsi="宋体" w:eastAsia="宋体" w:cs="宋体"/>
          <w:bCs/>
          <w:color w:val="auto"/>
          <w:highlight w:val="none"/>
        </w:rPr>
        <w:t xml:space="preserve"> </w:t>
      </w:r>
    </w:p>
    <w:tbl>
      <w:tblPr>
        <w:tblStyle w:val="51"/>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1"/>
        <w:gridCol w:w="5145"/>
        <w:gridCol w:w="2422"/>
      </w:tblGrid>
      <w:tr w14:paraId="3579D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1541" w:type="dxa"/>
            <w:noWrap w:val="0"/>
            <w:vAlign w:val="center"/>
          </w:tcPr>
          <w:p w14:paraId="11D811BD">
            <w:pPr>
              <w:snapToGrid w:val="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名称</w:t>
            </w:r>
          </w:p>
        </w:tc>
        <w:tc>
          <w:tcPr>
            <w:tcW w:w="5145" w:type="dxa"/>
            <w:noWrap w:val="0"/>
            <w:vAlign w:val="center"/>
          </w:tcPr>
          <w:p w14:paraId="538615F8">
            <w:pPr>
              <w:snapToGrid w:val="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内容</w:t>
            </w:r>
          </w:p>
        </w:tc>
        <w:tc>
          <w:tcPr>
            <w:tcW w:w="2422" w:type="dxa"/>
            <w:noWrap w:val="0"/>
            <w:vAlign w:val="center"/>
          </w:tcPr>
          <w:p w14:paraId="5D610EDD">
            <w:pPr>
              <w:snapToGrid w:val="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备注</w:t>
            </w:r>
          </w:p>
        </w:tc>
      </w:tr>
      <w:tr w14:paraId="7C984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6" w:hRule="atLeast"/>
        </w:trPr>
        <w:tc>
          <w:tcPr>
            <w:tcW w:w="1541" w:type="dxa"/>
            <w:noWrap w:val="0"/>
            <w:vAlign w:val="center"/>
          </w:tcPr>
          <w:p w14:paraId="08C8F242">
            <w:pPr>
              <w:snapToGrid w:val="0"/>
              <w:jc w:val="center"/>
              <w:rPr>
                <w:rFonts w:hint="eastAsia" w:ascii="宋体" w:hAnsi="宋体" w:eastAsia="宋体" w:cs="宋体"/>
                <w:b/>
                <w:color w:val="auto"/>
                <w:sz w:val="24"/>
                <w:highlight w:val="none"/>
              </w:rPr>
            </w:pPr>
          </w:p>
          <w:p w14:paraId="75A94211">
            <w:pPr>
              <w:snapToGrid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投标总报价</w:t>
            </w:r>
          </w:p>
          <w:p w14:paraId="62484A89">
            <w:pPr>
              <w:snapToGrid w:val="0"/>
              <w:jc w:val="center"/>
              <w:rPr>
                <w:rFonts w:hint="eastAsia" w:ascii="宋体" w:hAnsi="宋体" w:eastAsia="宋体" w:cs="宋体"/>
                <w:b/>
                <w:color w:val="auto"/>
                <w:sz w:val="24"/>
                <w:highlight w:val="none"/>
              </w:rPr>
            </w:pPr>
          </w:p>
          <w:p w14:paraId="6BA0633B">
            <w:pPr>
              <w:snapToGrid w:val="0"/>
              <w:jc w:val="center"/>
              <w:rPr>
                <w:rFonts w:hint="eastAsia" w:ascii="宋体" w:hAnsi="宋体" w:eastAsia="宋体" w:cs="宋体"/>
                <w:b/>
                <w:color w:val="auto"/>
                <w:sz w:val="24"/>
                <w:highlight w:val="none"/>
              </w:rPr>
            </w:pPr>
          </w:p>
          <w:p w14:paraId="6381D8DE">
            <w:pPr>
              <w:snapToGrid w:val="0"/>
              <w:jc w:val="center"/>
              <w:rPr>
                <w:rFonts w:hint="eastAsia" w:ascii="宋体" w:hAnsi="宋体" w:eastAsia="宋体" w:cs="宋体"/>
                <w:b/>
                <w:color w:val="auto"/>
                <w:sz w:val="24"/>
                <w:highlight w:val="none"/>
              </w:rPr>
            </w:pPr>
          </w:p>
        </w:tc>
        <w:tc>
          <w:tcPr>
            <w:tcW w:w="5145" w:type="dxa"/>
            <w:noWrap w:val="0"/>
            <w:vAlign w:val="center"/>
          </w:tcPr>
          <w:p w14:paraId="0248CAC0">
            <w:pPr>
              <w:snapToGrid w:val="0"/>
              <w:rPr>
                <w:rFonts w:hint="eastAsia" w:ascii="宋体" w:hAnsi="宋体" w:eastAsia="宋体" w:cs="宋体"/>
                <w:color w:val="auto"/>
                <w:sz w:val="24"/>
                <w:highlight w:val="none"/>
              </w:rPr>
            </w:pPr>
          </w:p>
          <w:p w14:paraId="357CB00D">
            <w:pPr>
              <w:snapToGrid w:val="0"/>
              <w:rPr>
                <w:rFonts w:hint="default"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大写：</w:t>
            </w:r>
            <w:r>
              <w:rPr>
                <w:rFonts w:hint="eastAsia" w:ascii="宋体" w:hAnsi="宋体" w:eastAsia="宋体" w:cs="宋体"/>
                <w:color w:val="auto"/>
                <w:sz w:val="24"/>
                <w:highlight w:val="none"/>
                <w:u w:val="single"/>
              </w:rPr>
              <w:t>人民</w:t>
            </w:r>
            <w:r>
              <w:rPr>
                <w:rFonts w:hint="eastAsia" w:ascii="宋体" w:hAnsi="宋体" w:cs="宋体"/>
                <w:color w:val="auto"/>
                <w:sz w:val="24"/>
                <w:highlight w:val="none"/>
                <w:u w:val="single"/>
                <w:lang w:val="en-US" w:eastAsia="zh-CN"/>
              </w:rPr>
              <w:t xml:space="preserve">币                   元整     </w:t>
            </w:r>
          </w:p>
          <w:p w14:paraId="16DFD2FF">
            <w:pPr>
              <w:snapToGrid w:val="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 </w:t>
            </w:r>
          </w:p>
          <w:p w14:paraId="693E2353">
            <w:pPr>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小写：</w:t>
            </w:r>
            <w:r>
              <w:rPr>
                <w:rFonts w:hint="eastAsia" w:ascii="宋体" w:hAnsi="宋体" w:eastAsia="宋体" w:cs="宋体"/>
                <w:color w:val="auto"/>
                <w:sz w:val="24"/>
                <w:highlight w:val="none"/>
                <w:u w:val="none"/>
              </w:rPr>
              <w:t>￥_</w:t>
            </w:r>
            <w:r>
              <w:rPr>
                <w:rFonts w:hint="eastAsia" w:ascii="宋体" w:hAnsi="宋体" w:eastAsia="宋体" w:cs="宋体"/>
                <w:color w:val="auto"/>
                <w:sz w:val="24"/>
                <w:highlight w:val="none"/>
              </w:rPr>
              <w:t>_______________________元整</w:t>
            </w:r>
          </w:p>
          <w:p w14:paraId="246EAAD5">
            <w:pPr>
              <w:snapToGrid w:val="0"/>
              <w:rPr>
                <w:rFonts w:hint="eastAsia" w:ascii="宋体" w:hAnsi="宋体" w:eastAsia="宋体" w:cs="宋体"/>
                <w:b/>
                <w:color w:val="auto"/>
                <w:sz w:val="24"/>
                <w:highlight w:val="none"/>
              </w:rPr>
            </w:pPr>
          </w:p>
        </w:tc>
        <w:tc>
          <w:tcPr>
            <w:tcW w:w="2422" w:type="dxa"/>
            <w:noWrap w:val="0"/>
            <w:vAlign w:val="center"/>
          </w:tcPr>
          <w:p w14:paraId="31A05B5F">
            <w:pPr>
              <w:snapToGrid w:val="0"/>
              <w:spacing w:before="50" w:after="50" w:line="420" w:lineRule="exact"/>
              <w:jc w:val="center"/>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投标总报价</w:t>
            </w:r>
            <w:r>
              <w:rPr>
                <w:rFonts w:hint="eastAsia" w:ascii="宋体" w:hAnsi="宋体" w:eastAsia="宋体" w:cs="宋体"/>
                <w:b/>
                <w:color w:val="auto"/>
                <w:sz w:val="24"/>
                <w:highlight w:val="none"/>
                <w:lang w:val="en-US" w:eastAsia="zh-CN"/>
              </w:rPr>
              <w:t>=初次报价明细表中“合计金额”</w:t>
            </w:r>
          </w:p>
        </w:tc>
      </w:tr>
    </w:tbl>
    <w:p w14:paraId="04B2F673">
      <w:pPr>
        <w:adjustRightInd w:val="0"/>
        <w:snapToGrid w:val="0"/>
        <w:spacing w:line="360" w:lineRule="auto"/>
        <w:ind w:firstLine="480" w:firstLineChars="200"/>
        <w:rPr>
          <w:rFonts w:hint="eastAsia" w:ascii="宋体" w:hAnsi="宋体"/>
          <w:b/>
          <w:bCs/>
          <w:color w:val="auto"/>
          <w:sz w:val="24"/>
          <w:szCs w:val="24"/>
          <w:highlight w:val="none"/>
          <w:lang w:val="en-US" w:eastAsia="zh-CN"/>
        </w:rPr>
      </w:pPr>
      <w:r>
        <w:rPr>
          <w:rFonts w:hint="eastAsia" w:ascii="宋体" w:hAnsi="宋体" w:eastAsia="宋体" w:cs="宋体"/>
          <w:color w:val="auto"/>
          <w:sz w:val="24"/>
          <w:szCs w:val="20"/>
          <w:highlight w:val="none"/>
          <w:lang w:val="en-US" w:eastAsia="zh-CN"/>
        </w:rPr>
        <w:t>注：</w:t>
      </w:r>
      <w:r>
        <w:rPr>
          <w:rFonts w:hint="eastAsia" w:ascii="宋体" w:hAnsi="宋体" w:eastAsia="宋体" w:cs="宋体"/>
          <w:b/>
          <w:color w:val="auto"/>
          <w:sz w:val="21"/>
          <w:szCs w:val="21"/>
          <w:shd w:val="clear" w:color="auto" w:fill="auto"/>
        </w:rPr>
        <w:t>报价一经涂改，应在涂改处加盖单位公章或者由法定代表人签字或盖章，否则其投标作无效标处理</w:t>
      </w:r>
      <w:r>
        <w:rPr>
          <w:rFonts w:hint="eastAsia" w:ascii="宋体" w:hAnsi="宋体" w:eastAsia="宋体" w:cs="宋体"/>
          <w:b w:val="0"/>
          <w:bCs/>
          <w:color w:val="auto"/>
          <w:sz w:val="24"/>
          <w:highlight w:val="none"/>
          <w:lang w:val="en-US" w:eastAsia="zh-CN"/>
        </w:rPr>
        <w:t>。</w:t>
      </w:r>
    </w:p>
    <w:p w14:paraId="58B98D1B">
      <w:pPr>
        <w:snapToGrid w:val="0"/>
        <w:spacing w:before="50" w:after="120" w:afterLines="50" w:line="360" w:lineRule="auto"/>
        <w:jc w:val="left"/>
        <w:rPr>
          <w:rFonts w:hint="eastAsia" w:ascii="宋体" w:hAnsi="宋体" w:eastAsia="宋体" w:cs="宋体"/>
          <w:b w:val="0"/>
          <w:bCs/>
          <w:color w:val="auto"/>
          <w:sz w:val="24"/>
          <w:highlight w:val="none"/>
          <w:lang w:val="en-US" w:eastAsia="zh-CN"/>
        </w:rPr>
      </w:pPr>
    </w:p>
    <w:p w14:paraId="55232208">
      <w:pPr>
        <w:pStyle w:val="30"/>
        <w:spacing w:before="120" w:after="120" w:line="360" w:lineRule="auto"/>
        <w:ind w:firstLine="600" w:firstLineChars="250"/>
        <w:rPr>
          <w:rFonts w:hint="eastAsia" w:ascii="宋体" w:hAnsi="宋体" w:eastAsia="宋体" w:cs="宋体"/>
          <w:color w:val="auto"/>
          <w:szCs w:val="21"/>
          <w:highlight w:val="none"/>
        </w:rPr>
      </w:pPr>
    </w:p>
    <w:p w14:paraId="0F58CADF">
      <w:pPr>
        <w:pStyle w:val="30"/>
        <w:snapToGrid w:val="0"/>
        <w:spacing w:before="120" w:after="120" w:line="24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t xml:space="preserve">法定代表人（签字或盖章）：            供应商（盖章）： </w:t>
      </w:r>
    </w:p>
    <w:p w14:paraId="7350B7ED">
      <w:pPr>
        <w:pStyle w:val="30"/>
        <w:snapToGrid w:val="0"/>
        <w:spacing w:before="120" w:after="120" w:line="240" w:lineRule="auto"/>
        <w:rPr>
          <w:rFonts w:hint="eastAsia" w:ascii="宋体" w:hAnsi="宋体" w:eastAsia="宋体" w:cs="宋体"/>
          <w:color w:val="auto"/>
          <w:spacing w:val="20"/>
          <w:highlight w:val="none"/>
        </w:rPr>
      </w:pPr>
    </w:p>
    <w:p w14:paraId="6742EFAF">
      <w:pPr>
        <w:pStyle w:val="30"/>
        <w:snapToGrid w:val="0"/>
        <w:spacing w:before="120" w:after="120" w:line="24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t>日期：</w:t>
      </w:r>
    </w:p>
    <w:p w14:paraId="7ABB7E69">
      <w:pPr>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br w:type="page"/>
      </w:r>
    </w:p>
    <w:p w14:paraId="6B0C203A">
      <w:pPr>
        <w:snapToGrid w:val="0"/>
        <w:jc w:val="left"/>
        <w:rPr>
          <w:rFonts w:hint="eastAsia" w:ascii="宋体" w:hAnsi="宋体" w:eastAsia="宋体" w:cs="宋体"/>
          <w:b/>
          <w:color w:val="auto"/>
          <w:kern w:val="0"/>
          <w:sz w:val="24"/>
          <w:highlight w:val="none"/>
        </w:rPr>
      </w:pPr>
      <w:r>
        <w:rPr>
          <w:rFonts w:hint="eastAsia" w:ascii="宋体" w:hAnsi="宋体" w:cs="宋体"/>
          <w:b/>
          <w:color w:val="auto"/>
          <w:kern w:val="0"/>
          <w:sz w:val="24"/>
          <w:highlight w:val="none"/>
          <w:lang w:val="en-US" w:eastAsia="zh-CN"/>
        </w:rPr>
        <w:t>15.</w:t>
      </w:r>
      <w:r>
        <w:rPr>
          <w:rFonts w:hint="eastAsia" w:ascii="宋体" w:hAnsi="宋体" w:eastAsia="宋体" w:cs="宋体"/>
          <w:b/>
          <w:color w:val="auto"/>
          <w:kern w:val="0"/>
          <w:sz w:val="24"/>
          <w:highlight w:val="none"/>
          <w:lang w:val="en-US" w:eastAsia="zh-CN"/>
        </w:rPr>
        <w:t>初次</w:t>
      </w:r>
      <w:r>
        <w:rPr>
          <w:rFonts w:hint="eastAsia" w:ascii="宋体" w:hAnsi="宋体" w:eastAsia="宋体" w:cs="宋体"/>
          <w:b/>
          <w:color w:val="auto"/>
          <w:kern w:val="0"/>
          <w:sz w:val="24"/>
          <w:highlight w:val="none"/>
        </w:rPr>
        <w:t>报价明细表</w:t>
      </w:r>
      <w:r>
        <w:rPr>
          <w:rFonts w:hint="eastAsia" w:ascii="宋体" w:hAnsi="宋体" w:eastAsia="宋体" w:cs="宋体"/>
          <w:b/>
          <w:color w:val="auto"/>
          <w:sz w:val="24"/>
          <w:highlight w:val="none"/>
        </w:rPr>
        <w:t>格式</w:t>
      </w:r>
      <w:r>
        <w:rPr>
          <w:rFonts w:hint="eastAsia" w:ascii="宋体" w:hAnsi="宋体" w:eastAsia="宋体" w:cs="宋体"/>
          <w:color w:val="auto"/>
          <w:kern w:val="0"/>
          <w:sz w:val="24"/>
          <w:highlight w:val="none"/>
        </w:rPr>
        <w:t xml:space="preserve"> </w:t>
      </w:r>
    </w:p>
    <w:p w14:paraId="10F03016">
      <w:pPr>
        <w:snapToGrid w:val="0"/>
        <w:jc w:val="center"/>
        <w:rPr>
          <w:rFonts w:hint="eastAsia" w:ascii="宋体" w:hAnsi="宋体" w:eastAsia="宋体" w:cs="宋体"/>
          <w:b/>
          <w:color w:val="auto"/>
          <w:kern w:val="0"/>
          <w:sz w:val="30"/>
          <w:szCs w:val="30"/>
          <w:highlight w:val="none"/>
        </w:rPr>
      </w:pPr>
      <w:r>
        <w:rPr>
          <w:rFonts w:hint="eastAsia" w:ascii="宋体" w:hAnsi="宋体" w:eastAsia="宋体" w:cs="宋体"/>
          <w:b/>
          <w:color w:val="auto"/>
          <w:kern w:val="0"/>
          <w:sz w:val="30"/>
          <w:szCs w:val="30"/>
          <w:highlight w:val="none"/>
          <w:lang w:eastAsia="zh-CN"/>
        </w:rPr>
        <w:t>初次</w:t>
      </w:r>
      <w:r>
        <w:rPr>
          <w:rFonts w:hint="eastAsia" w:ascii="宋体" w:hAnsi="宋体" w:eastAsia="宋体" w:cs="宋体"/>
          <w:b/>
          <w:color w:val="auto"/>
          <w:kern w:val="0"/>
          <w:sz w:val="30"/>
          <w:szCs w:val="30"/>
          <w:highlight w:val="none"/>
        </w:rPr>
        <w:t>报价明细表</w:t>
      </w:r>
    </w:p>
    <w:p w14:paraId="04F5F818">
      <w:pPr>
        <w:snapToGrid w:val="0"/>
        <w:spacing w:before="120" w:beforeLines="50" w:after="50" w:line="360" w:lineRule="auto"/>
        <w:rPr>
          <w:rFonts w:hint="eastAsia" w:ascii="宋体" w:hAnsi="宋体"/>
          <w:color w:val="auto"/>
          <w:sz w:val="24"/>
          <w:highlight w:val="none"/>
        </w:rPr>
      </w:pPr>
      <w:r>
        <w:rPr>
          <w:rFonts w:hint="eastAsia" w:ascii="宋体" w:hAnsi="宋体"/>
          <w:color w:val="auto"/>
          <w:sz w:val="24"/>
          <w:highlight w:val="none"/>
        </w:rPr>
        <w:t>项目名称：</w:t>
      </w:r>
    </w:p>
    <w:p w14:paraId="476F4C9E">
      <w:pPr>
        <w:snapToGrid w:val="0"/>
        <w:spacing w:before="120" w:beforeLines="50" w:after="50" w:line="360" w:lineRule="auto"/>
        <w:rPr>
          <w:rFonts w:hint="eastAsia" w:ascii="宋体" w:hAnsi="宋体" w:eastAsia="宋体" w:cs="宋体"/>
          <w:bCs/>
          <w:color w:val="auto"/>
          <w:sz w:val="24"/>
          <w:szCs w:val="20"/>
          <w:highlight w:val="none"/>
        </w:rPr>
      </w:pPr>
      <w:r>
        <w:rPr>
          <w:rFonts w:hint="eastAsia" w:ascii="宋体" w:hAnsi="宋体"/>
          <w:color w:val="auto"/>
          <w:sz w:val="24"/>
          <w:highlight w:val="none"/>
        </w:rPr>
        <w:t>项目编号：</w:t>
      </w:r>
    </w:p>
    <w:tbl>
      <w:tblPr>
        <w:tblStyle w:val="51"/>
        <w:tblW w:w="1088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51"/>
        <w:gridCol w:w="1681"/>
        <w:gridCol w:w="1209"/>
        <w:gridCol w:w="1866"/>
        <w:gridCol w:w="735"/>
        <w:gridCol w:w="690"/>
        <w:gridCol w:w="1965"/>
        <w:gridCol w:w="1170"/>
        <w:gridCol w:w="1121"/>
      </w:tblGrid>
      <w:tr w14:paraId="28CBCA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451" w:type="dxa"/>
            <w:tcBorders>
              <w:top w:val="single" w:color="000000" w:sz="4" w:space="0"/>
              <w:left w:val="single" w:color="000000" w:sz="8" w:space="0"/>
              <w:bottom w:val="single" w:color="000000" w:sz="4" w:space="0"/>
              <w:right w:val="single" w:color="000000" w:sz="4" w:space="0"/>
            </w:tcBorders>
            <w:noWrap w:val="0"/>
            <w:vAlign w:val="center"/>
          </w:tcPr>
          <w:p w14:paraId="7196CF62">
            <w:pPr>
              <w:keepNext w:val="0"/>
              <w:keepLines w:val="0"/>
              <w:widowControl/>
              <w:suppressLineNumbers w:val="0"/>
              <w:snapToGrid w:val="0"/>
              <w:ind w:left="0" w:leftChars="0" w:right="0" w:rightChars="0" w:firstLine="0" w:firstLineChars="0"/>
              <w:jc w:val="center"/>
              <w:textAlignment w:val="center"/>
              <w:rPr>
                <w:rFonts w:ascii="微软雅黑" w:hAnsi="微软雅黑" w:eastAsia="微软雅黑" w:cs="微软雅黑"/>
                <w:b/>
                <w:i w:val="0"/>
                <w:iCs w:val="0"/>
                <w:color w:val="222B35"/>
                <w:sz w:val="22"/>
                <w:szCs w:val="20"/>
                <w:u w:val="none"/>
              </w:rPr>
            </w:pPr>
            <w:r>
              <w:rPr>
                <w:rFonts w:hint="eastAsia" w:ascii="微软雅黑" w:hAnsi="微软雅黑" w:eastAsia="微软雅黑" w:cs="微软雅黑"/>
                <w:b/>
                <w:i w:val="0"/>
                <w:iCs w:val="0"/>
                <w:color w:val="222B35"/>
                <w:kern w:val="0"/>
                <w:sz w:val="22"/>
                <w:szCs w:val="20"/>
                <w:u w:val="none"/>
                <w:lang w:val="en-US" w:eastAsia="zh-CN" w:bidi="ar"/>
              </w:rPr>
              <w:t>序号</w:t>
            </w:r>
          </w:p>
        </w:tc>
        <w:tc>
          <w:tcPr>
            <w:tcW w:w="1681" w:type="dxa"/>
            <w:tcBorders>
              <w:top w:val="single" w:color="000000" w:sz="4" w:space="0"/>
              <w:left w:val="nil"/>
              <w:bottom w:val="single" w:color="000000" w:sz="4" w:space="0"/>
              <w:right w:val="nil"/>
            </w:tcBorders>
            <w:noWrap w:val="0"/>
            <w:vAlign w:val="center"/>
          </w:tcPr>
          <w:p w14:paraId="378D4FC3">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b/>
                <w:bCs/>
                <w:i w:val="0"/>
                <w:iCs w:val="0"/>
                <w:color w:val="222B35"/>
                <w:sz w:val="22"/>
                <w:szCs w:val="22"/>
                <w:u w:val="none"/>
              </w:rPr>
            </w:pPr>
            <w:r>
              <w:rPr>
                <w:rFonts w:hint="eastAsia" w:ascii="微软雅黑" w:hAnsi="微软雅黑" w:eastAsia="微软雅黑" w:cs="微软雅黑"/>
                <w:b/>
                <w:bCs/>
                <w:i w:val="0"/>
                <w:iCs w:val="0"/>
                <w:color w:val="222B35"/>
                <w:kern w:val="0"/>
                <w:sz w:val="22"/>
                <w:szCs w:val="22"/>
                <w:u w:val="none"/>
                <w:lang w:val="en-US" w:eastAsia="zh-CN" w:bidi="ar"/>
              </w:rPr>
              <w:t>防护区</w:t>
            </w:r>
          </w:p>
        </w:tc>
        <w:tc>
          <w:tcPr>
            <w:tcW w:w="1209" w:type="dxa"/>
            <w:tcBorders>
              <w:top w:val="single" w:color="000000" w:sz="4" w:space="0"/>
              <w:left w:val="single" w:color="000000" w:sz="4" w:space="0"/>
              <w:bottom w:val="single" w:color="000000" w:sz="4" w:space="0"/>
              <w:right w:val="single" w:color="000000" w:sz="4" w:space="0"/>
            </w:tcBorders>
            <w:noWrap w:val="0"/>
            <w:vAlign w:val="center"/>
          </w:tcPr>
          <w:p w14:paraId="29526F9E">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b/>
                <w:bCs/>
                <w:i w:val="0"/>
                <w:iCs w:val="0"/>
                <w:color w:val="222B35"/>
                <w:sz w:val="22"/>
                <w:szCs w:val="22"/>
                <w:u w:val="none"/>
              </w:rPr>
            </w:pPr>
            <w:r>
              <w:rPr>
                <w:rFonts w:hint="eastAsia" w:ascii="微软雅黑" w:hAnsi="微软雅黑" w:eastAsia="微软雅黑" w:cs="微软雅黑"/>
                <w:b/>
                <w:bCs/>
                <w:i w:val="0"/>
                <w:iCs w:val="0"/>
                <w:color w:val="222B35"/>
                <w:kern w:val="0"/>
                <w:sz w:val="22"/>
                <w:szCs w:val="22"/>
                <w:u w:val="none"/>
                <w:lang w:val="en-US" w:eastAsia="zh-CN" w:bidi="ar"/>
              </w:rPr>
              <w:t>产品名称</w:t>
            </w:r>
          </w:p>
        </w:tc>
        <w:tc>
          <w:tcPr>
            <w:tcW w:w="1866" w:type="dxa"/>
            <w:tcBorders>
              <w:top w:val="single" w:color="000000" w:sz="4" w:space="0"/>
              <w:left w:val="single" w:color="000000" w:sz="4" w:space="0"/>
              <w:bottom w:val="single" w:color="000000" w:sz="4" w:space="0"/>
              <w:right w:val="single" w:color="000000" w:sz="4" w:space="0"/>
            </w:tcBorders>
            <w:noWrap w:val="0"/>
            <w:vAlign w:val="center"/>
          </w:tcPr>
          <w:p w14:paraId="2D1198D9">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b/>
                <w:bCs/>
                <w:i w:val="0"/>
                <w:iCs w:val="0"/>
                <w:color w:val="222B35"/>
                <w:sz w:val="22"/>
                <w:szCs w:val="22"/>
                <w:u w:val="none"/>
              </w:rPr>
            </w:pPr>
            <w:r>
              <w:rPr>
                <w:rFonts w:hint="eastAsia" w:ascii="微软雅黑" w:hAnsi="微软雅黑" w:eastAsia="微软雅黑" w:cs="微软雅黑"/>
                <w:b/>
                <w:bCs/>
                <w:i w:val="0"/>
                <w:iCs w:val="0"/>
                <w:color w:val="222B35"/>
                <w:kern w:val="0"/>
                <w:sz w:val="22"/>
                <w:szCs w:val="22"/>
                <w:u w:val="none"/>
                <w:lang w:val="en-US" w:eastAsia="zh-CN" w:bidi="ar"/>
              </w:rPr>
              <w:t>型号</w:t>
            </w:r>
          </w:p>
        </w:tc>
        <w:tc>
          <w:tcPr>
            <w:tcW w:w="735" w:type="dxa"/>
            <w:tcBorders>
              <w:top w:val="single" w:color="000000" w:sz="4" w:space="0"/>
              <w:left w:val="single" w:color="000000" w:sz="4" w:space="0"/>
              <w:bottom w:val="single" w:color="000000" w:sz="4" w:space="0"/>
              <w:right w:val="single" w:color="000000" w:sz="4" w:space="0"/>
            </w:tcBorders>
            <w:noWrap w:val="0"/>
            <w:vAlign w:val="center"/>
          </w:tcPr>
          <w:p w14:paraId="225FFE4C">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b/>
                <w:bCs/>
                <w:i w:val="0"/>
                <w:iCs w:val="0"/>
                <w:color w:val="222B35"/>
                <w:sz w:val="22"/>
                <w:szCs w:val="22"/>
                <w:u w:val="none"/>
              </w:rPr>
            </w:pPr>
            <w:r>
              <w:rPr>
                <w:rFonts w:hint="eastAsia" w:ascii="微软雅黑" w:hAnsi="微软雅黑" w:eastAsia="微软雅黑" w:cs="微软雅黑"/>
                <w:b/>
                <w:bCs/>
                <w:i w:val="0"/>
                <w:iCs w:val="0"/>
                <w:color w:val="222B35"/>
                <w:kern w:val="0"/>
                <w:sz w:val="22"/>
                <w:szCs w:val="22"/>
                <w:u w:val="none"/>
                <w:lang w:val="en-US" w:eastAsia="zh-CN" w:bidi="ar"/>
              </w:rPr>
              <w:t>单位</w:t>
            </w:r>
          </w:p>
        </w:tc>
        <w:tc>
          <w:tcPr>
            <w:tcW w:w="690" w:type="dxa"/>
            <w:tcBorders>
              <w:top w:val="single" w:color="000000" w:sz="4" w:space="0"/>
              <w:left w:val="single" w:color="000000" w:sz="4" w:space="0"/>
              <w:bottom w:val="single" w:color="000000" w:sz="4" w:space="0"/>
              <w:right w:val="single" w:color="000000" w:sz="4" w:space="0"/>
            </w:tcBorders>
            <w:noWrap w:val="0"/>
            <w:vAlign w:val="center"/>
          </w:tcPr>
          <w:p w14:paraId="3D01210B">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b/>
                <w:bCs/>
                <w:i w:val="0"/>
                <w:iCs w:val="0"/>
                <w:color w:val="222B35"/>
                <w:sz w:val="22"/>
                <w:szCs w:val="22"/>
                <w:u w:val="none"/>
              </w:rPr>
            </w:pPr>
            <w:r>
              <w:rPr>
                <w:rFonts w:hint="eastAsia" w:ascii="微软雅黑" w:hAnsi="微软雅黑" w:eastAsia="微软雅黑" w:cs="微软雅黑"/>
                <w:b/>
                <w:bCs/>
                <w:i w:val="0"/>
                <w:iCs w:val="0"/>
                <w:color w:val="222B35"/>
                <w:kern w:val="0"/>
                <w:sz w:val="22"/>
                <w:szCs w:val="22"/>
                <w:u w:val="none"/>
                <w:lang w:val="en-US" w:eastAsia="zh-CN" w:bidi="ar"/>
              </w:rPr>
              <w:t>数量</w:t>
            </w:r>
          </w:p>
        </w:tc>
        <w:tc>
          <w:tcPr>
            <w:tcW w:w="1965" w:type="dxa"/>
            <w:tcBorders>
              <w:top w:val="single" w:color="000000" w:sz="4" w:space="0"/>
              <w:left w:val="single" w:color="000000" w:sz="4" w:space="0"/>
              <w:bottom w:val="single" w:color="000000" w:sz="4" w:space="0"/>
              <w:right w:val="single" w:color="000000" w:sz="8" w:space="0"/>
            </w:tcBorders>
            <w:noWrap w:val="0"/>
            <w:vAlign w:val="center"/>
          </w:tcPr>
          <w:p w14:paraId="6306D349">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b/>
                <w:bCs/>
                <w:i w:val="0"/>
                <w:iCs w:val="0"/>
                <w:color w:val="222B35"/>
                <w:sz w:val="22"/>
                <w:szCs w:val="22"/>
                <w:u w:val="none"/>
              </w:rPr>
            </w:pPr>
            <w:r>
              <w:rPr>
                <w:rFonts w:hint="eastAsia" w:ascii="微软雅黑" w:hAnsi="微软雅黑" w:eastAsia="微软雅黑" w:cs="微软雅黑"/>
                <w:b/>
                <w:bCs/>
                <w:i w:val="0"/>
                <w:iCs w:val="0"/>
                <w:color w:val="222B35"/>
                <w:kern w:val="0"/>
                <w:sz w:val="22"/>
                <w:szCs w:val="22"/>
                <w:u w:val="none"/>
                <w:lang w:val="en-US" w:eastAsia="zh-CN" w:bidi="ar"/>
              </w:rPr>
              <w:t>备注</w:t>
            </w:r>
          </w:p>
        </w:tc>
        <w:tc>
          <w:tcPr>
            <w:tcW w:w="1170" w:type="dxa"/>
            <w:tcBorders>
              <w:top w:val="single" w:color="000000" w:sz="4" w:space="0"/>
              <w:left w:val="single" w:color="000000" w:sz="4" w:space="0"/>
              <w:bottom w:val="single" w:color="000000" w:sz="4" w:space="0"/>
              <w:right w:val="single" w:color="000000" w:sz="4" w:space="0"/>
            </w:tcBorders>
            <w:noWrap w:val="0"/>
            <w:vAlign w:val="center"/>
          </w:tcPr>
          <w:p w14:paraId="15CE6245">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b/>
                <w:bCs/>
                <w:i w:val="0"/>
                <w:iCs w:val="0"/>
                <w:color w:val="222B35"/>
                <w:kern w:val="0"/>
                <w:sz w:val="22"/>
                <w:szCs w:val="22"/>
                <w:u w:val="none"/>
                <w:lang w:val="en-US" w:eastAsia="zh-CN" w:bidi="ar"/>
              </w:rPr>
            </w:pPr>
            <w:r>
              <w:rPr>
                <w:rFonts w:hint="eastAsia" w:ascii="微软雅黑" w:hAnsi="微软雅黑" w:eastAsia="微软雅黑" w:cs="微软雅黑"/>
                <w:b/>
                <w:bCs/>
                <w:i w:val="0"/>
                <w:iCs w:val="0"/>
                <w:color w:val="222B35"/>
                <w:kern w:val="0"/>
                <w:sz w:val="22"/>
                <w:szCs w:val="22"/>
                <w:u w:val="none"/>
                <w:lang w:val="en-US" w:eastAsia="zh-CN" w:bidi="ar"/>
              </w:rPr>
              <w:t>单价</w:t>
            </w:r>
          </w:p>
          <w:p w14:paraId="784B9F1A">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b/>
                <w:bCs/>
                <w:i w:val="0"/>
                <w:iCs w:val="0"/>
                <w:color w:val="222B35"/>
                <w:sz w:val="22"/>
                <w:szCs w:val="22"/>
                <w:u w:val="none"/>
              </w:rPr>
            </w:pPr>
            <w:r>
              <w:rPr>
                <w:rFonts w:hint="eastAsia" w:ascii="微软雅黑" w:hAnsi="微软雅黑" w:eastAsia="微软雅黑" w:cs="微软雅黑"/>
                <w:b/>
                <w:bCs/>
                <w:i w:val="0"/>
                <w:iCs w:val="0"/>
                <w:color w:val="222B35"/>
                <w:kern w:val="0"/>
                <w:sz w:val="22"/>
                <w:szCs w:val="22"/>
                <w:u w:val="none"/>
                <w:lang w:val="en-US" w:eastAsia="zh-CN" w:bidi="ar"/>
              </w:rPr>
              <w:t>（元）</w:t>
            </w:r>
          </w:p>
        </w:tc>
        <w:tc>
          <w:tcPr>
            <w:tcW w:w="1121" w:type="dxa"/>
            <w:tcBorders>
              <w:top w:val="single" w:color="000000" w:sz="4" w:space="0"/>
              <w:left w:val="single" w:color="000000" w:sz="4" w:space="0"/>
              <w:bottom w:val="single" w:color="000000" w:sz="4" w:space="0"/>
              <w:right w:val="single" w:color="000000" w:sz="4" w:space="0"/>
            </w:tcBorders>
            <w:noWrap w:val="0"/>
            <w:vAlign w:val="center"/>
          </w:tcPr>
          <w:p w14:paraId="61E85699">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b/>
                <w:bCs/>
                <w:i w:val="0"/>
                <w:iCs w:val="0"/>
                <w:color w:val="222B35"/>
                <w:kern w:val="0"/>
                <w:sz w:val="22"/>
                <w:szCs w:val="22"/>
                <w:u w:val="none"/>
                <w:lang w:val="en-US" w:eastAsia="zh-CN" w:bidi="ar"/>
              </w:rPr>
            </w:pPr>
            <w:r>
              <w:rPr>
                <w:rFonts w:hint="eastAsia" w:ascii="微软雅黑" w:hAnsi="微软雅黑" w:eastAsia="微软雅黑" w:cs="微软雅黑"/>
                <w:b/>
                <w:bCs/>
                <w:i w:val="0"/>
                <w:iCs w:val="0"/>
                <w:color w:val="222B35"/>
                <w:kern w:val="0"/>
                <w:sz w:val="22"/>
                <w:szCs w:val="22"/>
                <w:u w:val="none"/>
                <w:lang w:val="en-US" w:eastAsia="zh-CN" w:bidi="ar"/>
              </w:rPr>
              <w:t>合计</w:t>
            </w:r>
          </w:p>
          <w:p w14:paraId="16A3010F">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b/>
                <w:bCs/>
                <w:i w:val="0"/>
                <w:iCs w:val="0"/>
                <w:color w:val="222B35"/>
                <w:sz w:val="22"/>
                <w:szCs w:val="22"/>
                <w:u w:val="none"/>
              </w:rPr>
            </w:pPr>
            <w:r>
              <w:rPr>
                <w:rFonts w:hint="eastAsia" w:ascii="微软雅黑" w:hAnsi="微软雅黑" w:eastAsia="微软雅黑" w:cs="微软雅黑"/>
                <w:b/>
                <w:bCs/>
                <w:i w:val="0"/>
                <w:iCs w:val="0"/>
                <w:color w:val="222B35"/>
                <w:kern w:val="0"/>
                <w:sz w:val="22"/>
                <w:szCs w:val="22"/>
                <w:u w:val="none"/>
                <w:lang w:val="en-US" w:eastAsia="zh-CN" w:bidi="ar"/>
              </w:rPr>
              <w:t>（元）</w:t>
            </w:r>
          </w:p>
        </w:tc>
      </w:tr>
      <w:tr w14:paraId="29C550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1" w:type="dxa"/>
            <w:vMerge w:val="restart"/>
            <w:tcBorders>
              <w:top w:val="single" w:color="000000" w:sz="4" w:space="0"/>
              <w:left w:val="single" w:color="000000" w:sz="8" w:space="0"/>
              <w:bottom w:val="single" w:color="000000" w:sz="4" w:space="0"/>
              <w:right w:val="single" w:color="000000" w:sz="4" w:space="0"/>
            </w:tcBorders>
            <w:noWrap w:val="0"/>
            <w:vAlign w:val="center"/>
          </w:tcPr>
          <w:p w14:paraId="02C538A1">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c>
          <w:tcPr>
            <w:tcW w:w="1681" w:type="dxa"/>
            <w:vMerge w:val="restart"/>
            <w:tcBorders>
              <w:top w:val="single" w:color="000000" w:sz="4" w:space="0"/>
              <w:left w:val="nil"/>
              <w:bottom w:val="single" w:color="000000" w:sz="4" w:space="0"/>
              <w:right w:val="nil"/>
            </w:tcBorders>
            <w:noWrap w:val="0"/>
            <w:vAlign w:val="center"/>
          </w:tcPr>
          <w:p w14:paraId="5E52E6A0">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开关站（01#厂房一层）</w:t>
            </w:r>
          </w:p>
        </w:tc>
        <w:tc>
          <w:tcPr>
            <w:tcW w:w="1209" w:type="dxa"/>
            <w:tcBorders>
              <w:top w:val="single" w:color="000000" w:sz="4" w:space="0"/>
              <w:left w:val="single" w:color="000000" w:sz="4" w:space="0"/>
              <w:bottom w:val="single" w:color="000000" w:sz="4" w:space="0"/>
              <w:right w:val="single" w:color="000000" w:sz="4" w:space="0"/>
            </w:tcBorders>
            <w:noWrap w:val="0"/>
            <w:vAlign w:val="center"/>
          </w:tcPr>
          <w:p w14:paraId="6154B2DC">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柜式七氟丙烷灭火装置</w:t>
            </w:r>
          </w:p>
        </w:tc>
        <w:tc>
          <w:tcPr>
            <w:tcW w:w="1866" w:type="dxa"/>
            <w:tcBorders>
              <w:top w:val="single" w:color="000000" w:sz="4" w:space="0"/>
              <w:left w:val="single" w:color="000000" w:sz="4" w:space="0"/>
              <w:bottom w:val="single" w:color="000000" w:sz="4" w:space="0"/>
              <w:right w:val="single" w:color="000000" w:sz="4" w:space="0"/>
            </w:tcBorders>
            <w:noWrap w:val="0"/>
            <w:vAlign w:val="center"/>
          </w:tcPr>
          <w:p w14:paraId="7E17D77A">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GQQ120/2.5</w:t>
            </w:r>
          </w:p>
        </w:tc>
        <w:tc>
          <w:tcPr>
            <w:tcW w:w="735" w:type="dxa"/>
            <w:tcBorders>
              <w:top w:val="single" w:color="000000" w:sz="4" w:space="0"/>
              <w:left w:val="single" w:color="000000" w:sz="4" w:space="0"/>
              <w:bottom w:val="single" w:color="000000" w:sz="4" w:space="0"/>
              <w:right w:val="single" w:color="000000" w:sz="4" w:space="0"/>
            </w:tcBorders>
            <w:noWrap w:val="0"/>
            <w:vAlign w:val="center"/>
          </w:tcPr>
          <w:p w14:paraId="5D0AF5DC">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台</w:t>
            </w:r>
          </w:p>
        </w:tc>
        <w:tc>
          <w:tcPr>
            <w:tcW w:w="690" w:type="dxa"/>
            <w:tcBorders>
              <w:top w:val="single" w:color="000000" w:sz="4" w:space="0"/>
              <w:left w:val="single" w:color="000000" w:sz="4" w:space="0"/>
              <w:bottom w:val="single" w:color="000000" w:sz="4" w:space="0"/>
              <w:right w:val="single" w:color="000000" w:sz="4" w:space="0"/>
            </w:tcBorders>
            <w:noWrap w:val="0"/>
            <w:vAlign w:val="center"/>
          </w:tcPr>
          <w:p w14:paraId="4E7491D1">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5</w:t>
            </w:r>
          </w:p>
        </w:tc>
        <w:tc>
          <w:tcPr>
            <w:tcW w:w="1965" w:type="dxa"/>
            <w:tcBorders>
              <w:top w:val="single" w:color="000000" w:sz="4" w:space="0"/>
              <w:left w:val="single" w:color="000000" w:sz="4" w:space="0"/>
              <w:bottom w:val="single" w:color="000000" w:sz="4" w:space="0"/>
              <w:right w:val="single" w:color="000000" w:sz="8" w:space="0"/>
            </w:tcBorders>
            <w:noWrap w:val="0"/>
            <w:vAlign w:val="center"/>
          </w:tcPr>
          <w:p w14:paraId="39CA8CE5">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每台充装116公斤灭火剂</w:t>
            </w: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6681EC3E">
            <w:pPr>
              <w:snapToGrid w:val="0"/>
              <w:ind w:left="0" w:leftChars="0" w:right="0" w:rightChars="0" w:firstLine="0" w:firstLineChars="0"/>
              <w:jc w:val="left"/>
              <w:rPr>
                <w:rFonts w:hint="eastAsia" w:ascii="微软雅黑" w:hAnsi="宋体" w:eastAsia="微软雅黑" w:cs="宋体"/>
                <w:i w:val="0"/>
                <w:iCs w:val="0"/>
                <w:color w:val="000000"/>
                <w:sz w:val="20"/>
                <w:szCs w:val="24"/>
                <w:u w:val="none"/>
              </w:rPr>
            </w:pPr>
          </w:p>
        </w:tc>
        <w:tc>
          <w:tcPr>
            <w:tcW w:w="1121" w:type="dxa"/>
            <w:tcBorders>
              <w:top w:val="single" w:color="000000" w:sz="4" w:space="0"/>
              <w:left w:val="single" w:color="000000" w:sz="4" w:space="0"/>
              <w:bottom w:val="single" w:color="000000" w:sz="4" w:space="0"/>
              <w:right w:val="single" w:color="000000" w:sz="4" w:space="0"/>
            </w:tcBorders>
            <w:noWrap/>
            <w:vAlign w:val="center"/>
          </w:tcPr>
          <w:p w14:paraId="5556A8D5">
            <w:pPr>
              <w:snapToGrid w:val="0"/>
              <w:ind w:left="0" w:leftChars="0" w:right="0" w:rightChars="0" w:firstLine="0" w:firstLineChars="0"/>
              <w:jc w:val="right"/>
              <w:rPr>
                <w:rFonts w:hint="eastAsia" w:ascii="微软雅黑" w:hAnsi="宋体" w:eastAsia="微软雅黑" w:cs="宋体"/>
                <w:i w:val="0"/>
                <w:iCs w:val="0"/>
                <w:color w:val="000000"/>
                <w:sz w:val="20"/>
                <w:szCs w:val="24"/>
                <w:u w:val="none"/>
              </w:rPr>
            </w:pPr>
          </w:p>
        </w:tc>
      </w:tr>
      <w:tr w14:paraId="519204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1" w:type="dxa"/>
            <w:vMerge w:val="continue"/>
            <w:tcBorders>
              <w:top w:val="single" w:color="000000" w:sz="4" w:space="0"/>
              <w:left w:val="single" w:color="000000" w:sz="8" w:space="0"/>
              <w:bottom w:val="single" w:color="000000" w:sz="4" w:space="0"/>
              <w:right w:val="single" w:color="000000" w:sz="4" w:space="0"/>
            </w:tcBorders>
            <w:noWrap w:val="0"/>
            <w:vAlign w:val="center"/>
          </w:tcPr>
          <w:p w14:paraId="1337CC0F">
            <w:pPr>
              <w:snapToGrid w:val="0"/>
              <w:ind w:left="0" w:leftChars="0" w:right="0" w:rightChars="0" w:firstLine="0" w:firstLineChars="0"/>
              <w:jc w:val="center"/>
              <w:rPr>
                <w:rFonts w:hint="eastAsia" w:ascii="微软雅黑" w:hAnsi="微软雅黑" w:eastAsia="微软雅黑" w:cs="微软雅黑"/>
                <w:i w:val="0"/>
                <w:iCs w:val="0"/>
                <w:color w:val="000000"/>
                <w:sz w:val="20"/>
                <w:szCs w:val="20"/>
                <w:u w:val="none"/>
              </w:rPr>
            </w:pPr>
          </w:p>
        </w:tc>
        <w:tc>
          <w:tcPr>
            <w:tcW w:w="1681" w:type="dxa"/>
            <w:vMerge w:val="continue"/>
            <w:tcBorders>
              <w:top w:val="single" w:color="000000" w:sz="4" w:space="0"/>
              <w:left w:val="nil"/>
              <w:bottom w:val="single" w:color="000000" w:sz="4" w:space="0"/>
              <w:right w:val="nil"/>
            </w:tcBorders>
            <w:noWrap w:val="0"/>
            <w:vAlign w:val="center"/>
          </w:tcPr>
          <w:p w14:paraId="1CFEB01F">
            <w:pPr>
              <w:snapToGrid w:val="0"/>
              <w:ind w:left="0" w:leftChars="0" w:right="0" w:rightChars="0" w:firstLine="0" w:firstLineChars="0"/>
              <w:jc w:val="center"/>
              <w:rPr>
                <w:rFonts w:hint="eastAsia" w:ascii="微软雅黑" w:hAnsi="微软雅黑" w:eastAsia="微软雅黑" w:cs="微软雅黑"/>
                <w:i w:val="0"/>
                <w:iCs w:val="0"/>
                <w:color w:val="000000"/>
                <w:sz w:val="20"/>
                <w:szCs w:val="20"/>
                <w:u w:val="none"/>
              </w:rPr>
            </w:pPr>
          </w:p>
        </w:tc>
        <w:tc>
          <w:tcPr>
            <w:tcW w:w="1209" w:type="dxa"/>
            <w:tcBorders>
              <w:top w:val="single" w:color="000000" w:sz="4" w:space="0"/>
              <w:left w:val="single" w:color="000000" w:sz="4" w:space="0"/>
              <w:bottom w:val="single" w:color="000000" w:sz="4" w:space="0"/>
              <w:right w:val="single" w:color="000000" w:sz="4" w:space="0"/>
            </w:tcBorders>
            <w:noWrap w:val="0"/>
            <w:vAlign w:val="center"/>
          </w:tcPr>
          <w:p w14:paraId="7FB27549">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七氟丙烷</w:t>
            </w:r>
          </w:p>
        </w:tc>
        <w:tc>
          <w:tcPr>
            <w:tcW w:w="1866" w:type="dxa"/>
            <w:tcBorders>
              <w:top w:val="single" w:color="000000" w:sz="4" w:space="0"/>
              <w:left w:val="single" w:color="000000" w:sz="4" w:space="0"/>
              <w:bottom w:val="single" w:color="000000" w:sz="4" w:space="0"/>
              <w:right w:val="single" w:color="000000" w:sz="4" w:space="0"/>
            </w:tcBorders>
            <w:noWrap w:val="0"/>
            <w:vAlign w:val="center"/>
          </w:tcPr>
          <w:p w14:paraId="17AE16A4">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HFC-227ea</w:t>
            </w:r>
          </w:p>
        </w:tc>
        <w:tc>
          <w:tcPr>
            <w:tcW w:w="735" w:type="dxa"/>
            <w:tcBorders>
              <w:top w:val="single" w:color="000000" w:sz="4" w:space="0"/>
              <w:left w:val="single" w:color="000000" w:sz="4" w:space="0"/>
              <w:bottom w:val="single" w:color="000000" w:sz="4" w:space="0"/>
              <w:right w:val="single" w:color="000000" w:sz="4" w:space="0"/>
            </w:tcBorders>
            <w:noWrap w:val="0"/>
            <w:vAlign w:val="center"/>
          </w:tcPr>
          <w:p w14:paraId="188C0CB6">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Kg</w:t>
            </w:r>
          </w:p>
        </w:tc>
        <w:tc>
          <w:tcPr>
            <w:tcW w:w="690" w:type="dxa"/>
            <w:tcBorders>
              <w:top w:val="single" w:color="000000" w:sz="4" w:space="0"/>
              <w:left w:val="single" w:color="000000" w:sz="4" w:space="0"/>
              <w:bottom w:val="single" w:color="000000" w:sz="4" w:space="0"/>
              <w:right w:val="single" w:color="000000" w:sz="4" w:space="0"/>
            </w:tcBorders>
            <w:noWrap w:val="0"/>
            <w:vAlign w:val="center"/>
          </w:tcPr>
          <w:p w14:paraId="450AB8D5">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580</w:t>
            </w:r>
          </w:p>
        </w:tc>
        <w:tc>
          <w:tcPr>
            <w:tcW w:w="1965" w:type="dxa"/>
            <w:tcBorders>
              <w:top w:val="single" w:color="000000" w:sz="4" w:space="0"/>
              <w:left w:val="single" w:color="000000" w:sz="4" w:space="0"/>
              <w:bottom w:val="single" w:color="000000" w:sz="4" w:space="0"/>
              <w:right w:val="single" w:color="000000" w:sz="8" w:space="0"/>
            </w:tcBorders>
            <w:noWrap w:val="0"/>
            <w:vAlign w:val="center"/>
          </w:tcPr>
          <w:p w14:paraId="7796B98F">
            <w:pPr>
              <w:snapToGrid w:val="0"/>
              <w:ind w:left="0" w:leftChars="0" w:right="0" w:rightChars="0" w:firstLine="0" w:firstLineChars="0"/>
              <w:jc w:val="center"/>
              <w:rPr>
                <w:rFonts w:hint="eastAsia" w:ascii="微软雅黑" w:hAnsi="微软雅黑" w:eastAsia="微软雅黑" w:cs="微软雅黑"/>
                <w:i w:val="0"/>
                <w:iCs w:val="0"/>
                <w:color w:val="000000"/>
                <w:sz w:val="20"/>
                <w:szCs w:val="22"/>
                <w:u w:val="none"/>
              </w:rPr>
            </w:pP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4C6CD8B0">
            <w:pPr>
              <w:snapToGrid w:val="0"/>
              <w:ind w:left="0" w:leftChars="0" w:right="0" w:rightChars="0" w:firstLine="0" w:firstLineChars="0"/>
              <w:jc w:val="left"/>
              <w:rPr>
                <w:rFonts w:hint="eastAsia" w:ascii="微软雅黑" w:hAnsi="宋体" w:eastAsia="微软雅黑" w:cs="宋体"/>
                <w:i w:val="0"/>
                <w:iCs w:val="0"/>
                <w:color w:val="000000"/>
                <w:sz w:val="20"/>
                <w:szCs w:val="24"/>
                <w:u w:val="none"/>
              </w:rPr>
            </w:pPr>
          </w:p>
        </w:tc>
        <w:tc>
          <w:tcPr>
            <w:tcW w:w="1121" w:type="dxa"/>
            <w:tcBorders>
              <w:top w:val="single" w:color="000000" w:sz="4" w:space="0"/>
              <w:left w:val="single" w:color="000000" w:sz="4" w:space="0"/>
              <w:bottom w:val="single" w:color="000000" w:sz="4" w:space="0"/>
              <w:right w:val="single" w:color="000000" w:sz="4" w:space="0"/>
            </w:tcBorders>
            <w:noWrap/>
            <w:vAlign w:val="center"/>
          </w:tcPr>
          <w:p w14:paraId="55D968D0">
            <w:pPr>
              <w:snapToGrid w:val="0"/>
              <w:ind w:left="0" w:leftChars="0" w:right="0" w:rightChars="0" w:firstLine="0" w:firstLineChars="0"/>
              <w:jc w:val="right"/>
              <w:rPr>
                <w:rFonts w:hint="eastAsia" w:ascii="微软雅黑" w:hAnsi="宋体" w:eastAsia="微软雅黑" w:cs="宋体"/>
                <w:i w:val="0"/>
                <w:iCs w:val="0"/>
                <w:color w:val="000000"/>
                <w:sz w:val="20"/>
                <w:szCs w:val="24"/>
                <w:u w:val="none"/>
              </w:rPr>
            </w:pPr>
          </w:p>
        </w:tc>
      </w:tr>
      <w:tr w14:paraId="371C06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1" w:type="dxa"/>
            <w:vMerge w:val="continue"/>
            <w:tcBorders>
              <w:top w:val="single" w:color="000000" w:sz="4" w:space="0"/>
              <w:left w:val="single" w:color="000000" w:sz="8" w:space="0"/>
              <w:bottom w:val="single" w:color="000000" w:sz="4" w:space="0"/>
              <w:right w:val="single" w:color="000000" w:sz="4" w:space="0"/>
            </w:tcBorders>
            <w:noWrap w:val="0"/>
            <w:vAlign w:val="center"/>
          </w:tcPr>
          <w:p w14:paraId="59F0662F">
            <w:pPr>
              <w:snapToGrid w:val="0"/>
              <w:ind w:left="0" w:leftChars="0" w:right="0" w:rightChars="0" w:firstLine="0" w:firstLineChars="0"/>
              <w:jc w:val="center"/>
              <w:rPr>
                <w:rFonts w:hint="eastAsia" w:ascii="微软雅黑" w:hAnsi="微软雅黑" w:eastAsia="微软雅黑" w:cs="微软雅黑"/>
                <w:i w:val="0"/>
                <w:iCs w:val="0"/>
                <w:color w:val="000000"/>
                <w:sz w:val="20"/>
                <w:szCs w:val="20"/>
                <w:u w:val="none"/>
              </w:rPr>
            </w:pPr>
          </w:p>
        </w:tc>
        <w:tc>
          <w:tcPr>
            <w:tcW w:w="1681" w:type="dxa"/>
            <w:vMerge w:val="continue"/>
            <w:tcBorders>
              <w:top w:val="single" w:color="000000" w:sz="4" w:space="0"/>
              <w:left w:val="nil"/>
              <w:bottom w:val="single" w:color="000000" w:sz="4" w:space="0"/>
              <w:right w:val="nil"/>
            </w:tcBorders>
            <w:noWrap w:val="0"/>
            <w:vAlign w:val="center"/>
          </w:tcPr>
          <w:p w14:paraId="05B76B93">
            <w:pPr>
              <w:snapToGrid w:val="0"/>
              <w:ind w:left="0" w:leftChars="0" w:right="0" w:rightChars="0" w:firstLine="0" w:firstLineChars="0"/>
              <w:jc w:val="center"/>
              <w:rPr>
                <w:rFonts w:hint="eastAsia" w:ascii="微软雅黑" w:hAnsi="微软雅黑" w:eastAsia="微软雅黑" w:cs="微软雅黑"/>
                <w:i w:val="0"/>
                <w:iCs w:val="0"/>
                <w:color w:val="000000"/>
                <w:sz w:val="20"/>
                <w:szCs w:val="20"/>
                <w:u w:val="none"/>
              </w:rPr>
            </w:pPr>
          </w:p>
        </w:tc>
        <w:tc>
          <w:tcPr>
            <w:tcW w:w="1209" w:type="dxa"/>
            <w:tcBorders>
              <w:top w:val="single" w:color="000000" w:sz="4" w:space="0"/>
              <w:left w:val="single" w:color="000000" w:sz="4" w:space="0"/>
              <w:bottom w:val="single" w:color="000000" w:sz="4" w:space="0"/>
              <w:right w:val="single" w:color="000000" w:sz="4" w:space="0"/>
            </w:tcBorders>
            <w:noWrap w:val="0"/>
            <w:vAlign w:val="center"/>
          </w:tcPr>
          <w:p w14:paraId="285FFE37">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泄压口</w:t>
            </w:r>
          </w:p>
        </w:tc>
        <w:tc>
          <w:tcPr>
            <w:tcW w:w="1866" w:type="dxa"/>
            <w:tcBorders>
              <w:top w:val="single" w:color="000000" w:sz="4" w:space="0"/>
              <w:left w:val="single" w:color="000000" w:sz="4" w:space="0"/>
              <w:bottom w:val="single" w:color="000000" w:sz="4" w:space="0"/>
              <w:right w:val="single" w:color="000000" w:sz="4" w:space="0"/>
            </w:tcBorders>
            <w:noWrap w:val="0"/>
            <w:vAlign w:val="center"/>
          </w:tcPr>
          <w:p w14:paraId="40056961">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0.25-J</w:t>
            </w:r>
          </w:p>
        </w:tc>
        <w:tc>
          <w:tcPr>
            <w:tcW w:w="735" w:type="dxa"/>
            <w:tcBorders>
              <w:top w:val="single" w:color="000000" w:sz="4" w:space="0"/>
              <w:left w:val="single" w:color="000000" w:sz="4" w:space="0"/>
              <w:bottom w:val="single" w:color="000000" w:sz="4" w:space="0"/>
              <w:right w:val="single" w:color="000000" w:sz="4" w:space="0"/>
            </w:tcBorders>
            <w:noWrap w:val="0"/>
            <w:vAlign w:val="center"/>
          </w:tcPr>
          <w:p w14:paraId="3AFFBA1D">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台</w:t>
            </w:r>
          </w:p>
        </w:tc>
        <w:tc>
          <w:tcPr>
            <w:tcW w:w="690" w:type="dxa"/>
            <w:tcBorders>
              <w:top w:val="single" w:color="000000" w:sz="4" w:space="0"/>
              <w:left w:val="single" w:color="000000" w:sz="4" w:space="0"/>
              <w:bottom w:val="single" w:color="000000" w:sz="4" w:space="0"/>
              <w:right w:val="single" w:color="000000" w:sz="4" w:space="0"/>
            </w:tcBorders>
            <w:noWrap w:val="0"/>
            <w:vAlign w:val="center"/>
          </w:tcPr>
          <w:p w14:paraId="382B4D0D">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c>
          <w:tcPr>
            <w:tcW w:w="1965" w:type="dxa"/>
            <w:tcBorders>
              <w:top w:val="single" w:color="000000" w:sz="4" w:space="0"/>
              <w:left w:val="single" w:color="000000" w:sz="4" w:space="0"/>
              <w:bottom w:val="single" w:color="000000" w:sz="4" w:space="0"/>
              <w:right w:val="single" w:color="000000" w:sz="8" w:space="0"/>
            </w:tcBorders>
            <w:noWrap w:val="0"/>
            <w:vAlign w:val="center"/>
          </w:tcPr>
          <w:p w14:paraId="7567A7FD">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含百叶和阀体,开孔尺寸800*400</w:t>
            </w: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5B9C8B97">
            <w:pPr>
              <w:snapToGrid w:val="0"/>
              <w:ind w:left="0" w:leftChars="0" w:right="0" w:rightChars="0" w:firstLine="0" w:firstLineChars="0"/>
              <w:jc w:val="left"/>
              <w:rPr>
                <w:rFonts w:hint="eastAsia" w:ascii="微软雅黑" w:hAnsi="宋体" w:eastAsia="微软雅黑" w:cs="宋体"/>
                <w:i w:val="0"/>
                <w:iCs w:val="0"/>
                <w:color w:val="000000"/>
                <w:sz w:val="20"/>
                <w:szCs w:val="24"/>
                <w:u w:val="none"/>
              </w:rPr>
            </w:pPr>
          </w:p>
        </w:tc>
        <w:tc>
          <w:tcPr>
            <w:tcW w:w="1121" w:type="dxa"/>
            <w:tcBorders>
              <w:top w:val="single" w:color="000000" w:sz="4" w:space="0"/>
              <w:left w:val="single" w:color="000000" w:sz="4" w:space="0"/>
              <w:bottom w:val="single" w:color="000000" w:sz="4" w:space="0"/>
              <w:right w:val="single" w:color="000000" w:sz="4" w:space="0"/>
            </w:tcBorders>
            <w:noWrap/>
            <w:vAlign w:val="center"/>
          </w:tcPr>
          <w:p w14:paraId="2FC1C151">
            <w:pPr>
              <w:snapToGrid w:val="0"/>
              <w:ind w:left="0" w:leftChars="0" w:right="0" w:rightChars="0" w:firstLine="0" w:firstLineChars="0"/>
              <w:jc w:val="right"/>
              <w:rPr>
                <w:rFonts w:hint="eastAsia" w:ascii="微软雅黑" w:hAnsi="宋体" w:eastAsia="微软雅黑" w:cs="宋体"/>
                <w:i w:val="0"/>
                <w:iCs w:val="0"/>
                <w:color w:val="000000"/>
                <w:sz w:val="20"/>
                <w:szCs w:val="24"/>
                <w:u w:val="none"/>
              </w:rPr>
            </w:pPr>
          </w:p>
        </w:tc>
      </w:tr>
      <w:tr w14:paraId="2CB88D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1" w:type="dxa"/>
            <w:vMerge w:val="restart"/>
            <w:tcBorders>
              <w:top w:val="single" w:color="000000" w:sz="4" w:space="0"/>
              <w:left w:val="single" w:color="000000" w:sz="8" w:space="0"/>
              <w:bottom w:val="single" w:color="000000" w:sz="4" w:space="0"/>
              <w:right w:val="single" w:color="000000" w:sz="4" w:space="0"/>
            </w:tcBorders>
            <w:noWrap w:val="0"/>
            <w:vAlign w:val="center"/>
          </w:tcPr>
          <w:p w14:paraId="50EAA546">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2</w:t>
            </w:r>
          </w:p>
        </w:tc>
        <w:tc>
          <w:tcPr>
            <w:tcW w:w="1681" w:type="dxa"/>
            <w:vMerge w:val="restart"/>
            <w:tcBorders>
              <w:top w:val="single" w:color="000000" w:sz="4" w:space="0"/>
              <w:left w:val="nil"/>
              <w:bottom w:val="single" w:color="000000" w:sz="4" w:space="0"/>
              <w:right w:val="nil"/>
            </w:tcBorders>
            <w:noWrap w:val="0"/>
            <w:vAlign w:val="center"/>
          </w:tcPr>
          <w:p w14:paraId="1D565349">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配电房（01#厂房一层）</w:t>
            </w:r>
          </w:p>
        </w:tc>
        <w:tc>
          <w:tcPr>
            <w:tcW w:w="1209" w:type="dxa"/>
            <w:tcBorders>
              <w:top w:val="single" w:color="000000" w:sz="4" w:space="0"/>
              <w:left w:val="single" w:color="000000" w:sz="4" w:space="0"/>
              <w:bottom w:val="single" w:color="000000" w:sz="4" w:space="0"/>
              <w:right w:val="single" w:color="000000" w:sz="4" w:space="0"/>
            </w:tcBorders>
            <w:noWrap w:val="0"/>
            <w:vAlign w:val="center"/>
          </w:tcPr>
          <w:p w14:paraId="4E670DC0">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柜式七氟丙烷灭火装置</w:t>
            </w:r>
          </w:p>
        </w:tc>
        <w:tc>
          <w:tcPr>
            <w:tcW w:w="1866" w:type="dxa"/>
            <w:tcBorders>
              <w:top w:val="single" w:color="000000" w:sz="4" w:space="0"/>
              <w:left w:val="single" w:color="000000" w:sz="4" w:space="0"/>
              <w:bottom w:val="single" w:color="000000" w:sz="4" w:space="0"/>
              <w:right w:val="single" w:color="000000" w:sz="4" w:space="0"/>
            </w:tcBorders>
            <w:noWrap w:val="0"/>
            <w:vAlign w:val="center"/>
          </w:tcPr>
          <w:p w14:paraId="4598DDC6">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GQQ120/2.5</w:t>
            </w:r>
          </w:p>
        </w:tc>
        <w:tc>
          <w:tcPr>
            <w:tcW w:w="735" w:type="dxa"/>
            <w:tcBorders>
              <w:top w:val="single" w:color="000000" w:sz="4" w:space="0"/>
              <w:left w:val="single" w:color="000000" w:sz="4" w:space="0"/>
              <w:bottom w:val="single" w:color="000000" w:sz="4" w:space="0"/>
              <w:right w:val="single" w:color="000000" w:sz="4" w:space="0"/>
            </w:tcBorders>
            <w:noWrap w:val="0"/>
            <w:vAlign w:val="center"/>
          </w:tcPr>
          <w:p w14:paraId="77AF04CC">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台</w:t>
            </w:r>
          </w:p>
        </w:tc>
        <w:tc>
          <w:tcPr>
            <w:tcW w:w="690" w:type="dxa"/>
            <w:tcBorders>
              <w:top w:val="single" w:color="000000" w:sz="4" w:space="0"/>
              <w:left w:val="single" w:color="000000" w:sz="4" w:space="0"/>
              <w:bottom w:val="single" w:color="000000" w:sz="4" w:space="0"/>
              <w:right w:val="single" w:color="000000" w:sz="4" w:space="0"/>
            </w:tcBorders>
            <w:noWrap w:val="0"/>
            <w:vAlign w:val="center"/>
          </w:tcPr>
          <w:p w14:paraId="74ED3812">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5</w:t>
            </w:r>
          </w:p>
        </w:tc>
        <w:tc>
          <w:tcPr>
            <w:tcW w:w="1965" w:type="dxa"/>
            <w:tcBorders>
              <w:top w:val="single" w:color="000000" w:sz="4" w:space="0"/>
              <w:left w:val="single" w:color="000000" w:sz="4" w:space="0"/>
              <w:bottom w:val="single" w:color="000000" w:sz="4" w:space="0"/>
              <w:right w:val="single" w:color="000000" w:sz="8" w:space="0"/>
            </w:tcBorders>
            <w:noWrap w:val="0"/>
            <w:vAlign w:val="center"/>
          </w:tcPr>
          <w:p w14:paraId="2DDF14BA">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每台充装116公斤灭火剂</w:t>
            </w: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5A5D5FA6">
            <w:pPr>
              <w:snapToGrid w:val="0"/>
              <w:ind w:left="0" w:leftChars="0" w:right="0" w:rightChars="0" w:firstLine="0" w:firstLineChars="0"/>
              <w:jc w:val="left"/>
              <w:rPr>
                <w:rFonts w:hint="eastAsia" w:ascii="微软雅黑" w:hAnsi="宋体" w:eastAsia="微软雅黑" w:cs="宋体"/>
                <w:i w:val="0"/>
                <w:iCs w:val="0"/>
                <w:color w:val="000000"/>
                <w:sz w:val="20"/>
                <w:szCs w:val="24"/>
                <w:u w:val="none"/>
              </w:rPr>
            </w:pPr>
          </w:p>
        </w:tc>
        <w:tc>
          <w:tcPr>
            <w:tcW w:w="1121" w:type="dxa"/>
            <w:tcBorders>
              <w:top w:val="single" w:color="000000" w:sz="4" w:space="0"/>
              <w:left w:val="single" w:color="000000" w:sz="4" w:space="0"/>
              <w:bottom w:val="single" w:color="000000" w:sz="4" w:space="0"/>
              <w:right w:val="single" w:color="000000" w:sz="4" w:space="0"/>
            </w:tcBorders>
            <w:noWrap/>
            <w:vAlign w:val="center"/>
          </w:tcPr>
          <w:p w14:paraId="6660BF24">
            <w:pPr>
              <w:snapToGrid w:val="0"/>
              <w:ind w:left="0" w:leftChars="0" w:right="0" w:rightChars="0" w:firstLine="0" w:firstLineChars="0"/>
              <w:jc w:val="right"/>
              <w:rPr>
                <w:rFonts w:hint="eastAsia" w:ascii="微软雅黑" w:hAnsi="宋体" w:eastAsia="微软雅黑" w:cs="宋体"/>
                <w:i w:val="0"/>
                <w:iCs w:val="0"/>
                <w:color w:val="000000"/>
                <w:sz w:val="20"/>
                <w:szCs w:val="24"/>
                <w:u w:val="none"/>
              </w:rPr>
            </w:pPr>
          </w:p>
        </w:tc>
      </w:tr>
      <w:tr w14:paraId="210E84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1" w:type="dxa"/>
            <w:vMerge w:val="continue"/>
            <w:tcBorders>
              <w:top w:val="single" w:color="000000" w:sz="4" w:space="0"/>
              <w:left w:val="single" w:color="000000" w:sz="8" w:space="0"/>
              <w:bottom w:val="single" w:color="000000" w:sz="4" w:space="0"/>
              <w:right w:val="single" w:color="000000" w:sz="4" w:space="0"/>
            </w:tcBorders>
            <w:noWrap w:val="0"/>
            <w:vAlign w:val="center"/>
          </w:tcPr>
          <w:p w14:paraId="15F25FA5">
            <w:pPr>
              <w:snapToGrid w:val="0"/>
              <w:ind w:left="0" w:leftChars="0" w:right="0" w:rightChars="0" w:firstLine="0" w:firstLineChars="0"/>
              <w:jc w:val="center"/>
              <w:rPr>
                <w:rFonts w:hint="eastAsia" w:ascii="微软雅黑" w:hAnsi="微软雅黑" w:eastAsia="微软雅黑" w:cs="微软雅黑"/>
                <w:i w:val="0"/>
                <w:iCs w:val="0"/>
                <w:color w:val="000000"/>
                <w:sz w:val="20"/>
                <w:szCs w:val="20"/>
                <w:u w:val="none"/>
              </w:rPr>
            </w:pPr>
          </w:p>
        </w:tc>
        <w:tc>
          <w:tcPr>
            <w:tcW w:w="1681" w:type="dxa"/>
            <w:vMerge w:val="continue"/>
            <w:tcBorders>
              <w:top w:val="single" w:color="000000" w:sz="4" w:space="0"/>
              <w:left w:val="nil"/>
              <w:bottom w:val="single" w:color="000000" w:sz="4" w:space="0"/>
              <w:right w:val="nil"/>
            </w:tcBorders>
            <w:noWrap w:val="0"/>
            <w:vAlign w:val="center"/>
          </w:tcPr>
          <w:p w14:paraId="2E0F7D95">
            <w:pPr>
              <w:snapToGrid w:val="0"/>
              <w:ind w:left="0" w:leftChars="0" w:right="0" w:rightChars="0" w:firstLine="0" w:firstLineChars="0"/>
              <w:jc w:val="center"/>
              <w:rPr>
                <w:rFonts w:hint="eastAsia" w:ascii="微软雅黑" w:hAnsi="微软雅黑" w:eastAsia="微软雅黑" w:cs="微软雅黑"/>
                <w:i w:val="0"/>
                <w:iCs w:val="0"/>
                <w:color w:val="000000"/>
                <w:sz w:val="20"/>
                <w:szCs w:val="20"/>
                <w:u w:val="none"/>
              </w:rPr>
            </w:pPr>
          </w:p>
        </w:tc>
        <w:tc>
          <w:tcPr>
            <w:tcW w:w="1209" w:type="dxa"/>
            <w:tcBorders>
              <w:top w:val="single" w:color="000000" w:sz="4" w:space="0"/>
              <w:left w:val="single" w:color="000000" w:sz="4" w:space="0"/>
              <w:bottom w:val="single" w:color="000000" w:sz="4" w:space="0"/>
              <w:right w:val="single" w:color="000000" w:sz="4" w:space="0"/>
            </w:tcBorders>
            <w:noWrap w:val="0"/>
            <w:vAlign w:val="center"/>
          </w:tcPr>
          <w:p w14:paraId="27DD924F">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七氟丙烷</w:t>
            </w:r>
          </w:p>
        </w:tc>
        <w:tc>
          <w:tcPr>
            <w:tcW w:w="1866" w:type="dxa"/>
            <w:tcBorders>
              <w:top w:val="single" w:color="000000" w:sz="4" w:space="0"/>
              <w:left w:val="single" w:color="000000" w:sz="4" w:space="0"/>
              <w:bottom w:val="single" w:color="000000" w:sz="4" w:space="0"/>
              <w:right w:val="single" w:color="000000" w:sz="4" w:space="0"/>
            </w:tcBorders>
            <w:noWrap w:val="0"/>
            <w:vAlign w:val="center"/>
          </w:tcPr>
          <w:p w14:paraId="373B9610">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HFC-227ea</w:t>
            </w:r>
          </w:p>
        </w:tc>
        <w:tc>
          <w:tcPr>
            <w:tcW w:w="735" w:type="dxa"/>
            <w:tcBorders>
              <w:top w:val="single" w:color="000000" w:sz="4" w:space="0"/>
              <w:left w:val="single" w:color="000000" w:sz="4" w:space="0"/>
              <w:bottom w:val="single" w:color="000000" w:sz="4" w:space="0"/>
              <w:right w:val="single" w:color="000000" w:sz="4" w:space="0"/>
            </w:tcBorders>
            <w:noWrap w:val="0"/>
            <w:vAlign w:val="center"/>
          </w:tcPr>
          <w:p w14:paraId="6231B6B7">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Kg</w:t>
            </w:r>
          </w:p>
        </w:tc>
        <w:tc>
          <w:tcPr>
            <w:tcW w:w="690" w:type="dxa"/>
            <w:tcBorders>
              <w:top w:val="single" w:color="000000" w:sz="4" w:space="0"/>
              <w:left w:val="single" w:color="000000" w:sz="4" w:space="0"/>
              <w:bottom w:val="single" w:color="000000" w:sz="4" w:space="0"/>
              <w:right w:val="single" w:color="000000" w:sz="4" w:space="0"/>
            </w:tcBorders>
            <w:noWrap w:val="0"/>
            <w:vAlign w:val="center"/>
          </w:tcPr>
          <w:p w14:paraId="341B6D28">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580</w:t>
            </w:r>
          </w:p>
        </w:tc>
        <w:tc>
          <w:tcPr>
            <w:tcW w:w="1965" w:type="dxa"/>
            <w:tcBorders>
              <w:top w:val="single" w:color="000000" w:sz="4" w:space="0"/>
              <w:left w:val="single" w:color="000000" w:sz="4" w:space="0"/>
              <w:bottom w:val="single" w:color="000000" w:sz="4" w:space="0"/>
              <w:right w:val="single" w:color="000000" w:sz="8" w:space="0"/>
            </w:tcBorders>
            <w:noWrap w:val="0"/>
            <w:vAlign w:val="center"/>
          </w:tcPr>
          <w:p w14:paraId="31775AC2">
            <w:pPr>
              <w:snapToGrid w:val="0"/>
              <w:ind w:left="0" w:leftChars="0" w:right="0" w:rightChars="0" w:firstLine="0" w:firstLineChars="0"/>
              <w:jc w:val="center"/>
              <w:rPr>
                <w:rFonts w:hint="eastAsia" w:ascii="微软雅黑" w:hAnsi="微软雅黑" w:eastAsia="微软雅黑" w:cs="微软雅黑"/>
                <w:i w:val="0"/>
                <w:iCs w:val="0"/>
                <w:color w:val="000000"/>
                <w:sz w:val="20"/>
                <w:szCs w:val="22"/>
                <w:u w:val="none"/>
              </w:rPr>
            </w:pP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6055DF43">
            <w:pPr>
              <w:snapToGrid w:val="0"/>
              <w:ind w:left="0" w:leftChars="0" w:right="0" w:rightChars="0" w:firstLine="0" w:firstLineChars="0"/>
              <w:jc w:val="left"/>
              <w:rPr>
                <w:rFonts w:hint="eastAsia" w:ascii="微软雅黑" w:hAnsi="宋体" w:eastAsia="微软雅黑" w:cs="宋体"/>
                <w:i w:val="0"/>
                <w:iCs w:val="0"/>
                <w:color w:val="000000"/>
                <w:sz w:val="20"/>
                <w:szCs w:val="24"/>
                <w:u w:val="none"/>
              </w:rPr>
            </w:pPr>
          </w:p>
        </w:tc>
        <w:tc>
          <w:tcPr>
            <w:tcW w:w="1121" w:type="dxa"/>
            <w:tcBorders>
              <w:top w:val="single" w:color="000000" w:sz="4" w:space="0"/>
              <w:left w:val="single" w:color="000000" w:sz="4" w:space="0"/>
              <w:bottom w:val="single" w:color="000000" w:sz="4" w:space="0"/>
              <w:right w:val="single" w:color="000000" w:sz="4" w:space="0"/>
            </w:tcBorders>
            <w:noWrap/>
            <w:vAlign w:val="center"/>
          </w:tcPr>
          <w:p w14:paraId="0E5733B2">
            <w:pPr>
              <w:snapToGrid w:val="0"/>
              <w:ind w:left="0" w:leftChars="0" w:right="0" w:rightChars="0" w:firstLine="0" w:firstLineChars="0"/>
              <w:jc w:val="right"/>
              <w:rPr>
                <w:rFonts w:hint="eastAsia" w:ascii="微软雅黑" w:hAnsi="宋体" w:eastAsia="微软雅黑" w:cs="宋体"/>
                <w:i w:val="0"/>
                <w:iCs w:val="0"/>
                <w:color w:val="000000"/>
                <w:sz w:val="20"/>
                <w:szCs w:val="24"/>
                <w:u w:val="none"/>
              </w:rPr>
            </w:pPr>
          </w:p>
        </w:tc>
      </w:tr>
      <w:tr w14:paraId="358BD3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1" w:type="dxa"/>
            <w:vMerge w:val="continue"/>
            <w:tcBorders>
              <w:top w:val="single" w:color="000000" w:sz="4" w:space="0"/>
              <w:left w:val="single" w:color="000000" w:sz="8" w:space="0"/>
              <w:bottom w:val="single" w:color="000000" w:sz="4" w:space="0"/>
              <w:right w:val="single" w:color="000000" w:sz="4" w:space="0"/>
            </w:tcBorders>
            <w:noWrap w:val="0"/>
            <w:vAlign w:val="center"/>
          </w:tcPr>
          <w:p w14:paraId="3388911B">
            <w:pPr>
              <w:snapToGrid w:val="0"/>
              <w:ind w:left="0" w:leftChars="0" w:right="0" w:rightChars="0" w:firstLine="0" w:firstLineChars="0"/>
              <w:jc w:val="center"/>
              <w:rPr>
                <w:rFonts w:hint="eastAsia" w:ascii="微软雅黑" w:hAnsi="微软雅黑" w:eastAsia="微软雅黑" w:cs="微软雅黑"/>
                <w:i w:val="0"/>
                <w:iCs w:val="0"/>
                <w:color w:val="000000"/>
                <w:sz w:val="20"/>
                <w:szCs w:val="20"/>
                <w:u w:val="none"/>
              </w:rPr>
            </w:pPr>
          </w:p>
        </w:tc>
        <w:tc>
          <w:tcPr>
            <w:tcW w:w="1681" w:type="dxa"/>
            <w:vMerge w:val="continue"/>
            <w:tcBorders>
              <w:top w:val="single" w:color="000000" w:sz="4" w:space="0"/>
              <w:left w:val="nil"/>
              <w:bottom w:val="single" w:color="000000" w:sz="4" w:space="0"/>
              <w:right w:val="nil"/>
            </w:tcBorders>
            <w:noWrap w:val="0"/>
            <w:vAlign w:val="center"/>
          </w:tcPr>
          <w:p w14:paraId="390CEF45">
            <w:pPr>
              <w:snapToGrid w:val="0"/>
              <w:ind w:left="0" w:leftChars="0" w:right="0" w:rightChars="0" w:firstLine="0" w:firstLineChars="0"/>
              <w:jc w:val="center"/>
              <w:rPr>
                <w:rFonts w:hint="eastAsia" w:ascii="微软雅黑" w:hAnsi="微软雅黑" w:eastAsia="微软雅黑" w:cs="微软雅黑"/>
                <w:i w:val="0"/>
                <w:iCs w:val="0"/>
                <w:color w:val="000000"/>
                <w:sz w:val="20"/>
                <w:szCs w:val="20"/>
                <w:u w:val="none"/>
              </w:rPr>
            </w:pPr>
          </w:p>
        </w:tc>
        <w:tc>
          <w:tcPr>
            <w:tcW w:w="1209" w:type="dxa"/>
            <w:tcBorders>
              <w:top w:val="single" w:color="000000" w:sz="4" w:space="0"/>
              <w:left w:val="single" w:color="000000" w:sz="4" w:space="0"/>
              <w:bottom w:val="single" w:color="000000" w:sz="4" w:space="0"/>
              <w:right w:val="single" w:color="000000" w:sz="4" w:space="0"/>
            </w:tcBorders>
            <w:noWrap w:val="0"/>
            <w:vAlign w:val="center"/>
          </w:tcPr>
          <w:p w14:paraId="5E7F38A0">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泄压口</w:t>
            </w:r>
          </w:p>
        </w:tc>
        <w:tc>
          <w:tcPr>
            <w:tcW w:w="1866" w:type="dxa"/>
            <w:tcBorders>
              <w:top w:val="single" w:color="000000" w:sz="4" w:space="0"/>
              <w:left w:val="single" w:color="000000" w:sz="4" w:space="0"/>
              <w:bottom w:val="single" w:color="000000" w:sz="4" w:space="0"/>
              <w:right w:val="single" w:color="000000" w:sz="4" w:space="0"/>
            </w:tcBorders>
            <w:noWrap w:val="0"/>
            <w:vAlign w:val="center"/>
          </w:tcPr>
          <w:p w14:paraId="23F183EF">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0.25-J</w:t>
            </w:r>
          </w:p>
        </w:tc>
        <w:tc>
          <w:tcPr>
            <w:tcW w:w="735" w:type="dxa"/>
            <w:tcBorders>
              <w:top w:val="single" w:color="000000" w:sz="4" w:space="0"/>
              <w:left w:val="single" w:color="000000" w:sz="4" w:space="0"/>
              <w:bottom w:val="single" w:color="000000" w:sz="4" w:space="0"/>
              <w:right w:val="single" w:color="000000" w:sz="4" w:space="0"/>
            </w:tcBorders>
            <w:noWrap w:val="0"/>
            <w:vAlign w:val="center"/>
          </w:tcPr>
          <w:p w14:paraId="333EF375">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台</w:t>
            </w:r>
          </w:p>
        </w:tc>
        <w:tc>
          <w:tcPr>
            <w:tcW w:w="690" w:type="dxa"/>
            <w:tcBorders>
              <w:top w:val="single" w:color="000000" w:sz="4" w:space="0"/>
              <w:left w:val="single" w:color="000000" w:sz="4" w:space="0"/>
              <w:bottom w:val="single" w:color="000000" w:sz="4" w:space="0"/>
              <w:right w:val="single" w:color="000000" w:sz="4" w:space="0"/>
            </w:tcBorders>
            <w:noWrap w:val="0"/>
            <w:vAlign w:val="center"/>
          </w:tcPr>
          <w:p w14:paraId="345A3FD6">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c>
          <w:tcPr>
            <w:tcW w:w="1965" w:type="dxa"/>
            <w:tcBorders>
              <w:top w:val="single" w:color="000000" w:sz="4" w:space="0"/>
              <w:left w:val="single" w:color="000000" w:sz="4" w:space="0"/>
              <w:bottom w:val="single" w:color="000000" w:sz="4" w:space="0"/>
              <w:right w:val="single" w:color="000000" w:sz="8" w:space="0"/>
            </w:tcBorders>
            <w:noWrap w:val="0"/>
            <w:vAlign w:val="center"/>
          </w:tcPr>
          <w:p w14:paraId="219128C0">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含百叶和阀体,开孔尺寸800*400</w:t>
            </w: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722C5349">
            <w:pPr>
              <w:snapToGrid w:val="0"/>
              <w:ind w:left="0" w:leftChars="0" w:right="0" w:rightChars="0" w:firstLine="0" w:firstLineChars="0"/>
              <w:jc w:val="left"/>
              <w:rPr>
                <w:rFonts w:hint="eastAsia" w:ascii="微软雅黑" w:hAnsi="宋体" w:eastAsia="微软雅黑" w:cs="宋体"/>
                <w:i w:val="0"/>
                <w:iCs w:val="0"/>
                <w:color w:val="000000"/>
                <w:sz w:val="20"/>
                <w:szCs w:val="24"/>
                <w:u w:val="none"/>
              </w:rPr>
            </w:pPr>
          </w:p>
        </w:tc>
        <w:tc>
          <w:tcPr>
            <w:tcW w:w="1121" w:type="dxa"/>
            <w:tcBorders>
              <w:top w:val="single" w:color="000000" w:sz="4" w:space="0"/>
              <w:left w:val="single" w:color="000000" w:sz="4" w:space="0"/>
              <w:bottom w:val="single" w:color="000000" w:sz="4" w:space="0"/>
              <w:right w:val="single" w:color="000000" w:sz="4" w:space="0"/>
            </w:tcBorders>
            <w:noWrap/>
            <w:vAlign w:val="center"/>
          </w:tcPr>
          <w:p w14:paraId="7C40863D">
            <w:pPr>
              <w:snapToGrid w:val="0"/>
              <w:ind w:left="0" w:leftChars="0" w:right="0" w:rightChars="0" w:firstLine="0" w:firstLineChars="0"/>
              <w:jc w:val="right"/>
              <w:rPr>
                <w:rFonts w:hint="eastAsia" w:ascii="微软雅黑" w:hAnsi="宋体" w:eastAsia="微软雅黑" w:cs="宋体"/>
                <w:i w:val="0"/>
                <w:iCs w:val="0"/>
                <w:color w:val="000000"/>
                <w:sz w:val="20"/>
                <w:szCs w:val="24"/>
                <w:u w:val="none"/>
              </w:rPr>
            </w:pPr>
          </w:p>
        </w:tc>
      </w:tr>
      <w:tr w14:paraId="245F0D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1" w:type="dxa"/>
            <w:vMerge w:val="restart"/>
            <w:tcBorders>
              <w:top w:val="single" w:color="000000" w:sz="4" w:space="0"/>
              <w:left w:val="single" w:color="000000" w:sz="8" w:space="0"/>
              <w:bottom w:val="single" w:color="000000" w:sz="4" w:space="0"/>
              <w:right w:val="single" w:color="000000" w:sz="4" w:space="0"/>
            </w:tcBorders>
            <w:noWrap w:val="0"/>
            <w:vAlign w:val="center"/>
          </w:tcPr>
          <w:p w14:paraId="096E4A46">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3</w:t>
            </w:r>
          </w:p>
        </w:tc>
        <w:tc>
          <w:tcPr>
            <w:tcW w:w="1681" w:type="dxa"/>
            <w:vMerge w:val="restart"/>
            <w:tcBorders>
              <w:top w:val="single" w:color="000000" w:sz="4" w:space="0"/>
              <w:left w:val="nil"/>
              <w:bottom w:val="single" w:color="000000" w:sz="4" w:space="0"/>
              <w:right w:val="nil"/>
            </w:tcBorders>
            <w:noWrap w:val="0"/>
            <w:vAlign w:val="center"/>
          </w:tcPr>
          <w:p w14:paraId="42FF23C4">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配电房（03#厂房一层）</w:t>
            </w:r>
          </w:p>
        </w:tc>
        <w:tc>
          <w:tcPr>
            <w:tcW w:w="1209" w:type="dxa"/>
            <w:tcBorders>
              <w:top w:val="single" w:color="000000" w:sz="4" w:space="0"/>
              <w:left w:val="single" w:color="000000" w:sz="4" w:space="0"/>
              <w:bottom w:val="single" w:color="000000" w:sz="4" w:space="0"/>
              <w:right w:val="single" w:color="000000" w:sz="4" w:space="0"/>
            </w:tcBorders>
            <w:noWrap w:val="0"/>
            <w:vAlign w:val="center"/>
          </w:tcPr>
          <w:p w14:paraId="2A111A2D">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柜式七氟丙烷灭火装置</w:t>
            </w:r>
          </w:p>
        </w:tc>
        <w:tc>
          <w:tcPr>
            <w:tcW w:w="1866" w:type="dxa"/>
            <w:tcBorders>
              <w:top w:val="single" w:color="000000" w:sz="4" w:space="0"/>
              <w:left w:val="single" w:color="000000" w:sz="4" w:space="0"/>
              <w:bottom w:val="single" w:color="000000" w:sz="4" w:space="0"/>
              <w:right w:val="single" w:color="000000" w:sz="4" w:space="0"/>
            </w:tcBorders>
            <w:noWrap w:val="0"/>
            <w:vAlign w:val="center"/>
          </w:tcPr>
          <w:p w14:paraId="7A5612F0">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GQQ120/2.5</w:t>
            </w:r>
          </w:p>
        </w:tc>
        <w:tc>
          <w:tcPr>
            <w:tcW w:w="735" w:type="dxa"/>
            <w:tcBorders>
              <w:top w:val="single" w:color="000000" w:sz="4" w:space="0"/>
              <w:left w:val="single" w:color="000000" w:sz="4" w:space="0"/>
              <w:bottom w:val="single" w:color="000000" w:sz="4" w:space="0"/>
              <w:right w:val="single" w:color="000000" w:sz="4" w:space="0"/>
            </w:tcBorders>
            <w:noWrap w:val="0"/>
            <w:vAlign w:val="center"/>
          </w:tcPr>
          <w:p w14:paraId="37B02F67">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台</w:t>
            </w:r>
          </w:p>
        </w:tc>
        <w:tc>
          <w:tcPr>
            <w:tcW w:w="690" w:type="dxa"/>
            <w:tcBorders>
              <w:top w:val="single" w:color="000000" w:sz="4" w:space="0"/>
              <w:left w:val="single" w:color="000000" w:sz="4" w:space="0"/>
              <w:bottom w:val="single" w:color="000000" w:sz="4" w:space="0"/>
              <w:right w:val="single" w:color="000000" w:sz="4" w:space="0"/>
            </w:tcBorders>
            <w:noWrap w:val="0"/>
            <w:vAlign w:val="center"/>
          </w:tcPr>
          <w:p w14:paraId="00B989A2">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5</w:t>
            </w:r>
          </w:p>
        </w:tc>
        <w:tc>
          <w:tcPr>
            <w:tcW w:w="1965" w:type="dxa"/>
            <w:tcBorders>
              <w:top w:val="single" w:color="000000" w:sz="4" w:space="0"/>
              <w:left w:val="single" w:color="000000" w:sz="4" w:space="0"/>
              <w:bottom w:val="single" w:color="000000" w:sz="4" w:space="0"/>
              <w:right w:val="single" w:color="000000" w:sz="8" w:space="0"/>
            </w:tcBorders>
            <w:noWrap w:val="0"/>
            <w:vAlign w:val="center"/>
          </w:tcPr>
          <w:p w14:paraId="7462A16D">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每台充装127公斤灭火剂</w:t>
            </w: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4C5A1AED">
            <w:pPr>
              <w:snapToGrid w:val="0"/>
              <w:ind w:left="0" w:leftChars="0" w:right="0" w:rightChars="0" w:firstLine="0" w:firstLineChars="0"/>
              <w:jc w:val="left"/>
              <w:rPr>
                <w:rFonts w:hint="eastAsia" w:ascii="微软雅黑" w:hAnsi="宋体" w:eastAsia="微软雅黑" w:cs="宋体"/>
                <w:i w:val="0"/>
                <w:iCs w:val="0"/>
                <w:color w:val="000000"/>
                <w:sz w:val="20"/>
                <w:szCs w:val="24"/>
                <w:u w:val="none"/>
              </w:rPr>
            </w:pPr>
          </w:p>
        </w:tc>
        <w:tc>
          <w:tcPr>
            <w:tcW w:w="1121" w:type="dxa"/>
            <w:tcBorders>
              <w:top w:val="single" w:color="000000" w:sz="4" w:space="0"/>
              <w:left w:val="single" w:color="000000" w:sz="4" w:space="0"/>
              <w:bottom w:val="single" w:color="000000" w:sz="4" w:space="0"/>
              <w:right w:val="single" w:color="000000" w:sz="4" w:space="0"/>
            </w:tcBorders>
            <w:noWrap/>
            <w:vAlign w:val="center"/>
          </w:tcPr>
          <w:p w14:paraId="0B072F9A">
            <w:pPr>
              <w:snapToGrid w:val="0"/>
              <w:ind w:left="0" w:leftChars="0" w:right="0" w:rightChars="0" w:firstLine="0" w:firstLineChars="0"/>
              <w:jc w:val="right"/>
              <w:rPr>
                <w:rFonts w:hint="eastAsia" w:ascii="微软雅黑" w:hAnsi="宋体" w:eastAsia="微软雅黑" w:cs="宋体"/>
                <w:i w:val="0"/>
                <w:iCs w:val="0"/>
                <w:color w:val="000000"/>
                <w:sz w:val="20"/>
                <w:szCs w:val="24"/>
                <w:u w:val="none"/>
              </w:rPr>
            </w:pPr>
          </w:p>
        </w:tc>
      </w:tr>
      <w:tr w14:paraId="736661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1" w:type="dxa"/>
            <w:vMerge w:val="continue"/>
            <w:tcBorders>
              <w:top w:val="single" w:color="000000" w:sz="4" w:space="0"/>
              <w:left w:val="single" w:color="000000" w:sz="8" w:space="0"/>
              <w:bottom w:val="single" w:color="000000" w:sz="4" w:space="0"/>
              <w:right w:val="single" w:color="000000" w:sz="4" w:space="0"/>
            </w:tcBorders>
            <w:noWrap w:val="0"/>
            <w:vAlign w:val="center"/>
          </w:tcPr>
          <w:p w14:paraId="719339F6">
            <w:pPr>
              <w:snapToGrid w:val="0"/>
              <w:ind w:left="0" w:leftChars="0" w:right="0" w:rightChars="0" w:firstLine="0" w:firstLineChars="0"/>
              <w:jc w:val="center"/>
              <w:rPr>
                <w:rFonts w:hint="eastAsia" w:ascii="微软雅黑" w:hAnsi="微软雅黑" w:eastAsia="微软雅黑" w:cs="微软雅黑"/>
                <w:i w:val="0"/>
                <w:iCs w:val="0"/>
                <w:color w:val="000000"/>
                <w:sz w:val="20"/>
                <w:szCs w:val="20"/>
                <w:u w:val="none"/>
              </w:rPr>
            </w:pPr>
          </w:p>
        </w:tc>
        <w:tc>
          <w:tcPr>
            <w:tcW w:w="1681" w:type="dxa"/>
            <w:vMerge w:val="continue"/>
            <w:tcBorders>
              <w:top w:val="single" w:color="000000" w:sz="4" w:space="0"/>
              <w:left w:val="nil"/>
              <w:bottom w:val="single" w:color="000000" w:sz="4" w:space="0"/>
              <w:right w:val="nil"/>
            </w:tcBorders>
            <w:noWrap w:val="0"/>
            <w:vAlign w:val="center"/>
          </w:tcPr>
          <w:p w14:paraId="4838B06A">
            <w:pPr>
              <w:snapToGrid w:val="0"/>
              <w:ind w:left="0" w:leftChars="0" w:right="0" w:rightChars="0" w:firstLine="0" w:firstLineChars="0"/>
              <w:jc w:val="center"/>
              <w:rPr>
                <w:rFonts w:hint="eastAsia" w:ascii="微软雅黑" w:hAnsi="微软雅黑" w:eastAsia="微软雅黑" w:cs="微软雅黑"/>
                <w:i w:val="0"/>
                <w:iCs w:val="0"/>
                <w:color w:val="000000"/>
                <w:sz w:val="20"/>
                <w:szCs w:val="20"/>
                <w:u w:val="none"/>
              </w:rPr>
            </w:pPr>
          </w:p>
        </w:tc>
        <w:tc>
          <w:tcPr>
            <w:tcW w:w="1209" w:type="dxa"/>
            <w:tcBorders>
              <w:top w:val="single" w:color="000000" w:sz="4" w:space="0"/>
              <w:left w:val="single" w:color="000000" w:sz="4" w:space="0"/>
              <w:bottom w:val="single" w:color="000000" w:sz="4" w:space="0"/>
              <w:right w:val="single" w:color="000000" w:sz="4" w:space="0"/>
            </w:tcBorders>
            <w:noWrap w:val="0"/>
            <w:vAlign w:val="center"/>
          </w:tcPr>
          <w:p w14:paraId="59367397">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七氟丙烷</w:t>
            </w:r>
          </w:p>
        </w:tc>
        <w:tc>
          <w:tcPr>
            <w:tcW w:w="1866" w:type="dxa"/>
            <w:tcBorders>
              <w:top w:val="single" w:color="000000" w:sz="4" w:space="0"/>
              <w:left w:val="single" w:color="000000" w:sz="4" w:space="0"/>
              <w:bottom w:val="single" w:color="000000" w:sz="4" w:space="0"/>
              <w:right w:val="single" w:color="000000" w:sz="4" w:space="0"/>
            </w:tcBorders>
            <w:noWrap w:val="0"/>
            <w:vAlign w:val="center"/>
          </w:tcPr>
          <w:p w14:paraId="0BD1BFBD">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HFC-227ea</w:t>
            </w:r>
          </w:p>
        </w:tc>
        <w:tc>
          <w:tcPr>
            <w:tcW w:w="735" w:type="dxa"/>
            <w:tcBorders>
              <w:top w:val="single" w:color="000000" w:sz="4" w:space="0"/>
              <w:left w:val="single" w:color="000000" w:sz="4" w:space="0"/>
              <w:bottom w:val="single" w:color="000000" w:sz="4" w:space="0"/>
              <w:right w:val="single" w:color="000000" w:sz="4" w:space="0"/>
            </w:tcBorders>
            <w:noWrap w:val="0"/>
            <w:vAlign w:val="center"/>
          </w:tcPr>
          <w:p w14:paraId="269A7280">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Kg</w:t>
            </w:r>
          </w:p>
        </w:tc>
        <w:tc>
          <w:tcPr>
            <w:tcW w:w="690" w:type="dxa"/>
            <w:tcBorders>
              <w:top w:val="single" w:color="000000" w:sz="4" w:space="0"/>
              <w:left w:val="single" w:color="000000" w:sz="4" w:space="0"/>
              <w:bottom w:val="single" w:color="000000" w:sz="4" w:space="0"/>
              <w:right w:val="single" w:color="000000" w:sz="4" w:space="0"/>
            </w:tcBorders>
            <w:noWrap w:val="0"/>
            <w:vAlign w:val="center"/>
          </w:tcPr>
          <w:p w14:paraId="482F8FEC">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635</w:t>
            </w:r>
          </w:p>
        </w:tc>
        <w:tc>
          <w:tcPr>
            <w:tcW w:w="1965" w:type="dxa"/>
            <w:tcBorders>
              <w:top w:val="single" w:color="000000" w:sz="4" w:space="0"/>
              <w:left w:val="single" w:color="000000" w:sz="4" w:space="0"/>
              <w:bottom w:val="single" w:color="000000" w:sz="4" w:space="0"/>
              <w:right w:val="single" w:color="000000" w:sz="8" w:space="0"/>
            </w:tcBorders>
            <w:noWrap w:val="0"/>
            <w:vAlign w:val="center"/>
          </w:tcPr>
          <w:p w14:paraId="688F5F84">
            <w:pPr>
              <w:snapToGrid w:val="0"/>
              <w:ind w:left="0" w:leftChars="0" w:right="0" w:rightChars="0" w:firstLine="0" w:firstLineChars="0"/>
              <w:jc w:val="center"/>
              <w:rPr>
                <w:rFonts w:hint="eastAsia" w:ascii="微软雅黑" w:hAnsi="微软雅黑" w:eastAsia="微软雅黑" w:cs="微软雅黑"/>
                <w:i w:val="0"/>
                <w:iCs w:val="0"/>
                <w:color w:val="000000"/>
                <w:sz w:val="20"/>
                <w:szCs w:val="22"/>
                <w:u w:val="none"/>
              </w:rPr>
            </w:pP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57D77071">
            <w:pPr>
              <w:snapToGrid w:val="0"/>
              <w:ind w:left="0" w:leftChars="0" w:right="0" w:rightChars="0" w:firstLine="0" w:firstLineChars="0"/>
              <w:jc w:val="left"/>
              <w:rPr>
                <w:rFonts w:hint="eastAsia" w:ascii="微软雅黑" w:hAnsi="宋体" w:eastAsia="微软雅黑" w:cs="宋体"/>
                <w:i w:val="0"/>
                <w:iCs w:val="0"/>
                <w:color w:val="000000"/>
                <w:sz w:val="20"/>
                <w:szCs w:val="24"/>
                <w:u w:val="none"/>
              </w:rPr>
            </w:pPr>
          </w:p>
        </w:tc>
        <w:tc>
          <w:tcPr>
            <w:tcW w:w="1121" w:type="dxa"/>
            <w:tcBorders>
              <w:top w:val="single" w:color="000000" w:sz="4" w:space="0"/>
              <w:left w:val="single" w:color="000000" w:sz="4" w:space="0"/>
              <w:bottom w:val="single" w:color="000000" w:sz="4" w:space="0"/>
              <w:right w:val="single" w:color="000000" w:sz="4" w:space="0"/>
            </w:tcBorders>
            <w:noWrap/>
            <w:vAlign w:val="center"/>
          </w:tcPr>
          <w:p w14:paraId="4CF92339">
            <w:pPr>
              <w:snapToGrid w:val="0"/>
              <w:ind w:left="0" w:leftChars="0" w:right="0" w:rightChars="0" w:firstLine="0" w:firstLineChars="0"/>
              <w:jc w:val="right"/>
              <w:rPr>
                <w:rFonts w:hint="eastAsia" w:ascii="微软雅黑" w:hAnsi="宋体" w:eastAsia="微软雅黑" w:cs="宋体"/>
                <w:i w:val="0"/>
                <w:iCs w:val="0"/>
                <w:color w:val="000000"/>
                <w:sz w:val="20"/>
                <w:szCs w:val="24"/>
                <w:u w:val="none"/>
              </w:rPr>
            </w:pPr>
          </w:p>
        </w:tc>
      </w:tr>
      <w:tr w14:paraId="167E9A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1" w:type="dxa"/>
            <w:vMerge w:val="continue"/>
            <w:tcBorders>
              <w:top w:val="single" w:color="000000" w:sz="4" w:space="0"/>
              <w:left w:val="single" w:color="000000" w:sz="8" w:space="0"/>
              <w:bottom w:val="single" w:color="000000" w:sz="4" w:space="0"/>
              <w:right w:val="single" w:color="000000" w:sz="4" w:space="0"/>
            </w:tcBorders>
            <w:noWrap w:val="0"/>
            <w:vAlign w:val="center"/>
          </w:tcPr>
          <w:p w14:paraId="67E74D6D">
            <w:pPr>
              <w:snapToGrid w:val="0"/>
              <w:ind w:left="0" w:leftChars="0" w:right="0" w:rightChars="0" w:firstLine="0" w:firstLineChars="0"/>
              <w:jc w:val="center"/>
              <w:rPr>
                <w:rFonts w:hint="eastAsia" w:ascii="微软雅黑" w:hAnsi="微软雅黑" w:eastAsia="微软雅黑" w:cs="微软雅黑"/>
                <w:i w:val="0"/>
                <w:iCs w:val="0"/>
                <w:color w:val="000000"/>
                <w:sz w:val="20"/>
                <w:szCs w:val="20"/>
                <w:u w:val="none"/>
              </w:rPr>
            </w:pPr>
          </w:p>
        </w:tc>
        <w:tc>
          <w:tcPr>
            <w:tcW w:w="1681" w:type="dxa"/>
            <w:vMerge w:val="continue"/>
            <w:tcBorders>
              <w:top w:val="single" w:color="000000" w:sz="4" w:space="0"/>
              <w:left w:val="nil"/>
              <w:bottom w:val="single" w:color="000000" w:sz="4" w:space="0"/>
              <w:right w:val="nil"/>
            </w:tcBorders>
            <w:noWrap w:val="0"/>
            <w:vAlign w:val="center"/>
          </w:tcPr>
          <w:p w14:paraId="63FA5E28">
            <w:pPr>
              <w:snapToGrid w:val="0"/>
              <w:ind w:left="0" w:leftChars="0" w:right="0" w:rightChars="0" w:firstLine="0" w:firstLineChars="0"/>
              <w:jc w:val="center"/>
              <w:rPr>
                <w:rFonts w:hint="eastAsia" w:ascii="微软雅黑" w:hAnsi="微软雅黑" w:eastAsia="微软雅黑" w:cs="微软雅黑"/>
                <w:i w:val="0"/>
                <w:iCs w:val="0"/>
                <w:color w:val="000000"/>
                <w:sz w:val="20"/>
                <w:szCs w:val="20"/>
                <w:u w:val="none"/>
              </w:rPr>
            </w:pPr>
          </w:p>
        </w:tc>
        <w:tc>
          <w:tcPr>
            <w:tcW w:w="1209" w:type="dxa"/>
            <w:tcBorders>
              <w:top w:val="single" w:color="000000" w:sz="4" w:space="0"/>
              <w:left w:val="single" w:color="000000" w:sz="4" w:space="0"/>
              <w:bottom w:val="single" w:color="000000" w:sz="4" w:space="0"/>
              <w:right w:val="single" w:color="000000" w:sz="4" w:space="0"/>
            </w:tcBorders>
            <w:noWrap w:val="0"/>
            <w:vAlign w:val="center"/>
          </w:tcPr>
          <w:p w14:paraId="15B7F88B">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泄压口</w:t>
            </w:r>
          </w:p>
        </w:tc>
        <w:tc>
          <w:tcPr>
            <w:tcW w:w="1866" w:type="dxa"/>
            <w:tcBorders>
              <w:top w:val="single" w:color="000000" w:sz="4" w:space="0"/>
              <w:left w:val="single" w:color="000000" w:sz="4" w:space="0"/>
              <w:bottom w:val="single" w:color="000000" w:sz="4" w:space="0"/>
              <w:right w:val="single" w:color="000000" w:sz="4" w:space="0"/>
            </w:tcBorders>
            <w:noWrap w:val="0"/>
            <w:vAlign w:val="center"/>
          </w:tcPr>
          <w:p w14:paraId="4F07E222">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0.36-J</w:t>
            </w:r>
          </w:p>
        </w:tc>
        <w:tc>
          <w:tcPr>
            <w:tcW w:w="735" w:type="dxa"/>
            <w:tcBorders>
              <w:top w:val="single" w:color="000000" w:sz="4" w:space="0"/>
              <w:left w:val="single" w:color="000000" w:sz="4" w:space="0"/>
              <w:bottom w:val="single" w:color="000000" w:sz="4" w:space="0"/>
              <w:right w:val="single" w:color="000000" w:sz="4" w:space="0"/>
            </w:tcBorders>
            <w:noWrap w:val="0"/>
            <w:vAlign w:val="center"/>
          </w:tcPr>
          <w:p w14:paraId="3E4397F6">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台</w:t>
            </w:r>
          </w:p>
        </w:tc>
        <w:tc>
          <w:tcPr>
            <w:tcW w:w="690" w:type="dxa"/>
            <w:tcBorders>
              <w:top w:val="single" w:color="000000" w:sz="4" w:space="0"/>
              <w:left w:val="single" w:color="000000" w:sz="4" w:space="0"/>
              <w:bottom w:val="single" w:color="000000" w:sz="4" w:space="0"/>
              <w:right w:val="single" w:color="000000" w:sz="4" w:space="0"/>
            </w:tcBorders>
            <w:noWrap w:val="0"/>
            <w:vAlign w:val="center"/>
          </w:tcPr>
          <w:p w14:paraId="39D7D092">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c>
          <w:tcPr>
            <w:tcW w:w="1965" w:type="dxa"/>
            <w:tcBorders>
              <w:top w:val="single" w:color="000000" w:sz="4" w:space="0"/>
              <w:left w:val="single" w:color="000000" w:sz="4" w:space="0"/>
              <w:bottom w:val="single" w:color="000000" w:sz="4" w:space="0"/>
              <w:right w:val="single" w:color="000000" w:sz="8" w:space="0"/>
            </w:tcBorders>
            <w:noWrap w:val="0"/>
            <w:vAlign w:val="center"/>
          </w:tcPr>
          <w:p w14:paraId="711614D5">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含百叶和阀体,开孔尺寸850*500</w:t>
            </w: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14C3A055">
            <w:pPr>
              <w:snapToGrid w:val="0"/>
              <w:ind w:left="0" w:leftChars="0" w:right="0" w:rightChars="0" w:firstLine="0" w:firstLineChars="0"/>
              <w:jc w:val="left"/>
              <w:rPr>
                <w:rFonts w:hint="eastAsia" w:ascii="微软雅黑" w:hAnsi="宋体" w:eastAsia="微软雅黑" w:cs="宋体"/>
                <w:i w:val="0"/>
                <w:iCs w:val="0"/>
                <w:color w:val="000000"/>
                <w:sz w:val="20"/>
                <w:szCs w:val="24"/>
                <w:u w:val="none"/>
              </w:rPr>
            </w:pPr>
          </w:p>
        </w:tc>
        <w:tc>
          <w:tcPr>
            <w:tcW w:w="1121" w:type="dxa"/>
            <w:tcBorders>
              <w:top w:val="single" w:color="000000" w:sz="4" w:space="0"/>
              <w:left w:val="single" w:color="000000" w:sz="4" w:space="0"/>
              <w:bottom w:val="single" w:color="000000" w:sz="4" w:space="0"/>
              <w:right w:val="single" w:color="000000" w:sz="4" w:space="0"/>
            </w:tcBorders>
            <w:noWrap/>
            <w:vAlign w:val="center"/>
          </w:tcPr>
          <w:p w14:paraId="1FDC2DDA">
            <w:pPr>
              <w:snapToGrid w:val="0"/>
              <w:ind w:left="0" w:leftChars="0" w:right="0" w:rightChars="0" w:firstLine="0" w:firstLineChars="0"/>
              <w:jc w:val="right"/>
              <w:rPr>
                <w:rFonts w:hint="eastAsia" w:ascii="微软雅黑" w:hAnsi="宋体" w:eastAsia="微软雅黑" w:cs="宋体"/>
                <w:i w:val="0"/>
                <w:iCs w:val="0"/>
                <w:color w:val="000000"/>
                <w:sz w:val="20"/>
                <w:szCs w:val="24"/>
                <w:u w:val="none"/>
              </w:rPr>
            </w:pPr>
          </w:p>
        </w:tc>
      </w:tr>
      <w:tr w14:paraId="37E81E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1" w:type="dxa"/>
            <w:vMerge w:val="restart"/>
            <w:tcBorders>
              <w:top w:val="single" w:color="000000" w:sz="4" w:space="0"/>
              <w:left w:val="single" w:color="000000" w:sz="8" w:space="0"/>
              <w:bottom w:val="single" w:color="000000" w:sz="4" w:space="0"/>
              <w:right w:val="single" w:color="000000" w:sz="4" w:space="0"/>
            </w:tcBorders>
            <w:noWrap w:val="0"/>
            <w:vAlign w:val="center"/>
          </w:tcPr>
          <w:p w14:paraId="6B21E4FB">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4</w:t>
            </w:r>
          </w:p>
        </w:tc>
        <w:tc>
          <w:tcPr>
            <w:tcW w:w="1681" w:type="dxa"/>
            <w:vMerge w:val="restart"/>
            <w:tcBorders>
              <w:top w:val="single" w:color="000000" w:sz="4" w:space="0"/>
              <w:left w:val="nil"/>
              <w:bottom w:val="single" w:color="000000" w:sz="4" w:space="0"/>
              <w:right w:val="nil"/>
            </w:tcBorders>
            <w:noWrap w:val="0"/>
            <w:vAlign w:val="center"/>
          </w:tcPr>
          <w:p w14:paraId="050F1223">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配电房（02#厂房一层）</w:t>
            </w:r>
          </w:p>
        </w:tc>
        <w:tc>
          <w:tcPr>
            <w:tcW w:w="1209" w:type="dxa"/>
            <w:tcBorders>
              <w:top w:val="single" w:color="000000" w:sz="4" w:space="0"/>
              <w:left w:val="single" w:color="000000" w:sz="4" w:space="0"/>
              <w:bottom w:val="single" w:color="000000" w:sz="4" w:space="0"/>
              <w:right w:val="single" w:color="000000" w:sz="4" w:space="0"/>
            </w:tcBorders>
            <w:noWrap w:val="0"/>
            <w:vAlign w:val="center"/>
          </w:tcPr>
          <w:p w14:paraId="0BA3AD26">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柜式七氟丙烷灭火装置</w:t>
            </w:r>
          </w:p>
        </w:tc>
        <w:tc>
          <w:tcPr>
            <w:tcW w:w="1866" w:type="dxa"/>
            <w:tcBorders>
              <w:top w:val="single" w:color="000000" w:sz="4" w:space="0"/>
              <w:left w:val="single" w:color="000000" w:sz="4" w:space="0"/>
              <w:bottom w:val="single" w:color="000000" w:sz="4" w:space="0"/>
              <w:right w:val="single" w:color="000000" w:sz="4" w:space="0"/>
            </w:tcBorders>
            <w:noWrap w:val="0"/>
            <w:vAlign w:val="center"/>
          </w:tcPr>
          <w:p w14:paraId="13D54818">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GQQ120/2.5</w:t>
            </w:r>
          </w:p>
        </w:tc>
        <w:tc>
          <w:tcPr>
            <w:tcW w:w="735" w:type="dxa"/>
            <w:tcBorders>
              <w:top w:val="single" w:color="000000" w:sz="4" w:space="0"/>
              <w:left w:val="single" w:color="000000" w:sz="4" w:space="0"/>
              <w:bottom w:val="single" w:color="000000" w:sz="4" w:space="0"/>
              <w:right w:val="single" w:color="000000" w:sz="4" w:space="0"/>
            </w:tcBorders>
            <w:noWrap w:val="0"/>
            <w:vAlign w:val="center"/>
          </w:tcPr>
          <w:p w14:paraId="396FB990">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台</w:t>
            </w:r>
          </w:p>
        </w:tc>
        <w:tc>
          <w:tcPr>
            <w:tcW w:w="690" w:type="dxa"/>
            <w:tcBorders>
              <w:top w:val="single" w:color="000000" w:sz="4" w:space="0"/>
              <w:left w:val="single" w:color="000000" w:sz="4" w:space="0"/>
              <w:bottom w:val="single" w:color="000000" w:sz="4" w:space="0"/>
              <w:right w:val="single" w:color="000000" w:sz="4" w:space="0"/>
            </w:tcBorders>
            <w:noWrap w:val="0"/>
            <w:vAlign w:val="center"/>
          </w:tcPr>
          <w:p w14:paraId="3359BE77">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5</w:t>
            </w:r>
          </w:p>
        </w:tc>
        <w:tc>
          <w:tcPr>
            <w:tcW w:w="1965" w:type="dxa"/>
            <w:tcBorders>
              <w:top w:val="single" w:color="000000" w:sz="4" w:space="0"/>
              <w:left w:val="single" w:color="000000" w:sz="4" w:space="0"/>
              <w:bottom w:val="single" w:color="000000" w:sz="4" w:space="0"/>
              <w:right w:val="single" w:color="000000" w:sz="8" w:space="0"/>
            </w:tcBorders>
            <w:noWrap w:val="0"/>
            <w:vAlign w:val="center"/>
          </w:tcPr>
          <w:p w14:paraId="0727157B">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每台充装122公斤灭火剂</w:t>
            </w: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68E03BED">
            <w:pPr>
              <w:snapToGrid w:val="0"/>
              <w:ind w:left="0" w:leftChars="0" w:right="0" w:rightChars="0" w:firstLine="0" w:firstLineChars="0"/>
              <w:jc w:val="left"/>
              <w:rPr>
                <w:rFonts w:hint="eastAsia" w:ascii="微软雅黑" w:hAnsi="宋体" w:eastAsia="微软雅黑" w:cs="宋体"/>
                <w:i w:val="0"/>
                <w:iCs w:val="0"/>
                <w:color w:val="000000"/>
                <w:sz w:val="20"/>
                <w:szCs w:val="24"/>
                <w:u w:val="none"/>
              </w:rPr>
            </w:pPr>
          </w:p>
        </w:tc>
        <w:tc>
          <w:tcPr>
            <w:tcW w:w="1121" w:type="dxa"/>
            <w:tcBorders>
              <w:top w:val="single" w:color="000000" w:sz="4" w:space="0"/>
              <w:left w:val="single" w:color="000000" w:sz="4" w:space="0"/>
              <w:bottom w:val="single" w:color="000000" w:sz="4" w:space="0"/>
              <w:right w:val="single" w:color="000000" w:sz="4" w:space="0"/>
            </w:tcBorders>
            <w:noWrap/>
            <w:vAlign w:val="center"/>
          </w:tcPr>
          <w:p w14:paraId="2AE2A15A">
            <w:pPr>
              <w:snapToGrid w:val="0"/>
              <w:ind w:left="0" w:leftChars="0" w:right="0" w:rightChars="0" w:firstLine="0" w:firstLineChars="0"/>
              <w:jc w:val="right"/>
              <w:rPr>
                <w:rFonts w:hint="eastAsia" w:ascii="微软雅黑" w:hAnsi="宋体" w:eastAsia="微软雅黑" w:cs="宋体"/>
                <w:i w:val="0"/>
                <w:iCs w:val="0"/>
                <w:color w:val="000000"/>
                <w:sz w:val="20"/>
                <w:szCs w:val="24"/>
                <w:u w:val="none"/>
              </w:rPr>
            </w:pPr>
          </w:p>
        </w:tc>
      </w:tr>
      <w:tr w14:paraId="3895DD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1" w:type="dxa"/>
            <w:vMerge w:val="continue"/>
            <w:tcBorders>
              <w:top w:val="single" w:color="000000" w:sz="4" w:space="0"/>
              <w:left w:val="single" w:color="000000" w:sz="8" w:space="0"/>
              <w:bottom w:val="single" w:color="000000" w:sz="4" w:space="0"/>
              <w:right w:val="single" w:color="000000" w:sz="4" w:space="0"/>
            </w:tcBorders>
            <w:noWrap w:val="0"/>
            <w:vAlign w:val="center"/>
          </w:tcPr>
          <w:p w14:paraId="3DF8AF9C">
            <w:pPr>
              <w:snapToGrid w:val="0"/>
              <w:ind w:left="0" w:leftChars="0" w:right="0" w:rightChars="0" w:firstLine="0" w:firstLineChars="0"/>
              <w:jc w:val="center"/>
              <w:rPr>
                <w:rFonts w:hint="eastAsia" w:ascii="微软雅黑" w:hAnsi="微软雅黑" w:eastAsia="微软雅黑" w:cs="微软雅黑"/>
                <w:i w:val="0"/>
                <w:iCs w:val="0"/>
                <w:color w:val="000000"/>
                <w:sz w:val="20"/>
                <w:szCs w:val="20"/>
                <w:u w:val="none"/>
              </w:rPr>
            </w:pPr>
          </w:p>
        </w:tc>
        <w:tc>
          <w:tcPr>
            <w:tcW w:w="1681" w:type="dxa"/>
            <w:vMerge w:val="continue"/>
            <w:tcBorders>
              <w:top w:val="single" w:color="000000" w:sz="4" w:space="0"/>
              <w:left w:val="nil"/>
              <w:bottom w:val="single" w:color="000000" w:sz="4" w:space="0"/>
              <w:right w:val="nil"/>
            </w:tcBorders>
            <w:noWrap w:val="0"/>
            <w:vAlign w:val="center"/>
          </w:tcPr>
          <w:p w14:paraId="0BDEC91B">
            <w:pPr>
              <w:snapToGrid w:val="0"/>
              <w:ind w:left="0" w:leftChars="0" w:right="0" w:rightChars="0" w:firstLine="0" w:firstLineChars="0"/>
              <w:jc w:val="center"/>
              <w:rPr>
                <w:rFonts w:hint="eastAsia" w:ascii="微软雅黑" w:hAnsi="微软雅黑" w:eastAsia="微软雅黑" w:cs="微软雅黑"/>
                <w:i w:val="0"/>
                <w:iCs w:val="0"/>
                <w:color w:val="000000"/>
                <w:sz w:val="20"/>
                <w:szCs w:val="20"/>
                <w:u w:val="none"/>
              </w:rPr>
            </w:pPr>
          </w:p>
        </w:tc>
        <w:tc>
          <w:tcPr>
            <w:tcW w:w="1209" w:type="dxa"/>
            <w:tcBorders>
              <w:top w:val="single" w:color="000000" w:sz="4" w:space="0"/>
              <w:left w:val="single" w:color="000000" w:sz="4" w:space="0"/>
              <w:bottom w:val="single" w:color="000000" w:sz="4" w:space="0"/>
              <w:right w:val="single" w:color="000000" w:sz="4" w:space="0"/>
            </w:tcBorders>
            <w:noWrap w:val="0"/>
            <w:vAlign w:val="center"/>
          </w:tcPr>
          <w:p w14:paraId="013343AD">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七氟丙烷</w:t>
            </w:r>
          </w:p>
        </w:tc>
        <w:tc>
          <w:tcPr>
            <w:tcW w:w="1866" w:type="dxa"/>
            <w:tcBorders>
              <w:top w:val="single" w:color="000000" w:sz="4" w:space="0"/>
              <w:left w:val="single" w:color="000000" w:sz="4" w:space="0"/>
              <w:bottom w:val="single" w:color="000000" w:sz="4" w:space="0"/>
              <w:right w:val="single" w:color="000000" w:sz="4" w:space="0"/>
            </w:tcBorders>
            <w:noWrap w:val="0"/>
            <w:vAlign w:val="center"/>
          </w:tcPr>
          <w:p w14:paraId="077D871B">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HFC-227ea</w:t>
            </w:r>
          </w:p>
        </w:tc>
        <w:tc>
          <w:tcPr>
            <w:tcW w:w="735" w:type="dxa"/>
            <w:tcBorders>
              <w:top w:val="single" w:color="000000" w:sz="4" w:space="0"/>
              <w:left w:val="single" w:color="000000" w:sz="4" w:space="0"/>
              <w:bottom w:val="single" w:color="000000" w:sz="4" w:space="0"/>
              <w:right w:val="single" w:color="000000" w:sz="4" w:space="0"/>
            </w:tcBorders>
            <w:noWrap w:val="0"/>
            <w:vAlign w:val="center"/>
          </w:tcPr>
          <w:p w14:paraId="2E801E37">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Kg</w:t>
            </w:r>
          </w:p>
        </w:tc>
        <w:tc>
          <w:tcPr>
            <w:tcW w:w="690" w:type="dxa"/>
            <w:tcBorders>
              <w:top w:val="single" w:color="000000" w:sz="4" w:space="0"/>
              <w:left w:val="single" w:color="000000" w:sz="4" w:space="0"/>
              <w:bottom w:val="single" w:color="000000" w:sz="4" w:space="0"/>
              <w:right w:val="single" w:color="000000" w:sz="4" w:space="0"/>
            </w:tcBorders>
            <w:noWrap w:val="0"/>
            <w:vAlign w:val="center"/>
          </w:tcPr>
          <w:p w14:paraId="45176276">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610</w:t>
            </w:r>
          </w:p>
        </w:tc>
        <w:tc>
          <w:tcPr>
            <w:tcW w:w="1965" w:type="dxa"/>
            <w:tcBorders>
              <w:top w:val="single" w:color="000000" w:sz="4" w:space="0"/>
              <w:left w:val="single" w:color="000000" w:sz="4" w:space="0"/>
              <w:bottom w:val="single" w:color="000000" w:sz="4" w:space="0"/>
              <w:right w:val="single" w:color="000000" w:sz="8" w:space="0"/>
            </w:tcBorders>
            <w:noWrap w:val="0"/>
            <w:vAlign w:val="center"/>
          </w:tcPr>
          <w:p w14:paraId="731EA940">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20"/>
                <w:szCs w:val="22"/>
                <w:u w:val="none"/>
              </w:rPr>
            </w:pPr>
            <w:r>
              <w:rPr>
                <w:rFonts w:hint="eastAsia" w:ascii="微软雅黑" w:hAnsi="微软雅黑" w:eastAsia="微软雅黑" w:cs="微软雅黑"/>
                <w:i w:val="0"/>
                <w:iCs w:val="0"/>
                <w:color w:val="000000"/>
                <w:kern w:val="0"/>
                <w:sz w:val="20"/>
                <w:szCs w:val="22"/>
                <w:u w:val="none"/>
                <w:lang w:val="en-US" w:eastAsia="zh-CN" w:bidi="ar"/>
              </w:rPr>
              <w:t xml:space="preserve"> </w:t>
            </w: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2FA8AB38">
            <w:pPr>
              <w:snapToGrid w:val="0"/>
              <w:ind w:left="0" w:leftChars="0" w:right="0" w:rightChars="0" w:firstLine="0" w:firstLineChars="0"/>
              <w:jc w:val="left"/>
              <w:rPr>
                <w:rFonts w:hint="eastAsia" w:ascii="微软雅黑" w:hAnsi="宋体" w:eastAsia="微软雅黑" w:cs="宋体"/>
                <w:i w:val="0"/>
                <w:iCs w:val="0"/>
                <w:color w:val="000000"/>
                <w:sz w:val="20"/>
                <w:szCs w:val="24"/>
                <w:u w:val="none"/>
              </w:rPr>
            </w:pPr>
          </w:p>
        </w:tc>
        <w:tc>
          <w:tcPr>
            <w:tcW w:w="1121" w:type="dxa"/>
            <w:tcBorders>
              <w:top w:val="single" w:color="000000" w:sz="4" w:space="0"/>
              <w:left w:val="single" w:color="000000" w:sz="4" w:space="0"/>
              <w:bottom w:val="single" w:color="000000" w:sz="4" w:space="0"/>
              <w:right w:val="single" w:color="000000" w:sz="4" w:space="0"/>
            </w:tcBorders>
            <w:noWrap/>
            <w:vAlign w:val="center"/>
          </w:tcPr>
          <w:p w14:paraId="29697A2D">
            <w:pPr>
              <w:snapToGrid w:val="0"/>
              <w:ind w:left="0" w:leftChars="0" w:right="0" w:rightChars="0" w:firstLine="0" w:firstLineChars="0"/>
              <w:jc w:val="right"/>
              <w:rPr>
                <w:rFonts w:hint="eastAsia" w:ascii="微软雅黑" w:hAnsi="宋体" w:eastAsia="微软雅黑" w:cs="宋体"/>
                <w:i w:val="0"/>
                <w:iCs w:val="0"/>
                <w:color w:val="000000"/>
                <w:sz w:val="20"/>
                <w:szCs w:val="24"/>
                <w:u w:val="none"/>
              </w:rPr>
            </w:pPr>
          </w:p>
        </w:tc>
      </w:tr>
      <w:tr w14:paraId="10326B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1" w:type="dxa"/>
            <w:vMerge w:val="continue"/>
            <w:tcBorders>
              <w:top w:val="single" w:color="000000" w:sz="4" w:space="0"/>
              <w:left w:val="single" w:color="000000" w:sz="8" w:space="0"/>
              <w:bottom w:val="single" w:color="000000" w:sz="4" w:space="0"/>
              <w:right w:val="single" w:color="000000" w:sz="4" w:space="0"/>
            </w:tcBorders>
            <w:noWrap w:val="0"/>
            <w:vAlign w:val="center"/>
          </w:tcPr>
          <w:p w14:paraId="5B2846B6">
            <w:pPr>
              <w:snapToGrid w:val="0"/>
              <w:ind w:left="0" w:leftChars="0" w:right="0" w:rightChars="0" w:firstLine="0" w:firstLineChars="0"/>
              <w:jc w:val="center"/>
              <w:rPr>
                <w:rFonts w:hint="eastAsia" w:ascii="微软雅黑" w:hAnsi="微软雅黑" w:eastAsia="微软雅黑" w:cs="微软雅黑"/>
                <w:i w:val="0"/>
                <w:iCs w:val="0"/>
                <w:color w:val="000000"/>
                <w:sz w:val="20"/>
                <w:szCs w:val="20"/>
                <w:u w:val="none"/>
              </w:rPr>
            </w:pPr>
          </w:p>
        </w:tc>
        <w:tc>
          <w:tcPr>
            <w:tcW w:w="1681" w:type="dxa"/>
            <w:vMerge w:val="continue"/>
            <w:tcBorders>
              <w:top w:val="single" w:color="000000" w:sz="4" w:space="0"/>
              <w:left w:val="nil"/>
              <w:bottom w:val="single" w:color="000000" w:sz="4" w:space="0"/>
              <w:right w:val="nil"/>
            </w:tcBorders>
            <w:noWrap w:val="0"/>
            <w:vAlign w:val="center"/>
          </w:tcPr>
          <w:p w14:paraId="6D29E652">
            <w:pPr>
              <w:snapToGrid w:val="0"/>
              <w:ind w:left="0" w:leftChars="0" w:right="0" w:rightChars="0" w:firstLine="0" w:firstLineChars="0"/>
              <w:jc w:val="center"/>
              <w:rPr>
                <w:rFonts w:hint="eastAsia" w:ascii="微软雅黑" w:hAnsi="微软雅黑" w:eastAsia="微软雅黑" w:cs="微软雅黑"/>
                <w:i w:val="0"/>
                <w:iCs w:val="0"/>
                <w:color w:val="000000"/>
                <w:sz w:val="20"/>
                <w:szCs w:val="20"/>
                <w:u w:val="none"/>
              </w:rPr>
            </w:pPr>
          </w:p>
        </w:tc>
        <w:tc>
          <w:tcPr>
            <w:tcW w:w="1209" w:type="dxa"/>
            <w:tcBorders>
              <w:top w:val="single" w:color="000000" w:sz="4" w:space="0"/>
              <w:left w:val="single" w:color="000000" w:sz="4" w:space="0"/>
              <w:bottom w:val="single" w:color="000000" w:sz="4" w:space="0"/>
              <w:right w:val="single" w:color="000000" w:sz="4" w:space="0"/>
            </w:tcBorders>
            <w:noWrap w:val="0"/>
            <w:vAlign w:val="center"/>
          </w:tcPr>
          <w:p w14:paraId="4081A146">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泄压口</w:t>
            </w:r>
          </w:p>
        </w:tc>
        <w:tc>
          <w:tcPr>
            <w:tcW w:w="1866" w:type="dxa"/>
            <w:tcBorders>
              <w:top w:val="single" w:color="000000" w:sz="4" w:space="0"/>
              <w:left w:val="single" w:color="000000" w:sz="4" w:space="0"/>
              <w:bottom w:val="single" w:color="000000" w:sz="4" w:space="0"/>
              <w:right w:val="single" w:color="000000" w:sz="4" w:space="0"/>
            </w:tcBorders>
            <w:noWrap w:val="0"/>
            <w:vAlign w:val="center"/>
          </w:tcPr>
          <w:p w14:paraId="486FA4C3">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0.36-J</w:t>
            </w:r>
          </w:p>
        </w:tc>
        <w:tc>
          <w:tcPr>
            <w:tcW w:w="735" w:type="dxa"/>
            <w:tcBorders>
              <w:top w:val="single" w:color="000000" w:sz="4" w:space="0"/>
              <w:left w:val="single" w:color="000000" w:sz="4" w:space="0"/>
              <w:bottom w:val="single" w:color="000000" w:sz="4" w:space="0"/>
              <w:right w:val="single" w:color="000000" w:sz="4" w:space="0"/>
            </w:tcBorders>
            <w:noWrap w:val="0"/>
            <w:vAlign w:val="center"/>
          </w:tcPr>
          <w:p w14:paraId="4F7591D4">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台</w:t>
            </w:r>
          </w:p>
        </w:tc>
        <w:tc>
          <w:tcPr>
            <w:tcW w:w="690" w:type="dxa"/>
            <w:tcBorders>
              <w:top w:val="single" w:color="000000" w:sz="4" w:space="0"/>
              <w:left w:val="single" w:color="000000" w:sz="4" w:space="0"/>
              <w:bottom w:val="single" w:color="000000" w:sz="4" w:space="0"/>
              <w:right w:val="single" w:color="000000" w:sz="4" w:space="0"/>
            </w:tcBorders>
            <w:noWrap w:val="0"/>
            <w:vAlign w:val="center"/>
          </w:tcPr>
          <w:p w14:paraId="1897C3E7">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c>
          <w:tcPr>
            <w:tcW w:w="1965" w:type="dxa"/>
            <w:tcBorders>
              <w:top w:val="single" w:color="000000" w:sz="4" w:space="0"/>
              <w:left w:val="single" w:color="000000" w:sz="4" w:space="0"/>
              <w:bottom w:val="single" w:color="000000" w:sz="4" w:space="0"/>
              <w:right w:val="single" w:color="000000" w:sz="8" w:space="0"/>
            </w:tcBorders>
            <w:noWrap w:val="0"/>
            <w:vAlign w:val="center"/>
          </w:tcPr>
          <w:p w14:paraId="7E5A0926">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含百叶和阀体,开孔尺寸850*500</w:t>
            </w: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0485E409">
            <w:pPr>
              <w:snapToGrid w:val="0"/>
              <w:ind w:left="0" w:leftChars="0" w:right="0" w:rightChars="0" w:firstLine="0" w:firstLineChars="0"/>
              <w:jc w:val="left"/>
              <w:rPr>
                <w:rFonts w:hint="eastAsia" w:ascii="微软雅黑" w:hAnsi="宋体" w:eastAsia="微软雅黑" w:cs="宋体"/>
                <w:i w:val="0"/>
                <w:iCs w:val="0"/>
                <w:color w:val="000000"/>
                <w:sz w:val="20"/>
                <w:szCs w:val="24"/>
                <w:u w:val="none"/>
              </w:rPr>
            </w:pPr>
          </w:p>
        </w:tc>
        <w:tc>
          <w:tcPr>
            <w:tcW w:w="1121" w:type="dxa"/>
            <w:tcBorders>
              <w:top w:val="single" w:color="000000" w:sz="4" w:space="0"/>
              <w:left w:val="single" w:color="000000" w:sz="4" w:space="0"/>
              <w:bottom w:val="single" w:color="000000" w:sz="4" w:space="0"/>
              <w:right w:val="single" w:color="000000" w:sz="4" w:space="0"/>
            </w:tcBorders>
            <w:noWrap/>
            <w:vAlign w:val="center"/>
          </w:tcPr>
          <w:p w14:paraId="489A90CB">
            <w:pPr>
              <w:snapToGrid w:val="0"/>
              <w:ind w:left="0" w:leftChars="0" w:right="0" w:rightChars="0" w:firstLine="0" w:firstLineChars="0"/>
              <w:jc w:val="right"/>
              <w:rPr>
                <w:rFonts w:hint="eastAsia" w:ascii="微软雅黑" w:hAnsi="宋体" w:eastAsia="微软雅黑" w:cs="宋体"/>
                <w:i w:val="0"/>
                <w:iCs w:val="0"/>
                <w:color w:val="000000"/>
                <w:sz w:val="20"/>
                <w:szCs w:val="24"/>
                <w:u w:val="none"/>
              </w:rPr>
            </w:pPr>
          </w:p>
        </w:tc>
      </w:tr>
      <w:tr w14:paraId="2EA64E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1" w:type="dxa"/>
            <w:vMerge w:val="restart"/>
            <w:tcBorders>
              <w:top w:val="single" w:color="000000" w:sz="4" w:space="0"/>
              <w:left w:val="single" w:color="000000" w:sz="8" w:space="0"/>
              <w:bottom w:val="single" w:color="000000" w:sz="4" w:space="0"/>
              <w:right w:val="single" w:color="000000" w:sz="4" w:space="0"/>
            </w:tcBorders>
            <w:noWrap w:val="0"/>
            <w:vAlign w:val="center"/>
          </w:tcPr>
          <w:p w14:paraId="7A621D19">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5</w:t>
            </w:r>
          </w:p>
        </w:tc>
        <w:tc>
          <w:tcPr>
            <w:tcW w:w="1681" w:type="dxa"/>
            <w:vMerge w:val="restart"/>
            <w:tcBorders>
              <w:top w:val="single" w:color="000000" w:sz="4" w:space="0"/>
              <w:left w:val="nil"/>
              <w:bottom w:val="single" w:color="000000" w:sz="4" w:space="0"/>
              <w:right w:val="nil"/>
            </w:tcBorders>
            <w:noWrap w:val="0"/>
            <w:vAlign w:val="center"/>
          </w:tcPr>
          <w:p w14:paraId="502F87B8">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配电房（04#厂房一层）</w:t>
            </w:r>
          </w:p>
        </w:tc>
        <w:tc>
          <w:tcPr>
            <w:tcW w:w="1209" w:type="dxa"/>
            <w:tcBorders>
              <w:top w:val="single" w:color="000000" w:sz="4" w:space="0"/>
              <w:left w:val="single" w:color="000000" w:sz="4" w:space="0"/>
              <w:bottom w:val="single" w:color="000000" w:sz="4" w:space="0"/>
              <w:right w:val="single" w:color="000000" w:sz="4" w:space="0"/>
            </w:tcBorders>
            <w:noWrap w:val="0"/>
            <w:vAlign w:val="center"/>
          </w:tcPr>
          <w:p w14:paraId="3779E784">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柜式七氟丙烷灭火装置</w:t>
            </w:r>
          </w:p>
        </w:tc>
        <w:tc>
          <w:tcPr>
            <w:tcW w:w="1866" w:type="dxa"/>
            <w:tcBorders>
              <w:top w:val="single" w:color="000000" w:sz="4" w:space="0"/>
              <w:left w:val="single" w:color="000000" w:sz="4" w:space="0"/>
              <w:bottom w:val="single" w:color="000000" w:sz="4" w:space="0"/>
              <w:right w:val="single" w:color="000000" w:sz="4" w:space="0"/>
            </w:tcBorders>
            <w:noWrap w:val="0"/>
            <w:vAlign w:val="center"/>
          </w:tcPr>
          <w:p w14:paraId="5D571FC8">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GQQ120/2.5</w:t>
            </w:r>
          </w:p>
        </w:tc>
        <w:tc>
          <w:tcPr>
            <w:tcW w:w="735" w:type="dxa"/>
            <w:tcBorders>
              <w:top w:val="single" w:color="000000" w:sz="4" w:space="0"/>
              <w:left w:val="single" w:color="000000" w:sz="4" w:space="0"/>
              <w:bottom w:val="single" w:color="000000" w:sz="4" w:space="0"/>
              <w:right w:val="single" w:color="000000" w:sz="4" w:space="0"/>
            </w:tcBorders>
            <w:noWrap w:val="0"/>
            <w:vAlign w:val="center"/>
          </w:tcPr>
          <w:p w14:paraId="2CDB6DAB">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台</w:t>
            </w:r>
          </w:p>
        </w:tc>
        <w:tc>
          <w:tcPr>
            <w:tcW w:w="690" w:type="dxa"/>
            <w:tcBorders>
              <w:top w:val="single" w:color="000000" w:sz="4" w:space="0"/>
              <w:left w:val="single" w:color="000000" w:sz="4" w:space="0"/>
              <w:bottom w:val="single" w:color="000000" w:sz="4" w:space="0"/>
              <w:right w:val="single" w:color="000000" w:sz="4" w:space="0"/>
            </w:tcBorders>
            <w:noWrap w:val="0"/>
            <w:vAlign w:val="center"/>
          </w:tcPr>
          <w:p w14:paraId="0A9D3357">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4</w:t>
            </w:r>
          </w:p>
        </w:tc>
        <w:tc>
          <w:tcPr>
            <w:tcW w:w="1965" w:type="dxa"/>
            <w:tcBorders>
              <w:top w:val="single" w:color="000000" w:sz="4" w:space="0"/>
              <w:left w:val="single" w:color="000000" w:sz="4" w:space="0"/>
              <w:bottom w:val="single" w:color="000000" w:sz="4" w:space="0"/>
              <w:right w:val="single" w:color="000000" w:sz="8" w:space="0"/>
            </w:tcBorders>
            <w:noWrap w:val="0"/>
            <w:vAlign w:val="center"/>
          </w:tcPr>
          <w:p w14:paraId="0BD2BE20">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每台充装127公斤灭火剂</w:t>
            </w: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093D60D5">
            <w:pPr>
              <w:snapToGrid w:val="0"/>
              <w:ind w:left="0" w:leftChars="0" w:right="0" w:rightChars="0" w:firstLine="0" w:firstLineChars="0"/>
              <w:jc w:val="left"/>
              <w:rPr>
                <w:rFonts w:hint="eastAsia" w:ascii="微软雅黑" w:hAnsi="宋体" w:eastAsia="微软雅黑" w:cs="宋体"/>
                <w:i w:val="0"/>
                <w:iCs w:val="0"/>
                <w:color w:val="000000"/>
                <w:sz w:val="20"/>
                <w:szCs w:val="24"/>
                <w:u w:val="none"/>
              </w:rPr>
            </w:pPr>
          </w:p>
        </w:tc>
        <w:tc>
          <w:tcPr>
            <w:tcW w:w="1121" w:type="dxa"/>
            <w:tcBorders>
              <w:top w:val="single" w:color="000000" w:sz="4" w:space="0"/>
              <w:left w:val="single" w:color="000000" w:sz="4" w:space="0"/>
              <w:bottom w:val="single" w:color="000000" w:sz="4" w:space="0"/>
              <w:right w:val="single" w:color="000000" w:sz="4" w:space="0"/>
            </w:tcBorders>
            <w:noWrap/>
            <w:vAlign w:val="center"/>
          </w:tcPr>
          <w:p w14:paraId="2EA7E0AA">
            <w:pPr>
              <w:snapToGrid w:val="0"/>
              <w:ind w:left="0" w:leftChars="0" w:right="0" w:rightChars="0" w:firstLine="0" w:firstLineChars="0"/>
              <w:jc w:val="right"/>
              <w:rPr>
                <w:rFonts w:hint="eastAsia" w:ascii="微软雅黑" w:hAnsi="宋体" w:eastAsia="微软雅黑" w:cs="宋体"/>
                <w:i w:val="0"/>
                <w:iCs w:val="0"/>
                <w:color w:val="000000"/>
                <w:sz w:val="20"/>
                <w:szCs w:val="24"/>
                <w:u w:val="none"/>
              </w:rPr>
            </w:pPr>
          </w:p>
        </w:tc>
      </w:tr>
      <w:tr w14:paraId="2EB2CF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1" w:type="dxa"/>
            <w:vMerge w:val="continue"/>
            <w:tcBorders>
              <w:top w:val="single" w:color="000000" w:sz="4" w:space="0"/>
              <w:left w:val="single" w:color="000000" w:sz="8" w:space="0"/>
              <w:bottom w:val="single" w:color="000000" w:sz="4" w:space="0"/>
              <w:right w:val="single" w:color="000000" w:sz="4" w:space="0"/>
            </w:tcBorders>
            <w:noWrap w:val="0"/>
            <w:vAlign w:val="center"/>
          </w:tcPr>
          <w:p w14:paraId="4BEA36D3">
            <w:pPr>
              <w:snapToGrid w:val="0"/>
              <w:ind w:left="0" w:leftChars="0" w:right="0" w:rightChars="0" w:firstLine="0" w:firstLineChars="0"/>
              <w:jc w:val="center"/>
              <w:rPr>
                <w:rFonts w:hint="eastAsia" w:ascii="微软雅黑" w:hAnsi="微软雅黑" w:eastAsia="微软雅黑" w:cs="微软雅黑"/>
                <w:i w:val="0"/>
                <w:iCs w:val="0"/>
                <w:color w:val="000000"/>
                <w:sz w:val="20"/>
                <w:szCs w:val="20"/>
                <w:u w:val="none"/>
              </w:rPr>
            </w:pPr>
          </w:p>
        </w:tc>
        <w:tc>
          <w:tcPr>
            <w:tcW w:w="1681" w:type="dxa"/>
            <w:vMerge w:val="continue"/>
            <w:tcBorders>
              <w:top w:val="single" w:color="000000" w:sz="4" w:space="0"/>
              <w:left w:val="nil"/>
              <w:bottom w:val="single" w:color="000000" w:sz="4" w:space="0"/>
              <w:right w:val="nil"/>
            </w:tcBorders>
            <w:noWrap w:val="0"/>
            <w:vAlign w:val="center"/>
          </w:tcPr>
          <w:p w14:paraId="73222A06">
            <w:pPr>
              <w:snapToGrid w:val="0"/>
              <w:ind w:left="0" w:leftChars="0" w:right="0" w:rightChars="0" w:firstLine="0" w:firstLineChars="0"/>
              <w:jc w:val="center"/>
              <w:rPr>
                <w:rFonts w:hint="eastAsia" w:ascii="微软雅黑" w:hAnsi="微软雅黑" w:eastAsia="微软雅黑" w:cs="微软雅黑"/>
                <w:i w:val="0"/>
                <w:iCs w:val="0"/>
                <w:color w:val="000000"/>
                <w:sz w:val="20"/>
                <w:szCs w:val="20"/>
                <w:u w:val="none"/>
              </w:rPr>
            </w:pPr>
          </w:p>
        </w:tc>
        <w:tc>
          <w:tcPr>
            <w:tcW w:w="1209" w:type="dxa"/>
            <w:tcBorders>
              <w:top w:val="single" w:color="000000" w:sz="4" w:space="0"/>
              <w:left w:val="single" w:color="000000" w:sz="4" w:space="0"/>
              <w:bottom w:val="single" w:color="000000" w:sz="4" w:space="0"/>
              <w:right w:val="single" w:color="000000" w:sz="4" w:space="0"/>
            </w:tcBorders>
            <w:noWrap w:val="0"/>
            <w:vAlign w:val="center"/>
          </w:tcPr>
          <w:p w14:paraId="13349DB0">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七氟丙烷</w:t>
            </w:r>
          </w:p>
        </w:tc>
        <w:tc>
          <w:tcPr>
            <w:tcW w:w="1866" w:type="dxa"/>
            <w:tcBorders>
              <w:top w:val="single" w:color="000000" w:sz="4" w:space="0"/>
              <w:left w:val="single" w:color="000000" w:sz="4" w:space="0"/>
              <w:bottom w:val="single" w:color="000000" w:sz="4" w:space="0"/>
              <w:right w:val="single" w:color="000000" w:sz="4" w:space="0"/>
            </w:tcBorders>
            <w:noWrap w:val="0"/>
            <w:vAlign w:val="center"/>
          </w:tcPr>
          <w:p w14:paraId="2AFBB4E9">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HFC-227ea</w:t>
            </w:r>
          </w:p>
        </w:tc>
        <w:tc>
          <w:tcPr>
            <w:tcW w:w="735" w:type="dxa"/>
            <w:tcBorders>
              <w:top w:val="single" w:color="000000" w:sz="4" w:space="0"/>
              <w:left w:val="single" w:color="000000" w:sz="4" w:space="0"/>
              <w:bottom w:val="single" w:color="000000" w:sz="4" w:space="0"/>
              <w:right w:val="single" w:color="000000" w:sz="4" w:space="0"/>
            </w:tcBorders>
            <w:noWrap w:val="0"/>
            <w:vAlign w:val="center"/>
          </w:tcPr>
          <w:p w14:paraId="1A9EF5F3">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Kg</w:t>
            </w:r>
          </w:p>
        </w:tc>
        <w:tc>
          <w:tcPr>
            <w:tcW w:w="690" w:type="dxa"/>
            <w:tcBorders>
              <w:top w:val="single" w:color="000000" w:sz="4" w:space="0"/>
              <w:left w:val="single" w:color="000000" w:sz="4" w:space="0"/>
              <w:bottom w:val="single" w:color="000000" w:sz="4" w:space="0"/>
              <w:right w:val="single" w:color="000000" w:sz="4" w:space="0"/>
            </w:tcBorders>
            <w:noWrap w:val="0"/>
            <w:vAlign w:val="center"/>
          </w:tcPr>
          <w:p w14:paraId="174EA3A4">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508</w:t>
            </w:r>
          </w:p>
        </w:tc>
        <w:tc>
          <w:tcPr>
            <w:tcW w:w="1965" w:type="dxa"/>
            <w:tcBorders>
              <w:top w:val="single" w:color="000000" w:sz="4" w:space="0"/>
              <w:left w:val="single" w:color="000000" w:sz="4" w:space="0"/>
              <w:bottom w:val="single" w:color="000000" w:sz="4" w:space="0"/>
              <w:right w:val="single" w:color="000000" w:sz="8" w:space="0"/>
            </w:tcBorders>
            <w:noWrap w:val="0"/>
            <w:vAlign w:val="center"/>
          </w:tcPr>
          <w:p w14:paraId="68FE8353">
            <w:pPr>
              <w:snapToGrid w:val="0"/>
              <w:ind w:left="0" w:leftChars="0" w:right="0" w:rightChars="0" w:firstLine="0" w:firstLineChars="0"/>
              <w:jc w:val="center"/>
              <w:rPr>
                <w:rFonts w:hint="eastAsia" w:ascii="微软雅黑" w:hAnsi="微软雅黑" w:eastAsia="微软雅黑" w:cs="微软雅黑"/>
                <w:i w:val="0"/>
                <w:iCs w:val="0"/>
                <w:color w:val="000000"/>
                <w:sz w:val="20"/>
                <w:szCs w:val="22"/>
                <w:u w:val="none"/>
              </w:rPr>
            </w:pP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5F5179DE">
            <w:pPr>
              <w:snapToGrid w:val="0"/>
              <w:ind w:left="0" w:leftChars="0" w:right="0" w:rightChars="0" w:firstLine="0" w:firstLineChars="0"/>
              <w:jc w:val="left"/>
              <w:rPr>
                <w:rFonts w:hint="eastAsia" w:ascii="微软雅黑" w:hAnsi="宋体" w:eastAsia="微软雅黑" w:cs="宋体"/>
                <w:i w:val="0"/>
                <w:iCs w:val="0"/>
                <w:color w:val="000000"/>
                <w:sz w:val="20"/>
                <w:szCs w:val="24"/>
                <w:u w:val="none"/>
              </w:rPr>
            </w:pPr>
          </w:p>
        </w:tc>
        <w:tc>
          <w:tcPr>
            <w:tcW w:w="1121" w:type="dxa"/>
            <w:tcBorders>
              <w:top w:val="single" w:color="000000" w:sz="4" w:space="0"/>
              <w:left w:val="single" w:color="000000" w:sz="4" w:space="0"/>
              <w:bottom w:val="single" w:color="000000" w:sz="4" w:space="0"/>
              <w:right w:val="single" w:color="000000" w:sz="4" w:space="0"/>
            </w:tcBorders>
            <w:noWrap/>
            <w:vAlign w:val="center"/>
          </w:tcPr>
          <w:p w14:paraId="7F3F1B84">
            <w:pPr>
              <w:snapToGrid w:val="0"/>
              <w:ind w:left="0" w:leftChars="0" w:right="0" w:rightChars="0" w:firstLine="0" w:firstLineChars="0"/>
              <w:jc w:val="right"/>
              <w:rPr>
                <w:rFonts w:hint="eastAsia" w:ascii="微软雅黑" w:hAnsi="宋体" w:eastAsia="微软雅黑" w:cs="宋体"/>
                <w:i w:val="0"/>
                <w:iCs w:val="0"/>
                <w:color w:val="000000"/>
                <w:sz w:val="20"/>
                <w:szCs w:val="24"/>
                <w:u w:val="none"/>
              </w:rPr>
            </w:pPr>
          </w:p>
        </w:tc>
      </w:tr>
      <w:tr w14:paraId="258338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1" w:type="dxa"/>
            <w:vMerge w:val="continue"/>
            <w:tcBorders>
              <w:top w:val="single" w:color="000000" w:sz="4" w:space="0"/>
              <w:left w:val="single" w:color="000000" w:sz="8" w:space="0"/>
              <w:bottom w:val="single" w:color="000000" w:sz="4" w:space="0"/>
              <w:right w:val="single" w:color="000000" w:sz="4" w:space="0"/>
            </w:tcBorders>
            <w:noWrap w:val="0"/>
            <w:vAlign w:val="center"/>
          </w:tcPr>
          <w:p w14:paraId="1103E7ED">
            <w:pPr>
              <w:snapToGrid w:val="0"/>
              <w:ind w:left="0" w:leftChars="0" w:right="0" w:rightChars="0" w:firstLine="0" w:firstLineChars="0"/>
              <w:jc w:val="center"/>
              <w:rPr>
                <w:rFonts w:hint="eastAsia" w:ascii="微软雅黑" w:hAnsi="微软雅黑" w:eastAsia="微软雅黑" w:cs="微软雅黑"/>
                <w:i w:val="0"/>
                <w:iCs w:val="0"/>
                <w:color w:val="000000"/>
                <w:sz w:val="20"/>
                <w:szCs w:val="20"/>
                <w:u w:val="none"/>
              </w:rPr>
            </w:pPr>
          </w:p>
        </w:tc>
        <w:tc>
          <w:tcPr>
            <w:tcW w:w="1681" w:type="dxa"/>
            <w:vMerge w:val="continue"/>
            <w:tcBorders>
              <w:top w:val="single" w:color="000000" w:sz="4" w:space="0"/>
              <w:left w:val="nil"/>
              <w:bottom w:val="single" w:color="000000" w:sz="4" w:space="0"/>
              <w:right w:val="nil"/>
            </w:tcBorders>
            <w:noWrap w:val="0"/>
            <w:vAlign w:val="center"/>
          </w:tcPr>
          <w:p w14:paraId="3AAC814C">
            <w:pPr>
              <w:snapToGrid w:val="0"/>
              <w:ind w:left="0" w:leftChars="0" w:right="0" w:rightChars="0" w:firstLine="0" w:firstLineChars="0"/>
              <w:jc w:val="center"/>
              <w:rPr>
                <w:rFonts w:hint="eastAsia" w:ascii="微软雅黑" w:hAnsi="微软雅黑" w:eastAsia="微软雅黑" w:cs="微软雅黑"/>
                <w:i w:val="0"/>
                <w:iCs w:val="0"/>
                <w:color w:val="000000"/>
                <w:sz w:val="20"/>
                <w:szCs w:val="20"/>
                <w:u w:val="none"/>
              </w:rPr>
            </w:pPr>
          </w:p>
        </w:tc>
        <w:tc>
          <w:tcPr>
            <w:tcW w:w="1209" w:type="dxa"/>
            <w:tcBorders>
              <w:top w:val="single" w:color="000000" w:sz="4" w:space="0"/>
              <w:left w:val="single" w:color="000000" w:sz="4" w:space="0"/>
              <w:bottom w:val="single" w:color="000000" w:sz="4" w:space="0"/>
              <w:right w:val="single" w:color="000000" w:sz="4" w:space="0"/>
            </w:tcBorders>
            <w:noWrap w:val="0"/>
            <w:vAlign w:val="center"/>
          </w:tcPr>
          <w:p w14:paraId="3E4A9928">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泄压口</w:t>
            </w:r>
          </w:p>
        </w:tc>
        <w:tc>
          <w:tcPr>
            <w:tcW w:w="1866" w:type="dxa"/>
            <w:tcBorders>
              <w:top w:val="single" w:color="000000" w:sz="4" w:space="0"/>
              <w:left w:val="single" w:color="000000" w:sz="4" w:space="0"/>
              <w:bottom w:val="single" w:color="000000" w:sz="4" w:space="0"/>
              <w:right w:val="single" w:color="000000" w:sz="4" w:space="0"/>
            </w:tcBorders>
            <w:noWrap w:val="0"/>
            <w:vAlign w:val="center"/>
          </w:tcPr>
          <w:p w14:paraId="6B499EE8">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0.25-J</w:t>
            </w:r>
          </w:p>
        </w:tc>
        <w:tc>
          <w:tcPr>
            <w:tcW w:w="735" w:type="dxa"/>
            <w:tcBorders>
              <w:top w:val="single" w:color="000000" w:sz="4" w:space="0"/>
              <w:left w:val="single" w:color="000000" w:sz="4" w:space="0"/>
              <w:bottom w:val="single" w:color="000000" w:sz="4" w:space="0"/>
              <w:right w:val="single" w:color="000000" w:sz="4" w:space="0"/>
            </w:tcBorders>
            <w:noWrap w:val="0"/>
            <w:vAlign w:val="center"/>
          </w:tcPr>
          <w:p w14:paraId="2C2FE162">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台</w:t>
            </w:r>
          </w:p>
        </w:tc>
        <w:tc>
          <w:tcPr>
            <w:tcW w:w="690" w:type="dxa"/>
            <w:tcBorders>
              <w:top w:val="single" w:color="000000" w:sz="4" w:space="0"/>
              <w:left w:val="single" w:color="000000" w:sz="4" w:space="0"/>
              <w:bottom w:val="single" w:color="000000" w:sz="4" w:space="0"/>
              <w:right w:val="single" w:color="000000" w:sz="4" w:space="0"/>
            </w:tcBorders>
            <w:noWrap w:val="0"/>
            <w:vAlign w:val="center"/>
          </w:tcPr>
          <w:p w14:paraId="7A387F3F">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c>
          <w:tcPr>
            <w:tcW w:w="1965" w:type="dxa"/>
            <w:tcBorders>
              <w:top w:val="single" w:color="000000" w:sz="4" w:space="0"/>
              <w:left w:val="single" w:color="000000" w:sz="4" w:space="0"/>
              <w:bottom w:val="single" w:color="000000" w:sz="4" w:space="0"/>
              <w:right w:val="single" w:color="000000" w:sz="8" w:space="0"/>
            </w:tcBorders>
            <w:noWrap w:val="0"/>
            <w:vAlign w:val="center"/>
          </w:tcPr>
          <w:p w14:paraId="72E45E85">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含百叶和阀体,开孔尺寸800*400</w:t>
            </w: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763BC464">
            <w:pPr>
              <w:snapToGrid w:val="0"/>
              <w:ind w:left="0" w:leftChars="0" w:right="0" w:rightChars="0" w:firstLine="0" w:firstLineChars="0"/>
              <w:jc w:val="left"/>
              <w:rPr>
                <w:rFonts w:hint="eastAsia" w:ascii="微软雅黑" w:hAnsi="宋体" w:eastAsia="微软雅黑" w:cs="宋体"/>
                <w:i w:val="0"/>
                <w:iCs w:val="0"/>
                <w:color w:val="000000"/>
                <w:sz w:val="20"/>
                <w:szCs w:val="24"/>
                <w:u w:val="none"/>
              </w:rPr>
            </w:pPr>
          </w:p>
        </w:tc>
        <w:tc>
          <w:tcPr>
            <w:tcW w:w="1121" w:type="dxa"/>
            <w:tcBorders>
              <w:top w:val="single" w:color="000000" w:sz="4" w:space="0"/>
              <w:left w:val="single" w:color="000000" w:sz="4" w:space="0"/>
              <w:bottom w:val="single" w:color="000000" w:sz="4" w:space="0"/>
              <w:right w:val="single" w:color="000000" w:sz="4" w:space="0"/>
            </w:tcBorders>
            <w:noWrap/>
            <w:vAlign w:val="center"/>
          </w:tcPr>
          <w:p w14:paraId="2FACF180">
            <w:pPr>
              <w:snapToGrid w:val="0"/>
              <w:ind w:left="0" w:leftChars="0" w:right="0" w:rightChars="0" w:firstLine="0" w:firstLineChars="0"/>
              <w:jc w:val="right"/>
              <w:rPr>
                <w:rFonts w:hint="eastAsia" w:ascii="微软雅黑" w:hAnsi="宋体" w:eastAsia="微软雅黑" w:cs="宋体"/>
                <w:i w:val="0"/>
                <w:iCs w:val="0"/>
                <w:color w:val="000000"/>
                <w:sz w:val="20"/>
                <w:szCs w:val="24"/>
                <w:u w:val="none"/>
              </w:rPr>
            </w:pPr>
          </w:p>
        </w:tc>
      </w:tr>
      <w:tr w14:paraId="19EAA2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1" w:type="dxa"/>
            <w:vMerge w:val="restart"/>
            <w:tcBorders>
              <w:top w:val="single" w:color="000000" w:sz="4" w:space="0"/>
              <w:left w:val="single" w:color="000000" w:sz="8" w:space="0"/>
              <w:bottom w:val="single" w:color="000000" w:sz="4" w:space="0"/>
              <w:right w:val="single" w:color="000000" w:sz="4" w:space="0"/>
            </w:tcBorders>
            <w:noWrap w:val="0"/>
            <w:vAlign w:val="center"/>
          </w:tcPr>
          <w:p w14:paraId="54BEF94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6</w:t>
            </w:r>
          </w:p>
        </w:tc>
        <w:tc>
          <w:tcPr>
            <w:tcW w:w="1681" w:type="dxa"/>
            <w:vMerge w:val="restart"/>
            <w:tcBorders>
              <w:top w:val="single" w:color="000000" w:sz="4" w:space="0"/>
              <w:left w:val="nil"/>
              <w:bottom w:val="single" w:color="000000" w:sz="4" w:space="0"/>
              <w:right w:val="nil"/>
            </w:tcBorders>
            <w:noWrap w:val="0"/>
            <w:vAlign w:val="center"/>
          </w:tcPr>
          <w:p w14:paraId="46634A8B">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配电房1（宿舍楼及配套用房一层）</w:t>
            </w:r>
          </w:p>
        </w:tc>
        <w:tc>
          <w:tcPr>
            <w:tcW w:w="1209" w:type="dxa"/>
            <w:tcBorders>
              <w:top w:val="single" w:color="000000" w:sz="4" w:space="0"/>
              <w:left w:val="single" w:color="000000" w:sz="4" w:space="0"/>
              <w:bottom w:val="single" w:color="000000" w:sz="4" w:space="0"/>
              <w:right w:val="single" w:color="000000" w:sz="4" w:space="0"/>
            </w:tcBorders>
            <w:noWrap w:val="0"/>
            <w:vAlign w:val="center"/>
          </w:tcPr>
          <w:p w14:paraId="5AEBB6A7">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柜式七氟丙烷灭火装置</w:t>
            </w:r>
          </w:p>
        </w:tc>
        <w:tc>
          <w:tcPr>
            <w:tcW w:w="1866" w:type="dxa"/>
            <w:tcBorders>
              <w:top w:val="single" w:color="000000" w:sz="4" w:space="0"/>
              <w:left w:val="single" w:color="000000" w:sz="4" w:space="0"/>
              <w:bottom w:val="single" w:color="000000" w:sz="4" w:space="0"/>
              <w:right w:val="single" w:color="000000" w:sz="4" w:space="0"/>
            </w:tcBorders>
            <w:noWrap w:val="0"/>
            <w:vAlign w:val="center"/>
          </w:tcPr>
          <w:p w14:paraId="20126850">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GQQ120/2.5</w:t>
            </w:r>
          </w:p>
        </w:tc>
        <w:tc>
          <w:tcPr>
            <w:tcW w:w="735" w:type="dxa"/>
            <w:tcBorders>
              <w:top w:val="single" w:color="000000" w:sz="4" w:space="0"/>
              <w:left w:val="single" w:color="000000" w:sz="4" w:space="0"/>
              <w:bottom w:val="single" w:color="000000" w:sz="4" w:space="0"/>
              <w:right w:val="single" w:color="000000" w:sz="4" w:space="0"/>
            </w:tcBorders>
            <w:noWrap w:val="0"/>
            <w:vAlign w:val="center"/>
          </w:tcPr>
          <w:p w14:paraId="1BCE231F">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台</w:t>
            </w:r>
          </w:p>
        </w:tc>
        <w:tc>
          <w:tcPr>
            <w:tcW w:w="690" w:type="dxa"/>
            <w:tcBorders>
              <w:top w:val="single" w:color="000000" w:sz="4" w:space="0"/>
              <w:left w:val="single" w:color="000000" w:sz="4" w:space="0"/>
              <w:bottom w:val="single" w:color="000000" w:sz="4" w:space="0"/>
              <w:right w:val="single" w:color="000000" w:sz="4" w:space="0"/>
            </w:tcBorders>
            <w:noWrap w:val="0"/>
            <w:vAlign w:val="center"/>
          </w:tcPr>
          <w:p w14:paraId="21AFAED5">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3</w:t>
            </w:r>
          </w:p>
        </w:tc>
        <w:tc>
          <w:tcPr>
            <w:tcW w:w="1965" w:type="dxa"/>
            <w:tcBorders>
              <w:top w:val="single" w:color="000000" w:sz="4" w:space="0"/>
              <w:left w:val="single" w:color="000000" w:sz="4" w:space="0"/>
              <w:bottom w:val="single" w:color="000000" w:sz="4" w:space="0"/>
              <w:right w:val="single" w:color="000000" w:sz="8" w:space="0"/>
            </w:tcBorders>
            <w:noWrap w:val="0"/>
            <w:vAlign w:val="center"/>
          </w:tcPr>
          <w:p w14:paraId="599583A8">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每台充装109公斤灭火剂</w:t>
            </w: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47715BF9">
            <w:pPr>
              <w:snapToGrid w:val="0"/>
              <w:ind w:left="0" w:leftChars="0" w:right="0" w:rightChars="0" w:firstLine="0" w:firstLineChars="0"/>
              <w:jc w:val="left"/>
              <w:rPr>
                <w:rFonts w:hint="eastAsia" w:ascii="微软雅黑" w:hAnsi="宋体" w:eastAsia="微软雅黑" w:cs="宋体"/>
                <w:i w:val="0"/>
                <w:iCs w:val="0"/>
                <w:color w:val="000000"/>
                <w:sz w:val="20"/>
                <w:szCs w:val="24"/>
                <w:u w:val="none"/>
              </w:rPr>
            </w:pPr>
          </w:p>
        </w:tc>
        <w:tc>
          <w:tcPr>
            <w:tcW w:w="1121" w:type="dxa"/>
            <w:tcBorders>
              <w:top w:val="single" w:color="000000" w:sz="4" w:space="0"/>
              <w:left w:val="single" w:color="000000" w:sz="4" w:space="0"/>
              <w:bottom w:val="single" w:color="000000" w:sz="4" w:space="0"/>
              <w:right w:val="single" w:color="000000" w:sz="4" w:space="0"/>
            </w:tcBorders>
            <w:noWrap/>
            <w:vAlign w:val="center"/>
          </w:tcPr>
          <w:p w14:paraId="1701C2E8">
            <w:pPr>
              <w:snapToGrid w:val="0"/>
              <w:ind w:left="0" w:leftChars="0" w:right="0" w:rightChars="0" w:firstLine="0" w:firstLineChars="0"/>
              <w:jc w:val="right"/>
              <w:rPr>
                <w:rFonts w:hint="eastAsia" w:ascii="微软雅黑" w:hAnsi="宋体" w:eastAsia="微软雅黑" w:cs="宋体"/>
                <w:i w:val="0"/>
                <w:iCs w:val="0"/>
                <w:color w:val="000000"/>
                <w:sz w:val="20"/>
                <w:szCs w:val="24"/>
                <w:u w:val="none"/>
              </w:rPr>
            </w:pPr>
          </w:p>
        </w:tc>
      </w:tr>
      <w:tr w14:paraId="5AB3F1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1" w:type="dxa"/>
            <w:vMerge w:val="continue"/>
            <w:tcBorders>
              <w:top w:val="single" w:color="000000" w:sz="4" w:space="0"/>
              <w:left w:val="single" w:color="000000" w:sz="8" w:space="0"/>
              <w:bottom w:val="single" w:color="000000" w:sz="4" w:space="0"/>
              <w:right w:val="single" w:color="000000" w:sz="4" w:space="0"/>
            </w:tcBorders>
            <w:noWrap w:val="0"/>
            <w:vAlign w:val="center"/>
          </w:tcPr>
          <w:p w14:paraId="17EFE1F3">
            <w:pPr>
              <w:snapToGrid w:val="0"/>
              <w:ind w:left="0" w:leftChars="0" w:right="0" w:rightChars="0" w:firstLine="0" w:firstLineChars="0"/>
              <w:jc w:val="center"/>
              <w:rPr>
                <w:rFonts w:hint="eastAsia" w:ascii="微软雅黑" w:hAnsi="微软雅黑" w:eastAsia="微软雅黑" w:cs="微软雅黑"/>
                <w:i w:val="0"/>
                <w:iCs w:val="0"/>
                <w:color w:val="000000"/>
                <w:sz w:val="20"/>
                <w:szCs w:val="20"/>
                <w:u w:val="none"/>
              </w:rPr>
            </w:pPr>
          </w:p>
        </w:tc>
        <w:tc>
          <w:tcPr>
            <w:tcW w:w="1681" w:type="dxa"/>
            <w:vMerge w:val="continue"/>
            <w:tcBorders>
              <w:top w:val="single" w:color="000000" w:sz="4" w:space="0"/>
              <w:left w:val="nil"/>
              <w:bottom w:val="single" w:color="000000" w:sz="4" w:space="0"/>
              <w:right w:val="nil"/>
            </w:tcBorders>
            <w:noWrap w:val="0"/>
            <w:vAlign w:val="center"/>
          </w:tcPr>
          <w:p w14:paraId="2056E719">
            <w:pPr>
              <w:snapToGrid w:val="0"/>
              <w:ind w:left="0" w:leftChars="0" w:right="0" w:rightChars="0" w:firstLine="0" w:firstLineChars="0"/>
              <w:jc w:val="center"/>
              <w:rPr>
                <w:rFonts w:hint="eastAsia" w:ascii="微软雅黑" w:hAnsi="微软雅黑" w:eastAsia="微软雅黑" w:cs="微软雅黑"/>
                <w:i w:val="0"/>
                <w:iCs w:val="0"/>
                <w:color w:val="000000"/>
                <w:sz w:val="20"/>
                <w:szCs w:val="20"/>
                <w:u w:val="none"/>
              </w:rPr>
            </w:pPr>
          </w:p>
        </w:tc>
        <w:tc>
          <w:tcPr>
            <w:tcW w:w="1209" w:type="dxa"/>
            <w:tcBorders>
              <w:top w:val="single" w:color="000000" w:sz="4" w:space="0"/>
              <w:left w:val="single" w:color="000000" w:sz="4" w:space="0"/>
              <w:bottom w:val="single" w:color="000000" w:sz="4" w:space="0"/>
              <w:right w:val="single" w:color="000000" w:sz="4" w:space="0"/>
            </w:tcBorders>
            <w:noWrap w:val="0"/>
            <w:vAlign w:val="center"/>
          </w:tcPr>
          <w:p w14:paraId="3445DA4F">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七氟丙烷</w:t>
            </w:r>
          </w:p>
        </w:tc>
        <w:tc>
          <w:tcPr>
            <w:tcW w:w="1866" w:type="dxa"/>
            <w:tcBorders>
              <w:top w:val="single" w:color="000000" w:sz="4" w:space="0"/>
              <w:left w:val="single" w:color="000000" w:sz="4" w:space="0"/>
              <w:bottom w:val="single" w:color="000000" w:sz="4" w:space="0"/>
              <w:right w:val="single" w:color="000000" w:sz="4" w:space="0"/>
            </w:tcBorders>
            <w:noWrap w:val="0"/>
            <w:vAlign w:val="center"/>
          </w:tcPr>
          <w:p w14:paraId="30200C6A">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HFC-227ea</w:t>
            </w:r>
          </w:p>
        </w:tc>
        <w:tc>
          <w:tcPr>
            <w:tcW w:w="735" w:type="dxa"/>
            <w:tcBorders>
              <w:top w:val="single" w:color="000000" w:sz="4" w:space="0"/>
              <w:left w:val="single" w:color="000000" w:sz="4" w:space="0"/>
              <w:bottom w:val="single" w:color="000000" w:sz="4" w:space="0"/>
              <w:right w:val="single" w:color="000000" w:sz="4" w:space="0"/>
            </w:tcBorders>
            <w:noWrap w:val="0"/>
            <w:vAlign w:val="center"/>
          </w:tcPr>
          <w:p w14:paraId="28449937">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Kg</w:t>
            </w:r>
          </w:p>
        </w:tc>
        <w:tc>
          <w:tcPr>
            <w:tcW w:w="690" w:type="dxa"/>
            <w:tcBorders>
              <w:top w:val="single" w:color="000000" w:sz="4" w:space="0"/>
              <w:left w:val="single" w:color="000000" w:sz="4" w:space="0"/>
              <w:bottom w:val="single" w:color="000000" w:sz="4" w:space="0"/>
              <w:right w:val="single" w:color="000000" w:sz="4" w:space="0"/>
            </w:tcBorders>
            <w:noWrap w:val="0"/>
            <w:vAlign w:val="center"/>
          </w:tcPr>
          <w:p w14:paraId="2758CC65">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327</w:t>
            </w:r>
          </w:p>
        </w:tc>
        <w:tc>
          <w:tcPr>
            <w:tcW w:w="1965" w:type="dxa"/>
            <w:tcBorders>
              <w:top w:val="single" w:color="000000" w:sz="4" w:space="0"/>
              <w:left w:val="single" w:color="000000" w:sz="4" w:space="0"/>
              <w:bottom w:val="single" w:color="000000" w:sz="4" w:space="0"/>
              <w:right w:val="single" w:color="000000" w:sz="8" w:space="0"/>
            </w:tcBorders>
            <w:noWrap w:val="0"/>
            <w:vAlign w:val="center"/>
          </w:tcPr>
          <w:p w14:paraId="18234FF0">
            <w:pPr>
              <w:snapToGrid w:val="0"/>
              <w:ind w:left="0" w:leftChars="0" w:right="0" w:rightChars="0" w:firstLine="0" w:firstLineChars="0"/>
              <w:jc w:val="center"/>
              <w:rPr>
                <w:rFonts w:hint="eastAsia" w:ascii="微软雅黑" w:hAnsi="微软雅黑" w:eastAsia="微软雅黑" w:cs="微软雅黑"/>
                <w:i w:val="0"/>
                <w:iCs w:val="0"/>
                <w:color w:val="000000"/>
                <w:sz w:val="20"/>
                <w:szCs w:val="22"/>
                <w:u w:val="none"/>
              </w:rPr>
            </w:pP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67E06D57">
            <w:pPr>
              <w:snapToGrid w:val="0"/>
              <w:ind w:left="0" w:leftChars="0" w:right="0" w:rightChars="0" w:firstLine="0" w:firstLineChars="0"/>
              <w:jc w:val="left"/>
              <w:rPr>
                <w:rFonts w:hint="eastAsia" w:ascii="微软雅黑" w:hAnsi="宋体" w:eastAsia="微软雅黑" w:cs="宋体"/>
                <w:i w:val="0"/>
                <w:iCs w:val="0"/>
                <w:color w:val="000000"/>
                <w:sz w:val="20"/>
                <w:szCs w:val="24"/>
                <w:u w:val="none"/>
              </w:rPr>
            </w:pPr>
          </w:p>
        </w:tc>
        <w:tc>
          <w:tcPr>
            <w:tcW w:w="1121" w:type="dxa"/>
            <w:tcBorders>
              <w:top w:val="single" w:color="000000" w:sz="4" w:space="0"/>
              <w:left w:val="single" w:color="000000" w:sz="4" w:space="0"/>
              <w:bottom w:val="single" w:color="000000" w:sz="4" w:space="0"/>
              <w:right w:val="single" w:color="000000" w:sz="4" w:space="0"/>
            </w:tcBorders>
            <w:noWrap/>
            <w:vAlign w:val="center"/>
          </w:tcPr>
          <w:p w14:paraId="3AB98C18">
            <w:pPr>
              <w:snapToGrid w:val="0"/>
              <w:ind w:left="0" w:leftChars="0" w:right="0" w:rightChars="0" w:firstLine="0" w:firstLineChars="0"/>
              <w:jc w:val="right"/>
              <w:rPr>
                <w:rFonts w:hint="eastAsia" w:ascii="微软雅黑" w:hAnsi="宋体" w:eastAsia="微软雅黑" w:cs="宋体"/>
                <w:i w:val="0"/>
                <w:iCs w:val="0"/>
                <w:color w:val="000000"/>
                <w:sz w:val="20"/>
                <w:szCs w:val="24"/>
                <w:u w:val="none"/>
              </w:rPr>
            </w:pPr>
          </w:p>
        </w:tc>
      </w:tr>
      <w:tr w14:paraId="360081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1" w:type="dxa"/>
            <w:vMerge w:val="continue"/>
            <w:tcBorders>
              <w:top w:val="single" w:color="000000" w:sz="4" w:space="0"/>
              <w:left w:val="single" w:color="000000" w:sz="8" w:space="0"/>
              <w:bottom w:val="single" w:color="000000" w:sz="4" w:space="0"/>
              <w:right w:val="single" w:color="000000" w:sz="4" w:space="0"/>
            </w:tcBorders>
            <w:noWrap w:val="0"/>
            <w:vAlign w:val="center"/>
          </w:tcPr>
          <w:p w14:paraId="51C01114">
            <w:pPr>
              <w:snapToGrid w:val="0"/>
              <w:ind w:left="0" w:leftChars="0" w:right="0" w:rightChars="0" w:firstLine="0" w:firstLineChars="0"/>
              <w:jc w:val="center"/>
              <w:rPr>
                <w:rFonts w:hint="eastAsia" w:ascii="微软雅黑" w:hAnsi="微软雅黑" w:eastAsia="微软雅黑" w:cs="微软雅黑"/>
                <w:i w:val="0"/>
                <w:iCs w:val="0"/>
                <w:color w:val="000000"/>
                <w:sz w:val="20"/>
                <w:szCs w:val="20"/>
                <w:u w:val="none"/>
              </w:rPr>
            </w:pPr>
          </w:p>
        </w:tc>
        <w:tc>
          <w:tcPr>
            <w:tcW w:w="1681" w:type="dxa"/>
            <w:vMerge w:val="continue"/>
            <w:tcBorders>
              <w:top w:val="single" w:color="000000" w:sz="4" w:space="0"/>
              <w:left w:val="nil"/>
              <w:bottom w:val="single" w:color="000000" w:sz="4" w:space="0"/>
              <w:right w:val="nil"/>
            </w:tcBorders>
            <w:noWrap w:val="0"/>
            <w:vAlign w:val="center"/>
          </w:tcPr>
          <w:p w14:paraId="4BBB533C">
            <w:pPr>
              <w:snapToGrid w:val="0"/>
              <w:ind w:left="0" w:leftChars="0" w:right="0" w:rightChars="0" w:firstLine="0" w:firstLineChars="0"/>
              <w:jc w:val="center"/>
              <w:rPr>
                <w:rFonts w:hint="eastAsia" w:ascii="微软雅黑" w:hAnsi="微软雅黑" w:eastAsia="微软雅黑" w:cs="微软雅黑"/>
                <w:i w:val="0"/>
                <w:iCs w:val="0"/>
                <w:color w:val="000000"/>
                <w:sz w:val="20"/>
                <w:szCs w:val="20"/>
                <w:u w:val="none"/>
              </w:rPr>
            </w:pPr>
          </w:p>
        </w:tc>
        <w:tc>
          <w:tcPr>
            <w:tcW w:w="1209" w:type="dxa"/>
            <w:tcBorders>
              <w:top w:val="single" w:color="000000" w:sz="4" w:space="0"/>
              <w:left w:val="single" w:color="000000" w:sz="4" w:space="0"/>
              <w:bottom w:val="single" w:color="000000" w:sz="4" w:space="0"/>
              <w:right w:val="single" w:color="000000" w:sz="4" w:space="0"/>
            </w:tcBorders>
            <w:noWrap w:val="0"/>
            <w:vAlign w:val="center"/>
          </w:tcPr>
          <w:p w14:paraId="72DD9812">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泄压口</w:t>
            </w:r>
          </w:p>
        </w:tc>
        <w:tc>
          <w:tcPr>
            <w:tcW w:w="1866" w:type="dxa"/>
            <w:tcBorders>
              <w:top w:val="single" w:color="000000" w:sz="4" w:space="0"/>
              <w:left w:val="single" w:color="000000" w:sz="4" w:space="0"/>
              <w:bottom w:val="single" w:color="000000" w:sz="4" w:space="0"/>
              <w:right w:val="single" w:color="000000" w:sz="4" w:space="0"/>
            </w:tcBorders>
            <w:noWrap w:val="0"/>
            <w:vAlign w:val="center"/>
          </w:tcPr>
          <w:p w14:paraId="435545BF">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0.25-J</w:t>
            </w:r>
          </w:p>
        </w:tc>
        <w:tc>
          <w:tcPr>
            <w:tcW w:w="735" w:type="dxa"/>
            <w:tcBorders>
              <w:top w:val="single" w:color="000000" w:sz="4" w:space="0"/>
              <w:left w:val="single" w:color="000000" w:sz="4" w:space="0"/>
              <w:bottom w:val="single" w:color="000000" w:sz="4" w:space="0"/>
              <w:right w:val="single" w:color="000000" w:sz="4" w:space="0"/>
            </w:tcBorders>
            <w:noWrap w:val="0"/>
            <w:vAlign w:val="center"/>
          </w:tcPr>
          <w:p w14:paraId="78A6C010">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台</w:t>
            </w:r>
          </w:p>
        </w:tc>
        <w:tc>
          <w:tcPr>
            <w:tcW w:w="690" w:type="dxa"/>
            <w:tcBorders>
              <w:top w:val="single" w:color="000000" w:sz="4" w:space="0"/>
              <w:left w:val="single" w:color="000000" w:sz="4" w:space="0"/>
              <w:bottom w:val="single" w:color="000000" w:sz="4" w:space="0"/>
              <w:right w:val="single" w:color="000000" w:sz="4" w:space="0"/>
            </w:tcBorders>
            <w:noWrap w:val="0"/>
            <w:vAlign w:val="center"/>
          </w:tcPr>
          <w:p w14:paraId="2C7F970A">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c>
          <w:tcPr>
            <w:tcW w:w="1965" w:type="dxa"/>
            <w:tcBorders>
              <w:top w:val="single" w:color="000000" w:sz="4" w:space="0"/>
              <w:left w:val="single" w:color="000000" w:sz="4" w:space="0"/>
              <w:bottom w:val="single" w:color="000000" w:sz="4" w:space="0"/>
              <w:right w:val="single" w:color="000000" w:sz="8" w:space="0"/>
            </w:tcBorders>
            <w:noWrap w:val="0"/>
            <w:vAlign w:val="center"/>
          </w:tcPr>
          <w:p w14:paraId="0A3F4D78">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含百叶和阀体,开孔尺寸800*400</w:t>
            </w: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7E6E7172">
            <w:pPr>
              <w:snapToGrid w:val="0"/>
              <w:ind w:left="0" w:leftChars="0" w:right="0" w:rightChars="0" w:firstLine="0" w:firstLineChars="0"/>
              <w:jc w:val="left"/>
              <w:rPr>
                <w:rFonts w:hint="eastAsia" w:ascii="微软雅黑" w:hAnsi="宋体" w:eastAsia="微软雅黑" w:cs="宋体"/>
                <w:i w:val="0"/>
                <w:iCs w:val="0"/>
                <w:color w:val="000000"/>
                <w:sz w:val="20"/>
                <w:szCs w:val="24"/>
                <w:u w:val="none"/>
              </w:rPr>
            </w:pPr>
          </w:p>
        </w:tc>
        <w:tc>
          <w:tcPr>
            <w:tcW w:w="1121" w:type="dxa"/>
            <w:tcBorders>
              <w:top w:val="single" w:color="000000" w:sz="4" w:space="0"/>
              <w:left w:val="single" w:color="000000" w:sz="4" w:space="0"/>
              <w:bottom w:val="single" w:color="000000" w:sz="4" w:space="0"/>
              <w:right w:val="single" w:color="000000" w:sz="4" w:space="0"/>
            </w:tcBorders>
            <w:noWrap/>
            <w:vAlign w:val="center"/>
          </w:tcPr>
          <w:p w14:paraId="17329709">
            <w:pPr>
              <w:snapToGrid w:val="0"/>
              <w:ind w:left="0" w:leftChars="0" w:right="0" w:rightChars="0" w:firstLine="0" w:firstLineChars="0"/>
              <w:jc w:val="right"/>
              <w:rPr>
                <w:rFonts w:hint="eastAsia" w:ascii="微软雅黑" w:hAnsi="宋体" w:eastAsia="微软雅黑" w:cs="宋体"/>
                <w:i w:val="0"/>
                <w:iCs w:val="0"/>
                <w:color w:val="000000"/>
                <w:sz w:val="20"/>
                <w:szCs w:val="24"/>
                <w:u w:val="none"/>
              </w:rPr>
            </w:pPr>
          </w:p>
        </w:tc>
      </w:tr>
      <w:tr w14:paraId="61C1E0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1" w:type="dxa"/>
            <w:vMerge w:val="restart"/>
            <w:tcBorders>
              <w:top w:val="single" w:color="000000" w:sz="4" w:space="0"/>
              <w:left w:val="single" w:color="000000" w:sz="4" w:space="0"/>
              <w:bottom w:val="single" w:color="000000" w:sz="4" w:space="0"/>
              <w:right w:val="single" w:color="000000" w:sz="4" w:space="0"/>
            </w:tcBorders>
            <w:noWrap w:val="0"/>
            <w:vAlign w:val="center"/>
          </w:tcPr>
          <w:p w14:paraId="486C718E">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7</w:t>
            </w:r>
          </w:p>
        </w:tc>
        <w:tc>
          <w:tcPr>
            <w:tcW w:w="1681" w:type="dxa"/>
            <w:vMerge w:val="restart"/>
            <w:tcBorders>
              <w:top w:val="single" w:color="000000" w:sz="4" w:space="0"/>
              <w:left w:val="single" w:color="000000" w:sz="4" w:space="0"/>
              <w:bottom w:val="single" w:color="000000" w:sz="4" w:space="0"/>
              <w:right w:val="single" w:color="000000" w:sz="4" w:space="0"/>
            </w:tcBorders>
            <w:noWrap w:val="0"/>
            <w:vAlign w:val="center"/>
          </w:tcPr>
          <w:p w14:paraId="0B3EF25F">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配电房2（宿舍楼及配套用房一层）</w:t>
            </w:r>
          </w:p>
        </w:tc>
        <w:tc>
          <w:tcPr>
            <w:tcW w:w="1209" w:type="dxa"/>
            <w:tcBorders>
              <w:top w:val="single" w:color="000000" w:sz="4" w:space="0"/>
              <w:left w:val="single" w:color="000000" w:sz="4" w:space="0"/>
              <w:bottom w:val="single" w:color="000000" w:sz="4" w:space="0"/>
              <w:right w:val="single" w:color="000000" w:sz="4" w:space="0"/>
            </w:tcBorders>
            <w:noWrap w:val="0"/>
            <w:vAlign w:val="center"/>
          </w:tcPr>
          <w:p w14:paraId="0C534E25">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柜式七氟丙烷灭火装置</w:t>
            </w:r>
          </w:p>
        </w:tc>
        <w:tc>
          <w:tcPr>
            <w:tcW w:w="1866" w:type="dxa"/>
            <w:tcBorders>
              <w:top w:val="single" w:color="000000" w:sz="4" w:space="0"/>
              <w:left w:val="single" w:color="000000" w:sz="4" w:space="0"/>
              <w:bottom w:val="single" w:color="000000" w:sz="4" w:space="0"/>
              <w:right w:val="single" w:color="000000" w:sz="4" w:space="0"/>
            </w:tcBorders>
            <w:noWrap w:val="0"/>
            <w:vAlign w:val="center"/>
          </w:tcPr>
          <w:p w14:paraId="48279AEF">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GQQ120/2.5</w:t>
            </w:r>
          </w:p>
        </w:tc>
        <w:tc>
          <w:tcPr>
            <w:tcW w:w="735" w:type="dxa"/>
            <w:tcBorders>
              <w:top w:val="single" w:color="000000" w:sz="4" w:space="0"/>
              <w:left w:val="single" w:color="000000" w:sz="4" w:space="0"/>
              <w:bottom w:val="single" w:color="000000" w:sz="4" w:space="0"/>
              <w:right w:val="single" w:color="000000" w:sz="4" w:space="0"/>
            </w:tcBorders>
            <w:noWrap w:val="0"/>
            <w:vAlign w:val="center"/>
          </w:tcPr>
          <w:p w14:paraId="6CC2BC93">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台</w:t>
            </w:r>
          </w:p>
        </w:tc>
        <w:tc>
          <w:tcPr>
            <w:tcW w:w="690" w:type="dxa"/>
            <w:tcBorders>
              <w:top w:val="single" w:color="000000" w:sz="4" w:space="0"/>
              <w:left w:val="single" w:color="000000" w:sz="4" w:space="0"/>
              <w:bottom w:val="single" w:color="000000" w:sz="4" w:space="0"/>
              <w:right w:val="single" w:color="000000" w:sz="4" w:space="0"/>
            </w:tcBorders>
            <w:noWrap w:val="0"/>
            <w:vAlign w:val="center"/>
          </w:tcPr>
          <w:p w14:paraId="6D20B71C">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3</w:t>
            </w:r>
          </w:p>
        </w:tc>
        <w:tc>
          <w:tcPr>
            <w:tcW w:w="1965" w:type="dxa"/>
            <w:tcBorders>
              <w:top w:val="single" w:color="000000" w:sz="4" w:space="0"/>
              <w:left w:val="single" w:color="000000" w:sz="4" w:space="0"/>
              <w:bottom w:val="single" w:color="000000" w:sz="4" w:space="0"/>
              <w:right w:val="single" w:color="000000" w:sz="8" w:space="0"/>
            </w:tcBorders>
            <w:noWrap w:val="0"/>
            <w:vAlign w:val="center"/>
          </w:tcPr>
          <w:p w14:paraId="1F39A657">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每台充装110公斤灭火剂</w:t>
            </w: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0950EE66">
            <w:pPr>
              <w:snapToGrid w:val="0"/>
              <w:ind w:left="0" w:leftChars="0" w:right="0" w:rightChars="0" w:firstLine="0" w:firstLineChars="0"/>
              <w:jc w:val="left"/>
              <w:rPr>
                <w:rFonts w:hint="eastAsia" w:ascii="微软雅黑" w:hAnsi="宋体" w:eastAsia="微软雅黑" w:cs="宋体"/>
                <w:i w:val="0"/>
                <w:iCs w:val="0"/>
                <w:color w:val="000000"/>
                <w:sz w:val="20"/>
                <w:szCs w:val="24"/>
                <w:u w:val="none"/>
              </w:rPr>
            </w:pPr>
          </w:p>
        </w:tc>
        <w:tc>
          <w:tcPr>
            <w:tcW w:w="1121" w:type="dxa"/>
            <w:tcBorders>
              <w:top w:val="single" w:color="000000" w:sz="4" w:space="0"/>
              <w:left w:val="single" w:color="000000" w:sz="4" w:space="0"/>
              <w:bottom w:val="single" w:color="000000" w:sz="4" w:space="0"/>
              <w:right w:val="single" w:color="000000" w:sz="4" w:space="0"/>
            </w:tcBorders>
            <w:noWrap/>
            <w:vAlign w:val="center"/>
          </w:tcPr>
          <w:p w14:paraId="13D9B8DA">
            <w:pPr>
              <w:snapToGrid w:val="0"/>
              <w:ind w:left="0" w:leftChars="0" w:right="0" w:rightChars="0" w:firstLine="0" w:firstLineChars="0"/>
              <w:jc w:val="right"/>
              <w:rPr>
                <w:rFonts w:hint="eastAsia" w:ascii="微软雅黑" w:hAnsi="宋体" w:eastAsia="微软雅黑" w:cs="宋体"/>
                <w:i w:val="0"/>
                <w:iCs w:val="0"/>
                <w:color w:val="000000"/>
                <w:sz w:val="20"/>
                <w:szCs w:val="24"/>
                <w:u w:val="none"/>
              </w:rPr>
            </w:pPr>
          </w:p>
        </w:tc>
      </w:tr>
      <w:tr w14:paraId="4B24F5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1" w:type="dxa"/>
            <w:vMerge w:val="continue"/>
            <w:tcBorders>
              <w:top w:val="single" w:color="000000" w:sz="4" w:space="0"/>
              <w:left w:val="single" w:color="000000" w:sz="4" w:space="0"/>
              <w:bottom w:val="single" w:color="000000" w:sz="4" w:space="0"/>
              <w:right w:val="single" w:color="000000" w:sz="4" w:space="0"/>
            </w:tcBorders>
            <w:noWrap w:val="0"/>
            <w:vAlign w:val="center"/>
          </w:tcPr>
          <w:p w14:paraId="4C2D4CBF">
            <w:pPr>
              <w:snapToGrid w:val="0"/>
              <w:ind w:left="0" w:leftChars="0" w:right="0" w:rightChars="0" w:firstLine="0" w:firstLineChars="0"/>
              <w:jc w:val="center"/>
              <w:rPr>
                <w:rFonts w:hint="eastAsia" w:ascii="微软雅黑" w:hAnsi="微软雅黑" w:eastAsia="微软雅黑" w:cs="微软雅黑"/>
                <w:i w:val="0"/>
                <w:iCs w:val="0"/>
                <w:color w:val="000000"/>
                <w:sz w:val="20"/>
                <w:szCs w:val="20"/>
                <w:u w:val="none"/>
              </w:rPr>
            </w:pPr>
          </w:p>
        </w:tc>
        <w:tc>
          <w:tcPr>
            <w:tcW w:w="16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3688431">
            <w:pPr>
              <w:snapToGrid w:val="0"/>
              <w:ind w:left="0" w:leftChars="0" w:right="0" w:rightChars="0" w:firstLine="0" w:firstLineChars="0"/>
              <w:jc w:val="center"/>
              <w:rPr>
                <w:rFonts w:hint="eastAsia" w:ascii="微软雅黑" w:hAnsi="微软雅黑" w:eastAsia="微软雅黑" w:cs="微软雅黑"/>
                <w:i w:val="0"/>
                <w:iCs w:val="0"/>
                <w:color w:val="000000"/>
                <w:sz w:val="20"/>
                <w:szCs w:val="20"/>
                <w:u w:val="none"/>
              </w:rPr>
            </w:pPr>
          </w:p>
        </w:tc>
        <w:tc>
          <w:tcPr>
            <w:tcW w:w="1209" w:type="dxa"/>
            <w:tcBorders>
              <w:top w:val="single" w:color="000000" w:sz="4" w:space="0"/>
              <w:left w:val="single" w:color="000000" w:sz="4" w:space="0"/>
              <w:bottom w:val="single" w:color="000000" w:sz="4" w:space="0"/>
              <w:right w:val="single" w:color="000000" w:sz="4" w:space="0"/>
            </w:tcBorders>
            <w:noWrap w:val="0"/>
            <w:vAlign w:val="center"/>
          </w:tcPr>
          <w:p w14:paraId="1FF0BC9C">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七氟丙烷</w:t>
            </w:r>
          </w:p>
        </w:tc>
        <w:tc>
          <w:tcPr>
            <w:tcW w:w="1866" w:type="dxa"/>
            <w:tcBorders>
              <w:top w:val="single" w:color="000000" w:sz="4" w:space="0"/>
              <w:left w:val="single" w:color="000000" w:sz="4" w:space="0"/>
              <w:bottom w:val="single" w:color="000000" w:sz="4" w:space="0"/>
              <w:right w:val="single" w:color="000000" w:sz="4" w:space="0"/>
            </w:tcBorders>
            <w:noWrap w:val="0"/>
            <w:vAlign w:val="center"/>
          </w:tcPr>
          <w:p w14:paraId="7926AF49">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HFC-227ea</w:t>
            </w:r>
          </w:p>
        </w:tc>
        <w:tc>
          <w:tcPr>
            <w:tcW w:w="735" w:type="dxa"/>
            <w:tcBorders>
              <w:top w:val="single" w:color="000000" w:sz="4" w:space="0"/>
              <w:left w:val="single" w:color="000000" w:sz="4" w:space="0"/>
              <w:bottom w:val="single" w:color="000000" w:sz="4" w:space="0"/>
              <w:right w:val="single" w:color="000000" w:sz="4" w:space="0"/>
            </w:tcBorders>
            <w:noWrap w:val="0"/>
            <w:vAlign w:val="center"/>
          </w:tcPr>
          <w:p w14:paraId="35718061">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Kg</w:t>
            </w:r>
          </w:p>
        </w:tc>
        <w:tc>
          <w:tcPr>
            <w:tcW w:w="690" w:type="dxa"/>
            <w:tcBorders>
              <w:top w:val="single" w:color="000000" w:sz="4" w:space="0"/>
              <w:left w:val="single" w:color="000000" w:sz="4" w:space="0"/>
              <w:bottom w:val="single" w:color="000000" w:sz="4" w:space="0"/>
              <w:right w:val="single" w:color="000000" w:sz="4" w:space="0"/>
            </w:tcBorders>
            <w:noWrap w:val="0"/>
            <w:vAlign w:val="center"/>
          </w:tcPr>
          <w:p w14:paraId="6C74FB93">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330</w:t>
            </w:r>
          </w:p>
        </w:tc>
        <w:tc>
          <w:tcPr>
            <w:tcW w:w="1965" w:type="dxa"/>
            <w:tcBorders>
              <w:top w:val="single" w:color="000000" w:sz="4" w:space="0"/>
              <w:left w:val="single" w:color="000000" w:sz="4" w:space="0"/>
              <w:bottom w:val="single" w:color="000000" w:sz="4" w:space="0"/>
              <w:right w:val="single" w:color="000000" w:sz="8" w:space="0"/>
            </w:tcBorders>
            <w:noWrap w:val="0"/>
            <w:vAlign w:val="center"/>
          </w:tcPr>
          <w:p w14:paraId="411AFA64">
            <w:pPr>
              <w:snapToGrid w:val="0"/>
              <w:ind w:left="0" w:leftChars="0" w:right="0" w:rightChars="0" w:firstLine="0" w:firstLineChars="0"/>
              <w:jc w:val="center"/>
              <w:rPr>
                <w:rFonts w:hint="eastAsia" w:ascii="微软雅黑" w:hAnsi="微软雅黑" w:eastAsia="微软雅黑" w:cs="微软雅黑"/>
                <w:i w:val="0"/>
                <w:iCs w:val="0"/>
                <w:color w:val="000000"/>
                <w:sz w:val="20"/>
                <w:szCs w:val="22"/>
                <w:u w:val="none"/>
              </w:rPr>
            </w:pP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771F8C1E">
            <w:pPr>
              <w:snapToGrid w:val="0"/>
              <w:ind w:left="0" w:leftChars="0" w:right="0" w:rightChars="0" w:firstLine="0" w:firstLineChars="0"/>
              <w:jc w:val="left"/>
              <w:rPr>
                <w:rFonts w:hint="eastAsia" w:ascii="微软雅黑" w:hAnsi="宋体" w:eastAsia="微软雅黑" w:cs="宋体"/>
                <w:i w:val="0"/>
                <w:iCs w:val="0"/>
                <w:color w:val="000000"/>
                <w:sz w:val="20"/>
                <w:szCs w:val="24"/>
                <w:u w:val="none"/>
              </w:rPr>
            </w:pPr>
          </w:p>
        </w:tc>
        <w:tc>
          <w:tcPr>
            <w:tcW w:w="1121" w:type="dxa"/>
            <w:tcBorders>
              <w:top w:val="single" w:color="000000" w:sz="4" w:space="0"/>
              <w:left w:val="single" w:color="000000" w:sz="4" w:space="0"/>
              <w:bottom w:val="single" w:color="000000" w:sz="4" w:space="0"/>
              <w:right w:val="single" w:color="000000" w:sz="4" w:space="0"/>
            </w:tcBorders>
            <w:noWrap/>
            <w:vAlign w:val="center"/>
          </w:tcPr>
          <w:p w14:paraId="2C45DEAF">
            <w:pPr>
              <w:snapToGrid w:val="0"/>
              <w:ind w:left="0" w:leftChars="0" w:right="0" w:rightChars="0" w:firstLine="0" w:firstLineChars="0"/>
              <w:jc w:val="right"/>
              <w:rPr>
                <w:rFonts w:hint="eastAsia" w:ascii="微软雅黑" w:hAnsi="宋体" w:eastAsia="微软雅黑" w:cs="宋体"/>
                <w:i w:val="0"/>
                <w:iCs w:val="0"/>
                <w:color w:val="000000"/>
                <w:sz w:val="20"/>
                <w:szCs w:val="24"/>
                <w:u w:val="none"/>
              </w:rPr>
            </w:pPr>
          </w:p>
        </w:tc>
      </w:tr>
      <w:tr w14:paraId="6A0D21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1" w:type="dxa"/>
            <w:vMerge w:val="continue"/>
            <w:tcBorders>
              <w:top w:val="single" w:color="000000" w:sz="4" w:space="0"/>
              <w:left w:val="single" w:color="000000" w:sz="4" w:space="0"/>
              <w:bottom w:val="single" w:color="000000" w:sz="4" w:space="0"/>
              <w:right w:val="single" w:color="000000" w:sz="4" w:space="0"/>
            </w:tcBorders>
            <w:noWrap w:val="0"/>
            <w:vAlign w:val="center"/>
          </w:tcPr>
          <w:p w14:paraId="70BDBF06">
            <w:pPr>
              <w:snapToGrid w:val="0"/>
              <w:ind w:left="0" w:leftChars="0" w:right="0" w:rightChars="0" w:firstLine="0" w:firstLineChars="0"/>
              <w:jc w:val="center"/>
              <w:rPr>
                <w:rFonts w:hint="eastAsia" w:ascii="微软雅黑" w:hAnsi="微软雅黑" w:eastAsia="微软雅黑" w:cs="微软雅黑"/>
                <w:i w:val="0"/>
                <w:iCs w:val="0"/>
                <w:color w:val="000000"/>
                <w:sz w:val="20"/>
                <w:szCs w:val="20"/>
                <w:u w:val="none"/>
              </w:rPr>
            </w:pPr>
          </w:p>
        </w:tc>
        <w:tc>
          <w:tcPr>
            <w:tcW w:w="16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29549387">
            <w:pPr>
              <w:snapToGrid w:val="0"/>
              <w:ind w:left="0" w:leftChars="0" w:right="0" w:rightChars="0" w:firstLine="0" w:firstLineChars="0"/>
              <w:jc w:val="center"/>
              <w:rPr>
                <w:rFonts w:hint="eastAsia" w:ascii="微软雅黑" w:hAnsi="微软雅黑" w:eastAsia="微软雅黑" w:cs="微软雅黑"/>
                <w:i w:val="0"/>
                <w:iCs w:val="0"/>
                <w:color w:val="000000"/>
                <w:sz w:val="20"/>
                <w:szCs w:val="20"/>
                <w:u w:val="none"/>
              </w:rPr>
            </w:pPr>
          </w:p>
        </w:tc>
        <w:tc>
          <w:tcPr>
            <w:tcW w:w="1209" w:type="dxa"/>
            <w:tcBorders>
              <w:top w:val="single" w:color="000000" w:sz="4" w:space="0"/>
              <w:left w:val="single" w:color="000000" w:sz="4" w:space="0"/>
              <w:bottom w:val="single" w:color="000000" w:sz="4" w:space="0"/>
              <w:right w:val="single" w:color="000000" w:sz="4" w:space="0"/>
            </w:tcBorders>
            <w:noWrap w:val="0"/>
            <w:vAlign w:val="center"/>
          </w:tcPr>
          <w:p w14:paraId="4410F966">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泄压口</w:t>
            </w:r>
          </w:p>
        </w:tc>
        <w:tc>
          <w:tcPr>
            <w:tcW w:w="1866" w:type="dxa"/>
            <w:tcBorders>
              <w:top w:val="single" w:color="000000" w:sz="4" w:space="0"/>
              <w:left w:val="single" w:color="000000" w:sz="4" w:space="0"/>
              <w:bottom w:val="single" w:color="000000" w:sz="4" w:space="0"/>
              <w:right w:val="single" w:color="000000" w:sz="4" w:space="0"/>
            </w:tcBorders>
            <w:noWrap w:val="0"/>
            <w:vAlign w:val="center"/>
          </w:tcPr>
          <w:p w14:paraId="7BFC5E8E">
            <w:pPr>
              <w:keepNext w:val="0"/>
              <w:keepLines w:val="0"/>
              <w:widowControl/>
              <w:suppressLineNumbers w:val="0"/>
              <w:snapToGrid w:val="0"/>
              <w:ind w:left="0" w:leftChars="0" w:right="0" w:rightChars="0" w:firstLine="0" w:firstLineChars="0"/>
              <w:jc w:val="left"/>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0.25-J</w:t>
            </w:r>
          </w:p>
        </w:tc>
        <w:tc>
          <w:tcPr>
            <w:tcW w:w="735" w:type="dxa"/>
            <w:tcBorders>
              <w:top w:val="single" w:color="000000" w:sz="4" w:space="0"/>
              <w:left w:val="single" w:color="000000" w:sz="4" w:space="0"/>
              <w:bottom w:val="single" w:color="000000" w:sz="4" w:space="0"/>
              <w:right w:val="single" w:color="000000" w:sz="4" w:space="0"/>
            </w:tcBorders>
            <w:noWrap w:val="0"/>
            <w:vAlign w:val="center"/>
          </w:tcPr>
          <w:p w14:paraId="57FE05C1">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台</w:t>
            </w:r>
          </w:p>
        </w:tc>
        <w:tc>
          <w:tcPr>
            <w:tcW w:w="690" w:type="dxa"/>
            <w:tcBorders>
              <w:top w:val="single" w:color="000000" w:sz="4" w:space="0"/>
              <w:left w:val="single" w:color="000000" w:sz="4" w:space="0"/>
              <w:bottom w:val="single" w:color="000000" w:sz="4" w:space="0"/>
              <w:right w:val="single" w:color="000000" w:sz="4" w:space="0"/>
            </w:tcBorders>
            <w:noWrap w:val="0"/>
            <w:vAlign w:val="center"/>
          </w:tcPr>
          <w:p w14:paraId="5E2A1090">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c>
          <w:tcPr>
            <w:tcW w:w="1965" w:type="dxa"/>
            <w:tcBorders>
              <w:top w:val="single" w:color="000000" w:sz="4" w:space="0"/>
              <w:left w:val="single" w:color="000000" w:sz="4" w:space="0"/>
              <w:bottom w:val="single" w:color="000000" w:sz="4" w:space="0"/>
              <w:right w:val="single" w:color="000000" w:sz="8" w:space="0"/>
            </w:tcBorders>
            <w:noWrap w:val="0"/>
            <w:vAlign w:val="center"/>
          </w:tcPr>
          <w:p w14:paraId="5058C4EE">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含百叶和阀体,开孔尺寸800*400</w:t>
            </w: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670A1772">
            <w:pPr>
              <w:snapToGrid w:val="0"/>
              <w:ind w:left="0" w:leftChars="0" w:right="0" w:rightChars="0" w:firstLine="0" w:firstLineChars="0"/>
              <w:jc w:val="left"/>
              <w:rPr>
                <w:rFonts w:hint="eastAsia" w:ascii="微软雅黑" w:hAnsi="宋体" w:eastAsia="微软雅黑" w:cs="宋体"/>
                <w:i w:val="0"/>
                <w:iCs w:val="0"/>
                <w:color w:val="000000"/>
                <w:sz w:val="20"/>
                <w:szCs w:val="24"/>
                <w:u w:val="none"/>
              </w:rPr>
            </w:pPr>
          </w:p>
        </w:tc>
        <w:tc>
          <w:tcPr>
            <w:tcW w:w="1121" w:type="dxa"/>
            <w:tcBorders>
              <w:top w:val="single" w:color="000000" w:sz="4" w:space="0"/>
              <w:left w:val="single" w:color="000000" w:sz="4" w:space="0"/>
              <w:bottom w:val="single" w:color="000000" w:sz="4" w:space="0"/>
              <w:right w:val="single" w:color="000000" w:sz="4" w:space="0"/>
            </w:tcBorders>
            <w:noWrap/>
            <w:vAlign w:val="center"/>
          </w:tcPr>
          <w:p w14:paraId="16675CED">
            <w:pPr>
              <w:snapToGrid w:val="0"/>
              <w:ind w:left="0" w:leftChars="0" w:right="0" w:rightChars="0" w:firstLine="0" w:firstLineChars="0"/>
              <w:jc w:val="right"/>
              <w:rPr>
                <w:rFonts w:hint="eastAsia" w:ascii="微软雅黑" w:hAnsi="宋体" w:eastAsia="微软雅黑" w:cs="宋体"/>
                <w:i w:val="0"/>
                <w:iCs w:val="0"/>
                <w:color w:val="000000"/>
                <w:sz w:val="20"/>
                <w:szCs w:val="24"/>
                <w:u w:val="none"/>
              </w:rPr>
            </w:pPr>
          </w:p>
        </w:tc>
      </w:tr>
      <w:tr w14:paraId="11B3E6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341" w:type="dxa"/>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A7673E">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b/>
                <w:i w:val="0"/>
                <w:iCs w:val="0"/>
                <w:color w:val="000000"/>
                <w:sz w:val="20"/>
                <w:szCs w:val="20"/>
                <w:u w:val="none"/>
              </w:rPr>
            </w:pPr>
            <w:r>
              <w:rPr>
                <w:rFonts w:hint="eastAsia" w:ascii="微软雅黑" w:hAnsi="微软雅黑" w:eastAsia="微软雅黑" w:cs="微软雅黑"/>
                <w:b/>
                <w:i w:val="0"/>
                <w:iCs w:val="0"/>
                <w:color w:val="000000"/>
                <w:kern w:val="0"/>
                <w:sz w:val="20"/>
                <w:szCs w:val="20"/>
                <w:u w:val="none"/>
                <w:lang w:val="en-US" w:eastAsia="zh-CN" w:bidi="ar"/>
              </w:rPr>
              <w:t>合计</w:t>
            </w:r>
          </w:p>
        </w:tc>
        <w:tc>
          <w:tcPr>
            <w:tcW w:w="7547" w:type="dxa"/>
            <w:gridSpan w:val="6"/>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3EE2FD">
            <w:pPr>
              <w:wordWrap/>
              <w:snapToGrid w:val="0"/>
              <w:ind w:left="0" w:leftChars="0" w:right="0" w:rightChars="0" w:firstLine="0" w:firstLineChars="0"/>
              <w:jc w:val="center"/>
              <w:rPr>
                <w:rFonts w:hint="default" w:ascii="微软雅黑" w:hAnsi="宋体" w:eastAsia="微软雅黑" w:cs="宋体"/>
                <w:b/>
                <w:i w:val="0"/>
                <w:iCs w:val="0"/>
                <w:color w:val="000000"/>
                <w:sz w:val="20"/>
                <w:szCs w:val="24"/>
                <w:u w:val="none"/>
                <w:lang w:val="en-US" w:eastAsia="zh-CN"/>
              </w:rPr>
            </w:pPr>
            <w:r>
              <w:rPr>
                <w:rFonts w:hint="eastAsia" w:ascii="微软雅黑" w:hAnsi="宋体" w:eastAsia="微软雅黑" w:cs="宋体"/>
                <w:b/>
                <w:i w:val="0"/>
                <w:iCs w:val="0"/>
                <w:color w:val="000000"/>
                <w:sz w:val="20"/>
                <w:szCs w:val="24"/>
                <w:u w:val="none"/>
                <w:lang w:val="en-US" w:eastAsia="zh-CN"/>
              </w:rPr>
              <w:t>大写：       元，小写：        元</w:t>
            </w:r>
          </w:p>
        </w:tc>
      </w:tr>
    </w:tbl>
    <w:p w14:paraId="76B35526">
      <w:pPr>
        <w:snapToGrid w:val="0"/>
        <w:spacing w:before="50" w:after="50" w:line="420" w:lineRule="exact"/>
        <w:jc w:val="left"/>
        <w:rPr>
          <w:rFonts w:hint="eastAsia" w:ascii="宋体" w:hAnsi="宋体" w:eastAsia="宋体" w:cs="宋体"/>
          <w:b/>
          <w:bCs/>
          <w:color w:val="auto"/>
          <w:sz w:val="24"/>
          <w:highlight w:val="none"/>
        </w:rPr>
      </w:pPr>
    </w:p>
    <w:p w14:paraId="1CB09596">
      <w:pPr>
        <w:snapToGrid w:val="0"/>
        <w:spacing w:before="50" w:after="50" w:line="42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说明：</w:t>
      </w:r>
    </w:p>
    <w:p w14:paraId="3DFC261A">
      <w:pPr>
        <w:snapToGrid w:val="0"/>
        <w:spacing w:before="50" w:after="50" w:line="420" w:lineRule="exact"/>
        <w:jc w:val="left"/>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1、报价一经涂改，应在涂改处加盖单位公章或者由法定代表人签字或盖章或授权委托人签字或盖章。</w:t>
      </w:r>
    </w:p>
    <w:p w14:paraId="06E314F5">
      <w:pPr>
        <w:snapToGrid w:val="0"/>
        <w:spacing w:before="50" w:after="50" w:line="420" w:lineRule="exact"/>
        <w:jc w:val="left"/>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2、报价明细表合计价格应与开标一览表总价一致。</w:t>
      </w:r>
    </w:p>
    <w:p w14:paraId="22F1198E">
      <w:pPr>
        <w:snapToGrid w:val="0"/>
        <w:spacing w:before="50" w:after="50" w:line="420" w:lineRule="exact"/>
        <w:jc w:val="left"/>
        <w:rPr>
          <w:rFonts w:hint="eastAsia" w:ascii="宋体" w:hAnsi="宋体" w:eastAsia="宋体" w:cs="宋体"/>
          <w:b w:val="0"/>
          <w:bCs/>
          <w:color w:val="auto"/>
          <w:sz w:val="24"/>
          <w:highlight w:val="none"/>
          <w:lang w:val="en-US" w:eastAsia="zh-CN"/>
        </w:rPr>
      </w:pPr>
      <w:bookmarkStart w:id="158" w:name="_Toc13629"/>
      <w:bookmarkStart w:id="159" w:name="_Toc25575"/>
      <w:r>
        <w:rPr>
          <w:rFonts w:hint="eastAsia" w:ascii="宋体" w:hAnsi="宋体" w:eastAsia="宋体" w:cs="宋体"/>
          <w:b w:val="0"/>
          <w:bCs/>
          <w:color w:val="auto"/>
          <w:sz w:val="24"/>
          <w:highlight w:val="none"/>
          <w:lang w:val="en-US" w:eastAsia="zh-CN"/>
        </w:rPr>
        <w:t>3、本项目实施过程中可能产生的其他相关费用，均包含在单价中，不再另行计取</w:t>
      </w:r>
      <w:r>
        <w:rPr>
          <w:rFonts w:hint="eastAsia" w:ascii="宋体" w:hAnsi="宋体" w:cs="宋体"/>
          <w:b w:val="0"/>
          <w:bCs/>
          <w:color w:val="auto"/>
          <w:sz w:val="24"/>
          <w:highlight w:val="none"/>
          <w:lang w:val="en-US" w:eastAsia="zh-CN"/>
        </w:rPr>
        <w:t>。</w:t>
      </w:r>
    </w:p>
    <w:p w14:paraId="0EAA147B">
      <w:pPr>
        <w:snapToGrid w:val="0"/>
        <w:spacing w:before="50" w:after="50" w:line="420" w:lineRule="exact"/>
        <w:jc w:val="left"/>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4、全费用单价包含人工、制造、材料、设备、运输、装卸、安装、二次搬运、产品保护、水电费、调试、措施费、综合管理、修复安装时被破坏的建筑和装修、孔洞修补、售后服务、保险、规费、利润、税金、风险费及其他工程费等一切费用，为完成本项目可能出现的其他费用，投标人需自行考虑，包含在投标报价中。</w:t>
      </w:r>
    </w:p>
    <w:bookmarkEnd w:id="158"/>
    <w:bookmarkEnd w:id="159"/>
    <w:p w14:paraId="3D0AEEFB">
      <w:pPr>
        <w:tabs>
          <w:tab w:val="left" w:pos="606"/>
        </w:tabs>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t>法定代表人签字（或盖章）：            供应商（盖章）：</w:t>
      </w:r>
    </w:p>
    <w:p w14:paraId="296B5039">
      <w:pPr>
        <w:tabs>
          <w:tab w:val="left" w:pos="606"/>
        </w:tabs>
        <w:rPr>
          <w:rFonts w:hint="eastAsia" w:ascii="宋体" w:hAnsi="宋体" w:eastAsia="宋体" w:cs="宋体"/>
          <w:b/>
          <w:color w:val="auto"/>
          <w:spacing w:val="20"/>
          <w:sz w:val="24"/>
          <w:highlight w:val="none"/>
        </w:rPr>
      </w:pPr>
    </w:p>
    <w:p w14:paraId="73C184EE">
      <w:pPr>
        <w:tabs>
          <w:tab w:val="left" w:pos="606"/>
        </w:tabs>
        <w:rPr>
          <w:rFonts w:hint="eastAsia" w:ascii="宋体" w:hAnsi="宋体" w:eastAsia="宋体" w:cs="宋体"/>
          <w:b/>
          <w:color w:val="auto"/>
          <w:sz w:val="24"/>
          <w:highlight w:val="none"/>
          <w:lang w:eastAsia="zh-CN"/>
        </w:rPr>
      </w:pPr>
      <w:r>
        <w:rPr>
          <w:rFonts w:hint="eastAsia" w:ascii="宋体" w:hAnsi="宋体" w:eastAsia="宋体" w:cs="宋体"/>
          <w:b/>
          <w:color w:val="auto"/>
          <w:spacing w:val="20"/>
          <w:sz w:val="24"/>
          <w:highlight w:val="none"/>
        </w:rPr>
        <w:t>日期</w:t>
      </w:r>
      <w:r>
        <w:rPr>
          <w:rFonts w:hint="eastAsia" w:ascii="宋体" w:hAnsi="宋体" w:cs="宋体"/>
          <w:b/>
          <w:color w:val="auto"/>
          <w:spacing w:val="20"/>
          <w:sz w:val="24"/>
          <w:highlight w:val="none"/>
          <w:lang w:eastAsia="zh-CN"/>
        </w:rPr>
        <w:t>：</w:t>
      </w:r>
    </w:p>
    <w:sectPr>
      <w:headerReference r:id="rId12" w:type="default"/>
      <w:footerReference r:id="rId13" w:type="default"/>
      <w:footerReference r:id="rId14" w:type="even"/>
      <w:pgSz w:w="11906" w:h="16838"/>
      <w:pgMar w:top="850" w:right="1587" w:bottom="850" w:left="1587" w:header="567" w:footer="454" w:gutter="0"/>
      <w:pgNumType w:fmt="decimal"/>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Verdana">
    <w:panose1 w:val="020B0604030504040204"/>
    <w:charset w:val="00"/>
    <w:family w:val="swiss"/>
    <w:pitch w:val="default"/>
    <w:sig w:usb0="A1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HelveticaNeueLT Std Lt">
    <w:altName w:val="新宋体"/>
    <w:panose1 w:val="00000000000000000000"/>
    <w:charset w:val="86"/>
    <w:family w:val="auto"/>
    <w:pitch w:val="default"/>
    <w:sig w:usb0="00000000" w:usb1="00000000" w:usb2="00000010" w:usb3="00000000" w:csb0="00040000" w:csb1="00000000"/>
  </w:font>
  <w:font w:name="新宋体">
    <w:panose1 w:val="02010609030101010101"/>
    <w:charset w:val="86"/>
    <w:family w:val="auto"/>
    <w:pitch w:val="default"/>
    <w:sig w:usb0="00000003" w:usb1="288F0000" w:usb2="00000006" w:usb3="00000000" w:csb0="00040001" w:csb1="00000000"/>
  </w:font>
  <w:font w:name="Helvetica">
    <w:altName w:val="Arial"/>
    <w:panose1 w:val="020B0504020202030204"/>
    <w:charset w:val="00"/>
    <w:family w:val="swiss"/>
    <w:pitch w:val="default"/>
    <w:sig w:usb0="00000000" w:usb1="00000000" w:usb2="00000000" w:usb3="00000000" w:csb0="00000093" w:csb1="00000000"/>
  </w:font>
  <w:font w:name="Arial Unicode MS">
    <w:altName w:val="宋体"/>
    <w:panose1 w:val="020B0604020202020204"/>
    <w:charset w:val="86"/>
    <w:family w:val="roman"/>
    <w:pitch w:val="default"/>
    <w:sig w:usb0="00000000" w:usb1="00000000" w:usb2="0000003F" w:usb3="00000000" w:csb0="603F01FF" w:csb1="FFFF0000"/>
  </w:font>
  <w:font w:name="Swis721 Lt BT">
    <w:altName w:val="NumberOnly"/>
    <w:panose1 w:val="020B0403020202020204"/>
    <w:charset w:val="00"/>
    <w:family w:val="swiss"/>
    <w:pitch w:val="default"/>
    <w:sig w:usb0="00000000" w:usb1="00000000" w:usb2="00000000" w:usb3="00000000" w:csb0="00000000" w:csb1="00000000"/>
  </w:font>
  <w:font w:name="NumberOnly">
    <w:panose1 w:val="020B0500000000000000"/>
    <w:charset w:val="00"/>
    <w:family w:val="auto"/>
    <w:pitch w:val="default"/>
    <w:sig w:usb0="8000002F" w:usb1="10000048" w:usb2="00000000" w:usb3="00000000" w:csb0="00000111" w:csb1="40000000"/>
  </w:font>
  <w:font w:name="Garamond">
    <w:altName w:val="PMingLiU-ExtB"/>
    <w:panose1 w:val="02020404030301010803"/>
    <w:charset w:val="00"/>
    <w:family w:val="roman"/>
    <w:pitch w:val="default"/>
    <w:sig w:usb0="00000000" w:usb1="00000000" w:usb2="00000000" w:usb3="00000000" w:csb0="0000009F" w:csb1="DFD70000"/>
  </w:font>
  <w:font w:name="PMingLiU-ExtB">
    <w:panose1 w:val="02020500000000000000"/>
    <w:charset w:val="88"/>
    <w:family w:val="auto"/>
    <w:pitch w:val="default"/>
    <w:sig w:usb0="8000002F" w:usb1="02000008" w:usb2="00000000" w:usb3="00000000" w:csb0="00100001" w:csb1="00000000"/>
  </w:font>
  <w:font w:name="EtGsHeiBold">
    <w:altName w:val="黑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A00002EF" w:usb1="4000207B" w:usb2="00000000" w:usb3="00000000" w:csb0="2000019F"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长城仿宋">
    <w:altName w:val="黑体"/>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840209">
    <w:pPr>
      <w:pStyle w:val="3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505CC6">
                          <w:pPr>
                            <w:pStyle w:val="3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71505CC6">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F535CA">
    <w:pPr>
      <w:pStyle w:val="35"/>
      <w:framePr w:wrap="around" w:vAnchor="text" w:hAnchor="margin" w:xAlign="right" w:y="1"/>
      <w:rPr>
        <w:rStyle w:val="55"/>
      </w:rPr>
    </w:pPr>
    <w:r>
      <w:fldChar w:fldCharType="begin"/>
    </w:r>
    <w:r>
      <w:rPr>
        <w:rStyle w:val="55"/>
      </w:rPr>
      <w:instrText xml:space="preserve">PAGE  </w:instrText>
    </w:r>
    <w:r>
      <w:fldChar w:fldCharType="end"/>
    </w:r>
  </w:p>
  <w:p w14:paraId="1A2F146E">
    <w:pPr>
      <w:pStyle w:val="3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3B9463">
    <w:pPr>
      <w:pStyle w:val="35"/>
      <w:jc w:val="right"/>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5100DD8">
                          <w:pPr>
                            <w:pStyle w:val="35"/>
                            <w:jc w:val="right"/>
                          </w:pPr>
                          <w:r>
                            <w:fldChar w:fldCharType="begin"/>
                          </w:r>
                          <w:r>
                            <w:instrText xml:space="preserve">PAGE   \* MERGEFORMAT</w:instrText>
                          </w:r>
                          <w:r>
                            <w:fldChar w:fldCharType="separate"/>
                          </w:r>
                          <w:r>
                            <w:rPr>
                              <w:lang w:val="zh-CN"/>
                            </w:rPr>
                            <w:t>5</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15100DD8">
                    <w:pPr>
                      <w:pStyle w:val="35"/>
                      <w:jc w:val="right"/>
                    </w:pPr>
                    <w:r>
                      <w:fldChar w:fldCharType="begin"/>
                    </w:r>
                    <w:r>
                      <w:instrText xml:space="preserve">PAGE   \* MERGEFORMAT</w:instrText>
                    </w:r>
                    <w:r>
                      <w:fldChar w:fldCharType="separate"/>
                    </w:r>
                    <w:r>
                      <w:rPr>
                        <w:lang w:val="zh-CN"/>
                      </w:rPr>
                      <w:t>5</w:t>
                    </w:r>
                    <w:r>
                      <w:fldChar w:fldCharType="end"/>
                    </w:r>
                  </w:p>
                </w:txbxContent>
              </v:textbox>
            </v:shape>
          </w:pict>
        </mc:Fallback>
      </mc:AlternateContent>
    </w:r>
  </w:p>
  <w:p w14:paraId="5C945AD3">
    <w:pPr>
      <w:pStyle w:val="3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1A8965">
    <w:pPr>
      <w:pStyle w:val="35"/>
      <w:jc w:val="right"/>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EB42CA2">
                          <w:pPr>
                            <w:pStyle w:val="35"/>
                            <w:jc w:val="right"/>
                          </w:pPr>
                          <w:r>
                            <w:fldChar w:fldCharType="begin"/>
                          </w:r>
                          <w:r>
                            <w:instrText xml:space="preserve">PAGE   \* MERGEFORMAT</w:instrText>
                          </w:r>
                          <w:r>
                            <w:fldChar w:fldCharType="separate"/>
                          </w:r>
                          <w:r>
                            <w:rPr>
                              <w:lang w:val="zh-CN"/>
                            </w:rPr>
                            <w:t>5</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DkjEckBAACZAwAADgAAAGRycy9lMm9Eb2MueG1srVPNjtMwEL4j8Q6W&#10;79TZSou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kOSMRyQEAAJkDAAAOAAAAAAAAAAEAIAAAAB4BAABkcnMvZTJvRG9j&#10;LnhtbFBLBQYAAAAABgAGAFkBAABZBQAAAAA=&#10;">
              <v:fill on="f" focussize="0,0"/>
              <v:stroke on="f"/>
              <v:imagedata o:title=""/>
              <o:lock v:ext="edit" aspectratio="f"/>
              <v:textbox inset="0mm,0mm,0mm,0mm" style="mso-fit-shape-to-text:t;">
                <w:txbxContent>
                  <w:p w14:paraId="4EB42CA2">
                    <w:pPr>
                      <w:pStyle w:val="35"/>
                      <w:jc w:val="right"/>
                    </w:pPr>
                    <w:r>
                      <w:fldChar w:fldCharType="begin"/>
                    </w:r>
                    <w:r>
                      <w:instrText xml:space="preserve">PAGE   \* MERGEFORMAT</w:instrText>
                    </w:r>
                    <w:r>
                      <w:fldChar w:fldCharType="separate"/>
                    </w:r>
                    <w:r>
                      <w:rPr>
                        <w:lang w:val="zh-CN"/>
                      </w:rPr>
                      <w:t>5</w:t>
                    </w:r>
                    <w:r>
                      <w:fldChar w:fldCharType="end"/>
                    </w:r>
                  </w:p>
                </w:txbxContent>
              </v:textbox>
            </v:shape>
          </w:pict>
        </mc:Fallback>
      </mc:AlternateContent>
    </w:r>
  </w:p>
  <w:p w14:paraId="329599CE">
    <w:pPr>
      <w:pStyle w:val="35"/>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BE522C">
    <w:pPr>
      <w:pStyle w:val="35"/>
      <w:jc w:val="right"/>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36412B8">
                          <w:pPr>
                            <w:pStyle w:val="35"/>
                            <w:jc w:val="right"/>
                          </w:pPr>
                          <w:r>
                            <w:fldChar w:fldCharType="begin"/>
                          </w:r>
                          <w:r>
                            <w:instrText xml:space="preserve">PAGE   \* MERGEFORMAT</w:instrText>
                          </w:r>
                          <w:r>
                            <w:fldChar w:fldCharType="separate"/>
                          </w:r>
                          <w:r>
                            <w:rPr>
                              <w:lang w:val="zh-CN"/>
                            </w:rPr>
                            <w:t>5</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DSS+knIAQAAmQMAAA4AAAAAAAAAAQAgAAAAHgEAAGRycy9lMm9Eb2Mu&#10;eG1sUEsFBgAAAAAGAAYAWQEAAFgFAAAAAA==&#10;">
              <v:fill on="f" focussize="0,0"/>
              <v:stroke on="f"/>
              <v:imagedata o:title=""/>
              <o:lock v:ext="edit" aspectratio="f"/>
              <v:textbox inset="0mm,0mm,0mm,0mm" style="mso-fit-shape-to-text:t;">
                <w:txbxContent>
                  <w:p w14:paraId="036412B8">
                    <w:pPr>
                      <w:pStyle w:val="35"/>
                      <w:jc w:val="right"/>
                    </w:pPr>
                    <w:r>
                      <w:fldChar w:fldCharType="begin"/>
                    </w:r>
                    <w:r>
                      <w:instrText xml:space="preserve">PAGE   \* MERGEFORMAT</w:instrText>
                    </w:r>
                    <w:r>
                      <w:fldChar w:fldCharType="separate"/>
                    </w:r>
                    <w:r>
                      <w:rPr>
                        <w:lang w:val="zh-CN"/>
                      </w:rPr>
                      <w:t>5</w:t>
                    </w:r>
                    <w:r>
                      <w:fldChar w:fldCharType="end"/>
                    </w:r>
                  </w:p>
                </w:txbxContent>
              </v:textbox>
            </v:shape>
          </w:pict>
        </mc:Fallback>
      </mc:AlternateContent>
    </w:r>
  </w:p>
  <w:p w14:paraId="3CF43B62">
    <w:pPr>
      <w:pStyle w:val="35"/>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D1E8FD">
    <w:pPr>
      <w:pStyle w:val="35"/>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300" cy="131445"/>
              <wp:effectExtent l="0" t="0" r="0" b="0"/>
              <wp:wrapNone/>
              <wp:docPr id="3" name="文本框 3"/>
              <wp:cNvGraphicFramePr/>
              <a:graphic xmlns:a="http://schemas.openxmlformats.org/drawingml/2006/main">
                <a:graphicData uri="http://schemas.microsoft.com/office/word/2010/wordprocessingShape">
                  <wps:wsp>
                    <wps:cNvSpPr txBox="1"/>
                    <wps:spPr>
                      <a:xfrm>
                        <a:off x="0" y="0"/>
                        <a:ext cx="114300" cy="131445"/>
                      </a:xfrm>
                      <a:prstGeom prst="rect">
                        <a:avLst/>
                      </a:prstGeom>
                      <a:noFill/>
                      <a:ln w="6350">
                        <a:noFill/>
                      </a:ln>
                    </wps:spPr>
                    <wps:txbx>
                      <w:txbxContent>
                        <w:p w14:paraId="60E674CB">
                          <w:pPr>
                            <w:pStyle w:val="35"/>
                          </w:pPr>
                          <w:r>
                            <w:fldChar w:fldCharType="begin"/>
                          </w:r>
                          <w:r>
                            <w:instrText xml:space="preserve"> PAGE  \* MERGEFORMAT </w:instrText>
                          </w:r>
                          <w:r>
                            <w:fldChar w:fldCharType="separate"/>
                          </w:r>
                          <w:r>
                            <w:t>38</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0.35pt;width:9pt;mso-position-horizontal:center;mso-position-horizontal-relative:margin;mso-wrap-style:none;z-index:251659264;mso-width-relative:page;mso-height-relative:page;" filled="f" stroked="f" coordsize="21600,21600" o:gfxdata="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5MftG9EAAAADAQAADwAAAAAAAAABACAAAAAiAAAA&#10;ZHJzL2Rvd25yZXYueG1sUEsBAhQAFAAAAAgAh07iQHgSbNXVAQAAoAMAAA4AAAAAAAAAAQAgAAAA&#10;IAEAAGRycy9lMm9Eb2MueG1sUEsFBgAAAAAGAAYAWQEAAGcFAAAAAA==&#10;">
              <v:fill on="f" focussize="0,0"/>
              <v:stroke on="f" weight="0.5pt"/>
              <v:imagedata o:title=""/>
              <o:lock v:ext="edit" aspectratio="f"/>
              <v:textbox inset="0mm,0mm,0mm,0mm" style="mso-fit-shape-to-text:t;">
                <w:txbxContent>
                  <w:p w14:paraId="60E674CB">
                    <w:pPr>
                      <w:pStyle w:val="35"/>
                    </w:pPr>
                    <w:r>
                      <w:fldChar w:fldCharType="begin"/>
                    </w:r>
                    <w:r>
                      <w:instrText xml:space="preserve"> PAGE  \* MERGEFORMAT </w:instrText>
                    </w:r>
                    <w:r>
                      <w:fldChar w:fldCharType="separate"/>
                    </w:r>
                    <w:r>
                      <w:t>38</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6BD94A">
    <w:pPr>
      <w:pStyle w:val="35"/>
      <w:framePr w:wrap="around" w:vAnchor="text" w:hAnchor="margin" w:xAlign="right" w:y="1"/>
      <w:rPr>
        <w:rStyle w:val="55"/>
      </w:rPr>
    </w:pPr>
    <w:r>
      <w:fldChar w:fldCharType="begin"/>
    </w:r>
    <w:r>
      <w:rPr>
        <w:rStyle w:val="55"/>
      </w:rPr>
      <w:instrText xml:space="preserve">PAGE  </w:instrText>
    </w:r>
    <w:r>
      <w:fldChar w:fldCharType="separate"/>
    </w:r>
    <w:r>
      <w:rPr>
        <w:rStyle w:val="55"/>
      </w:rPr>
      <w:t>53</w:t>
    </w:r>
    <w:r>
      <w:fldChar w:fldCharType="end"/>
    </w:r>
  </w:p>
  <w:p w14:paraId="23911B4C">
    <w:pPr>
      <w:pStyle w:val="35"/>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676394">
    <w:pPr>
      <w:pStyle w:val="35"/>
      <w:ind w:right="36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B22A6BC">
                          <w:pPr>
                            <w:pStyle w:val="35"/>
                            <w:rPr>
                              <w:rStyle w:val="55"/>
                            </w:rPr>
                          </w:pPr>
                          <w:r>
                            <w:fldChar w:fldCharType="begin"/>
                          </w:r>
                          <w:r>
                            <w:rPr>
                              <w:rStyle w:val="55"/>
                            </w:rPr>
                            <w:instrText xml:space="preserve">PAGE  </w:instrText>
                          </w:r>
                          <w:r>
                            <w:fldChar w:fldCharType="separate"/>
                          </w:r>
                          <w:r>
                            <w:rPr>
                              <w:rStyle w:val="55"/>
                            </w:rPr>
                            <w:t>57</w:t>
                          </w:r>
                          <w:r>
                            <w:fldChar w:fldCharType="end"/>
                          </w:r>
                        </w:p>
                      </w:txbxContent>
                    </wps:txbx>
                    <wps:bodyPr wrap="none" lIns="0" tIns="0" rIns="0" bIns="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OqXm5zwAAAAUBAAAPAAAAAAAAAAEAIAAAACIAAABkcnMvZG93bnJldi54bWxQSwEC&#10;FAAUAAAACACHTuJAWNB5FMQBAACQAwAADgAAAAAAAAABACAAAAAeAQAAZHJzL2Uyb0RvYy54bWxQ&#10;SwUGAAAAAAYABgBZAQAAVAUAAAAA&#10;">
              <v:fill on="f" focussize="0,0"/>
              <v:stroke on="f"/>
              <v:imagedata o:title=""/>
              <o:lock v:ext="edit" aspectratio="f"/>
              <v:textbox inset="0mm,0mm,0mm,0mm" style="mso-fit-shape-to-text:t;">
                <w:txbxContent>
                  <w:p w14:paraId="7B22A6BC">
                    <w:pPr>
                      <w:pStyle w:val="35"/>
                      <w:rPr>
                        <w:rStyle w:val="55"/>
                      </w:rPr>
                    </w:pPr>
                    <w:r>
                      <w:fldChar w:fldCharType="begin"/>
                    </w:r>
                    <w:r>
                      <w:rPr>
                        <w:rStyle w:val="55"/>
                      </w:rPr>
                      <w:instrText xml:space="preserve">PAGE  </w:instrText>
                    </w:r>
                    <w:r>
                      <w:fldChar w:fldCharType="separate"/>
                    </w:r>
                    <w:r>
                      <w:rPr>
                        <w:rStyle w:val="55"/>
                      </w:rPr>
                      <w:t>57</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9B21D9">
    <w:pPr>
      <w:pStyle w:val="35"/>
      <w:framePr w:wrap="around" w:vAnchor="text" w:hAnchor="margin" w:xAlign="right" w:y="1"/>
      <w:rPr>
        <w:rStyle w:val="55"/>
      </w:rPr>
    </w:pPr>
    <w:r>
      <w:fldChar w:fldCharType="begin"/>
    </w:r>
    <w:r>
      <w:rPr>
        <w:rStyle w:val="55"/>
      </w:rPr>
      <w:instrText xml:space="preserve">PAGE  </w:instrText>
    </w:r>
    <w:r>
      <w:fldChar w:fldCharType="separate"/>
    </w:r>
    <w:r>
      <w:rPr>
        <w:rStyle w:val="55"/>
      </w:rPr>
      <w:t>53</w:t>
    </w:r>
    <w:r>
      <w:fldChar w:fldCharType="end"/>
    </w:r>
  </w:p>
  <w:p w14:paraId="6B189744">
    <w:pPr>
      <w:pStyle w:val="35"/>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9D31E2">
    <w:pPr>
      <w:pStyle w:val="3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3DC1A3">
    <w:pPr>
      <w:pStyle w:val="36"/>
      <w:rPr>
        <w:rFonts w:hint="eastAsia"/>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3825C3">
    <w:pPr>
      <w:pStyle w:val="36"/>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454D18"/>
    <w:multiLevelType w:val="singleLevel"/>
    <w:tmpl w:val="94454D18"/>
    <w:lvl w:ilvl="0" w:tentative="0">
      <w:start w:val="5"/>
      <w:numFmt w:val="chineseCounting"/>
      <w:suff w:val="space"/>
      <w:lvlText w:val="第%1章"/>
      <w:lvlJc w:val="left"/>
      <w:rPr>
        <w:rFonts w:hint="eastAsia"/>
      </w:rPr>
    </w:lvl>
  </w:abstractNum>
  <w:abstractNum w:abstractNumId="1">
    <w:nsid w:val="FFFFFFFE"/>
    <w:multiLevelType w:val="singleLevel"/>
    <w:tmpl w:val="FFFFFFFE"/>
    <w:lvl w:ilvl="0" w:tentative="0">
      <w:start w:val="0"/>
      <w:numFmt w:val="bullet"/>
      <w:lvlText w:val="*"/>
      <w:lvlJc w:val="left"/>
    </w:lvl>
  </w:abstractNum>
  <w:abstractNum w:abstractNumId="2">
    <w:nsid w:val="00000003"/>
    <w:multiLevelType w:val="multilevel"/>
    <w:tmpl w:val="00000003"/>
    <w:lvl w:ilvl="0" w:tentative="0">
      <w:start w:val="1"/>
      <w:numFmt w:val="bullet"/>
      <w:pStyle w:val="367"/>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3">
    <w:nsid w:val="01D92129"/>
    <w:multiLevelType w:val="multilevel"/>
    <w:tmpl w:val="01D92129"/>
    <w:lvl w:ilvl="0" w:tentative="0">
      <w:start w:val="1"/>
      <w:numFmt w:val="bullet"/>
      <w:pStyle w:val="246"/>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4">
    <w:nsid w:val="34CA79CE"/>
    <w:multiLevelType w:val="multilevel"/>
    <w:tmpl w:val="34CA79CE"/>
    <w:lvl w:ilvl="0" w:tentative="0">
      <w:start w:val="1"/>
      <w:numFmt w:val="japaneseCounting"/>
      <w:lvlText w:val="（%1）"/>
      <w:lvlJc w:val="left"/>
      <w:pPr>
        <w:ind w:left="1200" w:hanging="7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5">
    <w:nsid w:val="3AE757DE"/>
    <w:multiLevelType w:val="singleLevel"/>
    <w:tmpl w:val="3AE757DE"/>
    <w:lvl w:ilvl="0" w:tentative="0">
      <w:start w:val="1"/>
      <w:numFmt w:val="chineseCounting"/>
      <w:suff w:val="nothing"/>
      <w:lvlText w:val="（%1）"/>
      <w:lvlJc w:val="left"/>
      <w:rPr>
        <w:rFonts w:hint="eastAsia"/>
      </w:rPr>
    </w:lvl>
  </w:abstractNum>
  <w:num w:numId="1">
    <w:abstractNumId w:val="3"/>
  </w:num>
  <w:num w:numId="2">
    <w:abstractNumId w:val="1"/>
    <w:lvlOverride w:ilvl="0">
      <w:lvl w:ilvl="0" w:tentative="1">
        <w:start w:val="0"/>
        <w:numFmt w:val="bullet"/>
        <w:pStyle w:val="331"/>
        <w:lvlText w:val=""/>
        <w:legacy w:legacy="1" w:legacySpace="0" w:legacyIndent="360"/>
        <w:lvlJc w:val="left"/>
        <w:rPr>
          <w:rFonts w:hint="default" w:ascii="Symbol" w:hAnsi="Symbol"/>
        </w:rPr>
      </w:lvl>
    </w:lvlOverride>
  </w:num>
  <w:num w:numId="3">
    <w:abstractNumId w:val="2"/>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U2NmMwMjJmYTZiNDAxOGVlMmYyMDY1ZTJjYjkyODMifQ=="/>
  </w:docVars>
  <w:rsids>
    <w:rsidRoot w:val="000008D7"/>
    <w:rsid w:val="000000D7"/>
    <w:rsid w:val="000008D7"/>
    <w:rsid w:val="00000982"/>
    <w:rsid w:val="00001012"/>
    <w:rsid w:val="00002483"/>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2342"/>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8BF"/>
    <w:rsid w:val="0004133E"/>
    <w:rsid w:val="00041400"/>
    <w:rsid w:val="00042906"/>
    <w:rsid w:val="00042B0A"/>
    <w:rsid w:val="00042D09"/>
    <w:rsid w:val="0004358C"/>
    <w:rsid w:val="000443E9"/>
    <w:rsid w:val="00046410"/>
    <w:rsid w:val="000506AD"/>
    <w:rsid w:val="00050BC4"/>
    <w:rsid w:val="000564F0"/>
    <w:rsid w:val="000613FD"/>
    <w:rsid w:val="000619E3"/>
    <w:rsid w:val="00062B2D"/>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6D7C"/>
    <w:rsid w:val="000C0C00"/>
    <w:rsid w:val="000C0D42"/>
    <w:rsid w:val="000C2016"/>
    <w:rsid w:val="000C3CA7"/>
    <w:rsid w:val="000C467E"/>
    <w:rsid w:val="000C66EB"/>
    <w:rsid w:val="000C7836"/>
    <w:rsid w:val="000C7ED0"/>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5DA4"/>
    <w:rsid w:val="000E7566"/>
    <w:rsid w:val="000F0E9C"/>
    <w:rsid w:val="000F1697"/>
    <w:rsid w:val="000F1A7E"/>
    <w:rsid w:val="000F1AAD"/>
    <w:rsid w:val="000F27C0"/>
    <w:rsid w:val="000F3CF8"/>
    <w:rsid w:val="000F49E3"/>
    <w:rsid w:val="0010004F"/>
    <w:rsid w:val="00101ECD"/>
    <w:rsid w:val="00103337"/>
    <w:rsid w:val="00104CD7"/>
    <w:rsid w:val="00105F07"/>
    <w:rsid w:val="001061BD"/>
    <w:rsid w:val="001075D4"/>
    <w:rsid w:val="00107922"/>
    <w:rsid w:val="0011436D"/>
    <w:rsid w:val="0011500F"/>
    <w:rsid w:val="00115AB1"/>
    <w:rsid w:val="00115C8D"/>
    <w:rsid w:val="0011633C"/>
    <w:rsid w:val="0011699B"/>
    <w:rsid w:val="00117359"/>
    <w:rsid w:val="0012002A"/>
    <w:rsid w:val="001203B4"/>
    <w:rsid w:val="00120E48"/>
    <w:rsid w:val="00120E93"/>
    <w:rsid w:val="001211AF"/>
    <w:rsid w:val="001211C4"/>
    <w:rsid w:val="00122435"/>
    <w:rsid w:val="00122650"/>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7343"/>
    <w:rsid w:val="00150565"/>
    <w:rsid w:val="00150B67"/>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FE2"/>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70B2"/>
    <w:rsid w:val="0017794D"/>
    <w:rsid w:val="00177E86"/>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E47"/>
    <w:rsid w:val="00193193"/>
    <w:rsid w:val="001933CE"/>
    <w:rsid w:val="0019594D"/>
    <w:rsid w:val="00195D15"/>
    <w:rsid w:val="0019772B"/>
    <w:rsid w:val="001A040C"/>
    <w:rsid w:val="001A0CA1"/>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656"/>
    <w:rsid w:val="001B6E16"/>
    <w:rsid w:val="001B723B"/>
    <w:rsid w:val="001B7641"/>
    <w:rsid w:val="001C06E9"/>
    <w:rsid w:val="001C28BA"/>
    <w:rsid w:val="001C2997"/>
    <w:rsid w:val="001C2A56"/>
    <w:rsid w:val="001C3298"/>
    <w:rsid w:val="001C5E5D"/>
    <w:rsid w:val="001C5F4F"/>
    <w:rsid w:val="001C710B"/>
    <w:rsid w:val="001D14D8"/>
    <w:rsid w:val="001D1795"/>
    <w:rsid w:val="001D25F4"/>
    <w:rsid w:val="001D27ED"/>
    <w:rsid w:val="001D3780"/>
    <w:rsid w:val="001D4771"/>
    <w:rsid w:val="001D49BC"/>
    <w:rsid w:val="001D4C93"/>
    <w:rsid w:val="001D5237"/>
    <w:rsid w:val="001D5EEC"/>
    <w:rsid w:val="001D5F4B"/>
    <w:rsid w:val="001D79CF"/>
    <w:rsid w:val="001D7C46"/>
    <w:rsid w:val="001E127E"/>
    <w:rsid w:val="001E1758"/>
    <w:rsid w:val="001E1E24"/>
    <w:rsid w:val="001E2D20"/>
    <w:rsid w:val="001E31D0"/>
    <w:rsid w:val="001E5205"/>
    <w:rsid w:val="001E5BEF"/>
    <w:rsid w:val="001E5E95"/>
    <w:rsid w:val="001E5F02"/>
    <w:rsid w:val="001E6332"/>
    <w:rsid w:val="001E69CC"/>
    <w:rsid w:val="001E75D7"/>
    <w:rsid w:val="001E7F3C"/>
    <w:rsid w:val="001F2640"/>
    <w:rsid w:val="001F392B"/>
    <w:rsid w:val="001F3E92"/>
    <w:rsid w:val="001F6544"/>
    <w:rsid w:val="001F666D"/>
    <w:rsid w:val="00200040"/>
    <w:rsid w:val="00200D14"/>
    <w:rsid w:val="0020128B"/>
    <w:rsid w:val="00201789"/>
    <w:rsid w:val="00201F09"/>
    <w:rsid w:val="00202F5D"/>
    <w:rsid w:val="00203374"/>
    <w:rsid w:val="00203987"/>
    <w:rsid w:val="002048B3"/>
    <w:rsid w:val="0020547F"/>
    <w:rsid w:val="002056ED"/>
    <w:rsid w:val="00205E8B"/>
    <w:rsid w:val="00206BD1"/>
    <w:rsid w:val="002073FD"/>
    <w:rsid w:val="0021041B"/>
    <w:rsid w:val="00210F5C"/>
    <w:rsid w:val="002115C9"/>
    <w:rsid w:val="00211E99"/>
    <w:rsid w:val="00212D31"/>
    <w:rsid w:val="00213376"/>
    <w:rsid w:val="002140DF"/>
    <w:rsid w:val="002150EF"/>
    <w:rsid w:val="002158A3"/>
    <w:rsid w:val="0021593D"/>
    <w:rsid w:val="00216145"/>
    <w:rsid w:val="00216B81"/>
    <w:rsid w:val="002201D6"/>
    <w:rsid w:val="00222CC7"/>
    <w:rsid w:val="00224AC6"/>
    <w:rsid w:val="00224F0F"/>
    <w:rsid w:val="00225F3C"/>
    <w:rsid w:val="00226696"/>
    <w:rsid w:val="0022719D"/>
    <w:rsid w:val="00230118"/>
    <w:rsid w:val="00230405"/>
    <w:rsid w:val="00231102"/>
    <w:rsid w:val="00231955"/>
    <w:rsid w:val="00231BE9"/>
    <w:rsid w:val="00232BC3"/>
    <w:rsid w:val="00232D58"/>
    <w:rsid w:val="0023377F"/>
    <w:rsid w:val="00234C51"/>
    <w:rsid w:val="00234CFA"/>
    <w:rsid w:val="00234DBC"/>
    <w:rsid w:val="0023522F"/>
    <w:rsid w:val="00236025"/>
    <w:rsid w:val="00237195"/>
    <w:rsid w:val="00237311"/>
    <w:rsid w:val="002376EA"/>
    <w:rsid w:val="00237F85"/>
    <w:rsid w:val="00240FD9"/>
    <w:rsid w:val="002416B3"/>
    <w:rsid w:val="00241B26"/>
    <w:rsid w:val="002423EE"/>
    <w:rsid w:val="00243F54"/>
    <w:rsid w:val="0024470F"/>
    <w:rsid w:val="002447DE"/>
    <w:rsid w:val="00244A69"/>
    <w:rsid w:val="00245FD3"/>
    <w:rsid w:val="0024795F"/>
    <w:rsid w:val="002502E5"/>
    <w:rsid w:val="00250F86"/>
    <w:rsid w:val="00251532"/>
    <w:rsid w:val="00251E02"/>
    <w:rsid w:val="002523A0"/>
    <w:rsid w:val="00252FA6"/>
    <w:rsid w:val="002540FE"/>
    <w:rsid w:val="0025580C"/>
    <w:rsid w:val="00257DAF"/>
    <w:rsid w:val="00260B8A"/>
    <w:rsid w:val="002610A4"/>
    <w:rsid w:val="002610B7"/>
    <w:rsid w:val="00262746"/>
    <w:rsid w:val="0026279E"/>
    <w:rsid w:val="002629B8"/>
    <w:rsid w:val="002637B7"/>
    <w:rsid w:val="00263953"/>
    <w:rsid w:val="00265BBF"/>
    <w:rsid w:val="00267D56"/>
    <w:rsid w:val="00267E1E"/>
    <w:rsid w:val="00267E9D"/>
    <w:rsid w:val="002703F5"/>
    <w:rsid w:val="002704A0"/>
    <w:rsid w:val="00270AF3"/>
    <w:rsid w:val="00271033"/>
    <w:rsid w:val="00271842"/>
    <w:rsid w:val="0027225B"/>
    <w:rsid w:val="002732F3"/>
    <w:rsid w:val="00273551"/>
    <w:rsid w:val="0027564C"/>
    <w:rsid w:val="00275BEC"/>
    <w:rsid w:val="0027713A"/>
    <w:rsid w:val="00281C26"/>
    <w:rsid w:val="00281D6C"/>
    <w:rsid w:val="0028211A"/>
    <w:rsid w:val="0028245B"/>
    <w:rsid w:val="0028256C"/>
    <w:rsid w:val="00283EEB"/>
    <w:rsid w:val="00283F53"/>
    <w:rsid w:val="00284846"/>
    <w:rsid w:val="0028709A"/>
    <w:rsid w:val="00287A4C"/>
    <w:rsid w:val="00287CB6"/>
    <w:rsid w:val="00290279"/>
    <w:rsid w:val="002904A8"/>
    <w:rsid w:val="00291639"/>
    <w:rsid w:val="002917A2"/>
    <w:rsid w:val="002919BB"/>
    <w:rsid w:val="00291ACA"/>
    <w:rsid w:val="00292075"/>
    <w:rsid w:val="002931D7"/>
    <w:rsid w:val="00293D18"/>
    <w:rsid w:val="00293E83"/>
    <w:rsid w:val="00294734"/>
    <w:rsid w:val="00294AA6"/>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0EC"/>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13D2"/>
    <w:rsid w:val="002C1617"/>
    <w:rsid w:val="002C225E"/>
    <w:rsid w:val="002C22ED"/>
    <w:rsid w:val="002C2458"/>
    <w:rsid w:val="002C3A42"/>
    <w:rsid w:val="002C4831"/>
    <w:rsid w:val="002C60DA"/>
    <w:rsid w:val="002C75C7"/>
    <w:rsid w:val="002C7C32"/>
    <w:rsid w:val="002C7CEB"/>
    <w:rsid w:val="002D00B5"/>
    <w:rsid w:val="002D0460"/>
    <w:rsid w:val="002D0E9E"/>
    <w:rsid w:val="002D0EF1"/>
    <w:rsid w:val="002D30A1"/>
    <w:rsid w:val="002D3B6A"/>
    <w:rsid w:val="002D3E53"/>
    <w:rsid w:val="002D3F3F"/>
    <w:rsid w:val="002D4FD4"/>
    <w:rsid w:val="002D55E7"/>
    <w:rsid w:val="002D5618"/>
    <w:rsid w:val="002D5C8A"/>
    <w:rsid w:val="002D64F0"/>
    <w:rsid w:val="002D7319"/>
    <w:rsid w:val="002D7868"/>
    <w:rsid w:val="002D7A6C"/>
    <w:rsid w:val="002E0457"/>
    <w:rsid w:val="002E248E"/>
    <w:rsid w:val="002E2720"/>
    <w:rsid w:val="002E41B1"/>
    <w:rsid w:val="002E693C"/>
    <w:rsid w:val="002E7726"/>
    <w:rsid w:val="002E778F"/>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C39"/>
    <w:rsid w:val="00300A2B"/>
    <w:rsid w:val="00301A8E"/>
    <w:rsid w:val="00303917"/>
    <w:rsid w:val="0030519A"/>
    <w:rsid w:val="003053BE"/>
    <w:rsid w:val="00306069"/>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4DA4"/>
    <w:rsid w:val="00325AE7"/>
    <w:rsid w:val="00327650"/>
    <w:rsid w:val="0032793D"/>
    <w:rsid w:val="0033143D"/>
    <w:rsid w:val="003316EC"/>
    <w:rsid w:val="00331D49"/>
    <w:rsid w:val="00333787"/>
    <w:rsid w:val="00333E4D"/>
    <w:rsid w:val="00333FF2"/>
    <w:rsid w:val="00334654"/>
    <w:rsid w:val="003351C3"/>
    <w:rsid w:val="00336434"/>
    <w:rsid w:val="00337759"/>
    <w:rsid w:val="00341C72"/>
    <w:rsid w:val="0034332B"/>
    <w:rsid w:val="0034357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7199"/>
    <w:rsid w:val="0036004B"/>
    <w:rsid w:val="00361EE0"/>
    <w:rsid w:val="003625F1"/>
    <w:rsid w:val="00362A23"/>
    <w:rsid w:val="00362BDE"/>
    <w:rsid w:val="0036342C"/>
    <w:rsid w:val="00363A6F"/>
    <w:rsid w:val="0036408B"/>
    <w:rsid w:val="00364BD6"/>
    <w:rsid w:val="00365026"/>
    <w:rsid w:val="00365F00"/>
    <w:rsid w:val="00366E5F"/>
    <w:rsid w:val="00367823"/>
    <w:rsid w:val="003679A6"/>
    <w:rsid w:val="00371097"/>
    <w:rsid w:val="003720F9"/>
    <w:rsid w:val="0037222D"/>
    <w:rsid w:val="0037269D"/>
    <w:rsid w:val="00372AE9"/>
    <w:rsid w:val="003731AB"/>
    <w:rsid w:val="00373C42"/>
    <w:rsid w:val="00374107"/>
    <w:rsid w:val="0037471B"/>
    <w:rsid w:val="00374E81"/>
    <w:rsid w:val="00375C73"/>
    <w:rsid w:val="00375C9C"/>
    <w:rsid w:val="00375E4B"/>
    <w:rsid w:val="0037610E"/>
    <w:rsid w:val="00376A08"/>
    <w:rsid w:val="00377872"/>
    <w:rsid w:val="00377B86"/>
    <w:rsid w:val="00380248"/>
    <w:rsid w:val="00381AEA"/>
    <w:rsid w:val="00382054"/>
    <w:rsid w:val="00382960"/>
    <w:rsid w:val="00382CFD"/>
    <w:rsid w:val="00382E31"/>
    <w:rsid w:val="00383812"/>
    <w:rsid w:val="003844F9"/>
    <w:rsid w:val="00385203"/>
    <w:rsid w:val="00385D19"/>
    <w:rsid w:val="00385E5E"/>
    <w:rsid w:val="00387FE6"/>
    <w:rsid w:val="003907BF"/>
    <w:rsid w:val="00390C00"/>
    <w:rsid w:val="00390F53"/>
    <w:rsid w:val="003A07AE"/>
    <w:rsid w:val="003A0C5F"/>
    <w:rsid w:val="003A0E0F"/>
    <w:rsid w:val="003A16DC"/>
    <w:rsid w:val="003A1DF6"/>
    <w:rsid w:val="003A36F5"/>
    <w:rsid w:val="003A4078"/>
    <w:rsid w:val="003A5A64"/>
    <w:rsid w:val="003A6107"/>
    <w:rsid w:val="003A6363"/>
    <w:rsid w:val="003A6A60"/>
    <w:rsid w:val="003A7FDF"/>
    <w:rsid w:val="003B00AB"/>
    <w:rsid w:val="003B0824"/>
    <w:rsid w:val="003B1627"/>
    <w:rsid w:val="003B5048"/>
    <w:rsid w:val="003B7350"/>
    <w:rsid w:val="003C03BE"/>
    <w:rsid w:val="003C1A76"/>
    <w:rsid w:val="003C2B8C"/>
    <w:rsid w:val="003C3186"/>
    <w:rsid w:val="003C3233"/>
    <w:rsid w:val="003C35DD"/>
    <w:rsid w:val="003C4BD9"/>
    <w:rsid w:val="003C4EF1"/>
    <w:rsid w:val="003D0187"/>
    <w:rsid w:val="003D0193"/>
    <w:rsid w:val="003D03F0"/>
    <w:rsid w:val="003D0640"/>
    <w:rsid w:val="003D0874"/>
    <w:rsid w:val="003D09B1"/>
    <w:rsid w:val="003D0A44"/>
    <w:rsid w:val="003D0C77"/>
    <w:rsid w:val="003D0F62"/>
    <w:rsid w:val="003D275F"/>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BF7"/>
    <w:rsid w:val="003E5F5C"/>
    <w:rsid w:val="003E787F"/>
    <w:rsid w:val="003F007C"/>
    <w:rsid w:val="003F0C1B"/>
    <w:rsid w:val="003F1D9D"/>
    <w:rsid w:val="003F27B4"/>
    <w:rsid w:val="003F2DD4"/>
    <w:rsid w:val="003F3313"/>
    <w:rsid w:val="003F369B"/>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1C92"/>
    <w:rsid w:val="004120B5"/>
    <w:rsid w:val="00412585"/>
    <w:rsid w:val="0041440F"/>
    <w:rsid w:val="00415196"/>
    <w:rsid w:val="004151FB"/>
    <w:rsid w:val="00415670"/>
    <w:rsid w:val="0041683B"/>
    <w:rsid w:val="00417561"/>
    <w:rsid w:val="00420999"/>
    <w:rsid w:val="00420CEE"/>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3C56"/>
    <w:rsid w:val="00443EC0"/>
    <w:rsid w:val="004444DD"/>
    <w:rsid w:val="00444F8D"/>
    <w:rsid w:val="00445682"/>
    <w:rsid w:val="004458FB"/>
    <w:rsid w:val="00447856"/>
    <w:rsid w:val="00450403"/>
    <w:rsid w:val="004506DD"/>
    <w:rsid w:val="0045107F"/>
    <w:rsid w:val="004520E8"/>
    <w:rsid w:val="00454065"/>
    <w:rsid w:val="004540C3"/>
    <w:rsid w:val="0045413A"/>
    <w:rsid w:val="00454A07"/>
    <w:rsid w:val="00455AC8"/>
    <w:rsid w:val="00456565"/>
    <w:rsid w:val="00456D92"/>
    <w:rsid w:val="0046082A"/>
    <w:rsid w:val="00461E0C"/>
    <w:rsid w:val="00462163"/>
    <w:rsid w:val="00462530"/>
    <w:rsid w:val="00462AB2"/>
    <w:rsid w:val="00463AF0"/>
    <w:rsid w:val="004644B7"/>
    <w:rsid w:val="00464715"/>
    <w:rsid w:val="00470C7B"/>
    <w:rsid w:val="004710C1"/>
    <w:rsid w:val="0047123A"/>
    <w:rsid w:val="00471EB1"/>
    <w:rsid w:val="00473D2C"/>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E19"/>
    <w:rsid w:val="004A496A"/>
    <w:rsid w:val="004A4991"/>
    <w:rsid w:val="004A5A82"/>
    <w:rsid w:val="004A6149"/>
    <w:rsid w:val="004A6419"/>
    <w:rsid w:val="004A7021"/>
    <w:rsid w:val="004A77AC"/>
    <w:rsid w:val="004A77E7"/>
    <w:rsid w:val="004B01BD"/>
    <w:rsid w:val="004B0FAB"/>
    <w:rsid w:val="004B2F9A"/>
    <w:rsid w:val="004B46C5"/>
    <w:rsid w:val="004B4A62"/>
    <w:rsid w:val="004B5311"/>
    <w:rsid w:val="004B531D"/>
    <w:rsid w:val="004B5671"/>
    <w:rsid w:val="004B5B77"/>
    <w:rsid w:val="004B6D98"/>
    <w:rsid w:val="004B70FF"/>
    <w:rsid w:val="004B724F"/>
    <w:rsid w:val="004B785E"/>
    <w:rsid w:val="004C2271"/>
    <w:rsid w:val="004C30B4"/>
    <w:rsid w:val="004C3515"/>
    <w:rsid w:val="004C4467"/>
    <w:rsid w:val="004C4AD0"/>
    <w:rsid w:val="004C58A2"/>
    <w:rsid w:val="004C71AD"/>
    <w:rsid w:val="004D0667"/>
    <w:rsid w:val="004D0FED"/>
    <w:rsid w:val="004D1268"/>
    <w:rsid w:val="004D12A0"/>
    <w:rsid w:val="004D196B"/>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6A4D"/>
    <w:rsid w:val="0051056C"/>
    <w:rsid w:val="005112FE"/>
    <w:rsid w:val="005139EC"/>
    <w:rsid w:val="00513F7B"/>
    <w:rsid w:val="00515A94"/>
    <w:rsid w:val="0051671C"/>
    <w:rsid w:val="00517BEE"/>
    <w:rsid w:val="00521D0E"/>
    <w:rsid w:val="005224B8"/>
    <w:rsid w:val="00522816"/>
    <w:rsid w:val="00522C61"/>
    <w:rsid w:val="005243E7"/>
    <w:rsid w:val="00524AEE"/>
    <w:rsid w:val="00524F8C"/>
    <w:rsid w:val="0052782B"/>
    <w:rsid w:val="005279F2"/>
    <w:rsid w:val="005317F5"/>
    <w:rsid w:val="00531BA8"/>
    <w:rsid w:val="00531C72"/>
    <w:rsid w:val="00532162"/>
    <w:rsid w:val="00532CDA"/>
    <w:rsid w:val="00532F3D"/>
    <w:rsid w:val="00533367"/>
    <w:rsid w:val="00533DE1"/>
    <w:rsid w:val="00536F15"/>
    <w:rsid w:val="00537418"/>
    <w:rsid w:val="005378CE"/>
    <w:rsid w:val="00537C87"/>
    <w:rsid w:val="005408A6"/>
    <w:rsid w:val="00540916"/>
    <w:rsid w:val="00540F44"/>
    <w:rsid w:val="005416BB"/>
    <w:rsid w:val="00541ED5"/>
    <w:rsid w:val="00542554"/>
    <w:rsid w:val="005426D0"/>
    <w:rsid w:val="005432DB"/>
    <w:rsid w:val="0054347C"/>
    <w:rsid w:val="00544489"/>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49AD"/>
    <w:rsid w:val="00567536"/>
    <w:rsid w:val="00567F26"/>
    <w:rsid w:val="005701E5"/>
    <w:rsid w:val="0057032B"/>
    <w:rsid w:val="0057062B"/>
    <w:rsid w:val="0057161D"/>
    <w:rsid w:val="00572753"/>
    <w:rsid w:val="00572F07"/>
    <w:rsid w:val="00574C13"/>
    <w:rsid w:val="0057507C"/>
    <w:rsid w:val="00576152"/>
    <w:rsid w:val="00576C1A"/>
    <w:rsid w:val="005774B7"/>
    <w:rsid w:val="0057797D"/>
    <w:rsid w:val="0058038B"/>
    <w:rsid w:val="00580418"/>
    <w:rsid w:val="00580545"/>
    <w:rsid w:val="00581B81"/>
    <w:rsid w:val="00581F83"/>
    <w:rsid w:val="00582007"/>
    <w:rsid w:val="00582424"/>
    <w:rsid w:val="0058350E"/>
    <w:rsid w:val="00584029"/>
    <w:rsid w:val="005844B0"/>
    <w:rsid w:val="00584E81"/>
    <w:rsid w:val="0058513A"/>
    <w:rsid w:val="005867DA"/>
    <w:rsid w:val="00587090"/>
    <w:rsid w:val="00587E98"/>
    <w:rsid w:val="00590DC6"/>
    <w:rsid w:val="005935DB"/>
    <w:rsid w:val="0059448D"/>
    <w:rsid w:val="00595922"/>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1032"/>
    <w:rsid w:val="005B117A"/>
    <w:rsid w:val="005B1435"/>
    <w:rsid w:val="005B48BE"/>
    <w:rsid w:val="005B510C"/>
    <w:rsid w:val="005B51A6"/>
    <w:rsid w:val="005B52AE"/>
    <w:rsid w:val="005B53B9"/>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A7D"/>
    <w:rsid w:val="005C5B0C"/>
    <w:rsid w:val="005C6998"/>
    <w:rsid w:val="005C7347"/>
    <w:rsid w:val="005C73A4"/>
    <w:rsid w:val="005D19D6"/>
    <w:rsid w:val="005D2495"/>
    <w:rsid w:val="005D4E36"/>
    <w:rsid w:val="005D61DB"/>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D90"/>
    <w:rsid w:val="00602898"/>
    <w:rsid w:val="00602EFE"/>
    <w:rsid w:val="006041D0"/>
    <w:rsid w:val="00604364"/>
    <w:rsid w:val="0060471A"/>
    <w:rsid w:val="00606F0F"/>
    <w:rsid w:val="0060721F"/>
    <w:rsid w:val="00607615"/>
    <w:rsid w:val="006121F0"/>
    <w:rsid w:val="00614220"/>
    <w:rsid w:val="00615758"/>
    <w:rsid w:val="006158A0"/>
    <w:rsid w:val="00615F69"/>
    <w:rsid w:val="00616129"/>
    <w:rsid w:val="00617319"/>
    <w:rsid w:val="00620782"/>
    <w:rsid w:val="00620A01"/>
    <w:rsid w:val="006210FB"/>
    <w:rsid w:val="0062210A"/>
    <w:rsid w:val="006226E7"/>
    <w:rsid w:val="006235AB"/>
    <w:rsid w:val="00624D44"/>
    <w:rsid w:val="0062578B"/>
    <w:rsid w:val="00626806"/>
    <w:rsid w:val="0062692C"/>
    <w:rsid w:val="00626F6B"/>
    <w:rsid w:val="00627CE5"/>
    <w:rsid w:val="00627F93"/>
    <w:rsid w:val="00630666"/>
    <w:rsid w:val="00630711"/>
    <w:rsid w:val="00630D39"/>
    <w:rsid w:val="00631751"/>
    <w:rsid w:val="0063287B"/>
    <w:rsid w:val="00632901"/>
    <w:rsid w:val="00632944"/>
    <w:rsid w:val="00633341"/>
    <w:rsid w:val="006342C2"/>
    <w:rsid w:val="00635113"/>
    <w:rsid w:val="006354F7"/>
    <w:rsid w:val="0063690C"/>
    <w:rsid w:val="00636C8F"/>
    <w:rsid w:val="006371D0"/>
    <w:rsid w:val="006375BA"/>
    <w:rsid w:val="00641D07"/>
    <w:rsid w:val="00643660"/>
    <w:rsid w:val="0064443E"/>
    <w:rsid w:val="00644991"/>
    <w:rsid w:val="00645148"/>
    <w:rsid w:val="006452B0"/>
    <w:rsid w:val="00646C90"/>
    <w:rsid w:val="006473A5"/>
    <w:rsid w:val="00647FCD"/>
    <w:rsid w:val="006514C9"/>
    <w:rsid w:val="00652B8D"/>
    <w:rsid w:val="00653F3F"/>
    <w:rsid w:val="0065473B"/>
    <w:rsid w:val="006549EF"/>
    <w:rsid w:val="00654A8A"/>
    <w:rsid w:val="00656071"/>
    <w:rsid w:val="006561AA"/>
    <w:rsid w:val="0065671E"/>
    <w:rsid w:val="00657814"/>
    <w:rsid w:val="0066038A"/>
    <w:rsid w:val="00660D0C"/>
    <w:rsid w:val="00661232"/>
    <w:rsid w:val="00661575"/>
    <w:rsid w:val="0066160E"/>
    <w:rsid w:val="006623D3"/>
    <w:rsid w:val="0066343A"/>
    <w:rsid w:val="00663904"/>
    <w:rsid w:val="0066429D"/>
    <w:rsid w:val="00664962"/>
    <w:rsid w:val="00664B50"/>
    <w:rsid w:val="006658E7"/>
    <w:rsid w:val="00665F27"/>
    <w:rsid w:val="006665BD"/>
    <w:rsid w:val="00667963"/>
    <w:rsid w:val="00670A43"/>
    <w:rsid w:val="00670F40"/>
    <w:rsid w:val="006729FE"/>
    <w:rsid w:val="00672E9E"/>
    <w:rsid w:val="00672FCC"/>
    <w:rsid w:val="006744D7"/>
    <w:rsid w:val="006751FC"/>
    <w:rsid w:val="0067544D"/>
    <w:rsid w:val="00675881"/>
    <w:rsid w:val="00675F26"/>
    <w:rsid w:val="00677B41"/>
    <w:rsid w:val="006812EB"/>
    <w:rsid w:val="00682274"/>
    <w:rsid w:val="006823A7"/>
    <w:rsid w:val="00684866"/>
    <w:rsid w:val="00684979"/>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AC1"/>
    <w:rsid w:val="006A4382"/>
    <w:rsid w:val="006A49ED"/>
    <w:rsid w:val="006A5996"/>
    <w:rsid w:val="006A61C9"/>
    <w:rsid w:val="006A6694"/>
    <w:rsid w:val="006A719A"/>
    <w:rsid w:val="006A7967"/>
    <w:rsid w:val="006A7B8A"/>
    <w:rsid w:val="006B1323"/>
    <w:rsid w:val="006B177F"/>
    <w:rsid w:val="006B483B"/>
    <w:rsid w:val="006B4F08"/>
    <w:rsid w:val="006B57F6"/>
    <w:rsid w:val="006B59C3"/>
    <w:rsid w:val="006B6600"/>
    <w:rsid w:val="006C0C20"/>
    <w:rsid w:val="006C4690"/>
    <w:rsid w:val="006C46A0"/>
    <w:rsid w:val="006C50FA"/>
    <w:rsid w:val="006C610F"/>
    <w:rsid w:val="006C68A0"/>
    <w:rsid w:val="006C6A67"/>
    <w:rsid w:val="006D07CC"/>
    <w:rsid w:val="006D0F4A"/>
    <w:rsid w:val="006D1443"/>
    <w:rsid w:val="006D1734"/>
    <w:rsid w:val="006D198F"/>
    <w:rsid w:val="006D3BB9"/>
    <w:rsid w:val="006D3CD2"/>
    <w:rsid w:val="006D41B1"/>
    <w:rsid w:val="006D4F11"/>
    <w:rsid w:val="006D59F3"/>
    <w:rsid w:val="006D5E60"/>
    <w:rsid w:val="006D7637"/>
    <w:rsid w:val="006E0469"/>
    <w:rsid w:val="006E0C48"/>
    <w:rsid w:val="006E0D69"/>
    <w:rsid w:val="006E193B"/>
    <w:rsid w:val="006E1A0A"/>
    <w:rsid w:val="006E22C7"/>
    <w:rsid w:val="006E3E26"/>
    <w:rsid w:val="006E40D0"/>
    <w:rsid w:val="006E48C8"/>
    <w:rsid w:val="006E77FD"/>
    <w:rsid w:val="006E7B9B"/>
    <w:rsid w:val="006F2A3F"/>
    <w:rsid w:val="006F2C39"/>
    <w:rsid w:val="006F3A07"/>
    <w:rsid w:val="006F456A"/>
    <w:rsid w:val="006F46A2"/>
    <w:rsid w:val="006F472E"/>
    <w:rsid w:val="006F4EAE"/>
    <w:rsid w:val="006F621C"/>
    <w:rsid w:val="006F6602"/>
    <w:rsid w:val="00701CCF"/>
    <w:rsid w:val="00701F11"/>
    <w:rsid w:val="00703865"/>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90B"/>
    <w:rsid w:val="007210E0"/>
    <w:rsid w:val="007227BE"/>
    <w:rsid w:val="0072315A"/>
    <w:rsid w:val="007231B9"/>
    <w:rsid w:val="00723EB9"/>
    <w:rsid w:val="00725572"/>
    <w:rsid w:val="00725F58"/>
    <w:rsid w:val="00727199"/>
    <w:rsid w:val="007271B2"/>
    <w:rsid w:val="0072796F"/>
    <w:rsid w:val="0073127C"/>
    <w:rsid w:val="007328F9"/>
    <w:rsid w:val="007340BD"/>
    <w:rsid w:val="007342DE"/>
    <w:rsid w:val="00735363"/>
    <w:rsid w:val="007361C3"/>
    <w:rsid w:val="00737B27"/>
    <w:rsid w:val="00740FC4"/>
    <w:rsid w:val="00741813"/>
    <w:rsid w:val="00743045"/>
    <w:rsid w:val="007436D9"/>
    <w:rsid w:val="00744767"/>
    <w:rsid w:val="00745231"/>
    <w:rsid w:val="00745B7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24B7"/>
    <w:rsid w:val="00773673"/>
    <w:rsid w:val="007743EF"/>
    <w:rsid w:val="007748FD"/>
    <w:rsid w:val="00775DE8"/>
    <w:rsid w:val="0077644A"/>
    <w:rsid w:val="00780A8F"/>
    <w:rsid w:val="00781A77"/>
    <w:rsid w:val="007820B1"/>
    <w:rsid w:val="00782B2E"/>
    <w:rsid w:val="00782B6C"/>
    <w:rsid w:val="007838C2"/>
    <w:rsid w:val="00784AA8"/>
    <w:rsid w:val="007854D4"/>
    <w:rsid w:val="00785689"/>
    <w:rsid w:val="00785AC9"/>
    <w:rsid w:val="0078631F"/>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825"/>
    <w:rsid w:val="007A60F7"/>
    <w:rsid w:val="007A6B44"/>
    <w:rsid w:val="007A715E"/>
    <w:rsid w:val="007B0B97"/>
    <w:rsid w:val="007B0C07"/>
    <w:rsid w:val="007B199B"/>
    <w:rsid w:val="007B1E68"/>
    <w:rsid w:val="007B2989"/>
    <w:rsid w:val="007B2E5E"/>
    <w:rsid w:val="007B3071"/>
    <w:rsid w:val="007B331B"/>
    <w:rsid w:val="007B4400"/>
    <w:rsid w:val="007B4B7A"/>
    <w:rsid w:val="007B51E5"/>
    <w:rsid w:val="007B5287"/>
    <w:rsid w:val="007B5408"/>
    <w:rsid w:val="007B5BBE"/>
    <w:rsid w:val="007B7083"/>
    <w:rsid w:val="007B7ED0"/>
    <w:rsid w:val="007C2509"/>
    <w:rsid w:val="007C2943"/>
    <w:rsid w:val="007C43A1"/>
    <w:rsid w:val="007C4AC6"/>
    <w:rsid w:val="007C5229"/>
    <w:rsid w:val="007C58FB"/>
    <w:rsid w:val="007C6175"/>
    <w:rsid w:val="007C697B"/>
    <w:rsid w:val="007D12F8"/>
    <w:rsid w:val="007D19D1"/>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44D"/>
    <w:rsid w:val="007E38EF"/>
    <w:rsid w:val="007E43BF"/>
    <w:rsid w:val="007E5AC0"/>
    <w:rsid w:val="007F0439"/>
    <w:rsid w:val="007F1B98"/>
    <w:rsid w:val="007F29F7"/>
    <w:rsid w:val="007F3045"/>
    <w:rsid w:val="007F37A9"/>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4066"/>
    <w:rsid w:val="00824570"/>
    <w:rsid w:val="008246B8"/>
    <w:rsid w:val="008260AE"/>
    <w:rsid w:val="008275C3"/>
    <w:rsid w:val="00827FBC"/>
    <w:rsid w:val="008312D5"/>
    <w:rsid w:val="00832789"/>
    <w:rsid w:val="00833191"/>
    <w:rsid w:val="00834373"/>
    <w:rsid w:val="00834BF2"/>
    <w:rsid w:val="00840E23"/>
    <w:rsid w:val="00841512"/>
    <w:rsid w:val="0084329B"/>
    <w:rsid w:val="008435F2"/>
    <w:rsid w:val="008439CA"/>
    <w:rsid w:val="00843C6C"/>
    <w:rsid w:val="00844017"/>
    <w:rsid w:val="00844647"/>
    <w:rsid w:val="00845A54"/>
    <w:rsid w:val="00845F11"/>
    <w:rsid w:val="0084670F"/>
    <w:rsid w:val="00846EB2"/>
    <w:rsid w:val="00847501"/>
    <w:rsid w:val="008503F9"/>
    <w:rsid w:val="008504A8"/>
    <w:rsid w:val="008519D7"/>
    <w:rsid w:val="00852252"/>
    <w:rsid w:val="00852850"/>
    <w:rsid w:val="00854EC9"/>
    <w:rsid w:val="0085572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5877"/>
    <w:rsid w:val="0087713D"/>
    <w:rsid w:val="00877580"/>
    <w:rsid w:val="008777ED"/>
    <w:rsid w:val="008778D0"/>
    <w:rsid w:val="00877ADF"/>
    <w:rsid w:val="00877BB9"/>
    <w:rsid w:val="00880CEC"/>
    <w:rsid w:val="00880DA4"/>
    <w:rsid w:val="00880DE5"/>
    <w:rsid w:val="00880FFA"/>
    <w:rsid w:val="00882DC2"/>
    <w:rsid w:val="00882F09"/>
    <w:rsid w:val="00883742"/>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A00E1"/>
    <w:rsid w:val="008A1EA0"/>
    <w:rsid w:val="008A40D8"/>
    <w:rsid w:val="008A49B1"/>
    <w:rsid w:val="008A6E6A"/>
    <w:rsid w:val="008A704C"/>
    <w:rsid w:val="008A7E18"/>
    <w:rsid w:val="008B127F"/>
    <w:rsid w:val="008B21E2"/>
    <w:rsid w:val="008B40EA"/>
    <w:rsid w:val="008B41E3"/>
    <w:rsid w:val="008B4684"/>
    <w:rsid w:val="008B4939"/>
    <w:rsid w:val="008B5CBC"/>
    <w:rsid w:val="008B6461"/>
    <w:rsid w:val="008B74A1"/>
    <w:rsid w:val="008B7E22"/>
    <w:rsid w:val="008C0FDA"/>
    <w:rsid w:val="008C1987"/>
    <w:rsid w:val="008C251B"/>
    <w:rsid w:val="008C2D9F"/>
    <w:rsid w:val="008C3109"/>
    <w:rsid w:val="008C3A00"/>
    <w:rsid w:val="008C46EC"/>
    <w:rsid w:val="008C6B14"/>
    <w:rsid w:val="008C6E46"/>
    <w:rsid w:val="008C7762"/>
    <w:rsid w:val="008C7B22"/>
    <w:rsid w:val="008C7FDE"/>
    <w:rsid w:val="008D0443"/>
    <w:rsid w:val="008D11F2"/>
    <w:rsid w:val="008D1960"/>
    <w:rsid w:val="008D27C3"/>
    <w:rsid w:val="008D2925"/>
    <w:rsid w:val="008D2C51"/>
    <w:rsid w:val="008D2F7B"/>
    <w:rsid w:val="008D3142"/>
    <w:rsid w:val="008D459D"/>
    <w:rsid w:val="008D5686"/>
    <w:rsid w:val="008E0497"/>
    <w:rsid w:val="008E0866"/>
    <w:rsid w:val="008E1C7A"/>
    <w:rsid w:val="008E27D5"/>
    <w:rsid w:val="008E2CE5"/>
    <w:rsid w:val="008E4231"/>
    <w:rsid w:val="008E5006"/>
    <w:rsid w:val="008E593E"/>
    <w:rsid w:val="008E647A"/>
    <w:rsid w:val="008E6C72"/>
    <w:rsid w:val="008E70DC"/>
    <w:rsid w:val="008F0063"/>
    <w:rsid w:val="008F017C"/>
    <w:rsid w:val="008F03E1"/>
    <w:rsid w:val="008F0855"/>
    <w:rsid w:val="008F1670"/>
    <w:rsid w:val="008F16F8"/>
    <w:rsid w:val="008F18E9"/>
    <w:rsid w:val="008F22DC"/>
    <w:rsid w:val="008F28CC"/>
    <w:rsid w:val="008F3E1D"/>
    <w:rsid w:val="008F4366"/>
    <w:rsid w:val="008F62A5"/>
    <w:rsid w:val="008F6501"/>
    <w:rsid w:val="008F7302"/>
    <w:rsid w:val="008F783E"/>
    <w:rsid w:val="008F7BC8"/>
    <w:rsid w:val="00900256"/>
    <w:rsid w:val="00900273"/>
    <w:rsid w:val="00900DF9"/>
    <w:rsid w:val="009018F4"/>
    <w:rsid w:val="00902A0E"/>
    <w:rsid w:val="009032CD"/>
    <w:rsid w:val="00903390"/>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471"/>
    <w:rsid w:val="00921E59"/>
    <w:rsid w:val="00922605"/>
    <w:rsid w:val="009228EF"/>
    <w:rsid w:val="00923B05"/>
    <w:rsid w:val="00923E4B"/>
    <w:rsid w:val="00925DE9"/>
    <w:rsid w:val="00927270"/>
    <w:rsid w:val="0093007F"/>
    <w:rsid w:val="009304C7"/>
    <w:rsid w:val="00930B3F"/>
    <w:rsid w:val="00930EDB"/>
    <w:rsid w:val="009326C7"/>
    <w:rsid w:val="0093317A"/>
    <w:rsid w:val="009332E3"/>
    <w:rsid w:val="009344EC"/>
    <w:rsid w:val="00935FBF"/>
    <w:rsid w:val="0093756C"/>
    <w:rsid w:val="009375A7"/>
    <w:rsid w:val="0093794B"/>
    <w:rsid w:val="00942695"/>
    <w:rsid w:val="00942EAE"/>
    <w:rsid w:val="00943482"/>
    <w:rsid w:val="00943F43"/>
    <w:rsid w:val="00943FBE"/>
    <w:rsid w:val="00944B76"/>
    <w:rsid w:val="00944F82"/>
    <w:rsid w:val="00946334"/>
    <w:rsid w:val="00946850"/>
    <w:rsid w:val="00946EE7"/>
    <w:rsid w:val="0094738E"/>
    <w:rsid w:val="00950D3C"/>
    <w:rsid w:val="00950EA3"/>
    <w:rsid w:val="00951AFA"/>
    <w:rsid w:val="00952822"/>
    <w:rsid w:val="0095350E"/>
    <w:rsid w:val="009538B5"/>
    <w:rsid w:val="00953A33"/>
    <w:rsid w:val="00954128"/>
    <w:rsid w:val="00954827"/>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6543"/>
    <w:rsid w:val="0096665F"/>
    <w:rsid w:val="00966AB7"/>
    <w:rsid w:val="00967024"/>
    <w:rsid w:val="00967561"/>
    <w:rsid w:val="009679BD"/>
    <w:rsid w:val="00967F47"/>
    <w:rsid w:val="00970C87"/>
    <w:rsid w:val="009711AC"/>
    <w:rsid w:val="009713C7"/>
    <w:rsid w:val="009717DF"/>
    <w:rsid w:val="0097218E"/>
    <w:rsid w:val="00972BC6"/>
    <w:rsid w:val="00973A0E"/>
    <w:rsid w:val="00973F54"/>
    <w:rsid w:val="0097692E"/>
    <w:rsid w:val="00977C10"/>
    <w:rsid w:val="00980A45"/>
    <w:rsid w:val="00980FED"/>
    <w:rsid w:val="009816E0"/>
    <w:rsid w:val="00981FDA"/>
    <w:rsid w:val="00982289"/>
    <w:rsid w:val="009824C4"/>
    <w:rsid w:val="009827D9"/>
    <w:rsid w:val="00982A7A"/>
    <w:rsid w:val="009833CE"/>
    <w:rsid w:val="00983759"/>
    <w:rsid w:val="009841E5"/>
    <w:rsid w:val="009846B3"/>
    <w:rsid w:val="00984EF9"/>
    <w:rsid w:val="0098573D"/>
    <w:rsid w:val="00985D38"/>
    <w:rsid w:val="00985DA0"/>
    <w:rsid w:val="00986F96"/>
    <w:rsid w:val="009907D6"/>
    <w:rsid w:val="009909D1"/>
    <w:rsid w:val="00991E77"/>
    <w:rsid w:val="00992441"/>
    <w:rsid w:val="00993BCB"/>
    <w:rsid w:val="009943A5"/>
    <w:rsid w:val="00994B29"/>
    <w:rsid w:val="009950E4"/>
    <w:rsid w:val="00995DE8"/>
    <w:rsid w:val="00996A7C"/>
    <w:rsid w:val="00996CD0"/>
    <w:rsid w:val="00997A38"/>
    <w:rsid w:val="00997B54"/>
    <w:rsid w:val="009A01D6"/>
    <w:rsid w:val="009A0C0D"/>
    <w:rsid w:val="009A1997"/>
    <w:rsid w:val="009A1E61"/>
    <w:rsid w:val="009A25BB"/>
    <w:rsid w:val="009A2B42"/>
    <w:rsid w:val="009A47F8"/>
    <w:rsid w:val="009A4AAD"/>
    <w:rsid w:val="009A754A"/>
    <w:rsid w:val="009A7ABF"/>
    <w:rsid w:val="009B11D1"/>
    <w:rsid w:val="009B1619"/>
    <w:rsid w:val="009B1981"/>
    <w:rsid w:val="009B2BDE"/>
    <w:rsid w:val="009B3035"/>
    <w:rsid w:val="009B478C"/>
    <w:rsid w:val="009B47A3"/>
    <w:rsid w:val="009B7BE6"/>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4743"/>
    <w:rsid w:val="009D584D"/>
    <w:rsid w:val="009D60B5"/>
    <w:rsid w:val="009D764A"/>
    <w:rsid w:val="009E07C3"/>
    <w:rsid w:val="009E13FA"/>
    <w:rsid w:val="009E2141"/>
    <w:rsid w:val="009E2D19"/>
    <w:rsid w:val="009E35F9"/>
    <w:rsid w:val="009E36D8"/>
    <w:rsid w:val="009E3A4F"/>
    <w:rsid w:val="009E3F0D"/>
    <w:rsid w:val="009E408B"/>
    <w:rsid w:val="009E5402"/>
    <w:rsid w:val="009E639C"/>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A74"/>
    <w:rsid w:val="00A33226"/>
    <w:rsid w:val="00A33B35"/>
    <w:rsid w:val="00A3624D"/>
    <w:rsid w:val="00A362B4"/>
    <w:rsid w:val="00A367BE"/>
    <w:rsid w:val="00A4029A"/>
    <w:rsid w:val="00A40D39"/>
    <w:rsid w:val="00A442A0"/>
    <w:rsid w:val="00A44926"/>
    <w:rsid w:val="00A44B96"/>
    <w:rsid w:val="00A457B6"/>
    <w:rsid w:val="00A45AAB"/>
    <w:rsid w:val="00A46433"/>
    <w:rsid w:val="00A51199"/>
    <w:rsid w:val="00A5198D"/>
    <w:rsid w:val="00A521C9"/>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A59"/>
    <w:rsid w:val="00A74EB2"/>
    <w:rsid w:val="00A74F0C"/>
    <w:rsid w:val="00A757CD"/>
    <w:rsid w:val="00A75CCA"/>
    <w:rsid w:val="00A7606B"/>
    <w:rsid w:val="00A7645E"/>
    <w:rsid w:val="00A767BF"/>
    <w:rsid w:val="00A77A50"/>
    <w:rsid w:val="00A818AC"/>
    <w:rsid w:val="00A81CFD"/>
    <w:rsid w:val="00A826E5"/>
    <w:rsid w:val="00A8272E"/>
    <w:rsid w:val="00A838FF"/>
    <w:rsid w:val="00A83BE0"/>
    <w:rsid w:val="00A84DFC"/>
    <w:rsid w:val="00A862FA"/>
    <w:rsid w:val="00A87A07"/>
    <w:rsid w:val="00A9085C"/>
    <w:rsid w:val="00A91762"/>
    <w:rsid w:val="00A918FA"/>
    <w:rsid w:val="00A9227A"/>
    <w:rsid w:val="00A9277C"/>
    <w:rsid w:val="00A9281D"/>
    <w:rsid w:val="00A94028"/>
    <w:rsid w:val="00A9477F"/>
    <w:rsid w:val="00A94B20"/>
    <w:rsid w:val="00A94E89"/>
    <w:rsid w:val="00A95425"/>
    <w:rsid w:val="00A976D4"/>
    <w:rsid w:val="00A979A7"/>
    <w:rsid w:val="00AA03BB"/>
    <w:rsid w:val="00AA0420"/>
    <w:rsid w:val="00AA0679"/>
    <w:rsid w:val="00AA0C41"/>
    <w:rsid w:val="00AA0DC5"/>
    <w:rsid w:val="00AA239C"/>
    <w:rsid w:val="00AA2B04"/>
    <w:rsid w:val="00AA38C8"/>
    <w:rsid w:val="00AA3B1F"/>
    <w:rsid w:val="00AA406A"/>
    <w:rsid w:val="00AA4BFF"/>
    <w:rsid w:val="00AA53A7"/>
    <w:rsid w:val="00AA589B"/>
    <w:rsid w:val="00AA7118"/>
    <w:rsid w:val="00AA75C3"/>
    <w:rsid w:val="00AB0855"/>
    <w:rsid w:val="00AB0CE1"/>
    <w:rsid w:val="00AB34F8"/>
    <w:rsid w:val="00AB44E7"/>
    <w:rsid w:val="00AB49E8"/>
    <w:rsid w:val="00AB4BB8"/>
    <w:rsid w:val="00AB4F22"/>
    <w:rsid w:val="00AB51D1"/>
    <w:rsid w:val="00AB5AB3"/>
    <w:rsid w:val="00AB6396"/>
    <w:rsid w:val="00AB643F"/>
    <w:rsid w:val="00AB6559"/>
    <w:rsid w:val="00AB7244"/>
    <w:rsid w:val="00AB7309"/>
    <w:rsid w:val="00AB7328"/>
    <w:rsid w:val="00AC0ACB"/>
    <w:rsid w:val="00AC2264"/>
    <w:rsid w:val="00AC3432"/>
    <w:rsid w:val="00AC47FB"/>
    <w:rsid w:val="00AC4A07"/>
    <w:rsid w:val="00AC6706"/>
    <w:rsid w:val="00AC6CAE"/>
    <w:rsid w:val="00AC7D30"/>
    <w:rsid w:val="00AD0CAF"/>
    <w:rsid w:val="00AD19E7"/>
    <w:rsid w:val="00AD1F1F"/>
    <w:rsid w:val="00AD308A"/>
    <w:rsid w:val="00AD3394"/>
    <w:rsid w:val="00AD38B4"/>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5C14"/>
    <w:rsid w:val="00B775C6"/>
    <w:rsid w:val="00B77608"/>
    <w:rsid w:val="00B77CAA"/>
    <w:rsid w:val="00B80A17"/>
    <w:rsid w:val="00B80A62"/>
    <w:rsid w:val="00B811E6"/>
    <w:rsid w:val="00B8344E"/>
    <w:rsid w:val="00B8423A"/>
    <w:rsid w:val="00B84C67"/>
    <w:rsid w:val="00B850D6"/>
    <w:rsid w:val="00B85BC4"/>
    <w:rsid w:val="00B85F69"/>
    <w:rsid w:val="00B864B4"/>
    <w:rsid w:val="00B90521"/>
    <w:rsid w:val="00B907C2"/>
    <w:rsid w:val="00B92497"/>
    <w:rsid w:val="00B92CE1"/>
    <w:rsid w:val="00B9311E"/>
    <w:rsid w:val="00B942DA"/>
    <w:rsid w:val="00BA0203"/>
    <w:rsid w:val="00BA02E0"/>
    <w:rsid w:val="00BA062E"/>
    <w:rsid w:val="00BA0B26"/>
    <w:rsid w:val="00BA1350"/>
    <w:rsid w:val="00BA142F"/>
    <w:rsid w:val="00BA2A4E"/>
    <w:rsid w:val="00BA2EA7"/>
    <w:rsid w:val="00BA301A"/>
    <w:rsid w:val="00BA3385"/>
    <w:rsid w:val="00BA5096"/>
    <w:rsid w:val="00BA564A"/>
    <w:rsid w:val="00BA5ABB"/>
    <w:rsid w:val="00BA5CE6"/>
    <w:rsid w:val="00BA6098"/>
    <w:rsid w:val="00BA63DA"/>
    <w:rsid w:val="00BA7123"/>
    <w:rsid w:val="00BA7145"/>
    <w:rsid w:val="00BA7C15"/>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162E"/>
    <w:rsid w:val="00BD23A2"/>
    <w:rsid w:val="00BD2620"/>
    <w:rsid w:val="00BD29CE"/>
    <w:rsid w:val="00BD59A2"/>
    <w:rsid w:val="00BD63F9"/>
    <w:rsid w:val="00BD6503"/>
    <w:rsid w:val="00BD7989"/>
    <w:rsid w:val="00BD7FB4"/>
    <w:rsid w:val="00BE1276"/>
    <w:rsid w:val="00BE1638"/>
    <w:rsid w:val="00BE1EE3"/>
    <w:rsid w:val="00BE2BCC"/>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70D9"/>
    <w:rsid w:val="00C01B42"/>
    <w:rsid w:val="00C01DA4"/>
    <w:rsid w:val="00C023B7"/>
    <w:rsid w:val="00C03C15"/>
    <w:rsid w:val="00C03FD9"/>
    <w:rsid w:val="00C066DE"/>
    <w:rsid w:val="00C06E4F"/>
    <w:rsid w:val="00C07E4D"/>
    <w:rsid w:val="00C10C84"/>
    <w:rsid w:val="00C11A42"/>
    <w:rsid w:val="00C125EC"/>
    <w:rsid w:val="00C13BB6"/>
    <w:rsid w:val="00C13E33"/>
    <w:rsid w:val="00C1509D"/>
    <w:rsid w:val="00C150C0"/>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5C00"/>
    <w:rsid w:val="00C76451"/>
    <w:rsid w:val="00C76473"/>
    <w:rsid w:val="00C77B40"/>
    <w:rsid w:val="00C80E68"/>
    <w:rsid w:val="00C80F4B"/>
    <w:rsid w:val="00C817A1"/>
    <w:rsid w:val="00C830DB"/>
    <w:rsid w:val="00C8350D"/>
    <w:rsid w:val="00C8395D"/>
    <w:rsid w:val="00C83A12"/>
    <w:rsid w:val="00C84ABD"/>
    <w:rsid w:val="00C85D97"/>
    <w:rsid w:val="00C8674B"/>
    <w:rsid w:val="00C90443"/>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770"/>
    <w:rsid w:val="00CA584F"/>
    <w:rsid w:val="00CB03BA"/>
    <w:rsid w:val="00CB19F2"/>
    <w:rsid w:val="00CB2030"/>
    <w:rsid w:val="00CB2A48"/>
    <w:rsid w:val="00CB3FF2"/>
    <w:rsid w:val="00CB4630"/>
    <w:rsid w:val="00CB4EE5"/>
    <w:rsid w:val="00CB574F"/>
    <w:rsid w:val="00CB59D2"/>
    <w:rsid w:val="00CB7382"/>
    <w:rsid w:val="00CB7707"/>
    <w:rsid w:val="00CC2B3E"/>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129F"/>
    <w:rsid w:val="00CE197B"/>
    <w:rsid w:val="00CE2A4C"/>
    <w:rsid w:val="00CE3297"/>
    <w:rsid w:val="00CE33D2"/>
    <w:rsid w:val="00CE3493"/>
    <w:rsid w:val="00CE4358"/>
    <w:rsid w:val="00CE4D63"/>
    <w:rsid w:val="00CE61DD"/>
    <w:rsid w:val="00CE6234"/>
    <w:rsid w:val="00CE68AD"/>
    <w:rsid w:val="00CE69F3"/>
    <w:rsid w:val="00CE78F3"/>
    <w:rsid w:val="00CF07F9"/>
    <w:rsid w:val="00CF0BDE"/>
    <w:rsid w:val="00CF26E0"/>
    <w:rsid w:val="00CF27E9"/>
    <w:rsid w:val="00CF297F"/>
    <w:rsid w:val="00CF364C"/>
    <w:rsid w:val="00CF491E"/>
    <w:rsid w:val="00CF5B1A"/>
    <w:rsid w:val="00CF5EF9"/>
    <w:rsid w:val="00CF6441"/>
    <w:rsid w:val="00CF7073"/>
    <w:rsid w:val="00CF7FCF"/>
    <w:rsid w:val="00D00234"/>
    <w:rsid w:val="00D00A7E"/>
    <w:rsid w:val="00D01277"/>
    <w:rsid w:val="00D01FE5"/>
    <w:rsid w:val="00D03ECD"/>
    <w:rsid w:val="00D05828"/>
    <w:rsid w:val="00D05DAE"/>
    <w:rsid w:val="00D067D2"/>
    <w:rsid w:val="00D06BCF"/>
    <w:rsid w:val="00D125B0"/>
    <w:rsid w:val="00D12646"/>
    <w:rsid w:val="00D13011"/>
    <w:rsid w:val="00D139FD"/>
    <w:rsid w:val="00D13FB5"/>
    <w:rsid w:val="00D15850"/>
    <w:rsid w:val="00D15A5D"/>
    <w:rsid w:val="00D15B63"/>
    <w:rsid w:val="00D15EF9"/>
    <w:rsid w:val="00D16571"/>
    <w:rsid w:val="00D175DF"/>
    <w:rsid w:val="00D1760E"/>
    <w:rsid w:val="00D203D4"/>
    <w:rsid w:val="00D2313B"/>
    <w:rsid w:val="00D2424A"/>
    <w:rsid w:val="00D246DF"/>
    <w:rsid w:val="00D25158"/>
    <w:rsid w:val="00D25C84"/>
    <w:rsid w:val="00D26167"/>
    <w:rsid w:val="00D30848"/>
    <w:rsid w:val="00D3123A"/>
    <w:rsid w:val="00D3138A"/>
    <w:rsid w:val="00D31838"/>
    <w:rsid w:val="00D3253C"/>
    <w:rsid w:val="00D3279B"/>
    <w:rsid w:val="00D35870"/>
    <w:rsid w:val="00D35ABE"/>
    <w:rsid w:val="00D361D7"/>
    <w:rsid w:val="00D368B6"/>
    <w:rsid w:val="00D40319"/>
    <w:rsid w:val="00D413CD"/>
    <w:rsid w:val="00D414ED"/>
    <w:rsid w:val="00D417B2"/>
    <w:rsid w:val="00D42ECB"/>
    <w:rsid w:val="00D431ED"/>
    <w:rsid w:val="00D43292"/>
    <w:rsid w:val="00D45500"/>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678E"/>
    <w:rsid w:val="00D670EC"/>
    <w:rsid w:val="00D71491"/>
    <w:rsid w:val="00D73B66"/>
    <w:rsid w:val="00D7463E"/>
    <w:rsid w:val="00D74746"/>
    <w:rsid w:val="00D75015"/>
    <w:rsid w:val="00D75DEE"/>
    <w:rsid w:val="00D7631C"/>
    <w:rsid w:val="00D76640"/>
    <w:rsid w:val="00D771C1"/>
    <w:rsid w:val="00D80264"/>
    <w:rsid w:val="00D80663"/>
    <w:rsid w:val="00D8070E"/>
    <w:rsid w:val="00D80AB5"/>
    <w:rsid w:val="00D82AE8"/>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1FBF"/>
    <w:rsid w:val="00DA2625"/>
    <w:rsid w:val="00DA32F7"/>
    <w:rsid w:val="00DA44E7"/>
    <w:rsid w:val="00DA5246"/>
    <w:rsid w:val="00DA5904"/>
    <w:rsid w:val="00DA5911"/>
    <w:rsid w:val="00DA6462"/>
    <w:rsid w:val="00DA659F"/>
    <w:rsid w:val="00DA6D8D"/>
    <w:rsid w:val="00DA7E59"/>
    <w:rsid w:val="00DB07EB"/>
    <w:rsid w:val="00DB0AD8"/>
    <w:rsid w:val="00DB1161"/>
    <w:rsid w:val="00DB2062"/>
    <w:rsid w:val="00DB5321"/>
    <w:rsid w:val="00DB5AC0"/>
    <w:rsid w:val="00DB608F"/>
    <w:rsid w:val="00DB7183"/>
    <w:rsid w:val="00DB776B"/>
    <w:rsid w:val="00DC03CD"/>
    <w:rsid w:val="00DC1125"/>
    <w:rsid w:val="00DC1CDA"/>
    <w:rsid w:val="00DC2493"/>
    <w:rsid w:val="00DC2BE1"/>
    <w:rsid w:val="00DC2C88"/>
    <w:rsid w:val="00DC3D91"/>
    <w:rsid w:val="00DC400E"/>
    <w:rsid w:val="00DC4DF9"/>
    <w:rsid w:val="00DC553F"/>
    <w:rsid w:val="00DC65EE"/>
    <w:rsid w:val="00DC750E"/>
    <w:rsid w:val="00DD0D15"/>
    <w:rsid w:val="00DD18CE"/>
    <w:rsid w:val="00DD24EE"/>
    <w:rsid w:val="00DD3779"/>
    <w:rsid w:val="00DD40A0"/>
    <w:rsid w:val="00DD642F"/>
    <w:rsid w:val="00DD6BE7"/>
    <w:rsid w:val="00DD6F90"/>
    <w:rsid w:val="00DD7805"/>
    <w:rsid w:val="00DE0112"/>
    <w:rsid w:val="00DE149B"/>
    <w:rsid w:val="00DE2935"/>
    <w:rsid w:val="00DE2E28"/>
    <w:rsid w:val="00DE407F"/>
    <w:rsid w:val="00DE5238"/>
    <w:rsid w:val="00DE58E8"/>
    <w:rsid w:val="00DE6658"/>
    <w:rsid w:val="00DE6882"/>
    <w:rsid w:val="00DE6F54"/>
    <w:rsid w:val="00DF0D83"/>
    <w:rsid w:val="00DF1164"/>
    <w:rsid w:val="00DF1346"/>
    <w:rsid w:val="00DF1451"/>
    <w:rsid w:val="00DF15CD"/>
    <w:rsid w:val="00DF20F5"/>
    <w:rsid w:val="00DF42B1"/>
    <w:rsid w:val="00DF46AF"/>
    <w:rsid w:val="00DF4F98"/>
    <w:rsid w:val="00DF76D9"/>
    <w:rsid w:val="00E00AB6"/>
    <w:rsid w:val="00E00ADC"/>
    <w:rsid w:val="00E01F3B"/>
    <w:rsid w:val="00E025C6"/>
    <w:rsid w:val="00E03DF2"/>
    <w:rsid w:val="00E05C15"/>
    <w:rsid w:val="00E06ECF"/>
    <w:rsid w:val="00E1197D"/>
    <w:rsid w:val="00E12254"/>
    <w:rsid w:val="00E1241D"/>
    <w:rsid w:val="00E12669"/>
    <w:rsid w:val="00E127EB"/>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6121"/>
    <w:rsid w:val="00E269C4"/>
    <w:rsid w:val="00E26BE9"/>
    <w:rsid w:val="00E302BF"/>
    <w:rsid w:val="00E31D7E"/>
    <w:rsid w:val="00E33421"/>
    <w:rsid w:val="00E336BB"/>
    <w:rsid w:val="00E33727"/>
    <w:rsid w:val="00E34AC6"/>
    <w:rsid w:val="00E353AE"/>
    <w:rsid w:val="00E36BFB"/>
    <w:rsid w:val="00E373B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6B4F"/>
    <w:rsid w:val="00E56C44"/>
    <w:rsid w:val="00E60141"/>
    <w:rsid w:val="00E6083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CF9"/>
    <w:rsid w:val="00E77D9E"/>
    <w:rsid w:val="00E8161B"/>
    <w:rsid w:val="00E8179F"/>
    <w:rsid w:val="00E817AA"/>
    <w:rsid w:val="00E821C9"/>
    <w:rsid w:val="00E821F4"/>
    <w:rsid w:val="00E82A05"/>
    <w:rsid w:val="00E82C8C"/>
    <w:rsid w:val="00E8386D"/>
    <w:rsid w:val="00E83FBE"/>
    <w:rsid w:val="00E855F4"/>
    <w:rsid w:val="00E86F6E"/>
    <w:rsid w:val="00E90212"/>
    <w:rsid w:val="00E90699"/>
    <w:rsid w:val="00E906F6"/>
    <w:rsid w:val="00E90B73"/>
    <w:rsid w:val="00E90D95"/>
    <w:rsid w:val="00E90E72"/>
    <w:rsid w:val="00E92173"/>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263A"/>
    <w:rsid w:val="00EA3F73"/>
    <w:rsid w:val="00EA3FF0"/>
    <w:rsid w:val="00EA4693"/>
    <w:rsid w:val="00EA46DC"/>
    <w:rsid w:val="00EA47F5"/>
    <w:rsid w:val="00EA484B"/>
    <w:rsid w:val="00EA5C2F"/>
    <w:rsid w:val="00EA7AA7"/>
    <w:rsid w:val="00EB0890"/>
    <w:rsid w:val="00EB0D20"/>
    <w:rsid w:val="00EB20C0"/>
    <w:rsid w:val="00EB2339"/>
    <w:rsid w:val="00EB248A"/>
    <w:rsid w:val="00EB2737"/>
    <w:rsid w:val="00EB2DD0"/>
    <w:rsid w:val="00EB568D"/>
    <w:rsid w:val="00EB5869"/>
    <w:rsid w:val="00EB5B0E"/>
    <w:rsid w:val="00EB67D4"/>
    <w:rsid w:val="00EB7953"/>
    <w:rsid w:val="00EB7B8D"/>
    <w:rsid w:val="00EC0280"/>
    <w:rsid w:val="00EC13EE"/>
    <w:rsid w:val="00EC1974"/>
    <w:rsid w:val="00EC2DAC"/>
    <w:rsid w:val="00EC2DE1"/>
    <w:rsid w:val="00EC3473"/>
    <w:rsid w:val="00EC3805"/>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2B62"/>
    <w:rsid w:val="00EF35FC"/>
    <w:rsid w:val="00EF3A95"/>
    <w:rsid w:val="00EF4BC5"/>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2154B"/>
    <w:rsid w:val="00F21954"/>
    <w:rsid w:val="00F241E6"/>
    <w:rsid w:val="00F257D7"/>
    <w:rsid w:val="00F266ED"/>
    <w:rsid w:val="00F26960"/>
    <w:rsid w:val="00F26AFA"/>
    <w:rsid w:val="00F27C36"/>
    <w:rsid w:val="00F30869"/>
    <w:rsid w:val="00F3298D"/>
    <w:rsid w:val="00F32FAA"/>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4947"/>
    <w:rsid w:val="00F44ED5"/>
    <w:rsid w:val="00F4618A"/>
    <w:rsid w:val="00F46F96"/>
    <w:rsid w:val="00F50644"/>
    <w:rsid w:val="00F508A6"/>
    <w:rsid w:val="00F50945"/>
    <w:rsid w:val="00F50AC4"/>
    <w:rsid w:val="00F52125"/>
    <w:rsid w:val="00F53CF1"/>
    <w:rsid w:val="00F53E33"/>
    <w:rsid w:val="00F547EF"/>
    <w:rsid w:val="00F57071"/>
    <w:rsid w:val="00F573E6"/>
    <w:rsid w:val="00F60903"/>
    <w:rsid w:val="00F60F99"/>
    <w:rsid w:val="00F621B1"/>
    <w:rsid w:val="00F62400"/>
    <w:rsid w:val="00F62FFF"/>
    <w:rsid w:val="00F63218"/>
    <w:rsid w:val="00F63F39"/>
    <w:rsid w:val="00F642BF"/>
    <w:rsid w:val="00F64887"/>
    <w:rsid w:val="00F66E3B"/>
    <w:rsid w:val="00F67762"/>
    <w:rsid w:val="00F7156A"/>
    <w:rsid w:val="00F71AF7"/>
    <w:rsid w:val="00F7394A"/>
    <w:rsid w:val="00F73ED6"/>
    <w:rsid w:val="00F741FD"/>
    <w:rsid w:val="00F74EF8"/>
    <w:rsid w:val="00F756EF"/>
    <w:rsid w:val="00F75C9C"/>
    <w:rsid w:val="00F75D24"/>
    <w:rsid w:val="00F766DC"/>
    <w:rsid w:val="00F775DA"/>
    <w:rsid w:val="00F8162A"/>
    <w:rsid w:val="00F81D2D"/>
    <w:rsid w:val="00F8231E"/>
    <w:rsid w:val="00F82468"/>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A44"/>
    <w:rsid w:val="00FC13E5"/>
    <w:rsid w:val="00FC1C68"/>
    <w:rsid w:val="00FC1D60"/>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A9"/>
    <w:rsid w:val="00FF54FF"/>
    <w:rsid w:val="00FF6EF2"/>
    <w:rsid w:val="00FF76CF"/>
    <w:rsid w:val="00FF78FC"/>
    <w:rsid w:val="013642CC"/>
    <w:rsid w:val="0160084E"/>
    <w:rsid w:val="017B11E4"/>
    <w:rsid w:val="01BA682D"/>
    <w:rsid w:val="01E15C8B"/>
    <w:rsid w:val="02832FDA"/>
    <w:rsid w:val="03767EB5"/>
    <w:rsid w:val="03AF31FD"/>
    <w:rsid w:val="03B93EBD"/>
    <w:rsid w:val="03BA0CF3"/>
    <w:rsid w:val="03CC3F79"/>
    <w:rsid w:val="03DE1A33"/>
    <w:rsid w:val="03FF6272"/>
    <w:rsid w:val="043D09D3"/>
    <w:rsid w:val="04B769D7"/>
    <w:rsid w:val="04EF7AC1"/>
    <w:rsid w:val="050F6A1B"/>
    <w:rsid w:val="05766836"/>
    <w:rsid w:val="059960DD"/>
    <w:rsid w:val="05F950CB"/>
    <w:rsid w:val="064057E3"/>
    <w:rsid w:val="066466EB"/>
    <w:rsid w:val="067B3A34"/>
    <w:rsid w:val="06F11ACE"/>
    <w:rsid w:val="071E412C"/>
    <w:rsid w:val="07464042"/>
    <w:rsid w:val="07626B41"/>
    <w:rsid w:val="07EC6998"/>
    <w:rsid w:val="083024EA"/>
    <w:rsid w:val="085D1644"/>
    <w:rsid w:val="09020C74"/>
    <w:rsid w:val="09260DC2"/>
    <w:rsid w:val="096B7D90"/>
    <w:rsid w:val="09804279"/>
    <w:rsid w:val="09CA0F5B"/>
    <w:rsid w:val="0A054B85"/>
    <w:rsid w:val="0A1E4E03"/>
    <w:rsid w:val="0A572A77"/>
    <w:rsid w:val="0AA74DF8"/>
    <w:rsid w:val="0ABD1628"/>
    <w:rsid w:val="0AE93662"/>
    <w:rsid w:val="0AF13441"/>
    <w:rsid w:val="0B09160F"/>
    <w:rsid w:val="0B0E1C4E"/>
    <w:rsid w:val="0BAC74D5"/>
    <w:rsid w:val="0C101C89"/>
    <w:rsid w:val="0C117EE3"/>
    <w:rsid w:val="0C142961"/>
    <w:rsid w:val="0C1E156B"/>
    <w:rsid w:val="0C8C4794"/>
    <w:rsid w:val="0CD8398F"/>
    <w:rsid w:val="0CF63E15"/>
    <w:rsid w:val="0D3600BA"/>
    <w:rsid w:val="0D6C2021"/>
    <w:rsid w:val="0D985311"/>
    <w:rsid w:val="0DE21BCE"/>
    <w:rsid w:val="0DF866C5"/>
    <w:rsid w:val="0E0E083C"/>
    <w:rsid w:val="0F156355"/>
    <w:rsid w:val="0F44355D"/>
    <w:rsid w:val="0F9B5798"/>
    <w:rsid w:val="108D683E"/>
    <w:rsid w:val="10A73DA4"/>
    <w:rsid w:val="10C404B1"/>
    <w:rsid w:val="1198006A"/>
    <w:rsid w:val="11A976A8"/>
    <w:rsid w:val="11E5626B"/>
    <w:rsid w:val="11FC1B95"/>
    <w:rsid w:val="120612D8"/>
    <w:rsid w:val="1254115C"/>
    <w:rsid w:val="12B4044F"/>
    <w:rsid w:val="12BA7692"/>
    <w:rsid w:val="13115BD4"/>
    <w:rsid w:val="1334586C"/>
    <w:rsid w:val="13597B79"/>
    <w:rsid w:val="13CD1DFA"/>
    <w:rsid w:val="1427103E"/>
    <w:rsid w:val="14496C80"/>
    <w:rsid w:val="14531E2D"/>
    <w:rsid w:val="14566269"/>
    <w:rsid w:val="15023C9F"/>
    <w:rsid w:val="1534432A"/>
    <w:rsid w:val="15F22707"/>
    <w:rsid w:val="16FE6633"/>
    <w:rsid w:val="174D1B26"/>
    <w:rsid w:val="17A00827"/>
    <w:rsid w:val="17C36FE9"/>
    <w:rsid w:val="17E56F60"/>
    <w:rsid w:val="17FA305E"/>
    <w:rsid w:val="1849373C"/>
    <w:rsid w:val="188660D4"/>
    <w:rsid w:val="189C08D6"/>
    <w:rsid w:val="18ED3174"/>
    <w:rsid w:val="1915332D"/>
    <w:rsid w:val="19393A07"/>
    <w:rsid w:val="19544975"/>
    <w:rsid w:val="19D2286E"/>
    <w:rsid w:val="1A1A219F"/>
    <w:rsid w:val="1AD00105"/>
    <w:rsid w:val="1AD80FFE"/>
    <w:rsid w:val="1ADD6DBB"/>
    <w:rsid w:val="1BCF27B9"/>
    <w:rsid w:val="1BE55780"/>
    <w:rsid w:val="1C471DF2"/>
    <w:rsid w:val="1C693D5D"/>
    <w:rsid w:val="1CC90604"/>
    <w:rsid w:val="1D1041D7"/>
    <w:rsid w:val="1D1502E7"/>
    <w:rsid w:val="1D8666D1"/>
    <w:rsid w:val="1EA57172"/>
    <w:rsid w:val="1F100D66"/>
    <w:rsid w:val="1F5E479D"/>
    <w:rsid w:val="1F664DE7"/>
    <w:rsid w:val="1FFC0796"/>
    <w:rsid w:val="207E5596"/>
    <w:rsid w:val="20A263C4"/>
    <w:rsid w:val="20BA295F"/>
    <w:rsid w:val="20D21246"/>
    <w:rsid w:val="213217A6"/>
    <w:rsid w:val="218B0B78"/>
    <w:rsid w:val="219447F4"/>
    <w:rsid w:val="21A31755"/>
    <w:rsid w:val="21A42CB9"/>
    <w:rsid w:val="21B33897"/>
    <w:rsid w:val="21C61286"/>
    <w:rsid w:val="22164FAF"/>
    <w:rsid w:val="22563E31"/>
    <w:rsid w:val="229C5B1F"/>
    <w:rsid w:val="22A05E9B"/>
    <w:rsid w:val="22B673C3"/>
    <w:rsid w:val="22CA28CD"/>
    <w:rsid w:val="22D72D01"/>
    <w:rsid w:val="23264FFC"/>
    <w:rsid w:val="233E3859"/>
    <w:rsid w:val="23487B3F"/>
    <w:rsid w:val="23711FEF"/>
    <w:rsid w:val="237E08E4"/>
    <w:rsid w:val="23CB7074"/>
    <w:rsid w:val="24AC0987"/>
    <w:rsid w:val="252B3531"/>
    <w:rsid w:val="253D3E77"/>
    <w:rsid w:val="257162D7"/>
    <w:rsid w:val="266B6670"/>
    <w:rsid w:val="26A139B9"/>
    <w:rsid w:val="26BC3560"/>
    <w:rsid w:val="26C102F3"/>
    <w:rsid w:val="26F30224"/>
    <w:rsid w:val="27084A43"/>
    <w:rsid w:val="274C7976"/>
    <w:rsid w:val="27693709"/>
    <w:rsid w:val="276C4FA7"/>
    <w:rsid w:val="27914A0E"/>
    <w:rsid w:val="27920CF0"/>
    <w:rsid w:val="27994C9D"/>
    <w:rsid w:val="27FA0D7D"/>
    <w:rsid w:val="27FC457D"/>
    <w:rsid w:val="282F4953"/>
    <w:rsid w:val="283A50A6"/>
    <w:rsid w:val="28500425"/>
    <w:rsid w:val="285A5748"/>
    <w:rsid w:val="28DA716D"/>
    <w:rsid w:val="28F16B15"/>
    <w:rsid w:val="28FD67FF"/>
    <w:rsid w:val="297E088B"/>
    <w:rsid w:val="29810ECD"/>
    <w:rsid w:val="299E362A"/>
    <w:rsid w:val="2A39664F"/>
    <w:rsid w:val="2A6308E4"/>
    <w:rsid w:val="2A777809"/>
    <w:rsid w:val="2A8A189C"/>
    <w:rsid w:val="2AC255DF"/>
    <w:rsid w:val="2ACD0453"/>
    <w:rsid w:val="2B1608EB"/>
    <w:rsid w:val="2BAC421F"/>
    <w:rsid w:val="2BE94E19"/>
    <w:rsid w:val="2C182496"/>
    <w:rsid w:val="2C3A1B18"/>
    <w:rsid w:val="2C690CB1"/>
    <w:rsid w:val="2CC878C5"/>
    <w:rsid w:val="2CEA6DB7"/>
    <w:rsid w:val="2D157E8F"/>
    <w:rsid w:val="2D541EEA"/>
    <w:rsid w:val="2D5D40C4"/>
    <w:rsid w:val="2D915084"/>
    <w:rsid w:val="2F580808"/>
    <w:rsid w:val="2FA35DC3"/>
    <w:rsid w:val="30260A0B"/>
    <w:rsid w:val="30BA4FD6"/>
    <w:rsid w:val="30F304E8"/>
    <w:rsid w:val="313A3282"/>
    <w:rsid w:val="313C3C3D"/>
    <w:rsid w:val="31493774"/>
    <w:rsid w:val="31EB2C73"/>
    <w:rsid w:val="323E5792"/>
    <w:rsid w:val="33226E62"/>
    <w:rsid w:val="333640E9"/>
    <w:rsid w:val="334A314E"/>
    <w:rsid w:val="33A644C5"/>
    <w:rsid w:val="340C6560"/>
    <w:rsid w:val="34850C96"/>
    <w:rsid w:val="34EE4315"/>
    <w:rsid w:val="35020CF9"/>
    <w:rsid w:val="35675000"/>
    <w:rsid w:val="35B2271F"/>
    <w:rsid w:val="35B63548"/>
    <w:rsid w:val="36592B9B"/>
    <w:rsid w:val="369167D9"/>
    <w:rsid w:val="369413D7"/>
    <w:rsid w:val="36D8088E"/>
    <w:rsid w:val="36FD7D7D"/>
    <w:rsid w:val="373B1FF4"/>
    <w:rsid w:val="37515F68"/>
    <w:rsid w:val="375B6DA1"/>
    <w:rsid w:val="38002AB6"/>
    <w:rsid w:val="38130F90"/>
    <w:rsid w:val="38447DDC"/>
    <w:rsid w:val="38731A81"/>
    <w:rsid w:val="38912AC0"/>
    <w:rsid w:val="38CD2D2A"/>
    <w:rsid w:val="38E250CA"/>
    <w:rsid w:val="392212C4"/>
    <w:rsid w:val="394176CC"/>
    <w:rsid w:val="39486648"/>
    <w:rsid w:val="3A2C47C3"/>
    <w:rsid w:val="3AB24F6F"/>
    <w:rsid w:val="3B3D6F2F"/>
    <w:rsid w:val="3BA52406"/>
    <w:rsid w:val="3BC1190E"/>
    <w:rsid w:val="3BF33211"/>
    <w:rsid w:val="3C0B34FD"/>
    <w:rsid w:val="3C3B2642"/>
    <w:rsid w:val="3C5B3D8F"/>
    <w:rsid w:val="3CD92C87"/>
    <w:rsid w:val="3D275E50"/>
    <w:rsid w:val="3D331063"/>
    <w:rsid w:val="3D391C53"/>
    <w:rsid w:val="3D4F6AA6"/>
    <w:rsid w:val="3D5E46B6"/>
    <w:rsid w:val="3D600B28"/>
    <w:rsid w:val="3D907365"/>
    <w:rsid w:val="3DA11ED6"/>
    <w:rsid w:val="3DC92D11"/>
    <w:rsid w:val="3DEE75FF"/>
    <w:rsid w:val="3E2E3543"/>
    <w:rsid w:val="3E5C0687"/>
    <w:rsid w:val="3E8409D1"/>
    <w:rsid w:val="3EDB2CE7"/>
    <w:rsid w:val="3EDE5E43"/>
    <w:rsid w:val="3EEB15DD"/>
    <w:rsid w:val="3EF60223"/>
    <w:rsid w:val="3F177A97"/>
    <w:rsid w:val="3F204B9E"/>
    <w:rsid w:val="3F777FBB"/>
    <w:rsid w:val="409C0254"/>
    <w:rsid w:val="416C231C"/>
    <w:rsid w:val="41753948"/>
    <w:rsid w:val="418F3375"/>
    <w:rsid w:val="419C7ECA"/>
    <w:rsid w:val="42C43863"/>
    <w:rsid w:val="42F535F3"/>
    <w:rsid w:val="433429C6"/>
    <w:rsid w:val="438954B6"/>
    <w:rsid w:val="43F108B7"/>
    <w:rsid w:val="440719A5"/>
    <w:rsid w:val="442D44CA"/>
    <w:rsid w:val="44305FFC"/>
    <w:rsid w:val="44696F77"/>
    <w:rsid w:val="452D591E"/>
    <w:rsid w:val="4553085F"/>
    <w:rsid w:val="45851D1F"/>
    <w:rsid w:val="45C46623"/>
    <w:rsid w:val="45F60406"/>
    <w:rsid w:val="46054AED"/>
    <w:rsid w:val="46A51AD3"/>
    <w:rsid w:val="46FC0AF1"/>
    <w:rsid w:val="477875FA"/>
    <w:rsid w:val="47E94469"/>
    <w:rsid w:val="4840038A"/>
    <w:rsid w:val="48651873"/>
    <w:rsid w:val="48684EBF"/>
    <w:rsid w:val="489313EB"/>
    <w:rsid w:val="48D80297"/>
    <w:rsid w:val="48F65EE0"/>
    <w:rsid w:val="497734E9"/>
    <w:rsid w:val="49D853ED"/>
    <w:rsid w:val="49EC224C"/>
    <w:rsid w:val="49EC3FFA"/>
    <w:rsid w:val="4A244550"/>
    <w:rsid w:val="4A5D336F"/>
    <w:rsid w:val="4A6055B7"/>
    <w:rsid w:val="4A783AE0"/>
    <w:rsid w:val="4AD90907"/>
    <w:rsid w:val="4AE95AAD"/>
    <w:rsid w:val="4BA777B2"/>
    <w:rsid w:val="4BD43DE1"/>
    <w:rsid w:val="4BDB2578"/>
    <w:rsid w:val="4CE56918"/>
    <w:rsid w:val="4D992263"/>
    <w:rsid w:val="4D9B0E4A"/>
    <w:rsid w:val="4E0403D5"/>
    <w:rsid w:val="4E720846"/>
    <w:rsid w:val="4F044600"/>
    <w:rsid w:val="4F334479"/>
    <w:rsid w:val="4F8151E4"/>
    <w:rsid w:val="4FCE7CFE"/>
    <w:rsid w:val="50835C28"/>
    <w:rsid w:val="50A662D2"/>
    <w:rsid w:val="50C17863"/>
    <w:rsid w:val="50EC6E80"/>
    <w:rsid w:val="50FD3D3E"/>
    <w:rsid w:val="51CC7263"/>
    <w:rsid w:val="52293911"/>
    <w:rsid w:val="52500E9E"/>
    <w:rsid w:val="532D5D58"/>
    <w:rsid w:val="53430A03"/>
    <w:rsid w:val="535E1BBF"/>
    <w:rsid w:val="53760DD8"/>
    <w:rsid w:val="539179C0"/>
    <w:rsid w:val="539D4C98"/>
    <w:rsid w:val="53C315D6"/>
    <w:rsid w:val="53EE3E79"/>
    <w:rsid w:val="54006232"/>
    <w:rsid w:val="540A3A96"/>
    <w:rsid w:val="542F7FB0"/>
    <w:rsid w:val="5438608E"/>
    <w:rsid w:val="54B178AD"/>
    <w:rsid w:val="54C142D5"/>
    <w:rsid w:val="54CB6F02"/>
    <w:rsid w:val="54DD7AC9"/>
    <w:rsid w:val="55081F04"/>
    <w:rsid w:val="55A64439"/>
    <w:rsid w:val="55AB702A"/>
    <w:rsid w:val="55C24762"/>
    <w:rsid w:val="55CB0F7E"/>
    <w:rsid w:val="55D32512"/>
    <w:rsid w:val="56143F53"/>
    <w:rsid w:val="561C6174"/>
    <w:rsid w:val="562C2B43"/>
    <w:rsid w:val="569D52CC"/>
    <w:rsid w:val="56A30136"/>
    <w:rsid w:val="56C80086"/>
    <w:rsid w:val="57462870"/>
    <w:rsid w:val="57C33EC0"/>
    <w:rsid w:val="57FA2AA5"/>
    <w:rsid w:val="58465DDE"/>
    <w:rsid w:val="584A52EB"/>
    <w:rsid w:val="58EB36CF"/>
    <w:rsid w:val="592B4413"/>
    <w:rsid w:val="592E4355"/>
    <w:rsid w:val="593B4656"/>
    <w:rsid w:val="594B23BF"/>
    <w:rsid w:val="59822285"/>
    <w:rsid w:val="59BE035D"/>
    <w:rsid w:val="59E720E8"/>
    <w:rsid w:val="5A00764E"/>
    <w:rsid w:val="5A5534F6"/>
    <w:rsid w:val="5AC5483D"/>
    <w:rsid w:val="5AF14E1D"/>
    <w:rsid w:val="5B3A3914"/>
    <w:rsid w:val="5B4812AC"/>
    <w:rsid w:val="5B88381F"/>
    <w:rsid w:val="5BC45886"/>
    <w:rsid w:val="5C1703A7"/>
    <w:rsid w:val="5C7B1186"/>
    <w:rsid w:val="5CAE40D1"/>
    <w:rsid w:val="5CCE3A33"/>
    <w:rsid w:val="5D0B0EED"/>
    <w:rsid w:val="5D8C56C1"/>
    <w:rsid w:val="5DA56FD4"/>
    <w:rsid w:val="5DBF512A"/>
    <w:rsid w:val="5DE40518"/>
    <w:rsid w:val="5E0229D9"/>
    <w:rsid w:val="5EAC1B52"/>
    <w:rsid w:val="5EB16DF2"/>
    <w:rsid w:val="5EB70A48"/>
    <w:rsid w:val="605E0C2A"/>
    <w:rsid w:val="608763D3"/>
    <w:rsid w:val="60932FCA"/>
    <w:rsid w:val="60A61087"/>
    <w:rsid w:val="60FE06BF"/>
    <w:rsid w:val="6118702B"/>
    <w:rsid w:val="61426C04"/>
    <w:rsid w:val="61691AA3"/>
    <w:rsid w:val="61F84B2E"/>
    <w:rsid w:val="620D6DAC"/>
    <w:rsid w:val="625E4788"/>
    <w:rsid w:val="629923ED"/>
    <w:rsid w:val="63273578"/>
    <w:rsid w:val="634B69DD"/>
    <w:rsid w:val="63676067"/>
    <w:rsid w:val="64232313"/>
    <w:rsid w:val="642B4A8E"/>
    <w:rsid w:val="644A4785"/>
    <w:rsid w:val="64562340"/>
    <w:rsid w:val="647414FD"/>
    <w:rsid w:val="64A46F95"/>
    <w:rsid w:val="64C90C29"/>
    <w:rsid w:val="650A7149"/>
    <w:rsid w:val="65134528"/>
    <w:rsid w:val="65270BAA"/>
    <w:rsid w:val="658E56EE"/>
    <w:rsid w:val="65A42E08"/>
    <w:rsid w:val="660B715E"/>
    <w:rsid w:val="663F14FE"/>
    <w:rsid w:val="666D1BC7"/>
    <w:rsid w:val="66AC03FF"/>
    <w:rsid w:val="66E04A8F"/>
    <w:rsid w:val="671B0E1B"/>
    <w:rsid w:val="6727446C"/>
    <w:rsid w:val="674D5199"/>
    <w:rsid w:val="67630CEF"/>
    <w:rsid w:val="677A7318"/>
    <w:rsid w:val="686269FA"/>
    <w:rsid w:val="68C649DD"/>
    <w:rsid w:val="68D46903"/>
    <w:rsid w:val="68DE6346"/>
    <w:rsid w:val="68ED4CE5"/>
    <w:rsid w:val="6909557E"/>
    <w:rsid w:val="6A8E3A44"/>
    <w:rsid w:val="6B4F1F9A"/>
    <w:rsid w:val="6C3C2767"/>
    <w:rsid w:val="6C580C23"/>
    <w:rsid w:val="6D132C75"/>
    <w:rsid w:val="6D3B4D97"/>
    <w:rsid w:val="6D457773"/>
    <w:rsid w:val="6D635379"/>
    <w:rsid w:val="6D8F4B19"/>
    <w:rsid w:val="6DE40E9B"/>
    <w:rsid w:val="6DEF7365"/>
    <w:rsid w:val="6E902A69"/>
    <w:rsid w:val="6F282B2F"/>
    <w:rsid w:val="6F6124E5"/>
    <w:rsid w:val="6FAB14AA"/>
    <w:rsid w:val="6FF144B4"/>
    <w:rsid w:val="70380103"/>
    <w:rsid w:val="705B4A87"/>
    <w:rsid w:val="70BA5DF6"/>
    <w:rsid w:val="70F92A2E"/>
    <w:rsid w:val="7104581E"/>
    <w:rsid w:val="71094BE2"/>
    <w:rsid w:val="71257C6E"/>
    <w:rsid w:val="713F74B5"/>
    <w:rsid w:val="72472E87"/>
    <w:rsid w:val="73C117A4"/>
    <w:rsid w:val="73E872C4"/>
    <w:rsid w:val="743B50B2"/>
    <w:rsid w:val="74455CC5"/>
    <w:rsid w:val="745C426A"/>
    <w:rsid w:val="755060BC"/>
    <w:rsid w:val="755B0005"/>
    <w:rsid w:val="758821F2"/>
    <w:rsid w:val="75AD3D8E"/>
    <w:rsid w:val="760065B4"/>
    <w:rsid w:val="76407440"/>
    <w:rsid w:val="767B3E8C"/>
    <w:rsid w:val="76895B72"/>
    <w:rsid w:val="768A2321"/>
    <w:rsid w:val="76A8609F"/>
    <w:rsid w:val="76DB2B7D"/>
    <w:rsid w:val="772E7150"/>
    <w:rsid w:val="788A6608"/>
    <w:rsid w:val="78E542EE"/>
    <w:rsid w:val="792D64F4"/>
    <w:rsid w:val="797C0A5B"/>
    <w:rsid w:val="79AA2C7D"/>
    <w:rsid w:val="79C67B14"/>
    <w:rsid w:val="79E104AA"/>
    <w:rsid w:val="7A1108C6"/>
    <w:rsid w:val="7A39055E"/>
    <w:rsid w:val="7A590417"/>
    <w:rsid w:val="7A6228A3"/>
    <w:rsid w:val="7B1C2787"/>
    <w:rsid w:val="7B3A4316"/>
    <w:rsid w:val="7B493ED2"/>
    <w:rsid w:val="7B631699"/>
    <w:rsid w:val="7B7A7C85"/>
    <w:rsid w:val="7C885555"/>
    <w:rsid w:val="7C896BD7"/>
    <w:rsid w:val="7CF3515C"/>
    <w:rsid w:val="7CFF42EC"/>
    <w:rsid w:val="7D1D270C"/>
    <w:rsid w:val="7D2C5EE0"/>
    <w:rsid w:val="7D8A0E59"/>
    <w:rsid w:val="7D8B70AB"/>
    <w:rsid w:val="7DE95B7F"/>
    <w:rsid w:val="7E0503B7"/>
    <w:rsid w:val="7E172398"/>
    <w:rsid w:val="7EBC3294"/>
    <w:rsid w:val="7ED859BE"/>
    <w:rsid w:val="7EF66D24"/>
    <w:rsid w:val="7F1B3CE5"/>
    <w:rsid w:val="7F967525"/>
    <w:rsid w:val="7FAA509F"/>
    <w:rsid w:val="7FB16B71"/>
    <w:rsid w:val="7FC375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120"/>
    <w:autoRedefine/>
    <w:qFormat/>
    <w:uiPriority w:val="9"/>
    <w:pPr>
      <w:keepNext/>
      <w:keepLines/>
      <w:spacing w:before="340" w:after="330" w:line="578" w:lineRule="auto"/>
      <w:outlineLvl w:val="0"/>
    </w:pPr>
    <w:rPr>
      <w:b/>
      <w:bCs/>
      <w:kern w:val="44"/>
      <w:sz w:val="44"/>
      <w:szCs w:val="44"/>
    </w:rPr>
  </w:style>
  <w:style w:type="paragraph" w:styleId="5">
    <w:name w:val="heading 2"/>
    <w:basedOn w:val="1"/>
    <w:next w:val="1"/>
    <w:link w:val="123"/>
    <w:autoRedefine/>
    <w:qFormat/>
    <w:uiPriority w:val="9"/>
    <w:pPr>
      <w:keepNext/>
      <w:keepLines/>
      <w:spacing w:before="260" w:after="260" w:line="415" w:lineRule="auto"/>
      <w:outlineLvl w:val="1"/>
    </w:pPr>
    <w:rPr>
      <w:rFonts w:ascii="Arial" w:hAnsi="Arial" w:eastAsia="黑体"/>
      <w:b/>
      <w:bCs/>
      <w:kern w:val="0"/>
      <w:sz w:val="32"/>
      <w:szCs w:val="32"/>
    </w:rPr>
  </w:style>
  <w:style w:type="paragraph" w:styleId="6">
    <w:name w:val="heading 3"/>
    <w:basedOn w:val="1"/>
    <w:next w:val="1"/>
    <w:link w:val="174"/>
    <w:autoRedefine/>
    <w:qFormat/>
    <w:uiPriority w:val="0"/>
    <w:pPr>
      <w:keepNext/>
      <w:keepLines/>
      <w:spacing w:before="260" w:after="260" w:line="416" w:lineRule="auto"/>
      <w:jc w:val="center"/>
      <w:outlineLvl w:val="2"/>
    </w:pPr>
    <w:rPr>
      <w:rFonts w:eastAsia="楷体_GB2312"/>
      <w:b/>
      <w:bCs/>
      <w:kern w:val="0"/>
      <w:sz w:val="32"/>
      <w:szCs w:val="32"/>
    </w:rPr>
  </w:style>
  <w:style w:type="paragraph" w:styleId="7">
    <w:name w:val="heading 4"/>
    <w:basedOn w:val="1"/>
    <w:next w:val="1"/>
    <w:link w:val="101"/>
    <w:qFormat/>
    <w:uiPriority w:val="0"/>
    <w:pPr>
      <w:keepNext/>
      <w:keepLines/>
      <w:spacing w:before="280" w:after="290" w:line="376" w:lineRule="auto"/>
      <w:outlineLvl w:val="3"/>
    </w:pPr>
    <w:rPr>
      <w:rFonts w:ascii="Arial" w:hAnsi="Arial" w:eastAsia="黑体"/>
      <w:b/>
      <w:bCs/>
      <w:kern w:val="0"/>
      <w:sz w:val="28"/>
      <w:szCs w:val="28"/>
    </w:rPr>
  </w:style>
  <w:style w:type="paragraph" w:styleId="8">
    <w:name w:val="heading 5"/>
    <w:basedOn w:val="1"/>
    <w:next w:val="1"/>
    <w:link w:val="151"/>
    <w:qFormat/>
    <w:uiPriority w:val="9"/>
    <w:pPr>
      <w:keepNext/>
      <w:keepLines/>
      <w:spacing w:before="280" w:after="290" w:line="376" w:lineRule="auto"/>
      <w:outlineLvl w:val="4"/>
    </w:pPr>
    <w:rPr>
      <w:b/>
      <w:bCs/>
      <w:kern w:val="0"/>
      <w:sz w:val="28"/>
      <w:szCs w:val="28"/>
    </w:rPr>
  </w:style>
  <w:style w:type="paragraph" w:styleId="9">
    <w:name w:val="heading 6"/>
    <w:basedOn w:val="1"/>
    <w:next w:val="1"/>
    <w:link w:val="212"/>
    <w:autoRedefine/>
    <w:qFormat/>
    <w:uiPriority w:val="0"/>
    <w:pPr>
      <w:keepNext/>
      <w:keepLines/>
      <w:spacing w:before="240" w:after="64" w:line="320" w:lineRule="auto"/>
      <w:outlineLvl w:val="5"/>
    </w:pPr>
    <w:rPr>
      <w:rFonts w:ascii="Arial" w:hAnsi="Arial" w:eastAsia="黑体"/>
      <w:b/>
      <w:bCs/>
      <w:kern w:val="0"/>
      <w:sz w:val="24"/>
    </w:rPr>
  </w:style>
  <w:style w:type="paragraph" w:styleId="10">
    <w:name w:val="heading 7"/>
    <w:basedOn w:val="1"/>
    <w:next w:val="1"/>
    <w:link w:val="116"/>
    <w:autoRedefine/>
    <w:qFormat/>
    <w:uiPriority w:val="0"/>
    <w:pPr>
      <w:keepNext/>
      <w:keepLines/>
      <w:spacing w:before="240" w:after="64" w:line="320" w:lineRule="auto"/>
      <w:outlineLvl w:val="6"/>
    </w:pPr>
    <w:rPr>
      <w:b/>
      <w:bCs/>
      <w:kern w:val="0"/>
      <w:sz w:val="24"/>
    </w:rPr>
  </w:style>
  <w:style w:type="paragraph" w:styleId="11">
    <w:name w:val="heading 8"/>
    <w:basedOn w:val="1"/>
    <w:next w:val="1"/>
    <w:link w:val="145"/>
    <w:autoRedefine/>
    <w:qFormat/>
    <w:uiPriority w:val="0"/>
    <w:pPr>
      <w:keepNext/>
      <w:keepLines/>
      <w:spacing w:before="240" w:after="64" w:line="320" w:lineRule="auto"/>
      <w:outlineLvl w:val="7"/>
    </w:pPr>
    <w:rPr>
      <w:rFonts w:ascii="Arial" w:hAnsi="Arial" w:eastAsia="黑体"/>
      <w:kern w:val="0"/>
      <w:sz w:val="24"/>
    </w:rPr>
  </w:style>
  <w:style w:type="paragraph" w:styleId="12">
    <w:name w:val="heading 9"/>
    <w:basedOn w:val="1"/>
    <w:next w:val="1"/>
    <w:link w:val="192"/>
    <w:autoRedefine/>
    <w:qFormat/>
    <w:uiPriority w:val="0"/>
    <w:pPr>
      <w:keepNext/>
      <w:keepLines/>
      <w:spacing w:before="240" w:after="64" w:line="320" w:lineRule="auto"/>
      <w:outlineLvl w:val="8"/>
    </w:pPr>
    <w:rPr>
      <w:rFonts w:ascii="Arial" w:hAnsi="Arial" w:eastAsia="黑体"/>
      <w:kern w:val="0"/>
      <w:sz w:val="20"/>
      <w:szCs w:val="21"/>
    </w:rPr>
  </w:style>
  <w:style w:type="character" w:default="1" w:styleId="53">
    <w:name w:val="Default Paragraph Font"/>
    <w:semiHidden/>
    <w:unhideWhenUsed/>
    <w:qFormat/>
    <w:uiPriority w:val="1"/>
  </w:style>
  <w:style w:type="table" w:default="1" w:styleId="51">
    <w:name w:val="Normal Table"/>
    <w:autoRedefine/>
    <w:semiHidden/>
    <w:unhideWhenUsed/>
    <w:qFormat/>
    <w:uiPriority w:val="99"/>
    <w:tblPr>
      <w:tblCellMar>
        <w:top w:w="0" w:type="dxa"/>
        <w:left w:w="108" w:type="dxa"/>
        <w:bottom w:w="0" w:type="dxa"/>
        <w:right w:w="108" w:type="dxa"/>
      </w:tblCellMar>
    </w:tblPr>
  </w:style>
  <w:style w:type="paragraph" w:styleId="2">
    <w:name w:val="Body Text First Indent"/>
    <w:basedOn w:val="3"/>
    <w:next w:val="1"/>
    <w:link w:val="162"/>
    <w:autoRedefine/>
    <w:qFormat/>
    <w:uiPriority w:val="0"/>
    <w:pPr>
      <w:spacing w:beforeLines="50" w:afterLines="50" w:line="360" w:lineRule="auto"/>
      <w:ind w:firstLine="480" w:firstLineChars="200"/>
    </w:pPr>
    <w:rPr>
      <w:sz w:val="24"/>
    </w:rPr>
  </w:style>
  <w:style w:type="paragraph" w:styleId="3">
    <w:name w:val="Body Text"/>
    <w:basedOn w:val="1"/>
    <w:link w:val="118"/>
    <w:autoRedefine/>
    <w:qFormat/>
    <w:uiPriority w:val="0"/>
    <w:pPr>
      <w:spacing w:after="120"/>
    </w:pPr>
    <w:rPr>
      <w:kern w:val="0"/>
      <w:sz w:val="28"/>
    </w:rPr>
  </w:style>
  <w:style w:type="paragraph" w:styleId="13">
    <w:name w:val="toc 7"/>
    <w:basedOn w:val="1"/>
    <w:next w:val="1"/>
    <w:autoRedefine/>
    <w:qFormat/>
    <w:uiPriority w:val="39"/>
    <w:pPr>
      <w:ind w:left="2520" w:leftChars="1200"/>
    </w:pPr>
  </w:style>
  <w:style w:type="paragraph" w:styleId="14">
    <w:name w:val="List Number"/>
    <w:basedOn w:val="1"/>
    <w:autoRedefine/>
    <w:qFormat/>
    <w:uiPriority w:val="0"/>
    <w:pPr>
      <w:widowControl/>
      <w:tabs>
        <w:tab w:val="left" w:pos="454"/>
        <w:tab w:val="left" w:pos="720"/>
        <w:tab w:val="left" w:pos="900"/>
      </w:tabs>
      <w:spacing w:afterLines="50"/>
      <w:ind w:left="908" w:hanging="284"/>
      <w:jc w:val="left"/>
    </w:pPr>
    <w:rPr>
      <w:kern w:val="0"/>
      <w:sz w:val="24"/>
      <w:szCs w:val="20"/>
    </w:rPr>
  </w:style>
  <w:style w:type="paragraph" w:styleId="15">
    <w:name w:val="Normal Indent"/>
    <w:basedOn w:val="1"/>
    <w:next w:val="1"/>
    <w:link w:val="115"/>
    <w:autoRedefine/>
    <w:qFormat/>
    <w:uiPriority w:val="0"/>
    <w:pPr>
      <w:ind w:firstLine="420"/>
    </w:pPr>
    <w:rPr>
      <w:kern w:val="0"/>
      <w:sz w:val="20"/>
      <w:szCs w:val="20"/>
    </w:rPr>
  </w:style>
  <w:style w:type="paragraph" w:styleId="16">
    <w:name w:val="caption"/>
    <w:basedOn w:val="1"/>
    <w:next w:val="1"/>
    <w:autoRedefine/>
    <w:qFormat/>
    <w:uiPriority w:val="0"/>
    <w:pPr>
      <w:spacing w:before="152" w:after="160"/>
    </w:pPr>
    <w:rPr>
      <w:rFonts w:ascii="Arial" w:hAnsi="Arial" w:eastAsia="黑体" w:cs="Arial"/>
      <w:sz w:val="20"/>
      <w:szCs w:val="20"/>
    </w:rPr>
  </w:style>
  <w:style w:type="paragraph" w:styleId="17">
    <w:name w:val="List Bullet"/>
    <w:basedOn w:val="1"/>
    <w:autoRedefine/>
    <w:qFormat/>
    <w:uiPriority w:val="0"/>
    <w:pPr>
      <w:spacing w:line="360" w:lineRule="auto"/>
      <w:jc w:val="left"/>
    </w:pPr>
    <w:rPr>
      <w:rFonts w:ascii="宋体"/>
      <w:b/>
      <w:sz w:val="24"/>
    </w:rPr>
  </w:style>
  <w:style w:type="paragraph" w:styleId="18">
    <w:name w:val="Document Map"/>
    <w:basedOn w:val="1"/>
    <w:link w:val="140"/>
    <w:autoRedefine/>
    <w:qFormat/>
    <w:uiPriority w:val="99"/>
    <w:pPr>
      <w:shd w:val="clear" w:color="auto" w:fill="000080"/>
    </w:pPr>
    <w:rPr>
      <w:kern w:val="0"/>
      <w:sz w:val="20"/>
    </w:rPr>
  </w:style>
  <w:style w:type="paragraph" w:styleId="19">
    <w:name w:val="toa heading"/>
    <w:basedOn w:val="1"/>
    <w:next w:val="1"/>
    <w:link w:val="170"/>
    <w:autoRedefine/>
    <w:qFormat/>
    <w:uiPriority w:val="0"/>
    <w:pPr>
      <w:tabs>
        <w:tab w:val="left" w:pos="0"/>
      </w:tabs>
      <w:spacing w:before="120" w:line="360" w:lineRule="auto"/>
    </w:pPr>
    <w:rPr>
      <w:rFonts w:ascii="Arial" w:hAnsi="Arial"/>
      <w:kern w:val="0"/>
      <w:sz w:val="24"/>
      <w:szCs w:val="20"/>
    </w:rPr>
  </w:style>
  <w:style w:type="paragraph" w:styleId="20">
    <w:name w:val="annotation text"/>
    <w:basedOn w:val="1"/>
    <w:link w:val="67"/>
    <w:autoRedefine/>
    <w:qFormat/>
    <w:uiPriority w:val="0"/>
    <w:pPr>
      <w:jc w:val="left"/>
    </w:pPr>
    <w:rPr>
      <w:kern w:val="0"/>
      <w:sz w:val="20"/>
    </w:rPr>
  </w:style>
  <w:style w:type="paragraph" w:styleId="21">
    <w:name w:val="Body Text 3"/>
    <w:basedOn w:val="1"/>
    <w:link w:val="110"/>
    <w:autoRedefine/>
    <w:qFormat/>
    <w:uiPriority w:val="0"/>
    <w:pPr>
      <w:snapToGrid w:val="0"/>
      <w:spacing w:before="50" w:after="50"/>
    </w:pPr>
    <w:rPr>
      <w:rFonts w:hAnsi="宋体" w:eastAsia="仿宋_GB2312"/>
      <w:b/>
      <w:bCs/>
      <w:kern w:val="0"/>
      <w:sz w:val="24"/>
      <w:szCs w:val="20"/>
    </w:rPr>
  </w:style>
  <w:style w:type="paragraph" w:styleId="22">
    <w:name w:val="Body Text Indent"/>
    <w:basedOn w:val="1"/>
    <w:next w:val="1"/>
    <w:link w:val="189"/>
    <w:autoRedefine/>
    <w:qFormat/>
    <w:uiPriority w:val="0"/>
    <w:pPr>
      <w:spacing w:line="200" w:lineRule="exact"/>
      <w:ind w:firstLine="301"/>
    </w:pPr>
    <w:rPr>
      <w:rFonts w:ascii="宋体" w:hAnsi="Courier New"/>
      <w:spacing w:val="-4"/>
      <w:kern w:val="0"/>
      <w:sz w:val="18"/>
      <w:szCs w:val="20"/>
    </w:rPr>
  </w:style>
  <w:style w:type="paragraph" w:styleId="23">
    <w:name w:val="List Number 3"/>
    <w:basedOn w:val="1"/>
    <w:autoRedefine/>
    <w:qFormat/>
    <w:uiPriority w:val="0"/>
    <w:pPr>
      <w:tabs>
        <w:tab w:val="left" w:pos="1200"/>
      </w:tabs>
      <w:ind w:left="1200" w:hanging="360"/>
    </w:pPr>
  </w:style>
  <w:style w:type="paragraph" w:styleId="24">
    <w:name w:val="List 2"/>
    <w:basedOn w:val="1"/>
    <w:autoRedefine/>
    <w:qFormat/>
    <w:uiPriority w:val="0"/>
    <w:pPr>
      <w:ind w:left="100" w:leftChars="200" w:hanging="200" w:hangingChars="200"/>
    </w:pPr>
    <w:rPr>
      <w:sz w:val="28"/>
    </w:rPr>
  </w:style>
  <w:style w:type="paragraph" w:styleId="25">
    <w:name w:val="Block Text"/>
    <w:basedOn w:val="1"/>
    <w:autoRedefine/>
    <w:qFormat/>
    <w:uiPriority w:val="0"/>
    <w:pPr>
      <w:spacing w:beforeLines="50" w:afterLines="50"/>
      <w:ind w:left="426" w:right="-11" w:hanging="426" w:hangingChars="203"/>
    </w:pPr>
    <w:rPr>
      <w:rFonts w:eastAsia="楷体_GB2312"/>
    </w:rPr>
  </w:style>
  <w:style w:type="paragraph" w:styleId="26">
    <w:name w:val="List Bullet 2"/>
    <w:basedOn w:val="1"/>
    <w:autoRedefine/>
    <w:qFormat/>
    <w:uiPriority w:val="0"/>
    <w:pPr>
      <w:tabs>
        <w:tab w:val="left" w:pos="840"/>
      </w:tabs>
      <w:spacing w:line="360" w:lineRule="auto"/>
      <w:ind w:left="989" w:leftChars="471" w:firstLine="2" w:firstLineChars="1"/>
    </w:pPr>
    <w:rPr>
      <w:rFonts w:ascii="宋体"/>
      <w:sz w:val="24"/>
    </w:rPr>
  </w:style>
  <w:style w:type="paragraph" w:styleId="27">
    <w:name w:val="index 4"/>
    <w:basedOn w:val="1"/>
    <w:next w:val="1"/>
    <w:semiHidden/>
    <w:qFormat/>
    <w:uiPriority w:val="0"/>
    <w:pPr>
      <w:ind w:left="600" w:leftChars="600"/>
    </w:pPr>
  </w:style>
  <w:style w:type="paragraph" w:styleId="28">
    <w:name w:val="toc 5"/>
    <w:basedOn w:val="1"/>
    <w:next w:val="1"/>
    <w:autoRedefine/>
    <w:qFormat/>
    <w:uiPriority w:val="39"/>
    <w:pPr>
      <w:ind w:left="1680" w:leftChars="800"/>
    </w:pPr>
  </w:style>
  <w:style w:type="paragraph" w:styleId="29">
    <w:name w:val="toc 3"/>
    <w:basedOn w:val="1"/>
    <w:next w:val="1"/>
    <w:autoRedefine/>
    <w:qFormat/>
    <w:uiPriority w:val="39"/>
    <w:pPr>
      <w:ind w:left="840" w:leftChars="400"/>
    </w:pPr>
  </w:style>
  <w:style w:type="paragraph" w:styleId="30">
    <w:name w:val="Plain Text"/>
    <w:basedOn w:val="1"/>
    <w:link w:val="177"/>
    <w:autoRedefine/>
    <w:qFormat/>
    <w:uiPriority w:val="0"/>
    <w:pPr>
      <w:spacing w:beforeLines="50" w:afterLines="50" w:line="400" w:lineRule="exact"/>
    </w:pPr>
    <w:rPr>
      <w:rFonts w:ascii="宋体" w:hAnsi="Courier New"/>
      <w:kern w:val="0"/>
      <w:sz w:val="24"/>
    </w:rPr>
  </w:style>
  <w:style w:type="paragraph" w:styleId="31">
    <w:name w:val="toc 8"/>
    <w:basedOn w:val="1"/>
    <w:next w:val="1"/>
    <w:autoRedefine/>
    <w:unhideWhenUsed/>
    <w:qFormat/>
    <w:uiPriority w:val="39"/>
    <w:pPr>
      <w:ind w:left="2940" w:leftChars="1400"/>
    </w:pPr>
    <w:rPr>
      <w:rFonts w:ascii="Calibri" w:hAnsi="Calibri"/>
      <w:szCs w:val="22"/>
    </w:rPr>
  </w:style>
  <w:style w:type="paragraph" w:styleId="32">
    <w:name w:val="Date"/>
    <w:basedOn w:val="1"/>
    <w:next w:val="1"/>
    <w:link w:val="173"/>
    <w:autoRedefine/>
    <w:qFormat/>
    <w:uiPriority w:val="0"/>
    <w:pPr>
      <w:ind w:left="2500" w:leftChars="2500"/>
    </w:pPr>
    <w:rPr>
      <w:rFonts w:eastAsia="楷体_GB2312"/>
      <w:kern w:val="0"/>
      <w:sz w:val="32"/>
      <w:szCs w:val="20"/>
    </w:rPr>
  </w:style>
  <w:style w:type="paragraph" w:styleId="33">
    <w:name w:val="Body Text Indent 2"/>
    <w:basedOn w:val="1"/>
    <w:link w:val="183"/>
    <w:autoRedefine/>
    <w:qFormat/>
    <w:uiPriority w:val="0"/>
    <w:pPr>
      <w:snapToGrid w:val="0"/>
      <w:ind w:firstLine="542" w:firstLineChars="225"/>
    </w:pPr>
    <w:rPr>
      <w:rFonts w:ascii="仿宋_GB2312" w:hAnsi="宋体"/>
      <w:b/>
      <w:bCs/>
      <w:color w:val="000000"/>
      <w:kern w:val="0"/>
      <w:sz w:val="24"/>
    </w:rPr>
  </w:style>
  <w:style w:type="paragraph" w:styleId="34">
    <w:name w:val="Balloon Text"/>
    <w:basedOn w:val="1"/>
    <w:link w:val="135"/>
    <w:autoRedefine/>
    <w:qFormat/>
    <w:uiPriority w:val="99"/>
    <w:rPr>
      <w:kern w:val="0"/>
      <w:sz w:val="18"/>
      <w:szCs w:val="18"/>
    </w:rPr>
  </w:style>
  <w:style w:type="paragraph" w:styleId="35">
    <w:name w:val="footer"/>
    <w:basedOn w:val="1"/>
    <w:link w:val="172"/>
    <w:autoRedefine/>
    <w:qFormat/>
    <w:uiPriority w:val="99"/>
    <w:pPr>
      <w:tabs>
        <w:tab w:val="center" w:pos="4153"/>
        <w:tab w:val="right" w:pos="8306"/>
      </w:tabs>
      <w:snapToGrid w:val="0"/>
      <w:jc w:val="left"/>
    </w:pPr>
    <w:rPr>
      <w:rFonts w:eastAsia="黑体"/>
      <w:kern w:val="0"/>
      <w:sz w:val="18"/>
      <w:szCs w:val="18"/>
    </w:rPr>
  </w:style>
  <w:style w:type="paragraph" w:styleId="36">
    <w:name w:val="header"/>
    <w:basedOn w:val="1"/>
    <w:link w:val="206"/>
    <w:autoRedefine/>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7">
    <w:name w:val="toc 1"/>
    <w:basedOn w:val="1"/>
    <w:next w:val="1"/>
    <w:qFormat/>
    <w:uiPriority w:val="39"/>
  </w:style>
  <w:style w:type="paragraph" w:styleId="38">
    <w:name w:val="toc 4"/>
    <w:basedOn w:val="1"/>
    <w:next w:val="1"/>
    <w:autoRedefine/>
    <w:unhideWhenUsed/>
    <w:qFormat/>
    <w:uiPriority w:val="39"/>
    <w:pPr>
      <w:ind w:left="1260" w:leftChars="600"/>
    </w:pPr>
    <w:rPr>
      <w:rFonts w:ascii="Calibri" w:hAnsi="Calibri"/>
      <w:szCs w:val="22"/>
    </w:rPr>
  </w:style>
  <w:style w:type="paragraph" w:styleId="39">
    <w:name w:val="List"/>
    <w:basedOn w:val="1"/>
    <w:autoRedefine/>
    <w:qFormat/>
    <w:uiPriority w:val="0"/>
    <w:pPr>
      <w:ind w:left="200" w:hanging="200" w:hangingChars="200"/>
    </w:pPr>
    <w:rPr>
      <w:sz w:val="28"/>
    </w:rPr>
  </w:style>
  <w:style w:type="paragraph" w:styleId="40">
    <w:name w:val="toc 6"/>
    <w:basedOn w:val="1"/>
    <w:next w:val="1"/>
    <w:autoRedefine/>
    <w:unhideWhenUsed/>
    <w:qFormat/>
    <w:uiPriority w:val="39"/>
    <w:pPr>
      <w:ind w:left="2100" w:leftChars="1000"/>
    </w:pPr>
    <w:rPr>
      <w:rFonts w:ascii="Calibri" w:hAnsi="Calibri"/>
      <w:szCs w:val="22"/>
    </w:rPr>
  </w:style>
  <w:style w:type="paragraph" w:styleId="41">
    <w:name w:val="Body Text Indent 3"/>
    <w:basedOn w:val="1"/>
    <w:link w:val="92"/>
    <w:autoRedefine/>
    <w:qFormat/>
    <w:uiPriority w:val="0"/>
    <w:pPr>
      <w:snapToGrid w:val="0"/>
      <w:ind w:firstLine="480" w:firstLineChars="200"/>
      <w:jc w:val="left"/>
    </w:pPr>
    <w:rPr>
      <w:rFonts w:ascii="仿宋_GB2312" w:hAnsi="宋体" w:eastAsia="仿宋_GB2312"/>
      <w:color w:val="000000"/>
      <w:kern w:val="0"/>
      <w:sz w:val="24"/>
    </w:rPr>
  </w:style>
  <w:style w:type="paragraph" w:styleId="42">
    <w:name w:val="table of figures"/>
    <w:basedOn w:val="1"/>
    <w:next w:val="1"/>
    <w:autoRedefine/>
    <w:unhideWhenUsed/>
    <w:qFormat/>
    <w:uiPriority w:val="0"/>
    <w:pPr>
      <w:spacing w:line="360" w:lineRule="auto"/>
      <w:ind w:left="480" w:hanging="480"/>
      <w:jc w:val="left"/>
    </w:pPr>
    <w:rPr>
      <w:rFonts w:ascii="Calibri" w:hAnsi="Calibri" w:cs="Calibri"/>
      <w:smallCaps/>
      <w:sz w:val="20"/>
      <w:szCs w:val="20"/>
    </w:rPr>
  </w:style>
  <w:style w:type="paragraph" w:styleId="43">
    <w:name w:val="toc 2"/>
    <w:basedOn w:val="1"/>
    <w:next w:val="1"/>
    <w:autoRedefine/>
    <w:qFormat/>
    <w:uiPriority w:val="39"/>
    <w:pPr>
      <w:ind w:left="420" w:leftChars="200"/>
    </w:pPr>
  </w:style>
  <w:style w:type="paragraph" w:styleId="44">
    <w:name w:val="toc 9"/>
    <w:basedOn w:val="1"/>
    <w:next w:val="1"/>
    <w:autoRedefine/>
    <w:unhideWhenUsed/>
    <w:qFormat/>
    <w:uiPriority w:val="39"/>
    <w:pPr>
      <w:ind w:left="3360" w:leftChars="1600"/>
    </w:pPr>
    <w:rPr>
      <w:rFonts w:ascii="Calibri" w:hAnsi="Calibri"/>
      <w:szCs w:val="22"/>
    </w:rPr>
  </w:style>
  <w:style w:type="paragraph" w:styleId="45">
    <w:name w:val="Body Text 2"/>
    <w:basedOn w:val="1"/>
    <w:link w:val="215"/>
    <w:autoRedefine/>
    <w:qFormat/>
    <w:uiPriority w:val="99"/>
    <w:pPr>
      <w:widowControl/>
      <w:snapToGrid w:val="0"/>
      <w:spacing w:before="50" w:afterLines="50" w:line="400" w:lineRule="exact"/>
      <w:jc w:val="left"/>
    </w:pPr>
    <w:rPr>
      <w:rFonts w:ascii="宋体" w:hAnsi="宋体"/>
      <w:color w:val="000000"/>
      <w:kern w:val="0"/>
      <w:sz w:val="24"/>
    </w:rPr>
  </w:style>
  <w:style w:type="paragraph" w:styleId="46">
    <w:name w:val="Normal (Web)"/>
    <w:basedOn w:val="1"/>
    <w:link w:val="75"/>
    <w:autoRedefine/>
    <w:qFormat/>
    <w:uiPriority w:val="0"/>
    <w:pPr>
      <w:widowControl/>
      <w:spacing w:before="100" w:beforeAutospacing="1" w:after="100" w:afterAutospacing="1"/>
      <w:jc w:val="left"/>
    </w:pPr>
    <w:rPr>
      <w:rFonts w:ascii="宋体" w:hAnsi="宋体"/>
      <w:kern w:val="0"/>
      <w:sz w:val="24"/>
    </w:rPr>
  </w:style>
  <w:style w:type="paragraph" w:styleId="47">
    <w:name w:val="index 1"/>
    <w:basedOn w:val="1"/>
    <w:next w:val="1"/>
    <w:autoRedefine/>
    <w:qFormat/>
    <w:uiPriority w:val="0"/>
    <w:pPr>
      <w:spacing w:line="360" w:lineRule="auto"/>
      <w:jc w:val="center"/>
    </w:pPr>
    <w:rPr>
      <w:rFonts w:ascii="宋体" w:hAnsi="宋体"/>
      <w:bCs/>
    </w:rPr>
  </w:style>
  <w:style w:type="paragraph" w:styleId="48">
    <w:name w:val="Title"/>
    <w:basedOn w:val="1"/>
    <w:next w:val="1"/>
    <w:link w:val="134"/>
    <w:autoRedefine/>
    <w:qFormat/>
    <w:uiPriority w:val="0"/>
    <w:pPr>
      <w:spacing w:before="240" w:after="60"/>
      <w:jc w:val="center"/>
      <w:outlineLvl w:val="0"/>
    </w:pPr>
    <w:rPr>
      <w:rFonts w:ascii="Cambria" w:hAnsi="Cambria"/>
      <w:b/>
      <w:bCs/>
      <w:kern w:val="0"/>
      <w:sz w:val="32"/>
      <w:szCs w:val="32"/>
    </w:rPr>
  </w:style>
  <w:style w:type="paragraph" w:styleId="49">
    <w:name w:val="annotation subject"/>
    <w:basedOn w:val="20"/>
    <w:next w:val="20"/>
    <w:link w:val="236"/>
    <w:autoRedefine/>
    <w:qFormat/>
    <w:uiPriority w:val="99"/>
    <w:rPr>
      <w:b/>
      <w:bCs/>
    </w:rPr>
  </w:style>
  <w:style w:type="paragraph" w:styleId="50">
    <w:name w:val="Body Text First Indent 2"/>
    <w:basedOn w:val="22"/>
    <w:autoRedefine/>
    <w:qFormat/>
    <w:uiPriority w:val="0"/>
    <w:pPr>
      <w:spacing w:after="120" w:line="240" w:lineRule="auto"/>
      <w:ind w:left="420" w:leftChars="200" w:firstLine="420"/>
    </w:pPr>
    <w:rPr>
      <w:rFonts w:cs="宋体"/>
      <w:sz w:val="21"/>
      <w:szCs w:val="21"/>
    </w:rPr>
  </w:style>
  <w:style w:type="table" w:styleId="52">
    <w:name w:val="Table Grid"/>
    <w:basedOn w:val="51"/>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4">
    <w:name w:val="Strong"/>
    <w:autoRedefine/>
    <w:qFormat/>
    <w:uiPriority w:val="0"/>
    <w:rPr>
      <w:b/>
      <w:bCs/>
      <w:color w:val="000000"/>
    </w:rPr>
  </w:style>
  <w:style w:type="character" w:styleId="55">
    <w:name w:val="page number"/>
    <w:autoRedefine/>
    <w:qFormat/>
    <w:uiPriority w:val="0"/>
  </w:style>
  <w:style w:type="character" w:styleId="56">
    <w:name w:val="FollowedHyperlink"/>
    <w:autoRedefine/>
    <w:qFormat/>
    <w:uiPriority w:val="99"/>
    <w:rPr>
      <w:color w:val="800080"/>
      <w:u w:val="single"/>
    </w:rPr>
  </w:style>
  <w:style w:type="character" w:styleId="57">
    <w:name w:val="Emphasis"/>
    <w:autoRedefine/>
    <w:qFormat/>
    <w:uiPriority w:val="0"/>
  </w:style>
  <w:style w:type="character" w:styleId="58">
    <w:name w:val="Hyperlink"/>
    <w:autoRedefine/>
    <w:qFormat/>
    <w:uiPriority w:val="99"/>
    <w:rPr>
      <w:color w:val="0000FF"/>
      <w:u w:val="single"/>
    </w:rPr>
  </w:style>
  <w:style w:type="character" w:styleId="59">
    <w:name w:val="annotation reference"/>
    <w:autoRedefine/>
    <w:qFormat/>
    <w:uiPriority w:val="0"/>
    <w:rPr>
      <w:sz w:val="21"/>
      <w:szCs w:val="21"/>
    </w:rPr>
  </w:style>
  <w:style w:type="paragraph" w:styleId="60">
    <w:name w:val="Quote"/>
    <w:basedOn w:val="1"/>
    <w:next w:val="1"/>
    <w:qFormat/>
    <w:uiPriority w:val="0"/>
    <w:pPr>
      <w:wordWrap w:val="0"/>
      <w:spacing w:before="200" w:after="160"/>
      <w:ind w:left="864" w:right="864"/>
      <w:jc w:val="center"/>
    </w:pPr>
    <w:rPr>
      <w:i/>
    </w:rPr>
  </w:style>
  <w:style w:type="paragraph" w:customStyle="1" w:styleId="61">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62">
    <w:name w:val="标题 1 字符"/>
    <w:link w:val="4"/>
    <w:autoRedefine/>
    <w:qFormat/>
    <w:uiPriority w:val="9"/>
    <w:rPr>
      <w:b/>
      <w:bCs/>
      <w:kern w:val="44"/>
      <w:sz w:val="30"/>
      <w:szCs w:val="44"/>
    </w:rPr>
  </w:style>
  <w:style w:type="character" w:customStyle="1" w:styleId="63">
    <w:name w:val="页眉 Char1"/>
    <w:autoRedefine/>
    <w:semiHidden/>
    <w:qFormat/>
    <w:uiPriority w:val="99"/>
    <w:rPr>
      <w:rFonts w:ascii="Times New Roman" w:hAnsi="Times New Roman" w:eastAsia="宋体" w:cs="Times New Roman"/>
      <w:sz w:val="18"/>
      <w:szCs w:val="18"/>
    </w:rPr>
  </w:style>
  <w:style w:type="character" w:customStyle="1" w:styleId="64">
    <w:name w:val="H2 Char"/>
    <w:autoRedefine/>
    <w:qFormat/>
    <w:uiPriority w:val="0"/>
    <w:rPr>
      <w:rFonts w:ascii="Cambria" w:hAnsi="Cambria" w:eastAsia="宋体" w:cs="Times New Roman"/>
      <w:b/>
      <w:bCs/>
      <w:sz w:val="32"/>
      <w:szCs w:val="32"/>
    </w:rPr>
  </w:style>
  <w:style w:type="character" w:customStyle="1" w:styleId="65">
    <w:name w:val="* table text Char"/>
    <w:link w:val="66"/>
    <w:autoRedefine/>
    <w:qFormat/>
    <w:locked/>
    <w:uiPriority w:val="0"/>
    <w:rPr>
      <w:rFonts w:ascii="Arial" w:hAnsi="Arial" w:eastAsia="宋体"/>
      <w:color w:val="333333"/>
      <w:sz w:val="18"/>
      <w:szCs w:val="18"/>
      <w:lang w:bidi="ar-SA"/>
    </w:rPr>
  </w:style>
  <w:style w:type="paragraph" w:customStyle="1" w:styleId="66">
    <w:name w:val="* table text"/>
    <w:basedOn w:val="1"/>
    <w:link w:val="65"/>
    <w:autoRedefine/>
    <w:qFormat/>
    <w:uiPriority w:val="0"/>
    <w:pPr>
      <w:widowControl/>
    </w:pPr>
    <w:rPr>
      <w:rFonts w:ascii="Arial" w:hAnsi="Arial"/>
      <w:color w:val="333333"/>
      <w:kern w:val="0"/>
      <w:sz w:val="18"/>
      <w:szCs w:val="18"/>
    </w:rPr>
  </w:style>
  <w:style w:type="character" w:customStyle="1" w:styleId="67">
    <w:name w:val="批注文字 字符"/>
    <w:link w:val="20"/>
    <w:autoRedefine/>
    <w:qFormat/>
    <w:uiPriority w:val="0"/>
    <w:rPr>
      <w:szCs w:val="24"/>
    </w:rPr>
  </w:style>
  <w:style w:type="character" w:customStyle="1" w:styleId="68">
    <w:name w:val="Char Char12"/>
    <w:autoRedefine/>
    <w:qFormat/>
    <w:uiPriority w:val="0"/>
    <w:rPr>
      <w:rFonts w:ascii="仿宋_GB2312" w:hAnsi="宋体" w:eastAsia="仿宋_GB2312"/>
      <w:color w:val="000000"/>
      <w:kern w:val="2"/>
      <w:sz w:val="24"/>
      <w:szCs w:val="24"/>
    </w:rPr>
  </w:style>
  <w:style w:type="character" w:customStyle="1" w:styleId="69">
    <w:name w:val="Char Char23"/>
    <w:autoRedefine/>
    <w:qFormat/>
    <w:uiPriority w:val="0"/>
    <w:rPr>
      <w:b/>
      <w:bCs/>
      <w:kern w:val="2"/>
      <w:sz w:val="28"/>
      <w:szCs w:val="28"/>
    </w:rPr>
  </w:style>
  <w:style w:type="character" w:customStyle="1" w:styleId="70">
    <w:name w:val="Char Char27"/>
    <w:autoRedefine/>
    <w:qFormat/>
    <w:uiPriority w:val="0"/>
    <w:rPr>
      <w:b/>
      <w:bCs/>
      <w:kern w:val="44"/>
      <w:sz w:val="44"/>
      <w:szCs w:val="44"/>
    </w:rPr>
  </w:style>
  <w:style w:type="character" w:customStyle="1" w:styleId="71">
    <w:name w:val="Char Char1111"/>
    <w:autoRedefine/>
    <w:qFormat/>
    <w:uiPriority w:val="0"/>
    <w:rPr>
      <w:kern w:val="2"/>
      <w:sz w:val="28"/>
      <w:szCs w:val="24"/>
    </w:rPr>
  </w:style>
  <w:style w:type="character" w:customStyle="1" w:styleId="72">
    <w:name w:val="正文文本 字符"/>
    <w:autoRedefine/>
    <w:qFormat/>
    <w:uiPriority w:val="0"/>
    <w:rPr>
      <w:rFonts w:ascii="Times New Roman" w:hAnsi="Times New Roman" w:eastAsia="宋体" w:cs="Times New Roman"/>
      <w:kern w:val="0"/>
      <w:sz w:val="28"/>
      <w:szCs w:val="24"/>
    </w:rPr>
  </w:style>
  <w:style w:type="character" w:customStyle="1" w:styleId="73">
    <w:name w:val="无格式标题 Char"/>
    <w:link w:val="74"/>
    <w:autoRedefine/>
    <w:qFormat/>
    <w:uiPriority w:val="0"/>
    <w:rPr>
      <w:rFonts w:ascii="微软雅黑" w:hAnsi="微软雅黑" w:eastAsia="微软雅黑"/>
      <w:b/>
      <w:szCs w:val="24"/>
      <w:lang w:bidi="ar-SA"/>
    </w:rPr>
  </w:style>
  <w:style w:type="paragraph" w:customStyle="1" w:styleId="74">
    <w:name w:val="无格式标题"/>
    <w:basedOn w:val="1"/>
    <w:link w:val="73"/>
    <w:autoRedefine/>
    <w:qFormat/>
    <w:uiPriority w:val="0"/>
    <w:pPr>
      <w:spacing w:line="360" w:lineRule="auto"/>
    </w:pPr>
    <w:rPr>
      <w:rFonts w:ascii="微软雅黑" w:hAnsi="微软雅黑" w:eastAsia="微软雅黑"/>
      <w:b/>
      <w:kern w:val="0"/>
      <w:sz w:val="20"/>
    </w:rPr>
  </w:style>
  <w:style w:type="character" w:customStyle="1" w:styleId="75">
    <w:name w:val="普通(网站) 字符"/>
    <w:link w:val="46"/>
    <w:autoRedefine/>
    <w:qFormat/>
    <w:uiPriority w:val="0"/>
    <w:rPr>
      <w:rFonts w:ascii="宋体" w:hAnsi="宋体"/>
      <w:sz w:val="24"/>
      <w:szCs w:val="24"/>
    </w:rPr>
  </w:style>
  <w:style w:type="character" w:customStyle="1" w:styleId="76">
    <w:name w:val="标题 3 Char1"/>
    <w:autoRedefine/>
    <w:qFormat/>
    <w:uiPriority w:val="0"/>
    <w:rPr>
      <w:rFonts w:ascii="Times New Roman" w:hAnsi="Times New Roman" w:eastAsia="宋体" w:cs="Times New Roman"/>
      <w:b/>
      <w:bCs/>
      <w:sz w:val="32"/>
      <w:szCs w:val="32"/>
    </w:rPr>
  </w:style>
  <w:style w:type="character" w:customStyle="1" w:styleId="77">
    <w:name w:val="Heading 9 Char"/>
    <w:autoRedefine/>
    <w:semiHidden/>
    <w:qFormat/>
    <w:locked/>
    <w:uiPriority w:val="0"/>
    <w:rPr>
      <w:rFonts w:ascii="Cambria" w:hAnsi="Cambria" w:eastAsia="宋体" w:cs="Times New Roman"/>
      <w:kern w:val="0"/>
      <w:sz w:val="21"/>
      <w:szCs w:val="21"/>
    </w:rPr>
  </w:style>
  <w:style w:type="character" w:customStyle="1" w:styleId="78">
    <w:name w:val="中等深浅网格 2 字符"/>
    <w:link w:val="79"/>
    <w:autoRedefine/>
    <w:qFormat/>
    <w:uiPriority w:val="1"/>
    <w:rPr>
      <w:kern w:val="2"/>
      <w:sz w:val="21"/>
      <w:szCs w:val="24"/>
      <w:lang w:val="en-US" w:eastAsia="zh-CN" w:bidi="ar-SA"/>
    </w:rPr>
  </w:style>
  <w:style w:type="paragraph" w:customStyle="1" w:styleId="79">
    <w:name w:val="中等深浅网格 21"/>
    <w:link w:val="78"/>
    <w:autoRedefine/>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80">
    <w:name w:val="段落文本 Char"/>
    <w:link w:val="81"/>
    <w:autoRedefine/>
    <w:qFormat/>
    <w:uiPriority w:val="0"/>
    <w:rPr>
      <w:rFonts w:eastAsia="宋体"/>
      <w:szCs w:val="21"/>
      <w:lang w:bidi="ar-SA"/>
    </w:rPr>
  </w:style>
  <w:style w:type="paragraph" w:customStyle="1" w:styleId="81">
    <w:name w:val="段落文本"/>
    <w:basedOn w:val="1"/>
    <w:link w:val="80"/>
    <w:autoRedefine/>
    <w:qFormat/>
    <w:uiPriority w:val="0"/>
    <w:pPr>
      <w:spacing w:line="360" w:lineRule="auto"/>
      <w:ind w:firstLine="420"/>
    </w:pPr>
    <w:rPr>
      <w:kern w:val="0"/>
      <w:sz w:val="20"/>
      <w:szCs w:val="21"/>
    </w:rPr>
  </w:style>
  <w:style w:type="character" w:customStyle="1" w:styleId="82">
    <w:name w:val="批注文字 Char1"/>
    <w:autoRedefine/>
    <w:semiHidden/>
    <w:qFormat/>
    <w:uiPriority w:val="99"/>
    <w:rPr>
      <w:rFonts w:ascii="Times New Roman" w:hAnsi="Times New Roman" w:eastAsia="宋体" w:cs="Times New Roman"/>
      <w:szCs w:val="24"/>
    </w:rPr>
  </w:style>
  <w:style w:type="character" w:customStyle="1" w:styleId="83">
    <w:name w:val="￥正文 Char Char"/>
    <w:autoRedefine/>
    <w:qFormat/>
    <w:uiPriority w:val="0"/>
    <w:rPr>
      <w:rFonts w:ascii="Calibri" w:hAnsi="Calibri"/>
      <w:sz w:val="24"/>
    </w:rPr>
  </w:style>
  <w:style w:type="character" w:customStyle="1" w:styleId="84">
    <w:name w:val="Char Char5"/>
    <w:autoRedefine/>
    <w:qFormat/>
    <w:uiPriority w:val="0"/>
    <w:rPr>
      <w:rFonts w:ascii="宋体" w:hAnsi="宋体"/>
      <w:sz w:val="24"/>
      <w:szCs w:val="24"/>
    </w:rPr>
  </w:style>
  <w:style w:type="character" w:customStyle="1" w:styleId="85">
    <w:name w:val="Heading 3 Char"/>
    <w:autoRedefine/>
    <w:semiHidden/>
    <w:qFormat/>
    <w:locked/>
    <w:uiPriority w:val="0"/>
    <w:rPr>
      <w:rFonts w:cs="Times New Roman"/>
      <w:b/>
      <w:bCs/>
      <w:kern w:val="0"/>
      <w:sz w:val="32"/>
      <w:szCs w:val="32"/>
    </w:rPr>
  </w:style>
  <w:style w:type="character" w:customStyle="1" w:styleId="86">
    <w:name w:val="Char Char21"/>
    <w:autoRedefine/>
    <w:qFormat/>
    <w:uiPriority w:val="0"/>
    <w:rPr>
      <w:b/>
      <w:bCs/>
      <w:kern w:val="2"/>
      <w:sz w:val="24"/>
      <w:szCs w:val="24"/>
    </w:rPr>
  </w:style>
  <w:style w:type="character" w:customStyle="1" w:styleId="87">
    <w:name w:val="正文样式 Char"/>
    <w:link w:val="88"/>
    <w:autoRedefine/>
    <w:qFormat/>
    <w:uiPriority w:val="0"/>
    <w:rPr>
      <w:rFonts w:ascii="宋体" w:hAnsi="Calibri" w:eastAsia="宋体" w:cs="宋体"/>
      <w:sz w:val="24"/>
      <w:szCs w:val="24"/>
      <w:lang w:val="zh-CN" w:eastAsia="en-US" w:bidi="he-IL"/>
    </w:rPr>
  </w:style>
  <w:style w:type="paragraph" w:customStyle="1" w:styleId="88">
    <w:name w:val="正文样式"/>
    <w:basedOn w:val="1"/>
    <w:link w:val="87"/>
    <w:autoRedefine/>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89">
    <w:name w:val="Heading 8 Char"/>
    <w:autoRedefine/>
    <w:semiHidden/>
    <w:qFormat/>
    <w:locked/>
    <w:uiPriority w:val="0"/>
    <w:rPr>
      <w:rFonts w:ascii="Cambria" w:hAnsi="Cambria" w:eastAsia="宋体" w:cs="Times New Roman"/>
      <w:kern w:val="0"/>
      <w:sz w:val="24"/>
      <w:szCs w:val="24"/>
    </w:rPr>
  </w:style>
  <w:style w:type="character" w:customStyle="1" w:styleId="90">
    <w:name w:val="内容文本 Char"/>
    <w:link w:val="91"/>
    <w:autoRedefine/>
    <w:qFormat/>
    <w:uiPriority w:val="0"/>
    <w:rPr>
      <w:rFonts w:ascii="宋体" w:hAnsi="宋体" w:eastAsia="宋体"/>
      <w:kern w:val="2"/>
      <w:sz w:val="24"/>
      <w:szCs w:val="24"/>
      <w:lang w:bidi="ar-SA"/>
    </w:rPr>
  </w:style>
  <w:style w:type="paragraph" w:customStyle="1" w:styleId="91">
    <w:name w:val="内容文本"/>
    <w:basedOn w:val="1"/>
    <w:link w:val="90"/>
    <w:autoRedefine/>
    <w:qFormat/>
    <w:uiPriority w:val="0"/>
    <w:pPr>
      <w:spacing w:line="360" w:lineRule="auto"/>
      <w:ind w:firstLine="480" w:firstLineChars="200"/>
    </w:pPr>
    <w:rPr>
      <w:rFonts w:ascii="宋体" w:hAnsi="宋体"/>
      <w:sz w:val="24"/>
    </w:rPr>
  </w:style>
  <w:style w:type="character" w:customStyle="1" w:styleId="92">
    <w:name w:val="正文文本缩进 3 字符"/>
    <w:link w:val="41"/>
    <w:autoRedefine/>
    <w:qFormat/>
    <w:uiPriority w:val="0"/>
    <w:rPr>
      <w:rFonts w:ascii="仿宋_GB2312" w:hAnsi="宋体" w:eastAsia="仿宋_GB2312"/>
      <w:color w:val="000000"/>
      <w:sz w:val="24"/>
      <w:szCs w:val="24"/>
    </w:rPr>
  </w:style>
  <w:style w:type="character" w:customStyle="1" w:styleId="93">
    <w:name w:val="Char Char3"/>
    <w:autoRedefine/>
    <w:qFormat/>
    <w:uiPriority w:val="0"/>
    <w:rPr>
      <w:kern w:val="2"/>
      <w:sz w:val="24"/>
      <w:szCs w:val="24"/>
    </w:rPr>
  </w:style>
  <w:style w:type="character" w:customStyle="1" w:styleId="94">
    <w:name w:val="Char Char8"/>
    <w:autoRedefine/>
    <w:qFormat/>
    <w:uiPriority w:val="0"/>
    <w:rPr>
      <w:rFonts w:eastAsia="楷体_GB2312"/>
      <w:kern w:val="2"/>
      <w:sz w:val="32"/>
    </w:rPr>
  </w:style>
  <w:style w:type="character" w:customStyle="1" w:styleId="95">
    <w:name w:val="Char Char18"/>
    <w:autoRedefine/>
    <w:qFormat/>
    <w:uiPriority w:val="0"/>
    <w:rPr>
      <w:rFonts w:eastAsia="黑体"/>
      <w:sz w:val="18"/>
      <w:szCs w:val="18"/>
    </w:rPr>
  </w:style>
  <w:style w:type="character" w:customStyle="1" w:styleId="96">
    <w:name w:val="h Char"/>
    <w:autoRedefine/>
    <w:qFormat/>
    <w:uiPriority w:val="0"/>
    <w:rPr>
      <w:rFonts w:ascii="Times New Roman" w:hAnsi="Times New Roman" w:eastAsia="宋体" w:cs="Times New Roman"/>
      <w:sz w:val="18"/>
      <w:szCs w:val="18"/>
    </w:rPr>
  </w:style>
  <w:style w:type="character" w:customStyle="1" w:styleId="97">
    <w:name w:val="Heading 4 Char"/>
    <w:autoRedefine/>
    <w:qFormat/>
    <w:locked/>
    <w:uiPriority w:val="0"/>
    <w:rPr>
      <w:rFonts w:cs="Times New Roman"/>
      <w:b/>
      <w:sz w:val="21"/>
    </w:rPr>
  </w:style>
  <w:style w:type="character" w:customStyle="1" w:styleId="98">
    <w:name w:val="zhenwen14"/>
    <w:autoRedefine/>
    <w:qFormat/>
    <w:uiPriority w:val="0"/>
    <w:rPr>
      <w:color w:val="085994"/>
      <w:sz w:val="18"/>
      <w:szCs w:val="18"/>
    </w:rPr>
  </w:style>
  <w:style w:type="character" w:customStyle="1" w:styleId="99">
    <w:name w:val="中等深浅网格 1 - 强调文字颜色 2 Char"/>
    <w:link w:val="100"/>
    <w:autoRedefine/>
    <w:qFormat/>
    <w:uiPriority w:val="0"/>
    <w:rPr>
      <w:rFonts w:ascii="Calibri" w:hAnsi="Calibri" w:eastAsia="宋体"/>
      <w:sz w:val="24"/>
      <w:lang w:bidi="ar-SA"/>
    </w:rPr>
  </w:style>
  <w:style w:type="paragraph" w:customStyle="1" w:styleId="100">
    <w:name w:val="中等深浅网格 1 - 强调文字颜色 21"/>
    <w:basedOn w:val="1"/>
    <w:link w:val="99"/>
    <w:autoRedefine/>
    <w:qFormat/>
    <w:uiPriority w:val="0"/>
    <w:pPr>
      <w:spacing w:line="360" w:lineRule="auto"/>
      <w:ind w:firstLine="420" w:firstLineChars="200"/>
    </w:pPr>
    <w:rPr>
      <w:rFonts w:ascii="Calibri" w:hAnsi="Calibri"/>
      <w:kern w:val="0"/>
      <w:sz w:val="24"/>
      <w:szCs w:val="20"/>
    </w:rPr>
  </w:style>
  <w:style w:type="character" w:customStyle="1" w:styleId="101">
    <w:name w:val="标题 4 字符"/>
    <w:link w:val="7"/>
    <w:autoRedefine/>
    <w:qFormat/>
    <w:uiPriority w:val="0"/>
    <w:rPr>
      <w:rFonts w:ascii="Arial" w:hAnsi="Arial" w:eastAsia="黑体" w:cs="Times New Roman"/>
      <w:b/>
      <w:bCs/>
      <w:kern w:val="0"/>
      <w:sz w:val="28"/>
      <w:szCs w:val="28"/>
    </w:rPr>
  </w:style>
  <w:style w:type="character" w:customStyle="1" w:styleId="102">
    <w:name w:val="Char Char2"/>
    <w:autoRedefine/>
    <w:qFormat/>
    <w:uiPriority w:val="0"/>
    <w:rPr>
      <w:rFonts w:ascii="宋体" w:hAnsi="宋体"/>
      <w:color w:val="000000"/>
      <w:kern w:val="2"/>
      <w:sz w:val="24"/>
      <w:szCs w:val="24"/>
    </w:rPr>
  </w:style>
  <w:style w:type="character" w:customStyle="1" w:styleId="103">
    <w:name w:val="Char Char24"/>
    <w:autoRedefine/>
    <w:qFormat/>
    <w:uiPriority w:val="0"/>
    <w:rPr>
      <w:rFonts w:ascii="Arial" w:hAnsi="Arial" w:eastAsia="黑体"/>
      <w:b/>
      <w:bCs/>
      <w:kern w:val="2"/>
      <w:sz w:val="28"/>
      <w:szCs w:val="28"/>
    </w:rPr>
  </w:style>
  <w:style w:type="character" w:customStyle="1" w:styleId="104">
    <w:name w:val="样式 (中文) 放宋 小四号"/>
    <w:autoRedefine/>
    <w:qFormat/>
    <w:uiPriority w:val="0"/>
    <w:rPr>
      <w:rFonts w:eastAsia="仿宋_GB2312"/>
      <w:sz w:val="24"/>
    </w:rPr>
  </w:style>
  <w:style w:type="character" w:customStyle="1" w:styleId="105">
    <w:name w:val="日期 Char1"/>
    <w:autoRedefine/>
    <w:semiHidden/>
    <w:qFormat/>
    <w:uiPriority w:val="99"/>
    <w:rPr>
      <w:rFonts w:ascii="Times New Roman" w:hAnsi="Times New Roman" w:eastAsia="宋体" w:cs="Times New Roman"/>
      <w:szCs w:val="24"/>
    </w:rPr>
  </w:style>
  <w:style w:type="character" w:customStyle="1" w:styleId="106">
    <w:name w:val="font31"/>
    <w:autoRedefine/>
    <w:qFormat/>
    <w:uiPriority w:val="0"/>
    <w:rPr>
      <w:rFonts w:hint="default" w:ascii="Times New Roman" w:hAnsi="Times New Roman" w:cs="Times New Roman"/>
      <w:color w:val="000000"/>
      <w:sz w:val="20"/>
      <w:szCs w:val="20"/>
      <w:u w:val="none"/>
    </w:rPr>
  </w:style>
  <w:style w:type="character" w:customStyle="1" w:styleId="107">
    <w:name w:val="样式 加粗"/>
    <w:autoRedefine/>
    <w:qFormat/>
    <w:uiPriority w:val="0"/>
    <w:rPr>
      <w:rFonts w:eastAsia="仿宋_GB2312"/>
      <w:b/>
      <w:bCs/>
      <w:sz w:val="24"/>
    </w:rPr>
  </w:style>
  <w:style w:type="character" w:customStyle="1" w:styleId="108">
    <w:name w:val="常规 Char"/>
    <w:link w:val="109"/>
    <w:autoRedefine/>
    <w:qFormat/>
    <w:uiPriority w:val="0"/>
    <w:rPr>
      <w:rFonts w:eastAsia="宋体"/>
      <w:szCs w:val="21"/>
      <w:lang w:bidi="ar-SA"/>
    </w:rPr>
  </w:style>
  <w:style w:type="paragraph" w:customStyle="1" w:styleId="109">
    <w:name w:val="常规"/>
    <w:basedOn w:val="1"/>
    <w:link w:val="108"/>
    <w:autoRedefine/>
    <w:qFormat/>
    <w:uiPriority w:val="0"/>
    <w:pPr>
      <w:spacing w:beforeLines="100" w:afterLines="100"/>
      <w:ind w:left="1134"/>
    </w:pPr>
    <w:rPr>
      <w:kern w:val="0"/>
      <w:sz w:val="20"/>
      <w:szCs w:val="21"/>
    </w:rPr>
  </w:style>
  <w:style w:type="character" w:customStyle="1" w:styleId="110">
    <w:name w:val="正文文本 3 字符"/>
    <w:link w:val="21"/>
    <w:autoRedefine/>
    <w:qFormat/>
    <w:uiPriority w:val="0"/>
    <w:rPr>
      <w:rFonts w:hAnsi="宋体" w:eastAsia="仿宋_GB2312"/>
      <w:b/>
      <w:bCs/>
      <w:sz w:val="24"/>
    </w:rPr>
  </w:style>
  <w:style w:type="character" w:customStyle="1" w:styleId="111">
    <w:name w:val="普通 (Web) Char1"/>
    <w:autoRedefine/>
    <w:qFormat/>
    <w:locked/>
    <w:uiPriority w:val="0"/>
    <w:rPr>
      <w:rFonts w:ascii="宋体" w:hAnsi="宋体" w:eastAsia="宋体"/>
      <w:sz w:val="24"/>
      <w:szCs w:val="24"/>
      <w:lang w:val="en-US" w:eastAsia="zh-CN" w:bidi="ar-SA"/>
    </w:rPr>
  </w:style>
  <w:style w:type="character" w:customStyle="1" w:styleId="112">
    <w:name w:val="Heading 2 Char"/>
    <w:autoRedefine/>
    <w:semiHidden/>
    <w:qFormat/>
    <w:locked/>
    <w:uiPriority w:val="0"/>
    <w:rPr>
      <w:rFonts w:ascii="Cambria" w:hAnsi="Cambria" w:eastAsia="宋体" w:cs="Times New Roman"/>
      <w:b/>
      <w:bCs/>
      <w:kern w:val="0"/>
      <w:sz w:val="32"/>
      <w:szCs w:val="32"/>
    </w:rPr>
  </w:style>
  <w:style w:type="character" w:customStyle="1" w:styleId="113">
    <w:name w:val="Body Text Char"/>
    <w:autoRedefine/>
    <w:semiHidden/>
    <w:qFormat/>
    <w:locked/>
    <w:uiPriority w:val="0"/>
    <w:rPr>
      <w:rFonts w:cs="Times New Roman"/>
      <w:kern w:val="0"/>
      <w:sz w:val="21"/>
      <w:szCs w:val="21"/>
    </w:rPr>
  </w:style>
  <w:style w:type="character" w:customStyle="1" w:styleId="114">
    <w:name w:val="正文首行缩进1 Char"/>
    <w:autoRedefine/>
    <w:qFormat/>
    <w:uiPriority w:val="0"/>
    <w:rPr>
      <w:rFonts w:ascii="Arial" w:hAnsi="Arial" w:eastAsia="宋体"/>
      <w:sz w:val="24"/>
      <w:szCs w:val="21"/>
      <w:lang w:bidi="ar-SA"/>
    </w:rPr>
  </w:style>
  <w:style w:type="character" w:customStyle="1" w:styleId="115">
    <w:name w:val="正文缩进 字符1"/>
    <w:link w:val="15"/>
    <w:autoRedefine/>
    <w:qFormat/>
    <w:uiPriority w:val="0"/>
    <w:rPr>
      <w:rFonts w:eastAsia="宋体"/>
    </w:rPr>
  </w:style>
  <w:style w:type="character" w:customStyle="1" w:styleId="116">
    <w:name w:val="标题 7 字符"/>
    <w:link w:val="10"/>
    <w:autoRedefine/>
    <w:qFormat/>
    <w:uiPriority w:val="0"/>
    <w:rPr>
      <w:rFonts w:ascii="Times New Roman" w:hAnsi="Times New Roman" w:eastAsia="宋体" w:cs="Times New Roman"/>
      <w:b/>
      <w:bCs/>
      <w:kern w:val="0"/>
      <w:sz w:val="24"/>
      <w:szCs w:val="24"/>
    </w:rPr>
  </w:style>
  <w:style w:type="character" w:customStyle="1" w:styleId="117">
    <w:name w:val="Char Char6"/>
    <w:autoRedefine/>
    <w:qFormat/>
    <w:uiPriority w:val="0"/>
    <w:rPr>
      <w:rFonts w:ascii="Cambria" w:hAnsi="Cambria"/>
      <w:b/>
      <w:bCs/>
      <w:kern w:val="2"/>
      <w:sz w:val="32"/>
      <w:szCs w:val="32"/>
    </w:rPr>
  </w:style>
  <w:style w:type="character" w:customStyle="1" w:styleId="118">
    <w:name w:val="正文文本 字符1"/>
    <w:link w:val="3"/>
    <w:autoRedefine/>
    <w:qFormat/>
    <w:uiPriority w:val="0"/>
    <w:rPr>
      <w:rFonts w:ascii="Times New Roman" w:hAnsi="Times New Roman" w:eastAsia="宋体" w:cs="Times New Roman"/>
      <w:kern w:val="0"/>
      <w:sz w:val="28"/>
      <w:szCs w:val="24"/>
    </w:rPr>
  </w:style>
  <w:style w:type="character" w:customStyle="1" w:styleId="119">
    <w:name w:val="style171"/>
    <w:autoRedefine/>
    <w:qFormat/>
    <w:uiPriority w:val="0"/>
    <w:rPr>
      <w:sz w:val="20"/>
      <w:szCs w:val="20"/>
    </w:rPr>
  </w:style>
  <w:style w:type="character" w:customStyle="1" w:styleId="120">
    <w:name w:val="标题 1 字符1"/>
    <w:link w:val="4"/>
    <w:autoRedefine/>
    <w:qFormat/>
    <w:uiPriority w:val="9"/>
    <w:rPr>
      <w:rFonts w:ascii="Times New Roman" w:hAnsi="Times New Roman" w:eastAsia="宋体" w:cs="Times New Roman"/>
      <w:b/>
      <w:bCs/>
      <w:kern w:val="44"/>
      <w:sz w:val="44"/>
      <w:szCs w:val="44"/>
    </w:rPr>
  </w:style>
  <w:style w:type="character" w:customStyle="1" w:styleId="121">
    <w:name w:val="newscontent1"/>
    <w:autoRedefine/>
    <w:qFormat/>
    <w:uiPriority w:val="0"/>
    <w:rPr>
      <w:rFonts w:hint="default" w:ascii="Verdana" w:hAnsi="Verdana"/>
      <w:color w:val="333333"/>
      <w:sz w:val="18"/>
      <w:szCs w:val="18"/>
    </w:rPr>
  </w:style>
  <w:style w:type="character" w:customStyle="1" w:styleId="122">
    <w:name w:val="H1 Char"/>
    <w:autoRedefine/>
    <w:qFormat/>
    <w:uiPriority w:val="0"/>
    <w:rPr>
      <w:rFonts w:ascii="Times New Roman" w:hAnsi="Times New Roman" w:eastAsia="宋体" w:cs="Times New Roman"/>
      <w:b/>
      <w:bCs/>
      <w:kern w:val="44"/>
      <w:sz w:val="44"/>
      <w:szCs w:val="44"/>
    </w:rPr>
  </w:style>
  <w:style w:type="character" w:customStyle="1" w:styleId="123">
    <w:name w:val="标题 2 字符"/>
    <w:link w:val="5"/>
    <w:autoRedefine/>
    <w:qFormat/>
    <w:uiPriority w:val="9"/>
    <w:rPr>
      <w:rFonts w:ascii="Arial" w:hAnsi="Arial" w:eastAsia="黑体" w:cs="Times New Roman"/>
      <w:b/>
      <w:bCs/>
      <w:kern w:val="0"/>
      <w:sz w:val="32"/>
      <w:szCs w:val="32"/>
    </w:rPr>
  </w:style>
  <w:style w:type="character" w:customStyle="1" w:styleId="124">
    <w:name w:val="style211"/>
    <w:autoRedefine/>
    <w:qFormat/>
    <w:uiPriority w:val="0"/>
    <w:rPr>
      <w:color w:val="0000FF"/>
    </w:rPr>
  </w:style>
  <w:style w:type="character" w:customStyle="1" w:styleId="125">
    <w:name w:val="con-all2"/>
    <w:autoRedefine/>
    <w:qFormat/>
    <w:uiPriority w:val="0"/>
  </w:style>
  <w:style w:type="character" w:customStyle="1" w:styleId="126">
    <w:name w:val="!标题3 Ctrl+3 Char"/>
    <w:link w:val="127"/>
    <w:autoRedefine/>
    <w:qFormat/>
    <w:locked/>
    <w:uiPriority w:val="0"/>
    <w:rPr>
      <w:rFonts w:ascii="Arial" w:hAnsi="Arial" w:eastAsia="黑体"/>
      <w:b/>
      <w:kern w:val="2"/>
      <w:sz w:val="32"/>
      <w:szCs w:val="32"/>
    </w:rPr>
  </w:style>
  <w:style w:type="paragraph" w:customStyle="1" w:styleId="127">
    <w:name w:val="!标题3 Ctrl+3"/>
    <w:basedOn w:val="6"/>
    <w:next w:val="1"/>
    <w:link w:val="126"/>
    <w:autoRedefine/>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28">
    <w:name w:val="font61"/>
    <w:autoRedefine/>
    <w:qFormat/>
    <w:uiPriority w:val="0"/>
    <w:rPr>
      <w:rFonts w:hint="eastAsia" w:ascii="宋体" w:hAnsi="宋体" w:eastAsia="宋体" w:cs="宋体"/>
      <w:color w:val="000000"/>
      <w:sz w:val="24"/>
      <w:szCs w:val="24"/>
      <w:u w:val="none"/>
    </w:rPr>
  </w:style>
  <w:style w:type="character" w:customStyle="1" w:styleId="129">
    <w:name w:val="正文文本缩进 Char1"/>
    <w:autoRedefine/>
    <w:semiHidden/>
    <w:qFormat/>
    <w:uiPriority w:val="99"/>
    <w:rPr>
      <w:rFonts w:ascii="Times New Roman" w:hAnsi="Times New Roman" w:eastAsia="宋体" w:cs="Times New Roman"/>
      <w:szCs w:val="24"/>
    </w:rPr>
  </w:style>
  <w:style w:type="character" w:customStyle="1" w:styleId="130">
    <w:name w:val="Char Char25"/>
    <w:autoRedefine/>
    <w:qFormat/>
    <w:uiPriority w:val="0"/>
    <w:rPr>
      <w:rFonts w:eastAsia="楷体_GB2312"/>
      <w:b/>
      <w:bCs/>
      <w:kern w:val="2"/>
      <w:sz w:val="32"/>
      <w:szCs w:val="32"/>
    </w:rPr>
  </w:style>
  <w:style w:type="character" w:customStyle="1" w:styleId="131">
    <w:name w:val="Char Char14"/>
    <w:autoRedefine/>
    <w:qFormat/>
    <w:uiPriority w:val="0"/>
    <w:rPr>
      <w:kern w:val="2"/>
      <w:sz w:val="18"/>
      <w:szCs w:val="18"/>
    </w:rPr>
  </w:style>
  <w:style w:type="character" w:customStyle="1" w:styleId="132">
    <w:name w:val="unnamed21"/>
    <w:autoRedefine/>
    <w:qFormat/>
    <w:uiPriority w:val="0"/>
    <w:rPr>
      <w:b/>
      <w:bCs/>
      <w:spacing w:val="330"/>
      <w:sz w:val="21"/>
      <w:szCs w:val="21"/>
    </w:rPr>
  </w:style>
  <w:style w:type="character" w:customStyle="1" w:styleId="133">
    <w:name w:val="body1"/>
    <w:autoRedefine/>
    <w:qFormat/>
    <w:uiPriority w:val="0"/>
    <w:rPr>
      <w:rFonts w:hint="default"/>
      <w:sz w:val="18"/>
    </w:rPr>
  </w:style>
  <w:style w:type="character" w:customStyle="1" w:styleId="134">
    <w:name w:val="标题 字符"/>
    <w:link w:val="48"/>
    <w:autoRedefine/>
    <w:qFormat/>
    <w:uiPriority w:val="0"/>
    <w:rPr>
      <w:rFonts w:ascii="Cambria" w:hAnsi="Cambria"/>
      <w:b/>
      <w:bCs/>
      <w:sz w:val="32"/>
      <w:szCs w:val="32"/>
    </w:rPr>
  </w:style>
  <w:style w:type="character" w:customStyle="1" w:styleId="135">
    <w:name w:val="批注框文本 字符"/>
    <w:link w:val="34"/>
    <w:autoRedefine/>
    <w:qFormat/>
    <w:uiPriority w:val="99"/>
    <w:rPr>
      <w:sz w:val="18"/>
      <w:szCs w:val="18"/>
    </w:rPr>
  </w:style>
  <w:style w:type="character" w:customStyle="1" w:styleId="136">
    <w:name w:val="表格文本 Char Char"/>
    <w:link w:val="137"/>
    <w:autoRedefine/>
    <w:qFormat/>
    <w:uiPriority w:val="0"/>
    <w:rPr>
      <w:rFonts w:ascii="Arial" w:hAnsi="Arial"/>
      <w:kern w:val="2"/>
      <w:sz w:val="21"/>
      <w:szCs w:val="21"/>
      <w:lang w:val="en-US" w:eastAsia="zh-CN" w:bidi="ar-SA"/>
    </w:rPr>
  </w:style>
  <w:style w:type="paragraph" w:customStyle="1" w:styleId="137">
    <w:name w:val="表格文本 Char"/>
    <w:link w:val="136"/>
    <w:autoRedefine/>
    <w:qFormat/>
    <w:uiPriority w:val="0"/>
    <w:pPr>
      <w:tabs>
        <w:tab w:val="decimal" w:pos="0"/>
      </w:tabs>
    </w:pPr>
    <w:rPr>
      <w:rFonts w:ascii="Arial" w:hAnsi="Arial" w:eastAsia="宋体" w:cs="Times New Roman"/>
      <w:kern w:val="2"/>
      <w:sz w:val="21"/>
      <w:szCs w:val="21"/>
      <w:lang w:val="en-US" w:eastAsia="zh-CN" w:bidi="ar-SA"/>
    </w:rPr>
  </w:style>
  <w:style w:type="character" w:customStyle="1" w:styleId="138">
    <w:name w:val="批注主题 Char1"/>
    <w:autoRedefine/>
    <w:semiHidden/>
    <w:qFormat/>
    <w:uiPriority w:val="99"/>
    <w:rPr>
      <w:rFonts w:ascii="Times New Roman" w:hAnsi="Times New Roman" w:eastAsia="宋体" w:cs="Times New Roman"/>
      <w:b/>
      <w:bCs/>
      <w:szCs w:val="24"/>
    </w:rPr>
  </w:style>
  <w:style w:type="character" w:customStyle="1" w:styleId="139">
    <w:name w:val="页脚 Char1"/>
    <w:autoRedefine/>
    <w:semiHidden/>
    <w:qFormat/>
    <w:uiPriority w:val="99"/>
    <w:rPr>
      <w:rFonts w:ascii="Times New Roman" w:hAnsi="Times New Roman" w:eastAsia="宋体" w:cs="Times New Roman"/>
      <w:sz w:val="18"/>
      <w:szCs w:val="18"/>
    </w:rPr>
  </w:style>
  <w:style w:type="character" w:customStyle="1" w:styleId="140">
    <w:name w:val="文档结构图 字符"/>
    <w:link w:val="18"/>
    <w:autoRedefine/>
    <w:qFormat/>
    <w:uiPriority w:val="99"/>
    <w:rPr>
      <w:szCs w:val="24"/>
      <w:shd w:val="clear" w:color="auto" w:fill="000080"/>
    </w:rPr>
  </w:style>
  <w:style w:type="character" w:customStyle="1" w:styleId="141">
    <w:name w:val="Heading 5 Char"/>
    <w:autoRedefine/>
    <w:semiHidden/>
    <w:qFormat/>
    <w:locked/>
    <w:uiPriority w:val="0"/>
    <w:rPr>
      <w:rFonts w:cs="Times New Roman"/>
      <w:b/>
      <w:bCs/>
      <w:kern w:val="0"/>
      <w:sz w:val="28"/>
      <w:szCs w:val="28"/>
    </w:rPr>
  </w:style>
  <w:style w:type="character" w:customStyle="1" w:styleId="142">
    <w:name w:val="Char Char26"/>
    <w:autoRedefine/>
    <w:qFormat/>
    <w:uiPriority w:val="0"/>
    <w:rPr>
      <w:rFonts w:ascii="Arial" w:hAnsi="Arial" w:eastAsia="黑体"/>
      <w:b/>
      <w:bCs/>
      <w:kern w:val="2"/>
      <w:sz w:val="32"/>
      <w:szCs w:val="32"/>
    </w:rPr>
  </w:style>
  <w:style w:type="character" w:customStyle="1" w:styleId="143">
    <w:name w:val="正文文本 2 Char1"/>
    <w:autoRedefine/>
    <w:semiHidden/>
    <w:qFormat/>
    <w:uiPriority w:val="99"/>
    <w:rPr>
      <w:rFonts w:ascii="Times New Roman" w:hAnsi="Times New Roman" w:eastAsia="宋体" w:cs="Times New Roman"/>
      <w:szCs w:val="24"/>
    </w:rPr>
  </w:style>
  <w:style w:type="character" w:customStyle="1" w:styleId="144">
    <w:name w:val="font41"/>
    <w:autoRedefine/>
    <w:qFormat/>
    <w:uiPriority w:val="0"/>
    <w:rPr>
      <w:rFonts w:hint="eastAsia" w:ascii="宋体" w:hAnsi="宋体" w:eastAsia="宋体" w:cs="宋体"/>
      <w:color w:val="000000"/>
      <w:sz w:val="20"/>
      <w:szCs w:val="20"/>
      <w:u w:val="none"/>
    </w:rPr>
  </w:style>
  <w:style w:type="character" w:customStyle="1" w:styleId="145">
    <w:name w:val="标题 8 字符"/>
    <w:link w:val="11"/>
    <w:autoRedefine/>
    <w:qFormat/>
    <w:uiPriority w:val="0"/>
    <w:rPr>
      <w:rFonts w:ascii="Arial" w:hAnsi="Arial" w:eastAsia="黑体" w:cs="Times New Roman"/>
      <w:kern w:val="0"/>
      <w:sz w:val="24"/>
      <w:szCs w:val="24"/>
    </w:rPr>
  </w:style>
  <w:style w:type="character" w:customStyle="1" w:styleId="146">
    <w:name w:val="BOD 4 Char Char"/>
    <w:autoRedefine/>
    <w:qFormat/>
    <w:uiPriority w:val="0"/>
    <w:rPr>
      <w:rFonts w:ascii="Arial" w:hAnsi="Arial" w:eastAsia="黑体" w:cs="Times New Roman"/>
      <w:b/>
      <w:bCs/>
      <w:sz w:val="24"/>
      <w:szCs w:val="24"/>
    </w:rPr>
  </w:style>
  <w:style w:type="character" w:customStyle="1" w:styleId="147">
    <w:name w:val="Heading 1 Char"/>
    <w:autoRedefine/>
    <w:qFormat/>
    <w:locked/>
    <w:uiPriority w:val="0"/>
    <w:rPr>
      <w:rFonts w:cs="Times New Roman"/>
      <w:b/>
      <w:bCs/>
      <w:kern w:val="44"/>
      <w:sz w:val="44"/>
      <w:szCs w:val="44"/>
    </w:rPr>
  </w:style>
  <w:style w:type="character" w:customStyle="1" w:styleId="148">
    <w:name w:val="txt1"/>
    <w:autoRedefine/>
    <w:qFormat/>
    <w:uiPriority w:val="0"/>
    <w:rPr>
      <w:rFonts w:hint="default" w:ascii="ˎ̥" w:hAnsi="ˎ̥"/>
      <w:sz w:val="18"/>
      <w:szCs w:val="18"/>
    </w:rPr>
  </w:style>
  <w:style w:type="character" w:customStyle="1" w:styleId="149">
    <w:name w:val="Plain Text Char"/>
    <w:autoRedefine/>
    <w:semiHidden/>
    <w:qFormat/>
    <w:locked/>
    <w:uiPriority w:val="0"/>
    <w:rPr>
      <w:rFonts w:ascii="宋体" w:hAnsi="Courier New" w:cs="Courier New"/>
      <w:kern w:val="0"/>
      <w:sz w:val="21"/>
      <w:szCs w:val="21"/>
    </w:rPr>
  </w:style>
  <w:style w:type="character" w:customStyle="1" w:styleId="150">
    <w:name w:val="Char Char1"/>
    <w:autoRedefine/>
    <w:qFormat/>
    <w:uiPriority w:val="0"/>
    <w:rPr>
      <w:kern w:val="2"/>
      <w:sz w:val="21"/>
      <w:szCs w:val="24"/>
    </w:rPr>
  </w:style>
  <w:style w:type="character" w:customStyle="1" w:styleId="151">
    <w:name w:val="标题 5 字符"/>
    <w:link w:val="8"/>
    <w:autoRedefine/>
    <w:qFormat/>
    <w:uiPriority w:val="9"/>
    <w:rPr>
      <w:rFonts w:ascii="Times New Roman" w:hAnsi="Times New Roman" w:eastAsia="宋体" w:cs="Times New Roman"/>
      <w:b/>
      <w:bCs/>
      <w:kern w:val="0"/>
      <w:sz w:val="28"/>
      <w:szCs w:val="28"/>
    </w:rPr>
  </w:style>
  <w:style w:type="character" w:customStyle="1" w:styleId="152">
    <w:name w:val="￥正文 Char"/>
    <w:link w:val="153"/>
    <w:autoRedefine/>
    <w:qFormat/>
    <w:uiPriority w:val="0"/>
    <w:rPr>
      <w:rFonts w:ascii="Calibri" w:hAnsi="Calibri" w:eastAsia="宋体"/>
      <w:sz w:val="24"/>
      <w:lang w:bidi="ar-SA"/>
    </w:rPr>
  </w:style>
  <w:style w:type="paragraph" w:customStyle="1" w:styleId="153">
    <w:name w:val="￥正文"/>
    <w:basedOn w:val="1"/>
    <w:link w:val="152"/>
    <w:autoRedefine/>
    <w:qFormat/>
    <w:uiPriority w:val="0"/>
    <w:pPr>
      <w:spacing w:line="360" w:lineRule="auto"/>
      <w:ind w:firstLine="200" w:firstLineChars="200"/>
    </w:pPr>
    <w:rPr>
      <w:rFonts w:ascii="Calibri" w:hAnsi="Calibri"/>
      <w:kern w:val="0"/>
      <w:sz w:val="24"/>
      <w:szCs w:val="20"/>
    </w:rPr>
  </w:style>
  <w:style w:type="character" w:customStyle="1" w:styleId="154">
    <w:name w:val="Char Char22"/>
    <w:autoRedefine/>
    <w:qFormat/>
    <w:uiPriority w:val="0"/>
    <w:rPr>
      <w:rFonts w:ascii="Arial" w:hAnsi="Arial" w:eastAsia="黑体"/>
      <w:b/>
      <w:bCs/>
      <w:kern w:val="2"/>
      <w:sz w:val="24"/>
      <w:szCs w:val="24"/>
    </w:rPr>
  </w:style>
  <w:style w:type="character" w:customStyle="1" w:styleId="155">
    <w:name w:val="标题 1 Char Char"/>
    <w:autoRedefine/>
    <w:qFormat/>
    <w:uiPriority w:val="0"/>
    <w:rPr>
      <w:rFonts w:eastAsia="宋体"/>
      <w:b/>
      <w:spacing w:val="-2"/>
      <w:sz w:val="24"/>
      <w:lang w:val="en-US" w:eastAsia="zh-CN" w:bidi="ar-SA"/>
    </w:rPr>
  </w:style>
  <w:style w:type="character" w:customStyle="1" w:styleId="156">
    <w:name w:val="Char Char20"/>
    <w:autoRedefine/>
    <w:qFormat/>
    <w:uiPriority w:val="0"/>
    <w:rPr>
      <w:rFonts w:ascii="Arial" w:hAnsi="Arial" w:eastAsia="黑体"/>
      <w:kern w:val="2"/>
      <w:sz w:val="24"/>
      <w:szCs w:val="24"/>
    </w:rPr>
  </w:style>
  <w:style w:type="character" w:customStyle="1" w:styleId="157">
    <w:name w:val="wj1"/>
    <w:autoRedefine/>
    <w:qFormat/>
    <w:uiPriority w:val="0"/>
    <w:rPr>
      <w:color w:val="000000"/>
      <w:sz w:val="18"/>
      <w:szCs w:val="18"/>
      <w:u w:val="none"/>
    </w:rPr>
  </w:style>
  <w:style w:type="character" w:customStyle="1" w:styleId="158">
    <w:name w:val="font91"/>
    <w:autoRedefine/>
    <w:qFormat/>
    <w:uiPriority w:val="0"/>
    <w:rPr>
      <w:rFonts w:hint="default" w:ascii="Arial" w:hAnsi="Arial" w:cs="Arial"/>
      <w:b/>
      <w:color w:val="auto"/>
      <w:sz w:val="20"/>
      <w:szCs w:val="20"/>
      <w:u w:val="none"/>
    </w:rPr>
  </w:style>
  <w:style w:type="character" w:customStyle="1" w:styleId="159">
    <w:name w:val="Char Char17"/>
    <w:autoRedefine/>
    <w:qFormat/>
    <w:uiPriority w:val="0"/>
    <w:rPr>
      <w:rFonts w:ascii="仿宋_GB2312" w:hAnsi="宋体" w:cs="Arial"/>
      <w:b/>
      <w:bCs/>
      <w:color w:val="000000"/>
      <w:kern w:val="2"/>
      <w:sz w:val="24"/>
      <w:szCs w:val="24"/>
    </w:rPr>
  </w:style>
  <w:style w:type="character" w:customStyle="1" w:styleId="160">
    <w:name w:val="font11"/>
    <w:autoRedefine/>
    <w:qFormat/>
    <w:uiPriority w:val="0"/>
    <w:rPr>
      <w:rFonts w:hint="default" w:ascii="Times New Roman" w:hAnsi="Times New Roman" w:cs="Times New Roman"/>
      <w:color w:val="000000"/>
      <w:sz w:val="20"/>
      <w:szCs w:val="20"/>
      <w:u w:val="none"/>
    </w:rPr>
  </w:style>
  <w:style w:type="character" w:customStyle="1" w:styleId="161">
    <w:name w:val="Normal Indent Char"/>
    <w:autoRedefine/>
    <w:qFormat/>
    <w:locked/>
    <w:uiPriority w:val="0"/>
    <w:rPr>
      <w:sz w:val="20"/>
    </w:rPr>
  </w:style>
  <w:style w:type="character" w:customStyle="1" w:styleId="162">
    <w:name w:val="正文首行缩进 字符"/>
    <w:link w:val="2"/>
    <w:autoRedefine/>
    <w:qFormat/>
    <w:uiPriority w:val="0"/>
    <w:rPr>
      <w:sz w:val="24"/>
      <w:szCs w:val="24"/>
    </w:rPr>
  </w:style>
  <w:style w:type="character" w:customStyle="1" w:styleId="163">
    <w:name w:val="正文文本 3 Char1"/>
    <w:autoRedefine/>
    <w:semiHidden/>
    <w:qFormat/>
    <w:uiPriority w:val="99"/>
    <w:rPr>
      <w:rFonts w:ascii="Times New Roman" w:hAnsi="Times New Roman" w:eastAsia="宋体" w:cs="Times New Roman"/>
      <w:sz w:val="16"/>
      <w:szCs w:val="16"/>
    </w:rPr>
  </w:style>
  <w:style w:type="character" w:customStyle="1" w:styleId="164">
    <w:name w:val="表正文 Char"/>
    <w:autoRedefine/>
    <w:qFormat/>
    <w:uiPriority w:val="0"/>
    <w:rPr>
      <w:rFonts w:ascii="Times New Roman" w:hAnsi="Times New Roman" w:eastAsia="宋体" w:cs="Times New Roman"/>
      <w:szCs w:val="24"/>
    </w:rPr>
  </w:style>
  <w:style w:type="character" w:customStyle="1" w:styleId="165">
    <w:name w:val="Header Char"/>
    <w:autoRedefine/>
    <w:qFormat/>
    <w:locked/>
    <w:uiPriority w:val="0"/>
    <w:rPr>
      <w:rFonts w:ascii="Calibri" w:hAnsi="Calibri" w:eastAsia="宋体" w:cs="Times New Roman"/>
      <w:sz w:val="18"/>
      <w:szCs w:val="18"/>
    </w:rPr>
  </w:style>
  <w:style w:type="character" w:customStyle="1" w:styleId="166">
    <w:name w:val="cn1"/>
    <w:autoRedefine/>
    <w:qFormat/>
    <w:uiPriority w:val="0"/>
  </w:style>
  <w:style w:type="character" w:customStyle="1" w:styleId="167">
    <w:name w:val="样式7 Char"/>
    <w:autoRedefine/>
    <w:qFormat/>
    <w:uiPriority w:val="0"/>
    <w:rPr>
      <w:rFonts w:eastAsia="宋体" w:cs="宋体"/>
      <w:kern w:val="2"/>
      <w:sz w:val="24"/>
      <w:szCs w:val="24"/>
      <w:lang w:val="en-US" w:eastAsia="zh-CN" w:bidi="ar-SA"/>
    </w:rPr>
  </w:style>
  <w:style w:type="character" w:customStyle="1" w:styleId="168">
    <w:name w:val="彩色列表 - 强调文字颜色 1 Char"/>
    <w:link w:val="169"/>
    <w:autoRedefine/>
    <w:qFormat/>
    <w:uiPriority w:val="0"/>
    <w:rPr>
      <w:rFonts w:ascii="微软雅黑" w:hAnsi="微软雅黑" w:eastAsia="微软雅黑" w:cs="宋体"/>
      <w:kern w:val="2"/>
      <w:sz w:val="24"/>
      <w:szCs w:val="21"/>
      <w:lang w:val="en-US" w:eastAsia="zh-CN" w:bidi="ar-SA"/>
    </w:rPr>
  </w:style>
  <w:style w:type="paragraph" w:customStyle="1" w:styleId="169">
    <w:name w:val="列出段落2"/>
    <w:basedOn w:val="1"/>
    <w:link w:val="168"/>
    <w:autoRedefine/>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70">
    <w:name w:val="引文目录标题 字符"/>
    <w:link w:val="19"/>
    <w:autoRedefine/>
    <w:qFormat/>
    <w:uiPriority w:val="0"/>
    <w:rPr>
      <w:rFonts w:ascii="Arial" w:hAnsi="Arial" w:eastAsia="宋体" w:cs="Times New Roman"/>
      <w:kern w:val="0"/>
      <w:sz w:val="24"/>
      <w:szCs w:val="20"/>
    </w:rPr>
  </w:style>
  <w:style w:type="character" w:customStyle="1" w:styleId="171">
    <w:name w:val="Char Char13"/>
    <w:autoRedefine/>
    <w:qFormat/>
    <w:uiPriority w:val="0"/>
    <w:rPr>
      <w:b/>
      <w:bCs/>
      <w:kern w:val="2"/>
      <w:sz w:val="21"/>
      <w:szCs w:val="24"/>
    </w:rPr>
  </w:style>
  <w:style w:type="character" w:customStyle="1" w:styleId="172">
    <w:name w:val="页脚 字符"/>
    <w:link w:val="35"/>
    <w:autoRedefine/>
    <w:qFormat/>
    <w:uiPriority w:val="99"/>
    <w:rPr>
      <w:rFonts w:eastAsia="黑体"/>
      <w:sz w:val="18"/>
      <w:szCs w:val="18"/>
    </w:rPr>
  </w:style>
  <w:style w:type="character" w:customStyle="1" w:styleId="173">
    <w:name w:val="日期 字符"/>
    <w:link w:val="32"/>
    <w:autoRedefine/>
    <w:qFormat/>
    <w:uiPriority w:val="0"/>
    <w:rPr>
      <w:rFonts w:eastAsia="楷体_GB2312"/>
      <w:sz w:val="32"/>
    </w:rPr>
  </w:style>
  <w:style w:type="character" w:customStyle="1" w:styleId="174">
    <w:name w:val="标题 3 字符"/>
    <w:link w:val="6"/>
    <w:autoRedefine/>
    <w:qFormat/>
    <w:uiPriority w:val="0"/>
    <w:rPr>
      <w:rFonts w:ascii="Times New Roman" w:hAnsi="Times New Roman" w:eastAsia="楷体_GB2312" w:cs="Times New Roman"/>
      <w:b/>
      <w:bCs/>
      <w:kern w:val="0"/>
      <w:sz w:val="32"/>
      <w:szCs w:val="32"/>
    </w:rPr>
  </w:style>
  <w:style w:type="character" w:customStyle="1" w:styleId="175">
    <w:name w:val="纯文本 Char2"/>
    <w:autoRedefine/>
    <w:semiHidden/>
    <w:qFormat/>
    <w:uiPriority w:val="99"/>
    <w:rPr>
      <w:rFonts w:ascii="宋体" w:hAnsi="Courier New" w:eastAsia="宋体" w:cs="Courier New"/>
      <w:szCs w:val="21"/>
    </w:rPr>
  </w:style>
  <w:style w:type="character" w:customStyle="1" w:styleId="176">
    <w:name w:val="Char Char10"/>
    <w:autoRedefine/>
    <w:qFormat/>
    <w:uiPriority w:val="0"/>
    <w:rPr>
      <w:kern w:val="2"/>
      <w:sz w:val="21"/>
      <w:szCs w:val="24"/>
      <w:shd w:val="clear" w:color="auto" w:fill="000080"/>
    </w:rPr>
  </w:style>
  <w:style w:type="character" w:customStyle="1" w:styleId="177">
    <w:name w:val="纯文本 字符2"/>
    <w:link w:val="30"/>
    <w:autoRedefine/>
    <w:qFormat/>
    <w:uiPriority w:val="0"/>
    <w:rPr>
      <w:rFonts w:ascii="宋体" w:hAnsi="Courier New" w:eastAsia="宋体"/>
      <w:sz w:val="24"/>
      <w:szCs w:val="24"/>
    </w:rPr>
  </w:style>
  <w:style w:type="character" w:customStyle="1" w:styleId="178">
    <w:name w:val="未处理的提及"/>
    <w:autoRedefine/>
    <w:unhideWhenUsed/>
    <w:qFormat/>
    <w:uiPriority w:val="99"/>
    <w:rPr>
      <w:color w:val="605E5C"/>
      <w:shd w:val="clear" w:color="auto" w:fill="E1DFDD"/>
    </w:rPr>
  </w:style>
  <w:style w:type="character" w:customStyle="1" w:styleId="179">
    <w:name w:val="普通段落 Char"/>
    <w:link w:val="180"/>
    <w:autoRedefine/>
    <w:qFormat/>
    <w:uiPriority w:val="0"/>
    <w:rPr>
      <w:rFonts w:ascii="Arial" w:hAnsi="Arial" w:eastAsia="宋体"/>
      <w:lang w:bidi="ar-SA"/>
    </w:rPr>
  </w:style>
  <w:style w:type="paragraph" w:customStyle="1" w:styleId="180">
    <w:name w:val="普通段落"/>
    <w:basedOn w:val="1"/>
    <w:link w:val="179"/>
    <w:autoRedefine/>
    <w:qFormat/>
    <w:uiPriority w:val="0"/>
    <w:pPr>
      <w:spacing w:after="240" w:line="276" w:lineRule="auto"/>
    </w:pPr>
    <w:rPr>
      <w:rFonts w:ascii="Arial" w:hAnsi="Arial"/>
      <w:kern w:val="0"/>
      <w:sz w:val="20"/>
      <w:szCs w:val="20"/>
    </w:rPr>
  </w:style>
  <w:style w:type="character" w:customStyle="1" w:styleId="181">
    <w:name w:val="纯文本 Char1"/>
    <w:autoRedefine/>
    <w:qFormat/>
    <w:uiPriority w:val="0"/>
    <w:rPr>
      <w:rFonts w:ascii="宋体" w:hAnsi="Courier New" w:eastAsia="宋体"/>
      <w:kern w:val="2"/>
      <w:sz w:val="24"/>
      <w:szCs w:val="24"/>
      <w:lang w:val="en-US" w:eastAsia="zh-CN" w:bidi="ar-SA"/>
    </w:rPr>
  </w:style>
  <w:style w:type="character" w:customStyle="1" w:styleId="182">
    <w:name w:val="页脚 Char"/>
    <w:autoRedefine/>
    <w:qFormat/>
    <w:uiPriority w:val="99"/>
    <w:rPr>
      <w:rFonts w:eastAsia="Calibri"/>
      <w:sz w:val="21"/>
    </w:rPr>
  </w:style>
  <w:style w:type="character" w:customStyle="1" w:styleId="183">
    <w:name w:val="正文文本缩进 2 字符"/>
    <w:link w:val="33"/>
    <w:autoRedefine/>
    <w:qFormat/>
    <w:uiPriority w:val="0"/>
    <w:rPr>
      <w:rFonts w:ascii="仿宋_GB2312" w:hAnsi="宋体" w:cs="Arial"/>
      <w:b/>
      <w:bCs/>
      <w:color w:val="000000"/>
      <w:sz w:val="24"/>
      <w:szCs w:val="24"/>
    </w:rPr>
  </w:style>
  <w:style w:type="character" w:customStyle="1" w:styleId="184">
    <w:name w:val="正文文字缩进4字符 Char"/>
    <w:autoRedefine/>
    <w:qFormat/>
    <w:uiPriority w:val="0"/>
    <w:rPr>
      <w:rFonts w:ascii="Times New Roman" w:hAnsi="Times New Roman" w:eastAsia="宋体" w:cs="Times New Roman"/>
      <w:sz w:val="24"/>
      <w:szCs w:val="24"/>
    </w:rPr>
  </w:style>
  <w:style w:type="character" w:customStyle="1" w:styleId="185">
    <w:name w:val="正文文本缩进 字符"/>
    <w:autoRedefine/>
    <w:qFormat/>
    <w:uiPriority w:val="0"/>
    <w:rPr>
      <w:rFonts w:ascii="宋体" w:hAnsi="Courier New"/>
      <w:spacing w:val="-4"/>
      <w:sz w:val="18"/>
    </w:rPr>
  </w:style>
  <w:style w:type="character" w:customStyle="1" w:styleId="186">
    <w:name w:val="Heading 3 - old Char"/>
    <w:autoRedefine/>
    <w:qFormat/>
    <w:uiPriority w:val="0"/>
    <w:rPr>
      <w:rFonts w:ascii="Times New Roman" w:hAnsi="Times New Roman" w:eastAsia="宋体" w:cs="Times New Roman"/>
      <w:b/>
      <w:bCs/>
      <w:sz w:val="32"/>
      <w:szCs w:val="32"/>
    </w:rPr>
  </w:style>
  <w:style w:type="character" w:customStyle="1" w:styleId="187">
    <w:name w:val="H4 Char"/>
    <w:autoRedefine/>
    <w:qFormat/>
    <w:uiPriority w:val="0"/>
    <w:rPr>
      <w:rFonts w:ascii="Arial" w:hAnsi="Arial" w:eastAsia="黑体" w:cs="Times New Roman"/>
      <w:b/>
      <w:bCs/>
      <w:sz w:val="28"/>
      <w:szCs w:val="28"/>
    </w:rPr>
  </w:style>
  <w:style w:type="character" w:customStyle="1" w:styleId="188">
    <w:name w:val="纯文本 字符"/>
    <w:autoRedefine/>
    <w:qFormat/>
    <w:uiPriority w:val="0"/>
    <w:rPr>
      <w:rFonts w:ascii="宋体" w:hAnsi="Courier New"/>
      <w:sz w:val="24"/>
      <w:szCs w:val="24"/>
    </w:rPr>
  </w:style>
  <w:style w:type="character" w:customStyle="1" w:styleId="189">
    <w:name w:val="正文文本缩进 字符1"/>
    <w:link w:val="22"/>
    <w:autoRedefine/>
    <w:qFormat/>
    <w:uiPriority w:val="0"/>
    <w:rPr>
      <w:rFonts w:ascii="宋体" w:hAnsi="Courier New"/>
      <w:spacing w:val="-4"/>
      <w:sz w:val="18"/>
    </w:rPr>
  </w:style>
  <w:style w:type="character" w:customStyle="1" w:styleId="190">
    <w:name w:val="Char Char15"/>
    <w:autoRedefine/>
    <w:qFormat/>
    <w:uiPriority w:val="0"/>
    <w:rPr>
      <w:rFonts w:hAnsi="宋体" w:eastAsia="仿宋_GB2312"/>
      <w:b/>
      <w:bCs/>
      <w:kern w:val="2"/>
      <w:sz w:val="24"/>
    </w:rPr>
  </w:style>
  <w:style w:type="character" w:customStyle="1" w:styleId="191">
    <w:name w:val="Footer Char"/>
    <w:autoRedefine/>
    <w:qFormat/>
    <w:locked/>
    <w:uiPriority w:val="0"/>
    <w:rPr>
      <w:rFonts w:ascii="Calibri" w:hAnsi="Calibri" w:eastAsia="宋体" w:cs="Times New Roman"/>
      <w:sz w:val="18"/>
      <w:szCs w:val="18"/>
    </w:rPr>
  </w:style>
  <w:style w:type="character" w:customStyle="1" w:styleId="192">
    <w:name w:val="标题 9 字符"/>
    <w:link w:val="12"/>
    <w:autoRedefine/>
    <w:qFormat/>
    <w:uiPriority w:val="0"/>
    <w:rPr>
      <w:rFonts w:ascii="Arial" w:hAnsi="Arial" w:eastAsia="黑体" w:cs="Times New Roman"/>
      <w:kern w:val="0"/>
      <w:sz w:val="20"/>
      <w:szCs w:val="21"/>
    </w:rPr>
  </w:style>
  <w:style w:type="character" w:customStyle="1" w:styleId="193">
    <w:name w:val="def正文 Char Char"/>
    <w:link w:val="194"/>
    <w:autoRedefine/>
    <w:qFormat/>
    <w:uiPriority w:val="0"/>
    <w:rPr>
      <w:sz w:val="24"/>
      <w:szCs w:val="24"/>
    </w:rPr>
  </w:style>
  <w:style w:type="paragraph" w:customStyle="1" w:styleId="194">
    <w:name w:val="def正文"/>
    <w:basedOn w:val="3"/>
    <w:link w:val="193"/>
    <w:autoRedefine/>
    <w:qFormat/>
    <w:uiPriority w:val="0"/>
    <w:pPr>
      <w:widowControl/>
      <w:spacing w:after="0" w:line="360" w:lineRule="auto"/>
      <w:ind w:firstLine="510"/>
      <w:jc w:val="left"/>
    </w:pPr>
    <w:rPr>
      <w:sz w:val="24"/>
    </w:rPr>
  </w:style>
  <w:style w:type="character" w:customStyle="1" w:styleId="195">
    <w:name w:val="font51"/>
    <w:autoRedefine/>
    <w:qFormat/>
    <w:uiPriority w:val="0"/>
    <w:rPr>
      <w:rFonts w:hint="eastAsia" w:ascii="宋体" w:hAnsi="宋体" w:eastAsia="宋体" w:cs="宋体"/>
      <w:color w:val="auto"/>
      <w:sz w:val="18"/>
      <w:szCs w:val="18"/>
      <w:u w:val="none"/>
    </w:rPr>
  </w:style>
  <w:style w:type="character" w:customStyle="1" w:styleId="196">
    <w:name w:val="普通文字 Char Char"/>
    <w:autoRedefine/>
    <w:qFormat/>
    <w:uiPriority w:val="0"/>
    <w:rPr>
      <w:rFonts w:ascii="宋体" w:hAnsi="Courier New" w:eastAsia="宋体" w:cs="Times New Roman"/>
      <w:szCs w:val="20"/>
    </w:rPr>
  </w:style>
  <w:style w:type="character" w:customStyle="1" w:styleId="197">
    <w:name w:val="正文文本 Char"/>
    <w:autoRedefine/>
    <w:qFormat/>
    <w:uiPriority w:val="0"/>
    <w:rPr>
      <w:rFonts w:ascii="Times New Roman" w:hAnsi="Times New Roman" w:eastAsia="宋体" w:cs="Times New Roman"/>
      <w:szCs w:val="24"/>
    </w:rPr>
  </w:style>
  <w:style w:type="character" w:customStyle="1" w:styleId="198">
    <w:name w:val="3zw"/>
    <w:autoRedefine/>
    <w:qFormat/>
    <w:uiPriority w:val="0"/>
  </w:style>
  <w:style w:type="character" w:customStyle="1" w:styleId="199">
    <w:name w:val="font71"/>
    <w:autoRedefine/>
    <w:qFormat/>
    <w:uiPriority w:val="0"/>
    <w:rPr>
      <w:rFonts w:hint="default" w:ascii="Arial" w:hAnsi="Arial" w:cs="Arial"/>
      <w:color w:val="auto"/>
      <w:sz w:val="20"/>
      <w:szCs w:val="20"/>
      <w:u w:val="none"/>
    </w:rPr>
  </w:style>
  <w:style w:type="character" w:customStyle="1" w:styleId="200">
    <w:name w:val="标题 Char1"/>
    <w:autoRedefine/>
    <w:qFormat/>
    <w:uiPriority w:val="10"/>
    <w:rPr>
      <w:rFonts w:ascii="Cambria" w:hAnsi="Cambria" w:eastAsia="宋体" w:cs="Times New Roman"/>
      <w:b/>
      <w:bCs/>
      <w:sz w:val="32"/>
      <w:szCs w:val="32"/>
    </w:rPr>
  </w:style>
  <w:style w:type="character" w:customStyle="1" w:styleId="201">
    <w:name w:val="标书正文格式 Char"/>
    <w:link w:val="202"/>
    <w:autoRedefine/>
    <w:qFormat/>
    <w:uiPriority w:val="0"/>
    <w:rPr>
      <w:rFonts w:eastAsia="楷体_GB2312"/>
      <w:kern w:val="2"/>
      <w:sz w:val="24"/>
      <w:szCs w:val="24"/>
      <w:lang w:val="en-US" w:eastAsia="zh-CN" w:bidi="ar-SA"/>
    </w:rPr>
  </w:style>
  <w:style w:type="paragraph" w:customStyle="1" w:styleId="202">
    <w:name w:val="标书正文格式"/>
    <w:link w:val="201"/>
    <w:autoRedefine/>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03">
    <w:name w:val="正文缩进 字符"/>
    <w:autoRedefine/>
    <w:qFormat/>
    <w:uiPriority w:val="0"/>
    <w:rPr>
      <w:rFonts w:eastAsia="宋体"/>
    </w:rPr>
  </w:style>
  <w:style w:type="character" w:customStyle="1" w:styleId="204">
    <w:name w:val="A7"/>
    <w:autoRedefine/>
    <w:qFormat/>
    <w:uiPriority w:val="0"/>
    <w:rPr>
      <w:rFonts w:ascii="HelveticaNeueLT Std Lt" w:eastAsia="HelveticaNeueLT Std Lt" w:cs="HelveticaNeueLT Std Lt"/>
      <w:color w:val="000000"/>
      <w:sz w:val="20"/>
      <w:szCs w:val="20"/>
    </w:rPr>
  </w:style>
  <w:style w:type="character" w:customStyle="1" w:styleId="205">
    <w:name w:val="Balloon Text Char"/>
    <w:autoRedefine/>
    <w:qFormat/>
    <w:locked/>
    <w:uiPriority w:val="0"/>
    <w:rPr>
      <w:rFonts w:cs="Times New Roman"/>
      <w:sz w:val="18"/>
      <w:szCs w:val="18"/>
    </w:rPr>
  </w:style>
  <w:style w:type="character" w:customStyle="1" w:styleId="206">
    <w:name w:val="页眉 字符"/>
    <w:link w:val="36"/>
    <w:autoRedefine/>
    <w:qFormat/>
    <w:uiPriority w:val="99"/>
    <w:rPr>
      <w:rFonts w:eastAsia="仿宋_GB2312"/>
      <w:sz w:val="18"/>
    </w:rPr>
  </w:style>
  <w:style w:type="character" w:customStyle="1" w:styleId="207">
    <w:name w:val="批注框文本 Char1"/>
    <w:autoRedefine/>
    <w:semiHidden/>
    <w:qFormat/>
    <w:uiPriority w:val="99"/>
    <w:rPr>
      <w:rFonts w:ascii="Times New Roman" w:hAnsi="Times New Roman" w:eastAsia="宋体" w:cs="Times New Roman"/>
      <w:sz w:val="18"/>
      <w:szCs w:val="18"/>
    </w:rPr>
  </w:style>
  <w:style w:type="character" w:customStyle="1" w:styleId="208">
    <w:name w:val="彩色列表 - 着色 1 字符"/>
    <w:link w:val="209"/>
    <w:autoRedefine/>
    <w:qFormat/>
    <w:locked/>
    <w:uiPriority w:val="34"/>
    <w:rPr>
      <w:rFonts w:ascii="Times New Roman" w:hAnsi="Times New Roman"/>
      <w:kern w:val="2"/>
      <w:sz w:val="21"/>
      <w:szCs w:val="24"/>
    </w:rPr>
  </w:style>
  <w:style w:type="paragraph" w:customStyle="1" w:styleId="209">
    <w:name w:val="彩色列表 - 着色 11"/>
    <w:basedOn w:val="1"/>
    <w:link w:val="208"/>
    <w:autoRedefine/>
    <w:qFormat/>
    <w:uiPriority w:val="34"/>
    <w:pPr>
      <w:ind w:firstLine="420" w:firstLineChars="200"/>
    </w:pPr>
  </w:style>
  <w:style w:type="character" w:customStyle="1" w:styleId="210">
    <w:name w:val="正文文本缩进 2 Char1"/>
    <w:autoRedefine/>
    <w:semiHidden/>
    <w:qFormat/>
    <w:uiPriority w:val="99"/>
    <w:rPr>
      <w:rFonts w:ascii="Times New Roman" w:hAnsi="Times New Roman" w:eastAsia="宋体" w:cs="Times New Roman"/>
      <w:szCs w:val="24"/>
    </w:rPr>
  </w:style>
  <w:style w:type="character" w:customStyle="1" w:styleId="211">
    <w:name w:val="普通 (Web) Char"/>
    <w:autoRedefine/>
    <w:qFormat/>
    <w:uiPriority w:val="0"/>
    <w:rPr>
      <w:rFonts w:ascii="宋体" w:hAnsi="宋体" w:eastAsia="宋体" w:cs="Times New Roman"/>
      <w:kern w:val="0"/>
      <w:sz w:val="24"/>
      <w:szCs w:val="24"/>
    </w:rPr>
  </w:style>
  <w:style w:type="character" w:customStyle="1" w:styleId="212">
    <w:name w:val="标题 6 字符"/>
    <w:link w:val="9"/>
    <w:autoRedefine/>
    <w:qFormat/>
    <w:uiPriority w:val="0"/>
    <w:rPr>
      <w:rFonts w:ascii="Arial" w:hAnsi="Arial" w:eastAsia="黑体" w:cs="Times New Roman"/>
      <w:b/>
      <w:bCs/>
      <w:kern w:val="0"/>
      <w:sz w:val="24"/>
      <w:szCs w:val="24"/>
    </w:rPr>
  </w:style>
  <w:style w:type="character" w:customStyle="1" w:styleId="213">
    <w:name w:val="纯文本 Char3"/>
    <w:autoRedefine/>
    <w:qFormat/>
    <w:uiPriority w:val="0"/>
    <w:rPr>
      <w:rFonts w:ascii="宋体" w:hAnsi="Courier New" w:eastAsia="宋体"/>
      <w:sz w:val="24"/>
      <w:szCs w:val="24"/>
    </w:rPr>
  </w:style>
  <w:style w:type="character" w:customStyle="1" w:styleId="214">
    <w:name w:val="正文首行缩进 Char1"/>
    <w:autoRedefine/>
    <w:semiHidden/>
    <w:qFormat/>
    <w:uiPriority w:val="99"/>
    <w:rPr>
      <w:rFonts w:ascii="Times New Roman" w:hAnsi="Times New Roman" w:eastAsia="宋体" w:cs="Times New Roman"/>
      <w:szCs w:val="24"/>
    </w:rPr>
  </w:style>
  <w:style w:type="character" w:customStyle="1" w:styleId="215">
    <w:name w:val="正文文本 2 字符"/>
    <w:link w:val="45"/>
    <w:autoRedefine/>
    <w:qFormat/>
    <w:uiPriority w:val="99"/>
    <w:rPr>
      <w:rFonts w:ascii="宋体" w:hAnsi="宋体"/>
      <w:color w:val="000000"/>
      <w:sz w:val="24"/>
      <w:szCs w:val="24"/>
    </w:rPr>
  </w:style>
  <w:style w:type="character" w:customStyle="1" w:styleId="216">
    <w:name w:val="style551"/>
    <w:autoRedefine/>
    <w:qFormat/>
    <w:uiPriority w:val="0"/>
    <w:rPr>
      <w:rFonts w:hint="default" w:ascii="Arial" w:hAnsi="Arial" w:cs="Arial"/>
      <w:color w:val="333333"/>
      <w:sz w:val="18"/>
      <w:szCs w:val="18"/>
    </w:rPr>
  </w:style>
  <w:style w:type="character" w:customStyle="1" w:styleId="217">
    <w:name w:val="文章正文 Char Char"/>
    <w:link w:val="218"/>
    <w:autoRedefine/>
    <w:qFormat/>
    <w:uiPriority w:val="0"/>
    <w:rPr>
      <w:rFonts w:ascii="宋体" w:hAnsi="宋体"/>
      <w:sz w:val="24"/>
      <w:szCs w:val="24"/>
    </w:rPr>
  </w:style>
  <w:style w:type="paragraph" w:customStyle="1" w:styleId="218">
    <w:name w:val="文章正文"/>
    <w:basedOn w:val="1"/>
    <w:link w:val="217"/>
    <w:autoRedefine/>
    <w:qFormat/>
    <w:uiPriority w:val="0"/>
    <w:pPr>
      <w:spacing w:line="360" w:lineRule="auto"/>
      <w:ind w:firstLine="200" w:firstLineChars="200"/>
      <w:jc w:val="left"/>
    </w:pPr>
    <w:rPr>
      <w:rFonts w:ascii="宋体" w:hAnsi="宋体"/>
      <w:kern w:val="0"/>
      <w:sz w:val="24"/>
    </w:rPr>
  </w:style>
  <w:style w:type="character" w:customStyle="1" w:styleId="219">
    <w:name w:val="font81"/>
    <w:autoRedefine/>
    <w:qFormat/>
    <w:uiPriority w:val="0"/>
    <w:rPr>
      <w:rFonts w:hint="eastAsia" w:ascii="宋体" w:hAnsi="宋体" w:eastAsia="宋体" w:cs="宋体"/>
      <w:color w:val="000000"/>
      <w:sz w:val="20"/>
      <w:szCs w:val="20"/>
      <w:u w:val="none"/>
      <w:vertAlign w:val="superscript"/>
    </w:rPr>
  </w:style>
  <w:style w:type="character" w:customStyle="1" w:styleId="220">
    <w:name w:val="Body Text Indent 3 Char"/>
    <w:autoRedefine/>
    <w:qFormat/>
    <w:locked/>
    <w:uiPriority w:val="0"/>
    <w:rPr>
      <w:rFonts w:cs="Times New Roman"/>
      <w:kern w:val="2"/>
      <w:sz w:val="16"/>
      <w:szCs w:val="16"/>
    </w:rPr>
  </w:style>
  <w:style w:type="character" w:customStyle="1" w:styleId="221">
    <w:name w:val="Char Char16"/>
    <w:autoRedefine/>
    <w:qFormat/>
    <w:uiPriority w:val="0"/>
    <w:rPr>
      <w:rFonts w:ascii="宋体" w:hAnsi="Courier New"/>
      <w:spacing w:val="-4"/>
      <w:kern w:val="2"/>
      <w:sz w:val="18"/>
    </w:rPr>
  </w:style>
  <w:style w:type="character" w:customStyle="1" w:styleId="222">
    <w:name w:val="Char Char4"/>
    <w:autoRedefine/>
    <w:qFormat/>
    <w:uiPriority w:val="0"/>
    <w:rPr>
      <w:rFonts w:ascii="宋体" w:hAnsi="Courier New" w:eastAsia="宋体"/>
      <w:kern w:val="2"/>
      <w:sz w:val="24"/>
      <w:szCs w:val="24"/>
      <w:lang w:val="en-US" w:eastAsia="zh-CN" w:bidi="ar-SA"/>
    </w:rPr>
  </w:style>
  <w:style w:type="character" w:customStyle="1" w:styleId="223">
    <w:name w:val="正文文本缩进 3 Char1"/>
    <w:autoRedefine/>
    <w:semiHidden/>
    <w:qFormat/>
    <w:uiPriority w:val="99"/>
    <w:rPr>
      <w:rFonts w:ascii="Times New Roman" w:hAnsi="Times New Roman" w:eastAsia="宋体" w:cs="Times New Roman"/>
      <w:sz w:val="16"/>
      <w:szCs w:val="16"/>
    </w:rPr>
  </w:style>
  <w:style w:type="character" w:customStyle="1" w:styleId="224">
    <w:name w:val="Char Char7"/>
    <w:autoRedefine/>
    <w:qFormat/>
    <w:uiPriority w:val="0"/>
    <w:rPr>
      <w:rFonts w:eastAsia="宋体"/>
      <w:kern w:val="2"/>
      <w:sz w:val="21"/>
      <w:lang w:val="en-US" w:eastAsia="zh-CN" w:bidi="ar-SA"/>
    </w:rPr>
  </w:style>
  <w:style w:type="character" w:customStyle="1" w:styleId="225">
    <w:name w:val="A正文 Char"/>
    <w:link w:val="226"/>
    <w:autoRedefine/>
    <w:qFormat/>
    <w:uiPriority w:val="0"/>
    <w:rPr>
      <w:szCs w:val="24"/>
    </w:rPr>
  </w:style>
  <w:style w:type="paragraph" w:customStyle="1" w:styleId="226">
    <w:name w:val="A正文"/>
    <w:basedOn w:val="1"/>
    <w:link w:val="225"/>
    <w:autoRedefine/>
    <w:qFormat/>
    <w:uiPriority w:val="0"/>
    <w:pPr>
      <w:spacing w:line="360" w:lineRule="auto"/>
      <w:ind w:firstLine="200" w:firstLineChars="200"/>
    </w:pPr>
    <w:rPr>
      <w:kern w:val="0"/>
      <w:sz w:val="20"/>
    </w:rPr>
  </w:style>
  <w:style w:type="character" w:customStyle="1" w:styleId="227">
    <w:name w:val="正文1 Char Char"/>
    <w:link w:val="228"/>
    <w:autoRedefine/>
    <w:qFormat/>
    <w:uiPriority w:val="0"/>
    <w:rPr>
      <w:rFonts w:ascii="宋体" w:hAnsi="宋体" w:eastAsia="宋体"/>
      <w:color w:val="000000"/>
      <w:sz w:val="24"/>
    </w:rPr>
  </w:style>
  <w:style w:type="paragraph" w:customStyle="1" w:styleId="228">
    <w:name w:val="正文1"/>
    <w:basedOn w:val="1"/>
    <w:link w:val="227"/>
    <w:autoRedefine/>
    <w:qFormat/>
    <w:uiPriority w:val="0"/>
    <w:pPr>
      <w:spacing w:line="360" w:lineRule="auto"/>
      <w:ind w:firstLine="200" w:firstLineChars="200"/>
      <w:jc w:val="left"/>
    </w:pPr>
    <w:rPr>
      <w:rFonts w:ascii="宋体" w:hAnsi="宋体"/>
      <w:color w:val="000000"/>
      <w:kern w:val="0"/>
      <w:sz w:val="24"/>
      <w:szCs w:val="20"/>
    </w:rPr>
  </w:style>
  <w:style w:type="character" w:customStyle="1" w:styleId="229">
    <w:name w:val="Char Char111"/>
    <w:autoRedefine/>
    <w:qFormat/>
    <w:uiPriority w:val="0"/>
    <w:rPr>
      <w:kern w:val="2"/>
      <w:sz w:val="28"/>
      <w:szCs w:val="24"/>
    </w:rPr>
  </w:style>
  <w:style w:type="character" w:customStyle="1" w:styleId="230">
    <w:name w:val="粘贴正文 Char"/>
    <w:link w:val="231"/>
    <w:autoRedefine/>
    <w:qFormat/>
    <w:uiPriority w:val="0"/>
    <w:rPr>
      <w:kern w:val="2"/>
      <w:sz w:val="24"/>
      <w:szCs w:val="21"/>
      <w:lang w:val="en-US" w:eastAsia="zh-CN" w:bidi="ar-SA"/>
    </w:rPr>
  </w:style>
  <w:style w:type="paragraph" w:customStyle="1" w:styleId="231">
    <w:name w:val="粘贴正文"/>
    <w:link w:val="230"/>
    <w:autoRedefine/>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2">
    <w:name w:val="缺省文本 Char"/>
    <w:link w:val="233"/>
    <w:autoRedefine/>
    <w:qFormat/>
    <w:uiPriority w:val="0"/>
    <w:rPr>
      <w:rFonts w:ascii="Arial" w:hAnsi="Arial"/>
      <w:szCs w:val="21"/>
    </w:rPr>
  </w:style>
  <w:style w:type="paragraph" w:customStyle="1" w:styleId="233">
    <w:name w:val="缺省文本"/>
    <w:basedOn w:val="1"/>
    <w:link w:val="232"/>
    <w:autoRedefine/>
    <w:qFormat/>
    <w:uiPriority w:val="0"/>
    <w:pPr>
      <w:autoSpaceDE w:val="0"/>
      <w:autoSpaceDN w:val="0"/>
      <w:adjustRightInd w:val="0"/>
      <w:spacing w:line="360" w:lineRule="auto"/>
      <w:jc w:val="left"/>
    </w:pPr>
    <w:rPr>
      <w:rFonts w:ascii="Arial" w:hAnsi="Arial"/>
      <w:kern w:val="0"/>
      <w:sz w:val="20"/>
      <w:szCs w:val="21"/>
    </w:rPr>
  </w:style>
  <w:style w:type="character" w:customStyle="1" w:styleId="234">
    <w:name w:val="Heading 7 Char"/>
    <w:autoRedefine/>
    <w:semiHidden/>
    <w:qFormat/>
    <w:locked/>
    <w:uiPriority w:val="0"/>
    <w:rPr>
      <w:rFonts w:cs="Times New Roman"/>
      <w:b/>
      <w:bCs/>
      <w:kern w:val="0"/>
      <w:sz w:val="24"/>
      <w:szCs w:val="24"/>
    </w:rPr>
  </w:style>
  <w:style w:type="character" w:customStyle="1" w:styleId="235">
    <w:name w:val="font21"/>
    <w:basedOn w:val="53"/>
    <w:autoRedefine/>
    <w:qFormat/>
    <w:uiPriority w:val="0"/>
    <w:rPr>
      <w:rFonts w:hint="eastAsia" w:ascii="宋体" w:hAnsi="宋体" w:eastAsia="宋体" w:cs="宋体"/>
      <w:color w:val="000000"/>
      <w:sz w:val="20"/>
      <w:szCs w:val="20"/>
      <w:u w:val="none"/>
    </w:rPr>
  </w:style>
  <w:style w:type="character" w:customStyle="1" w:styleId="236">
    <w:name w:val="批注主题 字符"/>
    <w:link w:val="49"/>
    <w:autoRedefine/>
    <w:qFormat/>
    <w:uiPriority w:val="99"/>
    <w:rPr>
      <w:b/>
      <w:bCs/>
      <w:szCs w:val="24"/>
    </w:rPr>
  </w:style>
  <w:style w:type="character" w:customStyle="1" w:styleId="237">
    <w:name w:val="文档结构图 Char1"/>
    <w:autoRedefine/>
    <w:semiHidden/>
    <w:qFormat/>
    <w:uiPriority w:val="99"/>
    <w:rPr>
      <w:rFonts w:ascii="宋体" w:hAnsi="Times New Roman" w:eastAsia="宋体" w:cs="Times New Roman"/>
      <w:sz w:val="18"/>
      <w:szCs w:val="18"/>
    </w:rPr>
  </w:style>
  <w:style w:type="character" w:customStyle="1" w:styleId="238">
    <w:name w:val="纯文本 字符1"/>
    <w:autoRedefine/>
    <w:semiHidden/>
    <w:qFormat/>
    <w:locked/>
    <w:uiPriority w:val="0"/>
    <w:rPr>
      <w:rFonts w:ascii="宋体" w:hAnsi="Courier New"/>
      <w:sz w:val="24"/>
      <w:szCs w:val="24"/>
    </w:rPr>
  </w:style>
  <w:style w:type="character" w:customStyle="1" w:styleId="239">
    <w:name w:val="Char Char19"/>
    <w:autoRedefine/>
    <w:qFormat/>
    <w:uiPriority w:val="0"/>
    <w:rPr>
      <w:rFonts w:ascii="Arial" w:hAnsi="Arial" w:eastAsia="黑体"/>
      <w:kern w:val="2"/>
      <w:sz w:val="21"/>
      <w:szCs w:val="21"/>
    </w:rPr>
  </w:style>
  <w:style w:type="character" w:customStyle="1" w:styleId="240">
    <w:name w:val="Item List Char"/>
    <w:link w:val="241"/>
    <w:autoRedefine/>
    <w:qFormat/>
    <w:uiPriority w:val="0"/>
    <w:rPr>
      <w:rFonts w:cs="Arial"/>
      <w:kern w:val="2"/>
      <w:sz w:val="21"/>
      <w:szCs w:val="21"/>
      <w:lang w:val="en-US" w:eastAsia="zh-CN" w:bidi="ar-SA"/>
    </w:rPr>
  </w:style>
  <w:style w:type="paragraph" w:customStyle="1" w:styleId="241">
    <w:name w:val="Item List"/>
    <w:link w:val="240"/>
    <w:autoRedefine/>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2">
    <w:name w:val="Char Char9"/>
    <w:autoRedefine/>
    <w:qFormat/>
    <w:uiPriority w:val="0"/>
    <w:rPr>
      <w:rFonts w:eastAsia="仿宋_GB2312"/>
      <w:kern w:val="2"/>
      <w:sz w:val="18"/>
    </w:rPr>
  </w:style>
  <w:style w:type="character" w:customStyle="1" w:styleId="243">
    <w:name w:val="Heading 6 Char"/>
    <w:autoRedefine/>
    <w:semiHidden/>
    <w:qFormat/>
    <w:locked/>
    <w:uiPriority w:val="0"/>
    <w:rPr>
      <w:rFonts w:ascii="Cambria" w:hAnsi="Cambria" w:eastAsia="宋体" w:cs="Times New Roman"/>
      <w:b/>
      <w:bCs/>
      <w:kern w:val="0"/>
      <w:sz w:val="24"/>
      <w:szCs w:val="24"/>
    </w:rPr>
  </w:style>
  <w:style w:type="paragraph" w:customStyle="1" w:styleId="244">
    <w:name w:val="xl10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5">
    <w:name w:val="xl9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46">
    <w:name w:val="Item Step"/>
    <w:basedOn w:val="1"/>
    <w:autoRedefine/>
    <w:qFormat/>
    <w:uiPriority w:val="0"/>
    <w:pPr>
      <w:widowControl/>
      <w:numPr>
        <w:ilvl w:val="0"/>
        <w:numId w:val="1"/>
      </w:numPr>
      <w:spacing w:afterLines="50"/>
      <w:jc w:val="left"/>
    </w:pPr>
  </w:style>
  <w:style w:type="paragraph" w:customStyle="1" w:styleId="247">
    <w:name w:val="Char11"/>
    <w:basedOn w:val="1"/>
    <w:autoRedefine/>
    <w:qFormat/>
    <w:uiPriority w:val="0"/>
    <w:rPr>
      <w:rFonts w:ascii="仿宋_GB2312" w:hAnsi="宋体" w:eastAsia="仿宋_GB2312" w:cs="宋体"/>
      <w:b/>
      <w:sz w:val="32"/>
      <w:szCs w:val="32"/>
    </w:rPr>
  </w:style>
  <w:style w:type="paragraph" w:customStyle="1" w:styleId="248">
    <w:name w:val="f1"/>
    <w:basedOn w:val="1"/>
    <w:autoRedefine/>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49">
    <w:name w:val="样式1"/>
    <w:basedOn w:val="1"/>
    <w:autoRedefine/>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50">
    <w:name w:val="正文文本1"/>
    <w:basedOn w:val="1"/>
    <w:autoRedefine/>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1">
    <w:name w:val="正文文本缩进 21"/>
    <w:basedOn w:val="1"/>
    <w:autoRedefine/>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2">
    <w:name w:val="Block"/>
    <w:basedOn w:val="1"/>
    <w:next w:val="109"/>
    <w:autoRedefine/>
    <w:qFormat/>
    <w:uiPriority w:val="0"/>
    <w:pPr>
      <w:tabs>
        <w:tab w:val="left" w:pos="0"/>
      </w:tabs>
    </w:pPr>
    <w:rPr>
      <w:rFonts w:ascii="Arial" w:hAnsi="Arial" w:eastAsia="楷体_GB2312"/>
      <w:color w:val="000080"/>
      <w:sz w:val="28"/>
      <w:szCs w:val="28"/>
    </w:rPr>
  </w:style>
  <w:style w:type="paragraph" w:customStyle="1" w:styleId="253">
    <w:name w:val="Char Char1 Char11"/>
    <w:basedOn w:val="1"/>
    <w:autoRedefine/>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54">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5">
    <w:name w:val="a"/>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56">
    <w:name w:val="xl11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57">
    <w:name w:val="xl79"/>
    <w:basedOn w:val="1"/>
    <w:autoRedefine/>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58">
    <w:name w:val="样式 标题 2H2子系统子系统1子系统2子系统3子系统4子系统11子系统21子系统31子系统5子系统12...1"/>
    <w:basedOn w:val="5"/>
    <w:autoRedefine/>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59">
    <w:name w:val="样式 Swis721 Lt BT 左 行距: 固定值 12.5 磅"/>
    <w:basedOn w:val="1"/>
    <w:autoRedefine/>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60">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1">
    <w:name w:val="样式 宋体 小四 段前: 7.8 磅 段后: 7.8 磅 行距: 1.5 倍行距"/>
    <w:basedOn w:val="1"/>
    <w:autoRedefine/>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2">
    <w:name w:val="xl8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3">
    <w:name w:val="正文首行缩进2字"/>
    <w:basedOn w:val="1"/>
    <w:qFormat/>
    <w:uiPriority w:val="0"/>
    <w:pPr>
      <w:spacing w:line="360" w:lineRule="auto"/>
      <w:ind w:firstLine="412" w:firstLineChars="196"/>
    </w:pPr>
    <w:rPr>
      <w:rFonts w:ascii="宋体" w:hAnsi="宋体"/>
      <w:kern w:val="0"/>
      <w:szCs w:val="21"/>
    </w:rPr>
  </w:style>
  <w:style w:type="paragraph" w:customStyle="1" w:styleId="264">
    <w:name w:val="列出段落1"/>
    <w:basedOn w:val="1"/>
    <w:qFormat/>
    <w:uiPriority w:val="34"/>
    <w:pPr>
      <w:ind w:firstLine="420" w:firstLineChars="200"/>
    </w:pPr>
  </w:style>
  <w:style w:type="paragraph" w:customStyle="1" w:styleId="265">
    <w:name w:val="列出段落11"/>
    <w:basedOn w:val="1"/>
    <w:autoRedefine/>
    <w:qFormat/>
    <w:uiPriority w:val="0"/>
    <w:pPr>
      <w:spacing w:line="360" w:lineRule="auto"/>
      <w:ind w:firstLine="420" w:firstLineChars="200"/>
    </w:pPr>
    <w:rPr>
      <w:rFonts w:ascii="宋体" w:hAnsi="宋体"/>
      <w:sz w:val="24"/>
    </w:rPr>
  </w:style>
  <w:style w:type="paragraph" w:customStyle="1" w:styleId="266">
    <w:name w:val="xl9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67">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68">
    <w:name w:val="font6"/>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269">
    <w:name w:val="简单回函地址"/>
    <w:basedOn w:val="1"/>
    <w:autoRedefine/>
    <w:qFormat/>
    <w:uiPriority w:val="0"/>
    <w:rPr>
      <w:szCs w:val="20"/>
    </w:rPr>
  </w:style>
  <w:style w:type="paragraph" w:customStyle="1" w:styleId="270">
    <w:name w:val="样式23"/>
    <w:basedOn w:val="271"/>
    <w:autoRedefine/>
    <w:qFormat/>
    <w:uiPriority w:val="0"/>
    <w:pPr>
      <w:tabs>
        <w:tab w:val="left" w:pos="420"/>
      </w:tabs>
      <w:adjustRightInd w:val="0"/>
      <w:snapToGrid w:val="0"/>
      <w:spacing w:after="0" w:line="240" w:lineRule="auto"/>
    </w:pPr>
    <w:rPr>
      <w:szCs w:val="20"/>
    </w:rPr>
  </w:style>
  <w:style w:type="paragraph" w:customStyle="1" w:styleId="271">
    <w:name w:val="小点说明"/>
    <w:basedOn w:val="1"/>
    <w:qFormat/>
    <w:uiPriority w:val="0"/>
    <w:pPr>
      <w:tabs>
        <w:tab w:val="left" w:pos="420"/>
      </w:tabs>
      <w:spacing w:after="80" w:line="360" w:lineRule="auto"/>
      <w:ind w:left="420" w:hanging="420"/>
    </w:pPr>
    <w:rPr>
      <w:sz w:val="24"/>
    </w:rPr>
  </w:style>
  <w:style w:type="paragraph" w:customStyle="1" w:styleId="272">
    <w:name w:val="样式 正文文本正文文字 + 首行缩进:  2 字符"/>
    <w:basedOn w:val="3"/>
    <w:autoRedefine/>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73">
    <w:name w:val="xl11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4">
    <w:name w:val="font9"/>
    <w:basedOn w:val="1"/>
    <w:autoRedefine/>
    <w:qFormat/>
    <w:uiPriority w:val="0"/>
    <w:pPr>
      <w:widowControl/>
      <w:spacing w:before="100" w:beforeAutospacing="1" w:after="100" w:afterAutospacing="1"/>
      <w:jc w:val="left"/>
    </w:pPr>
    <w:rPr>
      <w:color w:val="000000"/>
      <w:kern w:val="0"/>
      <w:sz w:val="20"/>
      <w:szCs w:val="20"/>
    </w:rPr>
  </w:style>
  <w:style w:type="paragraph" w:customStyle="1" w:styleId="275">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76">
    <w:name w:val="Pa5"/>
    <w:basedOn w:val="1"/>
    <w:next w:val="1"/>
    <w:autoRedefine/>
    <w:qFormat/>
    <w:uiPriority w:val="0"/>
    <w:pPr>
      <w:spacing w:line="241" w:lineRule="auto"/>
      <w:ind w:firstLine="1680" w:firstLineChars="200"/>
    </w:pPr>
    <w:rPr>
      <w:rFonts w:ascii="EtGsHeiBold" w:eastAsia="EtGsHeiBold"/>
      <w:sz w:val="24"/>
    </w:rPr>
  </w:style>
  <w:style w:type="paragraph" w:customStyle="1" w:styleId="277">
    <w:name w:val="首行缩进"/>
    <w:basedOn w:val="1"/>
    <w:autoRedefine/>
    <w:qFormat/>
    <w:uiPriority w:val="0"/>
    <w:pPr>
      <w:spacing w:line="360" w:lineRule="auto"/>
      <w:ind w:firstLine="720"/>
    </w:pPr>
    <w:rPr>
      <w:szCs w:val="21"/>
    </w:rPr>
  </w:style>
  <w:style w:type="paragraph" w:customStyle="1" w:styleId="278">
    <w:name w:val="正文段"/>
    <w:basedOn w:val="1"/>
    <w:autoRedefine/>
    <w:qFormat/>
    <w:uiPriority w:val="0"/>
    <w:pPr>
      <w:widowControl/>
      <w:snapToGrid w:val="0"/>
      <w:spacing w:afterLines="50"/>
      <w:ind w:firstLine="200" w:firstLineChars="200"/>
    </w:pPr>
    <w:rPr>
      <w:kern w:val="0"/>
      <w:sz w:val="24"/>
      <w:szCs w:val="20"/>
    </w:rPr>
  </w:style>
  <w:style w:type="paragraph" w:customStyle="1" w:styleId="279">
    <w:name w:val="样式 A正文 + 首行缩进:  0 字符"/>
    <w:basedOn w:val="226"/>
    <w:autoRedefine/>
    <w:qFormat/>
    <w:uiPriority w:val="0"/>
    <w:pPr>
      <w:spacing w:line="240" w:lineRule="auto"/>
      <w:ind w:firstLine="0" w:firstLineChars="0"/>
    </w:pPr>
    <w:rPr>
      <w:rFonts w:cs="宋体"/>
      <w:szCs w:val="20"/>
    </w:rPr>
  </w:style>
  <w:style w:type="paragraph" w:customStyle="1" w:styleId="280">
    <w:name w:val="TOC 标题1"/>
    <w:basedOn w:val="4"/>
    <w:next w:val="1"/>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1">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2">
    <w:name w:val="首行缩进:  2 字符"/>
    <w:basedOn w:val="1"/>
    <w:autoRedefine/>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3">
    <w:name w:val="xl7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4">
    <w:name w:val="Char Char1 Char1"/>
    <w:basedOn w:val="1"/>
    <w:autoRedefine/>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85">
    <w:name w:val="È±Ê¡ÎÄ±¾:1"/>
    <w:basedOn w:val="1"/>
    <w:autoRedefine/>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86">
    <w:name w:val="网格表 31"/>
    <w:basedOn w:val="4"/>
    <w:next w:val="1"/>
    <w:autoRedefine/>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87">
    <w:name w:val="二级编号"/>
    <w:basedOn w:val="1"/>
    <w:qFormat/>
    <w:uiPriority w:val="0"/>
    <w:pPr>
      <w:tabs>
        <w:tab w:val="left" w:pos="851"/>
      </w:tabs>
      <w:spacing w:line="360" w:lineRule="auto"/>
      <w:jc w:val="left"/>
    </w:pPr>
    <w:rPr>
      <w:rFonts w:cs="宋体"/>
      <w:sz w:val="24"/>
      <w:szCs w:val="20"/>
    </w:rPr>
  </w:style>
  <w:style w:type="paragraph" w:customStyle="1" w:styleId="288">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89">
    <w:name w:val="彩色底纹 - 着色 11"/>
    <w:semiHidden/>
    <w:qFormat/>
    <w:uiPriority w:val="99"/>
    <w:rPr>
      <w:rFonts w:ascii="Times New Roman" w:hAnsi="Times New Roman" w:eastAsia="宋体" w:cs="Times New Roman"/>
      <w:kern w:val="2"/>
      <w:sz w:val="21"/>
      <w:szCs w:val="24"/>
      <w:lang w:val="en-US" w:eastAsia="zh-CN" w:bidi="ar-SA"/>
    </w:rPr>
  </w:style>
  <w:style w:type="paragraph" w:customStyle="1" w:styleId="290">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1">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2">
    <w:name w:val="p0"/>
    <w:basedOn w:val="1"/>
    <w:qFormat/>
    <w:uiPriority w:val="0"/>
    <w:pPr>
      <w:widowControl/>
      <w:jc w:val="left"/>
    </w:pPr>
    <w:rPr>
      <w:rFonts w:ascii="宋体" w:hAnsi="宋体"/>
      <w:kern w:val="0"/>
      <w:sz w:val="20"/>
      <w:szCs w:val="20"/>
    </w:rPr>
  </w:style>
  <w:style w:type="paragraph" w:customStyle="1" w:styleId="293">
    <w:name w:val="Char Char"/>
    <w:basedOn w:val="1"/>
    <w:qFormat/>
    <w:uiPriority w:val="0"/>
    <w:pPr>
      <w:jc w:val="center"/>
    </w:pPr>
    <w:rPr>
      <w:rFonts w:ascii="仿宋_GB2312" w:eastAsia="仿宋_GB2312"/>
      <w:b/>
      <w:kern w:val="0"/>
      <w:sz w:val="32"/>
      <w:szCs w:val="32"/>
      <w:lang w:val="en-GB"/>
    </w:rPr>
  </w:style>
  <w:style w:type="paragraph" w:customStyle="1" w:styleId="294">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295">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96">
    <w:name w:val="正文首行缩进11"/>
    <w:basedOn w:val="3"/>
    <w:qFormat/>
    <w:uiPriority w:val="0"/>
    <w:pPr>
      <w:spacing w:line="360" w:lineRule="auto"/>
      <w:ind w:firstLine="420" w:firstLineChars="100"/>
    </w:pPr>
    <w:rPr>
      <w:rFonts w:ascii="Courier New" w:hAnsi="Courier New" w:eastAsia="仿宋_GB2312"/>
      <w:szCs w:val="22"/>
    </w:rPr>
  </w:style>
  <w:style w:type="paragraph" w:customStyle="1" w:styleId="297">
    <w:name w:val="xl10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8">
    <w:name w:val="p16"/>
    <w:basedOn w:val="1"/>
    <w:qFormat/>
    <w:uiPriority w:val="0"/>
    <w:pPr>
      <w:widowControl/>
    </w:pPr>
    <w:rPr>
      <w:rFonts w:ascii="Arial" w:hAnsi="Arial" w:cs="Arial"/>
      <w:color w:val="333333"/>
      <w:kern w:val="0"/>
      <w:sz w:val="18"/>
      <w:szCs w:val="18"/>
    </w:rPr>
  </w:style>
  <w:style w:type="paragraph" w:customStyle="1" w:styleId="299">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0">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1">
    <w:name w:val="默认段落字体 Para Char Char Char Char Char Char Char Char Char1 Char Char Char Char"/>
    <w:basedOn w:val="1"/>
    <w:autoRedefine/>
    <w:qFormat/>
    <w:uiPriority w:val="0"/>
    <w:rPr>
      <w:rFonts w:ascii="Tahoma" w:hAnsi="Tahoma"/>
      <w:sz w:val="24"/>
      <w:szCs w:val="20"/>
    </w:rPr>
  </w:style>
  <w:style w:type="paragraph" w:customStyle="1" w:styleId="302">
    <w:name w:val="样式26"/>
    <w:basedOn w:val="303"/>
    <w:qFormat/>
    <w:uiPriority w:val="0"/>
    <w:pPr>
      <w:tabs>
        <w:tab w:val="left" w:pos="180"/>
        <w:tab w:val="left" w:pos="1580"/>
      </w:tabs>
      <w:ind w:left="1603" w:hanging="363"/>
    </w:pPr>
  </w:style>
  <w:style w:type="paragraph" w:customStyle="1" w:styleId="303">
    <w:name w:val="样式25"/>
    <w:basedOn w:val="1"/>
    <w:qFormat/>
    <w:uiPriority w:val="0"/>
    <w:pPr>
      <w:tabs>
        <w:tab w:val="left" w:pos="180"/>
      </w:tabs>
      <w:ind w:left="1260" w:hanging="720"/>
    </w:pPr>
    <w:rPr>
      <w:sz w:val="24"/>
      <w:szCs w:val="20"/>
    </w:rPr>
  </w:style>
  <w:style w:type="paragraph" w:customStyle="1" w:styleId="304">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305">
    <w:name w:val="列出段落21"/>
    <w:basedOn w:val="1"/>
    <w:qFormat/>
    <w:uiPriority w:val="0"/>
    <w:pPr>
      <w:kinsoku w:val="0"/>
      <w:overflowPunct w:val="0"/>
      <w:snapToGrid w:val="0"/>
      <w:spacing w:line="360" w:lineRule="auto"/>
      <w:ind w:firstLine="420" w:firstLineChars="200"/>
      <w:jc w:val="left"/>
    </w:pPr>
    <w:rPr>
      <w:kern w:val="0"/>
      <w:szCs w:val="21"/>
    </w:rPr>
  </w:style>
  <w:style w:type="paragraph" w:customStyle="1" w:styleId="306">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07">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08">
    <w:name w:val="Char Char Char Char Char Char"/>
    <w:basedOn w:val="1"/>
    <w:qFormat/>
    <w:uiPriority w:val="0"/>
    <w:pPr>
      <w:ind w:firstLine="200" w:firstLineChars="200"/>
    </w:pPr>
    <w:rPr>
      <w:szCs w:val="20"/>
    </w:rPr>
  </w:style>
  <w:style w:type="paragraph" w:customStyle="1" w:styleId="309">
    <w:name w:val="样式 标题 3列表编号3h33rd level + 段前: 1 行"/>
    <w:basedOn w:val="6"/>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0">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311">
    <w:name w:val="正文首行缩进1"/>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2">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3">
    <w:name w:val="Char Char1 Char"/>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14">
    <w:name w:val="样式 正文缩进 + 首行缩进:  2 字符"/>
    <w:basedOn w:val="15"/>
    <w:autoRedefine/>
    <w:qFormat/>
    <w:uiPriority w:val="0"/>
    <w:pPr>
      <w:spacing w:after="80" w:line="360" w:lineRule="auto"/>
      <w:ind w:firstLine="480" w:firstLineChars="200"/>
    </w:pPr>
    <w:rPr>
      <w:sz w:val="24"/>
    </w:rPr>
  </w:style>
  <w:style w:type="paragraph" w:customStyle="1" w:styleId="315">
    <w:name w:val="标题4"/>
    <w:basedOn w:val="1"/>
    <w:autoRedefine/>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16">
    <w:name w:val="样式22"/>
    <w:basedOn w:val="6"/>
    <w:qFormat/>
    <w:uiPriority w:val="0"/>
    <w:pPr>
      <w:tabs>
        <w:tab w:val="left" w:pos="1080"/>
      </w:tabs>
      <w:spacing w:before="0" w:after="0" w:line="240" w:lineRule="auto"/>
      <w:ind w:left="1260" w:hanging="420"/>
      <w:jc w:val="both"/>
    </w:pPr>
    <w:rPr>
      <w:rFonts w:eastAsia="宋体"/>
      <w:sz w:val="28"/>
    </w:rPr>
  </w:style>
  <w:style w:type="paragraph" w:customStyle="1" w:styleId="317">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8">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9">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0">
    <w:name w:val="样式7"/>
    <w:basedOn w:val="1"/>
    <w:qFormat/>
    <w:uiPriority w:val="0"/>
    <w:pPr>
      <w:spacing w:beforeLines="30" w:afterLines="30" w:line="480" w:lineRule="exact"/>
      <w:ind w:left="840" w:leftChars="400" w:firstLine="480" w:firstLineChars="200"/>
    </w:pPr>
    <w:rPr>
      <w:rFonts w:cs="宋体"/>
      <w:sz w:val="24"/>
    </w:rPr>
  </w:style>
  <w:style w:type="paragraph" w:customStyle="1" w:styleId="321">
    <w:name w:val="xl8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2">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3">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4">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5">
    <w:name w:val="xl26"/>
    <w:basedOn w:val="1"/>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26">
    <w:name w:val="列出段落211"/>
    <w:basedOn w:val="1"/>
    <w:qFormat/>
    <w:uiPriority w:val="0"/>
    <w:pPr>
      <w:kinsoku w:val="0"/>
      <w:overflowPunct w:val="0"/>
      <w:snapToGrid w:val="0"/>
      <w:spacing w:line="360" w:lineRule="auto"/>
      <w:ind w:firstLine="420" w:firstLineChars="200"/>
      <w:jc w:val="left"/>
    </w:pPr>
    <w:rPr>
      <w:kern w:val="0"/>
      <w:szCs w:val="21"/>
    </w:rPr>
  </w:style>
  <w:style w:type="paragraph" w:customStyle="1" w:styleId="327">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28">
    <w:name w:val="Char"/>
    <w:basedOn w:val="1"/>
    <w:qFormat/>
    <w:uiPriority w:val="0"/>
    <w:rPr>
      <w:rFonts w:ascii="仿宋_GB2312" w:eastAsia="仿宋_GB2312"/>
      <w:b/>
      <w:sz w:val="32"/>
      <w:szCs w:val="32"/>
    </w:rPr>
  </w:style>
  <w:style w:type="paragraph" w:customStyle="1" w:styleId="329">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0">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1">
    <w:name w:val="标题1"/>
    <w:basedOn w:val="4"/>
    <w:next w:val="1"/>
    <w:autoRedefine/>
    <w:qFormat/>
    <w:uiPriority w:val="0"/>
    <w:pPr>
      <w:numPr>
        <w:ilvl w:val="0"/>
        <w:numId w:val="2"/>
      </w:numPr>
      <w:spacing w:before="0" w:after="0" w:line="360" w:lineRule="auto"/>
      <w:jc w:val="left"/>
    </w:pPr>
    <w:rPr>
      <w:rFonts w:ascii="华文中宋" w:hAnsi="华文中宋" w:eastAsia="华文中宋"/>
      <w:szCs w:val="36"/>
    </w:rPr>
  </w:style>
  <w:style w:type="paragraph" w:customStyle="1" w:styleId="332">
    <w:name w:val="Char Char Char Char Char Char1"/>
    <w:basedOn w:val="1"/>
    <w:autoRedefine/>
    <w:qFormat/>
    <w:uiPriority w:val="0"/>
    <w:pPr>
      <w:spacing w:line="360" w:lineRule="auto"/>
      <w:ind w:firstLine="200" w:firstLineChars="200"/>
    </w:pPr>
    <w:rPr>
      <w:rFonts w:ascii="Tahoma" w:hAnsi="Tahoma" w:cs="Tahoma"/>
      <w:sz w:val="24"/>
    </w:rPr>
  </w:style>
  <w:style w:type="paragraph" w:customStyle="1" w:styleId="333">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34">
    <w:name w:val="Figure"/>
    <w:basedOn w:val="1"/>
    <w:next w:val="335"/>
    <w:autoRedefine/>
    <w:qFormat/>
    <w:uiPriority w:val="0"/>
    <w:pPr>
      <w:keepNext/>
      <w:keepLines/>
      <w:ind w:left="1134"/>
      <w:jc w:val="center"/>
    </w:pPr>
  </w:style>
  <w:style w:type="paragraph" w:customStyle="1" w:styleId="335">
    <w:name w:val="Figure Description"/>
    <w:basedOn w:val="334"/>
    <w:next w:val="109"/>
    <w:autoRedefine/>
    <w:qFormat/>
    <w:uiPriority w:val="0"/>
    <w:pPr>
      <w:tabs>
        <w:tab w:val="left" w:pos="680"/>
      </w:tabs>
      <w:spacing w:afterLines="100"/>
    </w:pPr>
    <w:rPr>
      <w:sz w:val="18"/>
    </w:rPr>
  </w:style>
  <w:style w:type="paragraph" w:customStyle="1" w:styleId="336">
    <w:name w:val="±íÉí"/>
    <w:basedOn w:val="1"/>
    <w:autoRedefine/>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37">
    <w:name w:val="xl9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38">
    <w:name w:val="样式 楷体_GB2312 小四 Char Char Char Char Char Char Char Char Char Char Char Char"/>
    <w:basedOn w:val="1"/>
    <w:next w:val="1"/>
    <w:autoRedefine/>
    <w:qFormat/>
    <w:uiPriority w:val="0"/>
    <w:pPr>
      <w:spacing w:line="360" w:lineRule="auto"/>
    </w:pPr>
    <w:rPr>
      <w:rFonts w:ascii="楷体_GB2312" w:eastAsia="楷体_GB2312"/>
      <w:sz w:val="24"/>
    </w:rPr>
  </w:style>
  <w:style w:type="paragraph" w:customStyle="1" w:styleId="339">
    <w:name w:val="p19"/>
    <w:basedOn w:val="1"/>
    <w:autoRedefine/>
    <w:qFormat/>
    <w:uiPriority w:val="0"/>
    <w:pPr>
      <w:widowControl/>
      <w:spacing w:beforeLines="100" w:afterLines="100"/>
      <w:ind w:left="1134"/>
    </w:pPr>
    <w:rPr>
      <w:kern w:val="0"/>
      <w:szCs w:val="21"/>
    </w:rPr>
  </w:style>
  <w:style w:type="paragraph" w:customStyle="1" w:styleId="340">
    <w:name w:val="正文文本2"/>
    <w:basedOn w:val="1"/>
    <w:autoRedefine/>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1">
    <w:name w:val="xl8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2">
    <w:name w:val="xl11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3">
    <w:name w:val="±íÏî"/>
    <w:basedOn w:val="1"/>
    <w:autoRedefine/>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44">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5">
    <w:name w:val="Char Char11"/>
    <w:basedOn w:val="1"/>
    <w:qFormat/>
    <w:uiPriority w:val="0"/>
    <w:pPr>
      <w:widowControl/>
      <w:jc w:val="left"/>
    </w:pPr>
    <w:rPr>
      <w:sz w:val="36"/>
    </w:rPr>
  </w:style>
  <w:style w:type="paragraph" w:customStyle="1" w:styleId="346">
    <w:name w:val="xl80"/>
    <w:basedOn w:val="1"/>
    <w:autoRedefine/>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47">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8">
    <w:name w:val="正文符号1"/>
    <w:basedOn w:val="263"/>
    <w:qFormat/>
    <w:uiPriority w:val="0"/>
    <w:pPr>
      <w:tabs>
        <w:tab w:val="left" w:pos="1080"/>
      </w:tabs>
      <w:ind w:left="1134" w:firstLine="0" w:firstLineChars="0"/>
    </w:pPr>
  </w:style>
  <w:style w:type="paragraph" w:customStyle="1" w:styleId="349">
    <w:name w:val="列项——"/>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0">
    <w:name w:val="itemlistintable"/>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51">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2">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3">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54">
    <w:name w:val="xl9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55">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356">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57">
    <w:name w:val="图片"/>
    <w:basedOn w:val="1"/>
    <w:next w:val="1"/>
    <w:qFormat/>
    <w:uiPriority w:val="0"/>
    <w:pPr>
      <w:jc w:val="center"/>
    </w:pPr>
  </w:style>
  <w:style w:type="paragraph" w:customStyle="1" w:styleId="358">
    <w:name w:val="Item Step in Table"/>
    <w:basedOn w:val="1"/>
    <w:autoRedefine/>
    <w:qFormat/>
    <w:uiPriority w:val="0"/>
    <w:pPr>
      <w:tabs>
        <w:tab w:val="left" w:pos="420"/>
      </w:tabs>
      <w:ind w:left="420" w:hanging="420"/>
      <w:jc w:val="left"/>
    </w:pPr>
  </w:style>
  <w:style w:type="paragraph" w:customStyle="1" w:styleId="359">
    <w:name w:val="默认段落字体 Para Char"/>
    <w:basedOn w:val="1"/>
    <w:qFormat/>
    <w:uiPriority w:val="0"/>
    <w:rPr>
      <w:szCs w:val="20"/>
    </w:rPr>
  </w:style>
  <w:style w:type="paragraph" w:customStyle="1" w:styleId="360">
    <w:name w:val="文档正文"/>
    <w:basedOn w:val="1"/>
    <w:qFormat/>
    <w:uiPriority w:val="0"/>
    <w:pPr>
      <w:adjustRightInd w:val="0"/>
      <w:spacing w:line="312" w:lineRule="atLeast"/>
      <w:ind w:firstLine="567"/>
      <w:textAlignment w:val="baseline"/>
    </w:pPr>
    <w:rPr>
      <w:rFonts w:ascii="长城仿宋" w:eastAsia="长城仿宋"/>
      <w:kern w:val="0"/>
      <w:sz w:val="28"/>
    </w:rPr>
  </w:style>
  <w:style w:type="paragraph" w:customStyle="1" w:styleId="361">
    <w:name w:val="xl11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2">
    <w:name w:val="5"/>
    <w:autoRedefine/>
    <w:qFormat/>
    <w:uiPriority w:val="0"/>
    <w:rPr>
      <w:rFonts w:ascii="Times New Roman" w:hAnsi="Times New Roman" w:eastAsia="宋体" w:cs="Times New Roman"/>
      <w:kern w:val="2"/>
      <w:sz w:val="21"/>
      <w:szCs w:val="22"/>
      <w:lang w:val="en-US" w:eastAsia="zh-CN" w:bidi="ar-SA"/>
    </w:rPr>
  </w:style>
  <w:style w:type="paragraph" w:customStyle="1" w:styleId="363">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64">
    <w:name w:val="方案正文"/>
    <w:basedOn w:val="1"/>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65">
    <w:name w:val="Char111"/>
    <w:basedOn w:val="1"/>
    <w:qFormat/>
    <w:uiPriority w:val="0"/>
    <w:rPr>
      <w:rFonts w:ascii="仿宋_GB2312" w:hAnsi="宋体" w:eastAsia="仿宋_GB2312" w:cs="宋体"/>
      <w:b/>
      <w:sz w:val="32"/>
      <w:szCs w:val="32"/>
    </w:rPr>
  </w:style>
  <w:style w:type="paragraph" w:customStyle="1" w:styleId="366">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67">
    <w:name w:val="Item List in Table"/>
    <w:basedOn w:val="1"/>
    <w:qFormat/>
    <w:uiPriority w:val="0"/>
    <w:pPr>
      <w:numPr>
        <w:ilvl w:val="0"/>
        <w:numId w:val="3"/>
      </w:numPr>
      <w:jc w:val="left"/>
    </w:pPr>
  </w:style>
  <w:style w:type="paragraph" w:customStyle="1" w:styleId="368">
    <w:name w:val="Table Heading"/>
    <w:basedOn w:val="1"/>
    <w:qFormat/>
    <w:uiPriority w:val="0"/>
    <w:pPr>
      <w:jc w:val="center"/>
    </w:pPr>
    <w:rPr>
      <w:rFonts w:ascii="Arial" w:hAnsi="Arial" w:eastAsia="黑体"/>
      <w:b/>
    </w:rPr>
  </w:style>
  <w:style w:type="paragraph" w:customStyle="1" w:styleId="369">
    <w:name w:val="默认段落字体 Para Char Char Char Char"/>
    <w:basedOn w:val="1"/>
    <w:qFormat/>
    <w:uiPriority w:val="0"/>
    <w:pPr>
      <w:adjustRightInd w:val="0"/>
      <w:spacing w:line="360" w:lineRule="auto"/>
      <w:ind w:firstLine="1680" w:firstLineChars="200"/>
    </w:pPr>
    <w:rPr>
      <w:kern w:val="0"/>
      <w:sz w:val="24"/>
      <w:szCs w:val="20"/>
    </w:rPr>
  </w:style>
  <w:style w:type="paragraph" w:customStyle="1" w:styleId="370">
    <w:name w:val="font8"/>
    <w:basedOn w:val="1"/>
    <w:autoRedefine/>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1">
    <w:name w:val="_Style 3"/>
    <w:basedOn w:val="1"/>
    <w:autoRedefine/>
    <w:qFormat/>
    <w:uiPriority w:val="34"/>
    <w:pPr>
      <w:spacing w:line="360" w:lineRule="auto"/>
      <w:ind w:firstLine="420" w:firstLineChars="200"/>
    </w:pPr>
    <w:rPr>
      <w:rFonts w:ascii="Calibri" w:hAnsi="Calibri"/>
      <w:szCs w:val="22"/>
    </w:rPr>
  </w:style>
  <w:style w:type="paragraph" w:customStyle="1" w:styleId="372">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3">
    <w:name w:val="xl10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74">
    <w:name w:val="Table Text"/>
    <w:basedOn w:val="1"/>
    <w:autoRedefine/>
    <w:qFormat/>
    <w:uiPriority w:val="0"/>
    <w:rPr>
      <w:sz w:val="18"/>
    </w:rPr>
  </w:style>
  <w:style w:type="paragraph" w:customStyle="1" w:styleId="375">
    <w:name w:val="次小点说明"/>
    <w:basedOn w:val="15"/>
    <w:autoRedefine/>
    <w:qFormat/>
    <w:uiPriority w:val="0"/>
    <w:pPr>
      <w:tabs>
        <w:tab w:val="left" w:pos="720"/>
      </w:tabs>
      <w:spacing w:line="360" w:lineRule="auto"/>
      <w:ind w:left="777" w:hanging="417"/>
    </w:pPr>
    <w:rPr>
      <w:sz w:val="24"/>
    </w:rPr>
  </w:style>
  <w:style w:type="paragraph" w:customStyle="1" w:styleId="376">
    <w:name w:val="xl10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77">
    <w:name w:val="此正文"/>
    <w:basedOn w:val="1"/>
    <w:autoRedefine/>
    <w:qFormat/>
    <w:uiPriority w:val="0"/>
    <w:pPr>
      <w:spacing w:line="360" w:lineRule="auto"/>
      <w:ind w:firstLine="200" w:firstLineChars="200"/>
    </w:pPr>
    <w:rPr>
      <w:sz w:val="24"/>
    </w:rPr>
  </w:style>
  <w:style w:type="paragraph" w:customStyle="1" w:styleId="378">
    <w:name w:val="方案标题4"/>
    <w:basedOn w:val="7"/>
    <w:autoRedefine/>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79">
    <w:name w:val="xl10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0">
    <w:name w:val="xl11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1">
    <w:name w:val="列表1"/>
    <w:basedOn w:val="1"/>
    <w:autoRedefine/>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2">
    <w:name w:val="项目正文"/>
    <w:basedOn w:val="1"/>
    <w:autoRedefine/>
    <w:qFormat/>
    <w:uiPriority w:val="0"/>
    <w:pPr>
      <w:ind w:left="420" w:hanging="420"/>
    </w:pPr>
    <w:rPr>
      <w:sz w:val="28"/>
      <w:szCs w:val="20"/>
    </w:rPr>
  </w:style>
  <w:style w:type="paragraph" w:customStyle="1" w:styleId="383">
    <w:name w:val="xl9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4">
    <w:name w:val="xl8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5">
    <w:name w:val="正文2 Char Char Char Char Char Char Char Char Char Char Char Char1 Char Char Char Char Char Char Char Char1 Char Char Char Char Char Char Char Char Char"/>
    <w:basedOn w:val="1"/>
    <w:autoRedefine/>
    <w:qFormat/>
    <w:uiPriority w:val="0"/>
    <w:pPr>
      <w:widowControl/>
      <w:spacing w:line="400" w:lineRule="exact"/>
      <w:jc w:val="center"/>
    </w:pPr>
    <w:rPr>
      <w:rFonts w:ascii="Verdana" w:hAnsi="Verdana"/>
      <w:kern w:val="0"/>
      <w:szCs w:val="20"/>
      <w:lang w:eastAsia="en-US"/>
    </w:rPr>
  </w:style>
  <w:style w:type="paragraph" w:customStyle="1" w:styleId="386">
    <w:name w:val="段落正文 Char Char"/>
    <w:basedOn w:val="1"/>
    <w:autoRedefine/>
    <w:qFormat/>
    <w:uiPriority w:val="0"/>
    <w:pPr>
      <w:spacing w:line="360" w:lineRule="auto"/>
      <w:ind w:firstLine="461" w:firstLineChars="192"/>
    </w:pPr>
    <w:rPr>
      <w:rFonts w:ascii="宋体" w:hAnsi="宋体"/>
      <w:sz w:val="24"/>
    </w:rPr>
  </w:style>
  <w:style w:type="paragraph" w:customStyle="1" w:styleId="387">
    <w:name w:val="xl7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88">
    <w:name w:val="p18"/>
    <w:basedOn w:val="1"/>
    <w:autoRedefine/>
    <w:qFormat/>
    <w:uiPriority w:val="0"/>
    <w:pPr>
      <w:widowControl/>
      <w:spacing w:afterLines="100"/>
      <w:ind w:left="1134"/>
      <w:jc w:val="center"/>
    </w:pPr>
    <w:rPr>
      <w:kern w:val="0"/>
      <w:sz w:val="18"/>
      <w:szCs w:val="18"/>
    </w:rPr>
  </w:style>
  <w:style w:type="paragraph" w:customStyle="1" w:styleId="389">
    <w:name w:val="xl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0">
    <w:name w:val="xl76"/>
    <w:basedOn w:val="1"/>
    <w:autoRedefine/>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1">
    <w:name w:val="±íÌâ"/>
    <w:basedOn w:val="1"/>
    <w:autoRedefine/>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2">
    <w:name w:val="Char2"/>
    <w:basedOn w:val="1"/>
    <w:autoRedefine/>
    <w:qFormat/>
    <w:uiPriority w:val="0"/>
    <w:pPr>
      <w:spacing w:line="240" w:lineRule="atLeast"/>
      <w:ind w:left="420" w:firstLine="420"/>
    </w:pPr>
  </w:style>
  <w:style w:type="paragraph" w:customStyle="1" w:styleId="393">
    <w:name w:val="xl9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394">
    <w:name w:val="网格型1"/>
    <w:basedOn w:val="51"/>
    <w:autoRedefine/>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95">
    <w:name w:val="无间隔1"/>
    <w:basedOn w:val="1"/>
    <w:autoRedefine/>
    <w:unhideWhenUsed/>
    <w:qFormat/>
    <w:uiPriority w:val="1"/>
    <w:pPr>
      <w:widowControl/>
    </w:pPr>
    <w:rPr>
      <w:rFonts w:ascii="Cambria" w:hAnsi="Cambria"/>
      <w:sz w:val="22"/>
      <w:lang w:val="zh-CN" w:eastAsia="en-US"/>
    </w:rPr>
  </w:style>
  <w:style w:type="paragraph" w:customStyle="1" w:styleId="396">
    <w:name w:val="正文2"/>
    <w:basedOn w:val="1"/>
    <w:autoRedefine/>
    <w:qFormat/>
    <w:uiPriority w:val="0"/>
    <w:pPr>
      <w:spacing w:before="156" w:line="360" w:lineRule="auto"/>
      <w:ind w:firstLine="510" w:firstLineChars="200"/>
    </w:pPr>
    <w:rPr>
      <w:rFonts w:ascii="Calibri" w:hAnsi="Calibri"/>
      <w:sz w:val="24"/>
      <w:szCs w:val="20"/>
    </w:rPr>
  </w:style>
  <w:style w:type="character" w:customStyle="1" w:styleId="397">
    <w:name w:val="NormalCharacter"/>
    <w:autoRedefine/>
    <w:semiHidden/>
    <w:qFormat/>
    <w:uiPriority w:val="0"/>
    <w:rPr>
      <w:kern w:val="2"/>
      <w:sz w:val="21"/>
      <w:szCs w:val="24"/>
      <w:lang w:val="en-US" w:eastAsia="zh-CN" w:bidi="ar-SA"/>
    </w:rPr>
  </w:style>
  <w:style w:type="character" w:customStyle="1" w:styleId="398">
    <w:name w:val="radio"/>
    <w:basedOn w:val="53"/>
    <w:qFormat/>
    <w:uiPriority w:val="0"/>
    <w:rPr>
      <w:color w:val="666666"/>
    </w:rPr>
  </w:style>
  <w:style w:type="character" w:customStyle="1" w:styleId="399">
    <w:name w:val="percentage"/>
    <w:basedOn w:val="53"/>
    <w:qFormat/>
    <w:uiPriority w:val="0"/>
    <w:rPr>
      <w:shd w:val="clear" w:fill="D70A30"/>
    </w:rPr>
  </w:style>
  <w:style w:type="character" w:customStyle="1" w:styleId="400">
    <w:name w:val="jdtel"/>
    <w:basedOn w:val="53"/>
    <w:qFormat/>
    <w:uiPriority w:val="0"/>
    <w:rPr>
      <w:color w:val="FFFFFF"/>
      <w:sz w:val="30"/>
      <w:szCs w:val="30"/>
    </w:rPr>
  </w:style>
  <w:style w:type="character" w:customStyle="1" w:styleId="401">
    <w:name w:val="rotateleft"/>
    <w:basedOn w:val="53"/>
    <w:qFormat/>
    <w:uiPriority w:val="0"/>
  </w:style>
  <w:style w:type="character" w:customStyle="1" w:styleId="402">
    <w:name w:val="edui-unclickable"/>
    <w:basedOn w:val="53"/>
    <w:qFormat/>
    <w:uiPriority w:val="0"/>
    <w:rPr>
      <w:color w:val="808080"/>
    </w:rPr>
  </w:style>
  <w:style w:type="character" w:customStyle="1" w:styleId="403">
    <w:name w:val="operation2"/>
    <w:basedOn w:val="53"/>
    <w:qFormat/>
    <w:uiPriority w:val="0"/>
    <w:rPr>
      <w:color w:val="F39800"/>
    </w:rPr>
  </w:style>
  <w:style w:type="character" w:customStyle="1" w:styleId="404">
    <w:name w:val="edui-clickable2"/>
    <w:basedOn w:val="53"/>
    <w:qFormat/>
    <w:uiPriority w:val="0"/>
    <w:rPr>
      <w:color w:val="0000FF"/>
      <w:u w:val="single"/>
    </w:rPr>
  </w:style>
  <w:style w:type="character" w:customStyle="1" w:styleId="405">
    <w:name w:val="selectedtreerow_lor"/>
    <w:basedOn w:val="53"/>
    <w:qFormat/>
    <w:uiPriority w:val="0"/>
    <w:rPr>
      <w:rFonts w:ascii="Tahoma" w:hAnsi="Tahoma" w:eastAsia="Tahoma" w:cs="Tahoma"/>
      <w:color w:val="000000"/>
      <w:sz w:val="18"/>
      <w:szCs w:val="18"/>
      <w:shd w:val="clear" w:fill="85D3FF"/>
    </w:rPr>
  </w:style>
  <w:style w:type="character" w:customStyle="1" w:styleId="406">
    <w:name w:val="selectedtreerow_lor1"/>
    <w:basedOn w:val="53"/>
    <w:qFormat/>
    <w:uiPriority w:val="0"/>
  </w:style>
  <w:style w:type="character" w:customStyle="1" w:styleId="407">
    <w:name w:val="layui-layer-tabnow"/>
    <w:basedOn w:val="53"/>
    <w:qFormat/>
    <w:uiPriority w:val="0"/>
    <w:rPr>
      <w:bdr w:val="single" w:color="CCCCCC" w:sz="6" w:space="0"/>
      <w:shd w:val="clear" w:fill="FFFFFF"/>
    </w:rPr>
  </w:style>
  <w:style w:type="character" w:customStyle="1" w:styleId="408">
    <w:name w:val="rotateright"/>
    <w:basedOn w:val="53"/>
    <w:qFormat/>
    <w:uiPriority w:val="0"/>
  </w:style>
  <w:style w:type="character" w:customStyle="1" w:styleId="409">
    <w:name w:val="checkbox"/>
    <w:basedOn w:val="53"/>
    <w:qFormat/>
    <w:uiPriority w:val="0"/>
    <w:rPr>
      <w:color w:val="666666"/>
    </w:rPr>
  </w:style>
  <w:style w:type="character" w:customStyle="1" w:styleId="410">
    <w:name w:val="checkbox1"/>
    <w:basedOn w:val="53"/>
    <w:qFormat/>
    <w:uiPriority w:val="0"/>
    <w:rPr>
      <w:color w:val="666666"/>
    </w:rPr>
  </w:style>
  <w:style w:type="character" w:customStyle="1" w:styleId="411">
    <w:name w:val="user"/>
    <w:basedOn w:val="53"/>
    <w:qFormat/>
    <w:uiPriority w:val="0"/>
    <w:rPr>
      <w:b/>
      <w:bCs/>
      <w:color w:val="D70A30"/>
    </w:rPr>
  </w:style>
  <w:style w:type="character" w:customStyle="1" w:styleId="412">
    <w:name w:val="dhxform_item_required"/>
    <w:basedOn w:val="53"/>
    <w:qFormat/>
    <w:uiPriority w:val="0"/>
    <w:rPr>
      <w:color w:val="B2B2B2"/>
    </w:rPr>
  </w:style>
  <w:style w:type="character" w:customStyle="1" w:styleId="413">
    <w:name w:val="dhxform_item_required1"/>
    <w:basedOn w:val="53"/>
    <w:qFormat/>
    <w:uiPriority w:val="0"/>
    <w:rPr>
      <w:color w:val="FF0000"/>
    </w:rPr>
  </w:style>
  <w:style w:type="character" w:customStyle="1" w:styleId="414">
    <w:name w:val="dhxtabbar_tabs_text_test_dhx_skyblue"/>
    <w:basedOn w:val="53"/>
    <w:qFormat/>
    <w:uiPriority w:val="0"/>
    <w:rPr>
      <w:rFonts w:hint="default" w:ascii="Tahoma" w:hAnsi="Tahoma" w:eastAsia="Tahoma" w:cs="Tahoma"/>
      <w:b/>
      <w:bCs/>
      <w:color w:val="000000"/>
      <w:sz w:val="16"/>
      <w:szCs w:val="16"/>
    </w:rPr>
  </w:style>
  <w:style w:type="character" w:customStyle="1" w:styleId="415">
    <w:name w:val="first-child"/>
    <w:basedOn w:val="53"/>
    <w:qFormat/>
    <w:uiPriority w:val="0"/>
  </w:style>
  <w:style w:type="character" w:customStyle="1" w:styleId="416">
    <w:name w:val="first-child1"/>
    <w:basedOn w:val="53"/>
    <w:qFormat/>
    <w:uiPriority w:val="0"/>
  </w:style>
  <w:style w:type="character" w:customStyle="1" w:styleId="417">
    <w:name w:val="hover7"/>
    <w:basedOn w:val="53"/>
    <w:qFormat/>
    <w:uiPriority w:val="0"/>
    <w:rPr>
      <w:bdr w:val="single" w:color="F2F2F2" w:sz="6" w:space="0"/>
      <w:shd w:val="clear" w:fill="F2F2F2"/>
    </w:rPr>
  </w:style>
  <w:style w:type="character" w:customStyle="1" w:styleId="418">
    <w:name w:val="hover8"/>
    <w:basedOn w:val="53"/>
    <w:qFormat/>
    <w:uiPriority w:val="0"/>
    <w:rPr>
      <w:bdr w:val="single" w:color="D0F0E3" w:sz="6" w:space="0"/>
      <w:shd w:val="clear" w:fill="D0F0E3"/>
    </w:rPr>
  </w:style>
  <w:style w:type="character" w:customStyle="1" w:styleId="419">
    <w:name w:val="hover9"/>
    <w:basedOn w:val="53"/>
    <w:qFormat/>
    <w:uiPriority w:val="0"/>
    <w:rPr>
      <w:color w:val="FFFFFF"/>
      <w:bdr w:val="single" w:color="F9708A" w:sz="6" w:space="0"/>
      <w:shd w:val="clear" w:fill="F9708A"/>
    </w:rPr>
  </w:style>
  <w:style w:type="character" w:customStyle="1" w:styleId="420">
    <w:name w:val="hover10"/>
    <w:basedOn w:val="53"/>
    <w:qFormat/>
    <w:uiPriority w:val="0"/>
    <w:rPr>
      <w:color w:val="BBBBBB"/>
      <w:bdr w:val="single" w:color="FFFFFF" w:sz="6" w:space="0"/>
      <w:shd w:val="clear" w:fill="FFFFFF"/>
    </w:rPr>
  </w:style>
  <w:style w:type="character" w:customStyle="1" w:styleId="421">
    <w:name w:val="hover11"/>
    <w:basedOn w:val="53"/>
    <w:qFormat/>
    <w:uiPriority w:val="0"/>
    <w:rPr>
      <w:bdr w:val="single" w:color="F2F2F2" w:sz="6" w:space="0"/>
      <w:shd w:val="clear" w:fill="F2F2F2"/>
    </w:rPr>
  </w:style>
  <w:style w:type="character" w:customStyle="1" w:styleId="422">
    <w:name w:val="hover12"/>
    <w:basedOn w:val="53"/>
    <w:qFormat/>
    <w:uiPriority w:val="0"/>
    <w:rPr>
      <w:bdr w:val="single" w:color="D0F0E3" w:sz="6" w:space="0"/>
      <w:shd w:val="clear" w:fill="D0F0E3"/>
    </w:rPr>
  </w:style>
  <w:style w:type="character" w:customStyle="1" w:styleId="423">
    <w:name w:val="hover13"/>
    <w:basedOn w:val="53"/>
    <w:qFormat/>
    <w:uiPriority w:val="0"/>
    <w:rPr>
      <w:color w:val="FFFFFF"/>
      <w:bdr w:val="single" w:color="F9708A" w:sz="6" w:space="0"/>
      <w:shd w:val="clear" w:fill="F9708A"/>
    </w:rPr>
  </w:style>
  <w:style w:type="character" w:customStyle="1" w:styleId="424">
    <w:name w:val="hover14"/>
    <w:basedOn w:val="53"/>
    <w:qFormat/>
    <w:uiPriority w:val="0"/>
    <w:rPr>
      <w:color w:val="BBBBBB"/>
      <w:bdr w:val="single" w:color="FFFFFF" w:sz="6" w:space="0"/>
      <w:shd w:val="clear" w:fill="FFFFFF"/>
    </w:rPr>
  </w:style>
  <w:style w:type="character" w:customStyle="1" w:styleId="425">
    <w:name w:val="standarttreerow6"/>
    <w:basedOn w:val="53"/>
    <w:qFormat/>
    <w:uiPriority w:val="0"/>
  </w:style>
  <w:style w:type="character" w:customStyle="1" w:styleId="426">
    <w:name w:val="space"/>
    <w:basedOn w:val="53"/>
    <w:qFormat/>
    <w:uiPriority w:val="0"/>
  </w:style>
  <w:style w:type="character" w:customStyle="1" w:styleId="427">
    <w:name w:val="last-child"/>
    <w:basedOn w:val="53"/>
    <w:qFormat/>
    <w:uiPriority w:val="0"/>
  </w:style>
  <w:style w:type="character" w:customStyle="1" w:styleId="428">
    <w:name w:val="swzz"/>
    <w:basedOn w:val="53"/>
    <w:qFormat/>
    <w:uiPriority w:val="0"/>
    <w:rPr>
      <w:color w:val="F39800"/>
    </w:rPr>
  </w:style>
  <w:style w:type="character" w:customStyle="1" w:styleId="429">
    <w:name w:val="recordsinfoblock"/>
    <w:basedOn w:val="53"/>
    <w:qFormat/>
    <w:uiPriority w:val="0"/>
    <w:rPr>
      <w:rFonts w:hint="default" w:ascii="Tahoma" w:hAnsi="Tahoma" w:eastAsia="Tahoma" w:cs="Tahoma"/>
      <w:color w:val="000000"/>
      <w:sz w:val="18"/>
      <w:szCs w:val="18"/>
    </w:rPr>
  </w:style>
  <w:style w:type="character" w:customStyle="1" w:styleId="430">
    <w:name w:val="margin"/>
    <w:basedOn w:val="53"/>
    <w:qFormat/>
    <w:uiPriority w:val="0"/>
    <w:rPr>
      <w:color w:val="666666"/>
    </w:rPr>
  </w:style>
  <w:style w:type="character" w:customStyle="1" w:styleId="431">
    <w:name w:val="dhtmlxcalendar_selected_date"/>
    <w:basedOn w:val="53"/>
    <w:qFormat/>
    <w:uiPriority w:val="0"/>
  </w:style>
  <w:style w:type="character" w:customStyle="1" w:styleId="432">
    <w:name w:val="dhtmlxcalendar_selected_date1"/>
    <w:basedOn w:val="53"/>
    <w:qFormat/>
    <w:uiPriority w:val="0"/>
  </w:style>
  <w:style w:type="character" w:customStyle="1" w:styleId="433">
    <w:name w:val="cancel"/>
    <w:basedOn w:val="53"/>
    <w:qFormat/>
    <w:uiPriority w:val="0"/>
  </w:style>
  <w:style w:type="character" w:customStyle="1" w:styleId="434">
    <w:name w:val="text6"/>
    <w:basedOn w:val="53"/>
    <w:qFormat/>
    <w:uiPriority w:val="0"/>
    <w:rPr>
      <w:color w:val="FFFFFF"/>
    </w:rPr>
  </w:style>
  <w:style w:type="character" w:customStyle="1" w:styleId="435">
    <w:name w:val="nav_link"/>
    <w:basedOn w:val="53"/>
    <w:qFormat/>
    <w:uiPriority w:val="0"/>
  </w:style>
  <w:style w:type="character" w:customStyle="1" w:styleId="436">
    <w:name w:val="dhxform_info"/>
    <w:basedOn w:val="53"/>
    <w:qFormat/>
    <w:uiPriority w:val="0"/>
    <w:rPr>
      <w:rFonts w:hint="default" w:ascii="Tahoma" w:hAnsi="Tahoma" w:eastAsia="Tahoma" w:cs="Tahoma"/>
      <w:color w:val="808080"/>
      <w:sz w:val="12"/>
      <w:szCs w:val="12"/>
    </w:rPr>
  </w:style>
  <w:style w:type="character" w:customStyle="1" w:styleId="437">
    <w:name w:val="selectedtreerow6"/>
    <w:basedOn w:val="53"/>
    <w:qFormat/>
    <w:uiPriority w:val="0"/>
    <w:rPr>
      <w:color w:val="000000"/>
      <w:shd w:val="clear" w:fill="85D3FF"/>
    </w:rPr>
  </w:style>
  <w:style w:type="character" w:customStyle="1" w:styleId="438">
    <w:name w:val="selectedtreerow7"/>
    <w:basedOn w:val="53"/>
    <w:qFormat/>
    <w:uiPriority w:val="0"/>
  </w:style>
  <w:style w:type="character" w:customStyle="1" w:styleId="439">
    <w:name w:val="edui-clickable"/>
    <w:basedOn w:val="53"/>
    <w:qFormat/>
    <w:uiPriority w:val="0"/>
    <w:rPr>
      <w:color w:val="0000FF"/>
      <w:u w:val="single"/>
    </w:rPr>
  </w:style>
  <w:style w:type="character" w:customStyle="1" w:styleId="440">
    <w:name w:val="selectedtreerow_lor4"/>
    <w:basedOn w:val="53"/>
    <w:qFormat/>
    <w:uiPriority w:val="0"/>
    <w:rPr>
      <w:color w:val="000000"/>
      <w:shd w:val="clear" w:fill="85D3FF"/>
    </w:rPr>
  </w:style>
  <w:style w:type="character" w:customStyle="1" w:styleId="441">
    <w:name w:val="selectedtreerow_lor5"/>
    <w:basedOn w:val="53"/>
    <w:qFormat/>
    <w:uiPriority w:val="0"/>
  </w:style>
  <w:style w:type="character" w:customStyle="1" w:styleId="442">
    <w:name w:val="hover15"/>
    <w:basedOn w:val="53"/>
    <w:qFormat/>
    <w:uiPriority w:val="0"/>
    <w:rPr>
      <w:bdr w:val="single" w:color="D0F0E3" w:sz="6" w:space="0"/>
      <w:shd w:val="clear" w:fill="D0F0E3"/>
    </w:rPr>
  </w:style>
  <w:style w:type="character" w:customStyle="1" w:styleId="443">
    <w:name w:val="operation"/>
    <w:basedOn w:val="53"/>
    <w:qFormat/>
    <w:uiPriority w:val="0"/>
    <w:rPr>
      <w:color w:val="F39800"/>
    </w:rPr>
  </w:style>
  <w:style w:type="character" w:customStyle="1" w:styleId="444">
    <w:name w:val="standarttreerow"/>
    <w:basedOn w:val="53"/>
    <w:qFormat/>
    <w:uiPriority w:val="0"/>
    <w:rPr>
      <w:rFonts w:ascii="Tahoma" w:hAnsi="Tahoma" w:eastAsia="Tahoma" w:cs="Tahoma"/>
      <w:sz w:val="18"/>
      <w:szCs w:val="18"/>
    </w:rPr>
  </w:style>
  <w:style w:type="character" w:customStyle="1" w:styleId="445">
    <w:name w:val="radio2"/>
    <w:basedOn w:val="53"/>
    <w:qFormat/>
    <w:uiPriority w:val="0"/>
    <w:rPr>
      <w:color w:val="666666"/>
    </w:rPr>
  </w:style>
  <w:style w:type="character" w:customStyle="1" w:styleId="446">
    <w:name w:val="checkbox2"/>
    <w:basedOn w:val="53"/>
    <w:qFormat/>
    <w:uiPriority w:val="0"/>
    <w:rPr>
      <w:color w:val="666666"/>
    </w:rPr>
  </w:style>
  <w:style w:type="character" w:customStyle="1" w:styleId="447">
    <w:name w:val="checkbox3"/>
    <w:basedOn w:val="53"/>
    <w:qFormat/>
    <w:uiPriority w:val="0"/>
    <w:rPr>
      <w:color w:val="666666"/>
    </w:rPr>
  </w:style>
  <w:style w:type="character" w:customStyle="1" w:styleId="448">
    <w:name w:val="text5"/>
    <w:basedOn w:val="53"/>
    <w:qFormat/>
    <w:uiPriority w:val="0"/>
    <w:rPr>
      <w:color w:val="FFFFFF"/>
    </w:rPr>
  </w:style>
  <w:style w:type="character" w:customStyle="1" w:styleId="449">
    <w:name w:val="hover"/>
    <w:basedOn w:val="53"/>
    <w:qFormat/>
    <w:uiPriority w:val="0"/>
    <w:rPr>
      <w:bdr w:val="single" w:color="F2F2F2" w:sz="6" w:space="0"/>
      <w:shd w:val="clear" w:fill="F2F2F2"/>
    </w:rPr>
  </w:style>
  <w:style w:type="character" w:customStyle="1" w:styleId="450">
    <w:name w:val="hover1"/>
    <w:basedOn w:val="53"/>
    <w:qFormat/>
    <w:uiPriority w:val="0"/>
    <w:rPr>
      <w:color w:val="BBBBBB"/>
      <w:bdr w:val="single" w:color="FFFFFF" w:sz="6" w:space="0"/>
      <w:shd w:val="clear" w:fill="FFFFFF"/>
    </w:rPr>
  </w:style>
  <w:style w:type="character" w:customStyle="1" w:styleId="451">
    <w:name w:val="hover2"/>
    <w:basedOn w:val="53"/>
    <w:qFormat/>
    <w:uiPriority w:val="0"/>
    <w:rPr>
      <w:color w:val="FFFFFF"/>
      <w:bdr w:val="single" w:color="F9708A" w:sz="6" w:space="0"/>
      <w:shd w:val="clear" w:fill="F9708A"/>
    </w:rPr>
  </w:style>
  <w:style w:type="character" w:customStyle="1" w:styleId="452">
    <w:name w:val="hover3"/>
    <w:basedOn w:val="53"/>
    <w:qFormat/>
    <w:uiPriority w:val="0"/>
    <w:rPr>
      <w:bdr w:val="single" w:color="D0F0E3" w:sz="6" w:space="0"/>
      <w:shd w:val="clear" w:fill="D0F0E3"/>
    </w:rPr>
  </w:style>
  <w:style w:type="character" w:customStyle="1" w:styleId="453">
    <w:name w:val="hover4"/>
    <w:basedOn w:val="53"/>
    <w:qFormat/>
    <w:uiPriority w:val="0"/>
    <w:rPr>
      <w:bdr w:val="single" w:color="F2F2F2" w:sz="6" w:space="0"/>
      <w:shd w:val="clear" w:fill="F2F2F2"/>
    </w:rPr>
  </w:style>
  <w:style w:type="character" w:customStyle="1" w:styleId="454">
    <w:name w:val="hover5"/>
    <w:basedOn w:val="53"/>
    <w:qFormat/>
    <w:uiPriority w:val="0"/>
    <w:rPr>
      <w:color w:val="BBBBBB"/>
      <w:bdr w:val="single" w:color="FFFFFF" w:sz="6" w:space="0"/>
      <w:shd w:val="clear" w:fill="FFFFFF"/>
    </w:rPr>
  </w:style>
  <w:style w:type="character" w:customStyle="1" w:styleId="455">
    <w:name w:val="hover6"/>
    <w:basedOn w:val="53"/>
    <w:qFormat/>
    <w:uiPriority w:val="0"/>
    <w:rPr>
      <w:color w:val="FFFFFF"/>
      <w:bdr w:val="single" w:color="F9708A" w:sz="6" w:space="0"/>
      <w:shd w:val="clear" w:fill="F9708A"/>
    </w:rPr>
  </w:style>
  <w:style w:type="character" w:customStyle="1" w:styleId="456">
    <w:name w:val="text"/>
    <w:basedOn w:val="53"/>
    <w:qFormat/>
    <w:uiPriority w:val="0"/>
    <w:rPr>
      <w:color w:val="FFFFFF"/>
    </w:rPr>
  </w:style>
  <w:style w:type="character" w:customStyle="1" w:styleId="457">
    <w:name w:val="selectedtreerow"/>
    <w:basedOn w:val="53"/>
    <w:qFormat/>
    <w:uiPriority w:val="0"/>
    <w:rPr>
      <w:rFonts w:hint="default" w:ascii="Tahoma" w:hAnsi="Tahoma" w:eastAsia="Tahoma" w:cs="Tahoma"/>
      <w:color w:val="000000"/>
      <w:sz w:val="18"/>
      <w:szCs w:val="18"/>
      <w:shd w:val="clear" w:fill="85D3FF"/>
    </w:rPr>
  </w:style>
  <w:style w:type="character" w:customStyle="1" w:styleId="458">
    <w:name w:val="selectedtreerow1"/>
    <w:basedOn w:val="53"/>
    <w:qFormat/>
    <w:uiPriority w:val="0"/>
  </w:style>
  <w:style w:type="character" w:customStyle="1" w:styleId="459">
    <w:name w:val="selectedtreerow_lor6"/>
    <w:basedOn w:val="53"/>
    <w:qFormat/>
    <w:uiPriority w:val="0"/>
  </w:style>
  <w:style w:type="character" w:customStyle="1" w:styleId="460">
    <w:name w:val="selectedtreerow_lor7"/>
    <w:basedOn w:val="53"/>
    <w:qFormat/>
    <w:uiPriority w:val="0"/>
  </w:style>
  <w:style w:type="character" w:customStyle="1" w:styleId="461">
    <w:name w:val="before"/>
    <w:basedOn w:val="53"/>
    <w:qFormat/>
    <w:uiPriority w:val="0"/>
    <w:rPr>
      <w:shd w:val="clear" w:fill="CCCCCC"/>
    </w:rPr>
  </w:style>
  <w:style w:type="character" w:customStyle="1" w:styleId="462">
    <w:name w:val="before1"/>
    <w:basedOn w:val="53"/>
    <w:qFormat/>
    <w:uiPriority w:val="0"/>
    <w:rPr>
      <w:shd w:val="clear" w:fill="CCCCCC"/>
    </w:rPr>
  </w:style>
  <w:style w:type="character" w:customStyle="1" w:styleId="463">
    <w:name w:val="zhwjts"/>
    <w:basedOn w:val="53"/>
    <w:qFormat/>
    <w:uiPriority w:val="0"/>
    <w:rPr>
      <w:color w:val="D70A30"/>
    </w:rPr>
  </w:style>
  <w:style w:type="character" w:customStyle="1" w:styleId="464">
    <w:name w:val="jg"/>
    <w:basedOn w:val="53"/>
    <w:qFormat/>
    <w:uiPriority w:val="0"/>
    <w:rPr>
      <w:color w:val="69D2AE"/>
    </w:rPr>
  </w:style>
  <w:style w:type="character" w:customStyle="1" w:styleId="465">
    <w:name w:val="hzts"/>
    <w:basedOn w:val="53"/>
    <w:qFormat/>
    <w:uiPriority w:val="0"/>
    <w:rPr>
      <w:color w:val="D70A30"/>
    </w:rPr>
  </w:style>
  <w:style w:type="character" w:customStyle="1" w:styleId="466">
    <w:name w:val="nth-of-type(1)"/>
    <w:basedOn w:val="53"/>
    <w:qFormat/>
    <w:uiPriority w:val="0"/>
  </w:style>
  <w:style w:type="paragraph" w:customStyle="1" w:styleId="467">
    <w:name w:val="表格文字"/>
    <w:basedOn w:val="30"/>
    <w:next w:val="3"/>
    <w:qFormat/>
    <w:uiPriority w:val="0"/>
    <w:pPr>
      <w:autoSpaceDE w:val="0"/>
      <w:autoSpaceDN w:val="0"/>
      <w:adjustRightInd w:val="0"/>
      <w:spacing w:line="420" w:lineRule="atLeast"/>
      <w:textAlignment w:val="baseline"/>
    </w:pPr>
    <w:rPr>
      <w:color w:val="000000"/>
      <w:kern w:val="0"/>
    </w:rPr>
  </w:style>
  <w:style w:type="paragraph" w:customStyle="1" w:styleId="468">
    <w:name w:val="xl53"/>
    <w:basedOn w:val="1"/>
    <w:next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header" Target="header3.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43</Pages>
  <Words>7828</Words>
  <Characters>8496</Characters>
  <Lines>243</Lines>
  <Paragraphs>68</Paragraphs>
  <TotalTime>2</TotalTime>
  <ScaleCrop>false</ScaleCrop>
  <LinksUpToDate>false</LinksUpToDate>
  <CharactersWithSpaces>8574</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2020-10-07T05:12:00Z</dcterms:created>
  <dc:creator>Sky123.Org</dc:creator>
  <cp:lastModifiedBy>机智的</cp:lastModifiedBy>
  <cp:lastPrinted>2024-11-29T05:07:00Z</cp:lastPrinted>
  <dcterms:modified xsi:type="dcterms:W3CDTF">2026-04-30T07:26:34Z</dcterms:modified>
  <dc:title>临海市政府采购</dc:title>
  <cp:revision>888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103A6CA4D068410594EDB710DBD2EB13_13</vt:lpwstr>
  </property>
  <property fmtid="{D5CDD505-2E9C-101B-9397-08002B2CF9AE}" pid="4" name="KSOTemplateDocerSaveRecord">
    <vt:lpwstr>eyJoZGlkIjoiYmY3ODIxOWVmMGExYjg5ZGNlMDIxY2UzY2E1MWM1YTUiLCJ1c2VySWQiOiI0NTYxOTA0MDQifQ==</vt:lpwstr>
  </property>
</Properties>
</file>