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4729F">
      <w:pPr>
        <w:tabs>
          <w:tab w:val="left" w:pos="720"/>
        </w:tabs>
        <w:jc w:val="center"/>
        <w:outlineLvl w:val="0"/>
        <w:rPr>
          <w:rFonts w:ascii="仿宋" w:hAnsi="仿宋" w:eastAsia="仿宋" w:cs="仿宋"/>
          <w:b/>
          <w:bCs/>
          <w:kern w:val="0"/>
          <w:sz w:val="36"/>
          <w:szCs w:val="36"/>
          <w:highlight w:val="none"/>
        </w:rPr>
      </w:pPr>
    </w:p>
    <w:p w14:paraId="22D92723">
      <w:pPr>
        <w:adjustRightInd w:val="0"/>
        <w:snapToGrid w:val="0"/>
        <w:spacing w:line="1200" w:lineRule="exact"/>
        <w:jc w:val="center"/>
        <w:rPr>
          <w:rFonts w:ascii="华文新魏" w:hAnsi="华文仿宋" w:eastAsia="华文新魏"/>
          <w:b/>
          <w:bCs/>
          <w:sz w:val="72"/>
          <w:highlight w:val="none"/>
        </w:rPr>
      </w:pPr>
      <w:r>
        <w:rPr>
          <w:rFonts w:hint="eastAsia" w:ascii="华文新魏" w:hAnsi="华文仿宋" w:eastAsia="华文新魏"/>
          <w:b/>
          <w:bCs/>
          <w:sz w:val="72"/>
          <w:highlight w:val="none"/>
        </w:rPr>
        <w:t>临海市非政府采购项目</w:t>
      </w:r>
    </w:p>
    <w:p w14:paraId="62B6BF57">
      <w:pPr>
        <w:adjustRightInd w:val="0"/>
        <w:snapToGrid w:val="0"/>
        <w:spacing w:line="1200" w:lineRule="exact"/>
        <w:jc w:val="center"/>
        <w:rPr>
          <w:rFonts w:ascii="华文新魏" w:hAnsi="华文仿宋" w:eastAsia="华文新魏"/>
          <w:b/>
          <w:bCs/>
          <w:sz w:val="84"/>
          <w:szCs w:val="84"/>
          <w:highlight w:val="none"/>
        </w:rPr>
      </w:pPr>
      <w:r>
        <w:rPr>
          <w:rFonts w:hint="eastAsia" w:ascii="华文新魏" w:hAnsi="华文仿宋" w:eastAsia="华文新魏"/>
          <w:b/>
          <w:bCs/>
          <w:sz w:val="84"/>
          <w:szCs w:val="84"/>
          <w:highlight w:val="none"/>
        </w:rPr>
        <w:t>招  标  文  件</w:t>
      </w:r>
    </w:p>
    <w:p w14:paraId="6CABB862">
      <w:pPr>
        <w:adjustRightInd w:val="0"/>
        <w:snapToGrid w:val="0"/>
        <w:rPr>
          <w:rFonts w:ascii="宋体" w:hAnsi="宋体"/>
          <w:b/>
          <w:bCs/>
          <w:sz w:val="32"/>
          <w:szCs w:val="32"/>
          <w:highlight w:val="none"/>
        </w:rPr>
      </w:pPr>
    </w:p>
    <w:p w14:paraId="5D48D097">
      <w:pPr>
        <w:adjustRightInd w:val="0"/>
        <w:snapToGrid w:val="0"/>
        <w:spacing w:line="360" w:lineRule="auto"/>
        <w:ind w:left="1955" w:hanging="1955" w:hangingChars="541"/>
        <w:jc w:val="center"/>
        <w:rPr>
          <w:rFonts w:ascii="宋体" w:hAnsi="宋体"/>
          <w:b/>
          <w:bCs/>
          <w:sz w:val="36"/>
          <w:szCs w:val="36"/>
          <w:highlight w:val="none"/>
        </w:rPr>
      </w:pPr>
      <w:r>
        <w:rPr>
          <w:rFonts w:hint="eastAsia" w:ascii="宋体" w:hAnsi="宋体"/>
          <w:b/>
          <w:bCs/>
          <w:sz w:val="36"/>
          <w:szCs w:val="36"/>
          <w:highlight w:val="none"/>
        </w:rPr>
        <w:t>（电子投标、不见面开标方式）</w:t>
      </w:r>
    </w:p>
    <w:p w14:paraId="0C1CB07B">
      <w:pPr>
        <w:adjustRightInd w:val="0"/>
        <w:snapToGrid w:val="0"/>
        <w:rPr>
          <w:rFonts w:ascii="黑体" w:hAnsi="黑体" w:eastAsia="黑体"/>
          <w:b/>
          <w:bCs/>
          <w:sz w:val="28"/>
          <w:szCs w:val="28"/>
          <w:highlight w:val="none"/>
        </w:rPr>
      </w:pPr>
    </w:p>
    <w:p w14:paraId="07BB166C">
      <w:pPr>
        <w:adjustRightInd w:val="0"/>
        <w:snapToGrid w:val="0"/>
        <w:spacing w:line="360" w:lineRule="auto"/>
        <w:rPr>
          <w:rFonts w:ascii="宋体" w:hAnsi="宋体"/>
          <w:b/>
          <w:bCs/>
          <w:sz w:val="28"/>
          <w:szCs w:val="28"/>
          <w:highlight w:val="none"/>
        </w:rPr>
      </w:pPr>
      <w:r>
        <w:rPr>
          <w:rFonts w:hint="eastAsia" w:ascii="宋体" w:hAnsi="宋体"/>
          <w:b/>
          <w:bCs/>
          <w:sz w:val="28"/>
          <w:szCs w:val="28"/>
          <w:highlight w:val="none"/>
        </w:rPr>
        <w:t xml:space="preserve">项目名称：临海市供水有限公司为民水厂增产扩能项目 </w:t>
      </w:r>
    </w:p>
    <w:p w14:paraId="691A2C62">
      <w:pPr>
        <w:adjustRightInd w:val="0"/>
        <w:snapToGrid w:val="0"/>
        <w:spacing w:line="360" w:lineRule="auto"/>
        <w:rPr>
          <w:rFonts w:ascii="宋体" w:hAnsi="宋体" w:cs="Arial"/>
          <w:bCs/>
          <w:sz w:val="28"/>
          <w:szCs w:val="28"/>
          <w:highlight w:val="none"/>
        </w:rPr>
      </w:pPr>
      <w:r>
        <w:rPr>
          <w:rFonts w:hint="eastAsia" w:ascii="宋体" w:hAnsi="宋体"/>
          <w:b/>
          <w:bCs/>
          <w:sz w:val="28"/>
          <w:szCs w:val="28"/>
          <w:highlight w:val="none"/>
        </w:rPr>
        <w:t>项目编号：LHGTJZ-2026002</w:t>
      </w:r>
    </w:p>
    <w:p w14:paraId="022FBEBA">
      <w:pPr>
        <w:rPr>
          <w:rFonts w:ascii="宋体" w:hAnsi="宋体"/>
          <w:sz w:val="24"/>
          <w:highlight w:val="none"/>
        </w:rPr>
      </w:pPr>
    </w:p>
    <w:p w14:paraId="10D32528">
      <w:pPr>
        <w:rPr>
          <w:rFonts w:ascii="宋体" w:hAnsi="宋体"/>
          <w:sz w:val="24"/>
          <w:highlight w:val="none"/>
        </w:rPr>
      </w:pPr>
    </w:p>
    <w:p w14:paraId="5D868150">
      <w:pPr>
        <w:rPr>
          <w:rFonts w:ascii="宋体" w:hAnsi="宋体"/>
          <w:sz w:val="24"/>
          <w:highlight w:val="none"/>
        </w:rPr>
      </w:pPr>
    </w:p>
    <w:p w14:paraId="0BCD96D8">
      <w:pPr>
        <w:adjustRightInd w:val="0"/>
        <w:snapToGrid w:val="0"/>
        <w:spacing w:line="360" w:lineRule="auto"/>
        <w:rPr>
          <w:rFonts w:ascii="宋体" w:hAnsi="宋体"/>
          <w:b/>
          <w:bCs/>
          <w:sz w:val="28"/>
          <w:szCs w:val="28"/>
          <w:highlight w:val="none"/>
        </w:rPr>
      </w:pPr>
    </w:p>
    <w:p w14:paraId="5BB1E086">
      <w:pPr>
        <w:adjustRightInd w:val="0"/>
        <w:snapToGrid w:val="0"/>
        <w:spacing w:line="360" w:lineRule="auto"/>
        <w:rPr>
          <w:rFonts w:ascii="宋体" w:hAnsi="宋体"/>
          <w:b/>
          <w:bCs/>
          <w:sz w:val="28"/>
          <w:szCs w:val="28"/>
          <w:highlight w:val="none"/>
          <w:u w:val="single"/>
        </w:rPr>
      </w:pPr>
      <w:r>
        <w:rPr>
          <w:rFonts w:hint="eastAsia" w:ascii="宋体" w:hAnsi="宋体"/>
          <w:b/>
          <w:bCs/>
          <w:sz w:val="28"/>
          <w:szCs w:val="28"/>
          <w:highlight w:val="none"/>
        </w:rPr>
        <w:t>招 标 人：临海市供水有限公司</w:t>
      </w:r>
    </w:p>
    <w:p w14:paraId="3E0198E0">
      <w:pPr>
        <w:adjustRightInd w:val="0"/>
        <w:snapToGrid w:val="0"/>
        <w:spacing w:line="360" w:lineRule="auto"/>
        <w:rPr>
          <w:rFonts w:hAnsi="宋体"/>
          <w:b/>
          <w:bCs/>
          <w:sz w:val="28"/>
          <w:highlight w:val="none"/>
        </w:rPr>
      </w:pPr>
      <w:r>
        <w:rPr>
          <w:rFonts w:hAnsi="宋体"/>
          <w:b/>
          <w:bCs/>
          <w:sz w:val="28"/>
          <w:highlight w:val="none"/>
        </w:rPr>
        <w:t>联 系 人：</w:t>
      </w:r>
      <w:r>
        <w:rPr>
          <w:rFonts w:hint="eastAsia" w:hAnsi="宋体"/>
          <w:b/>
          <w:bCs/>
          <w:sz w:val="28"/>
          <w:highlight w:val="none"/>
        </w:rPr>
        <w:t xml:space="preserve">罗先生        </w:t>
      </w:r>
      <w:r>
        <w:rPr>
          <w:rFonts w:hAnsi="宋体"/>
          <w:b/>
          <w:bCs/>
          <w:sz w:val="28"/>
          <w:highlight w:val="none"/>
        </w:rPr>
        <w:t>联系电话</w:t>
      </w:r>
      <w:r>
        <w:rPr>
          <w:rFonts w:hint="eastAsia" w:ascii="宋体" w:hAnsi="宋体" w:cs="宋体"/>
          <w:b/>
          <w:bCs/>
          <w:sz w:val="28"/>
          <w:highlight w:val="none"/>
        </w:rPr>
        <w:t xml:space="preserve">：13665791030 </w:t>
      </w:r>
      <w:r>
        <w:rPr>
          <w:rFonts w:hint="eastAsia" w:hAnsi="宋体"/>
          <w:b/>
          <w:bCs/>
          <w:sz w:val="28"/>
          <w:highlight w:val="none"/>
        </w:rPr>
        <w:t xml:space="preserve"> </w:t>
      </w:r>
    </w:p>
    <w:p w14:paraId="1E7C08AE">
      <w:pPr>
        <w:adjustRightInd w:val="0"/>
        <w:snapToGrid w:val="0"/>
        <w:spacing w:line="360" w:lineRule="auto"/>
        <w:rPr>
          <w:rFonts w:ascii="宋体" w:hAnsi="宋体"/>
          <w:b/>
          <w:bCs/>
          <w:sz w:val="28"/>
          <w:szCs w:val="28"/>
          <w:highlight w:val="none"/>
        </w:rPr>
      </w:pPr>
    </w:p>
    <w:p w14:paraId="153236A9">
      <w:pPr>
        <w:pStyle w:val="264"/>
        <w:rPr>
          <w:color w:val="auto"/>
          <w:highlight w:val="none"/>
        </w:rPr>
      </w:pPr>
    </w:p>
    <w:p w14:paraId="3E4A2E19">
      <w:pPr>
        <w:pStyle w:val="264"/>
        <w:rPr>
          <w:color w:val="auto"/>
          <w:highlight w:val="none"/>
        </w:rPr>
      </w:pPr>
    </w:p>
    <w:p w14:paraId="6C1BC44E">
      <w:pPr>
        <w:pStyle w:val="264"/>
        <w:rPr>
          <w:color w:val="auto"/>
          <w:highlight w:val="none"/>
        </w:rPr>
      </w:pPr>
    </w:p>
    <w:p w14:paraId="2882D24A">
      <w:pPr>
        <w:adjustRightInd w:val="0"/>
        <w:snapToGrid w:val="0"/>
        <w:spacing w:line="360" w:lineRule="auto"/>
        <w:rPr>
          <w:rFonts w:ascii="宋体" w:hAnsi="宋体"/>
          <w:b/>
          <w:bCs/>
          <w:sz w:val="28"/>
          <w:szCs w:val="28"/>
          <w:highlight w:val="none"/>
        </w:rPr>
      </w:pPr>
      <w:r>
        <w:rPr>
          <w:rFonts w:hint="eastAsia" w:ascii="宋体" w:hAnsi="宋体"/>
          <w:b/>
          <w:bCs/>
          <w:sz w:val="28"/>
          <w:szCs w:val="28"/>
          <w:highlight w:val="none"/>
        </w:rPr>
        <w:t>代理机构：临海市工投建设咨询有限公司</w:t>
      </w:r>
    </w:p>
    <w:p w14:paraId="30482694">
      <w:pPr>
        <w:adjustRightInd w:val="0"/>
        <w:snapToGrid w:val="0"/>
        <w:spacing w:line="360" w:lineRule="auto"/>
        <w:rPr>
          <w:rFonts w:hAnsi="宋体"/>
          <w:b/>
          <w:bCs/>
          <w:sz w:val="30"/>
          <w:szCs w:val="30"/>
          <w:highlight w:val="none"/>
        </w:rPr>
      </w:pPr>
      <w:r>
        <w:rPr>
          <w:rFonts w:hint="eastAsia" w:hAnsi="宋体"/>
          <w:b/>
          <w:bCs/>
          <w:sz w:val="28"/>
          <w:highlight w:val="none"/>
        </w:rPr>
        <w:t>联 系 人</w:t>
      </w:r>
      <w:r>
        <w:rPr>
          <w:rFonts w:hAnsi="宋体"/>
          <w:b/>
          <w:bCs/>
          <w:sz w:val="28"/>
          <w:highlight w:val="none"/>
        </w:rPr>
        <w:t>：</w:t>
      </w:r>
      <w:r>
        <w:rPr>
          <w:rFonts w:hint="eastAsia" w:hAnsi="宋体"/>
          <w:b/>
          <w:bCs/>
          <w:sz w:val="28"/>
          <w:highlight w:val="none"/>
        </w:rPr>
        <w:t xml:space="preserve">周先生   </w:t>
      </w:r>
      <w:r>
        <w:rPr>
          <w:rFonts w:hAnsi="宋体"/>
          <w:b/>
          <w:bCs/>
          <w:sz w:val="28"/>
          <w:highlight w:val="none"/>
        </w:rPr>
        <w:t xml:space="preserve">  </w:t>
      </w:r>
      <w:r>
        <w:rPr>
          <w:rFonts w:hint="eastAsia" w:hAnsi="宋体"/>
          <w:b/>
          <w:bCs/>
          <w:sz w:val="28"/>
          <w:highlight w:val="none"/>
        </w:rPr>
        <w:t xml:space="preserve">   </w:t>
      </w:r>
      <w:r>
        <w:rPr>
          <w:rFonts w:hAnsi="宋体"/>
          <w:b/>
          <w:bCs/>
          <w:sz w:val="28"/>
          <w:highlight w:val="none"/>
        </w:rPr>
        <w:t>联系电话：</w:t>
      </w:r>
      <w:r>
        <w:rPr>
          <w:rFonts w:hint="eastAsia" w:ascii="宋体" w:hAnsi="宋体" w:cs="宋体"/>
          <w:b/>
          <w:bCs/>
          <w:sz w:val="28"/>
          <w:highlight w:val="none"/>
        </w:rPr>
        <w:t>15990682515</w:t>
      </w:r>
    </w:p>
    <w:p w14:paraId="46D9AAAF">
      <w:pPr>
        <w:pStyle w:val="27"/>
        <w:ind w:left="0" w:leftChars="0"/>
        <w:rPr>
          <w:highlight w:val="none"/>
        </w:rPr>
      </w:pPr>
    </w:p>
    <w:p w14:paraId="30FE2ADE">
      <w:pPr>
        <w:spacing w:line="500" w:lineRule="atLeast"/>
        <w:jc w:val="center"/>
        <w:rPr>
          <w:rFonts w:ascii="宋体" w:hAnsi="宋体"/>
          <w:b/>
          <w:bCs/>
          <w:sz w:val="30"/>
          <w:highlight w:val="none"/>
        </w:rPr>
      </w:pPr>
    </w:p>
    <w:p w14:paraId="0EE9B53F">
      <w:pPr>
        <w:pStyle w:val="21"/>
        <w:rPr>
          <w:highlight w:val="none"/>
        </w:rPr>
      </w:pPr>
    </w:p>
    <w:p w14:paraId="08A883B2">
      <w:pPr>
        <w:spacing w:line="500" w:lineRule="atLeast"/>
        <w:rPr>
          <w:rFonts w:ascii="宋体" w:hAnsi="宋体"/>
          <w:b/>
          <w:bCs/>
          <w:sz w:val="30"/>
          <w:highlight w:val="none"/>
        </w:rPr>
      </w:pPr>
    </w:p>
    <w:p w14:paraId="4D1EE985">
      <w:pPr>
        <w:jc w:val="center"/>
        <w:rPr>
          <w:highlight w:val="none"/>
        </w:rPr>
      </w:pPr>
      <w:r>
        <w:rPr>
          <w:rFonts w:hint="eastAsia" w:ascii="宋体" w:hAnsi="宋体"/>
          <w:b/>
          <w:bCs/>
          <w:sz w:val="28"/>
          <w:szCs w:val="28"/>
          <w:highlight w:val="none"/>
        </w:rPr>
        <w:t>二0二六年</w:t>
      </w:r>
      <w:r>
        <w:rPr>
          <w:rFonts w:hint="eastAsia" w:ascii="宋体" w:hAnsi="宋体"/>
          <w:b/>
          <w:bCs/>
          <w:sz w:val="28"/>
          <w:szCs w:val="28"/>
          <w:highlight w:val="none"/>
          <w:lang w:val="en-US" w:eastAsia="zh-CN"/>
        </w:rPr>
        <w:t>四</w:t>
      </w:r>
      <w:r>
        <w:rPr>
          <w:rFonts w:hint="eastAsia" w:ascii="宋体" w:hAnsi="宋体"/>
          <w:b/>
          <w:bCs/>
          <w:sz w:val="28"/>
          <w:szCs w:val="28"/>
          <w:highlight w:val="none"/>
        </w:rPr>
        <w:t xml:space="preserve">月 </w:t>
      </w:r>
    </w:p>
    <w:p w14:paraId="4FCEA253">
      <w:pPr>
        <w:pStyle w:val="30"/>
        <w:pageBreakBefore/>
        <w:spacing w:beforeLines="0" w:afterLines="0" w:line="360" w:lineRule="auto"/>
        <w:jc w:val="center"/>
        <w:rPr>
          <w:rFonts w:asciiTheme="minorEastAsia" w:hAnsiTheme="minorEastAsia" w:eastAsiaTheme="minorEastAsia" w:cstheme="minorEastAsia"/>
          <w:sz w:val="44"/>
          <w:szCs w:val="44"/>
          <w:highlight w:val="none"/>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p>
    <w:p w14:paraId="1D539575">
      <w:pPr>
        <w:pStyle w:val="30"/>
        <w:pageBreakBefore/>
        <w:spacing w:beforeLines="0" w:afterLines="0" w:line="360" w:lineRule="auto"/>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sz w:val="44"/>
          <w:szCs w:val="44"/>
          <w:highlight w:val="none"/>
        </w:rPr>
        <w:t>目    录</w:t>
      </w:r>
    </w:p>
    <w:p w14:paraId="612ACB17">
      <w:pPr>
        <w:pStyle w:val="38"/>
        <w:tabs>
          <w:tab w:val="left" w:pos="6120"/>
        </w:tabs>
        <w:spacing w:line="440" w:lineRule="exact"/>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ab/>
      </w:r>
    </w:p>
    <w:p w14:paraId="6F2EA2D4">
      <w:pPr>
        <w:pStyle w:val="38"/>
        <w:tabs>
          <w:tab w:val="right" w:leader="dot" w:pos="8730"/>
        </w:tabs>
        <w:spacing w:line="440" w:lineRule="exact"/>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"_Toc23374" </w:instrText>
      </w:r>
      <w:r>
        <w:rPr>
          <w:highlight w:val="none"/>
        </w:rPr>
        <w:fldChar w:fldCharType="separate"/>
      </w:r>
      <w:r>
        <w:rPr>
          <w:rFonts w:hint="eastAsia" w:ascii="宋体" w:hAnsi="宋体" w:cs="宋体"/>
          <w:sz w:val="24"/>
          <w:highlight w:val="none"/>
        </w:rPr>
        <w:t>第一章  公开招标公告</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_Toc23374 \h </w:instrText>
      </w:r>
      <w:r>
        <w:rPr>
          <w:rFonts w:hint="eastAsia" w:ascii="宋体" w:hAnsi="宋体" w:cs="宋体"/>
          <w:sz w:val="24"/>
          <w:highlight w:val="none"/>
        </w:rPr>
        <w:fldChar w:fldCharType="separate"/>
      </w:r>
      <w:r>
        <w:rPr>
          <w:rFonts w:hint="eastAsia" w:ascii="宋体" w:hAnsi="宋体" w:cs="宋体"/>
          <w:sz w:val="24"/>
          <w:highlight w:val="none"/>
        </w:rPr>
        <w:t>1</w:t>
      </w:r>
      <w:r>
        <w:rPr>
          <w:rFonts w:hint="eastAsia" w:ascii="宋体" w:hAnsi="宋体" w:cs="宋体"/>
          <w:sz w:val="24"/>
          <w:highlight w:val="none"/>
        </w:rPr>
        <w:fldChar w:fldCharType="end"/>
      </w:r>
      <w:r>
        <w:rPr>
          <w:rFonts w:hint="eastAsia" w:ascii="宋体" w:hAnsi="宋体" w:cs="宋体"/>
          <w:sz w:val="24"/>
          <w:highlight w:val="none"/>
        </w:rPr>
        <w:fldChar w:fldCharType="end"/>
      </w:r>
    </w:p>
    <w:p w14:paraId="2DE14894">
      <w:pPr>
        <w:pStyle w:val="38"/>
        <w:tabs>
          <w:tab w:val="right" w:leader="dot" w:pos="8730"/>
        </w:tabs>
        <w:spacing w:line="440" w:lineRule="exact"/>
        <w:rPr>
          <w:rFonts w:ascii="宋体" w:hAnsi="宋体" w:cs="宋体"/>
          <w:sz w:val="24"/>
          <w:highlight w:val="none"/>
        </w:rPr>
      </w:pPr>
      <w:r>
        <w:rPr>
          <w:highlight w:val="none"/>
        </w:rPr>
        <w:fldChar w:fldCharType="begin"/>
      </w:r>
      <w:r>
        <w:rPr>
          <w:highlight w:val="none"/>
        </w:rPr>
        <w:instrText xml:space="preserve"> HYPERLINK \l "_Toc13273" </w:instrText>
      </w:r>
      <w:r>
        <w:rPr>
          <w:highlight w:val="none"/>
        </w:rPr>
        <w:fldChar w:fldCharType="separate"/>
      </w:r>
      <w:r>
        <w:rPr>
          <w:rFonts w:hint="eastAsia" w:ascii="宋体" w:hAnsi="宋体" w:cs="宋体"/>
          <w:sz w:val="24"/>
          <w:highlight w:val="none"/>
        </w:rPr>
        <w:t>第二章  招标需求</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_Toc13273 \h </w:instrText>
      </w:r>
      <w:r>
        <w:rPr>
          <w:rFonts w:hint="eastAsia" w:ascii="宋体" w:hAnsi="宋体" w:cs="宋体"/>
          <w:sz w:val="24"/>
          <w:highlight w:val="none"/>
        </w:rPr>
        <w:fldChar w:fldCharType="separate"/>
      </w:r>
      <w:r>
        <w:rPr>
          <w:rFonts w:hint="eastAsia" w:ascii="宋体" w:hAnsi="宋体" w:cs="宋体"/>
          <w:sz w:val="24"/>
          <w:highlight w:val="none"/>
        </w:rPr>
        <w:t>4</w:t>
      </w:r>
      <w:r>
        <w:rPr>
          <w:rFonts w:hint="eastAsia" w:ascii="宋体" w:hAnsi="宋体" w:cs="宋体"/>
          <w:sz w:val="24"/>
          <w:highlight w:val="none"/>
        </w:rPr>
        <w:fldChar w:fldCharType="end"/>
      </w:r>
      <w:r>
        <w:rPr>
          <w:rFonts w:hint="eastAsia" w:ascii="宋体" w:hAnsi="宋体" w:cs="宋体"/>
          <w:sz w:val="24"/>
          <w:highlight w:val="none"/>
        </w:rPr>
        <w:fldChar w:fldCharType="end"/>
      </w:r>
    </w:p>
    <w:p w14:paraId="0EFCB4E6">
      <w:pPr>
        <w:pStyle w:val="38"/>
        <w:tabs>
          <w:tab w:val="right" w:leader="dot" w:pos="8730"/>
        </w:tabs>
        <w:spacing w:line="440" w:lineRule="exact"/>
        <w:rPr>
          <w:rFonts w:ascii="宋体" w:hAnsi="宋体" w:cs="宋体"/>
          <w:sz w:val="24"/>
          <w:highlight w:val="none"/>
        </w:rPr>
      </w:pPr>
      <w:r>
        <w:rPr>
          <w:highlight w:val="none"/>
        </w:rPr>
        <w:fldChar w:fldCharType="begin"/>
      </w:r>
      <w:r>
        <w:rPr>
          <w:highlight w:val="none"/>
        </w:rPr>
        <w:instrText xml:space="preserve"> HYPERLINK \l "_Toc7557" </w:instrText>
      </w:r>
      <w:r>
        <w:rPr>
          <w:highlight w:val="none"/>
        </w:rPr>
        <w:fldChar w:fldCharType="separate"/>
      </w:r>
      <w:r>
        <w:rPr>
          <w:rFonts w:hint="eastAsia" w:ascii="宋体" w:hAnsi="宋体" w:cs="宋体"/>
          <w:sz w:val="24"/>
          <w:highlight w:val="none"/>
        </w:rPr>
        <w:t>第三章  投标人须知</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_Toc7557 \h </w:instrText>
      </w:r>
      <w:r>
        <w:rPr>
          <w:rFonts w:hint="eastAsia" w:ascii="宋体" w:hAnsi="宋体" w:cs="宋体"/>
          <w:sz w:val="24"/>
          <w:highlight w:val="none"/>
        </w:rPr>
        <w:fldChar w:fldCharType="separate"/>
      </w:r>
      <w:r>
        <w:rPr>
          <w:rFonts w:hint="eastAsia" w:ascii="宋体" w:hAnsi="宋体" w:cs="宋体"/>
          <w:sz w:val="24"/>
          <w:highlight w:val="none"/>
        </w:rPr>
        <w:t>27</w:t>
      </w:r>
      <w:r>
        <w:rPr>
          <w:rFonts w:hint="eastAsia" w:ascii="宋体" w:hAnsi="宋体" w:cs="宋体"/>
          <w:sz w:val="24"/>
          <w:highlight w:val="none"/>
        </w:rPr>
        <w:fldChar w:fldCharType="end"/>
      </w:r>
      <w:r>
        <w:rPr>
          <w:rFonts w:hint="eastAsia" w:ascii="宋体" w:hAnsi="宋体" w:cs="宋体"/>
          <w:sz w:val="24"/>
          <w:highlight w:val="none"/>
        </w:rPr>
        <w:fldChar w:fldCharType="end"/>
      </w:r>
    </w:p>
    <w:p w14:paraId="281A638B">
      <w:pPr>
        <w:pStyle w:val="38"/>
        <w:tabs>
          <w:tab w:val="right" w:leader="dot" w:pos="8730"/>
        </w:tabs>
        <w:spacing w:line="440" w:lineRule="exact"/>
        <w:rPr>
          <w:rFonts w:ascii="宋体" w:hAnsi="宋体" w:cs="宋体"/>
          <w:sz w:val="24"/>
          <w:highlight w:val="none"/>
        </w:rPr>
      </w:pPr>
      <w:r>
        <w:rPr>
          <w:highlight w:val="none"/>
        </w:rPr>
        <w:fldChar w:fldCharType="begin"/>
      </w:r>
      <w:r>
        <w:rPr>
          <w:highlight w:val="none"/>
        </w:rPr>
        <w:instrText xml:space="preserve"> HYPERLINK \l "_Toc5591" </w:instrText>
      </w:r>
      <w:r>
        <w:rPr>
          <w:highlight w:val="none"/>
        </w:rPr>
        <w:fldChar w:fldCharType="separate"/>
      </w:r>
      <w:r>
        <w:rPr>
          <w:rFonts w:hint="eastAsia" w:ascii="宋体" w:hAnsi="宋体" w:cs="宋体"/>
          <w:sz w:val="24"/>
          <w:highlight w:val="none"/>
        </w:rPr>
        <w:t>第四章  评标办法及评分标准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_Toc5591 \h </w:instrText>
      </w:r>
      <w:r>
        <w:rPr>
          <w:rFonts w:hint="eastAsia" w:ascii="宋体" w:hAnsi="宋体" w:cs="宋体"/>
          <w:sz w:val="24"/>
          <w:highlight w:val="none"/>
        </w:rPr>
        <w:fldChar w:fldCharType="separate"/>
      </w:r>
      <w:r>
        <w:rPr>
          <w:rFonts w:hint="eastAsia" w:ascii="宋体" w:hAnsi="宋体" w:cs="宋体"/>
          <w:sz w:val="24"/>
          <w:highlight w:val="none"/>
        </w:rPr>
        <w:t>41</w:t>
      </w:r>
      <w:r>
        <w:rPr>
          <w:rFonts w:hint="eastAsia" w:ascii="宋体" w:hAnsi="宋体" w:cs="宋体"/>
          <w:sz w:val="24"/>
          <w:highlight w:val="none"/>
        </w:rPr>
        <w:fldChar w:fldCharType="end"/>
      </w:r>
      <w:r>
        <w:rPr>
          <w:rFonts w:hint="eastAsia" w:ascii="宋体" w:hAnsi="宋体" w:cs="宋体"/>
          <w:sz w:val="24"/>
          <w:highlight w:val="none"/>
        </w:rPr>
        <w:fldChar w:fldCharType="end"/>
      </w:r>
    </w:p>
    <w:p w14:paraId="65556525">
      <w:pPr>
        <w:pStyle w:val="38"/>
        <w:tabs>
          <w:tab w:val="right" w:leader="dot" w:pos="8730"/>
        </w:tabs>
        <w:spacing w:line="440" w:lineRule="exact"/>
        <w:rPr>
          <w:rFonts w:ascii="宋体" w:hAnsi="宋体" w:cs="宋体"/>
          <w:sz w:val="24"/>
          <w:highlight w:val="none"/>
        </w:rPr>
      </w:pPr>
      <w:r>
        <w:rPr>
          <w:highlight w:val="none"/>
        </w:rPr>
        <w:fldChar w:fldCharType="begin"/>
      </w:r>
      <w:r>
        <w:rPr>
          <w:highlight w:val="none"/>
        </w:rPr>
        <w:instrText xml:space="preserve"> HYPERLINK \l "_Toc30155" </w:instrText>
      </w:r>
      <w:r>
        <w:rPr>
          <w:highlight w:val="none"/>
        </w:rPr>
        <w:fldChar w:fldCharType="separate"/>
      </w:r>
      <w:r>
        <w:rPr>
          <w:rFonts w:hint="eastAsia" w:ascii="宋体" w:hAnsi="宋体" w:cs="宋体"/>
          <w:sz w:val="24"/>
          <w:highlight w:val="none"/>
        </w:rPr>
        <w:t>第五章  合同主要条款</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_Toc30155 \h </w:instrText>
      </w:r>
      <w:r>
        <w:rPr>
          <w:rFonts w:hint="eastAsia" w:ascii="宋体" w:hAnsi="宋体" w:cs="宋体"/>
          <w:sz w:val="24"/>
          <w:highlight w:val="none"/>
        </w:rPr>
        <w:fldChar w:fldCharType="separate"/>
      </w:r>
      <w:r>
        <w:rPr>
          <w:rFonts w:hint="eastAsia" w:ascii="宋体" w:hAnsi="宋体" w:cs="宋体"/>
          <w:sz w:val="24"/>
          <w:highlight w:val="none"/>
        </w:rPr>
        <w:t>47</w:t>
      </w:r>
      <w:r>
        <w:rPr>
          <w:rFonts w:hint="eastAsia" w:ascii="宋体" w:hAnsi="宋体" w:cs="宋体"/>
          <w:sz w:val="24"/>
          <w:highlight w:val="none"/>
        </w:rPr>
        <w:fldChar w:fldCharType="end"/>
      </w:r>
      <w:r>
        <w:rPr>
          <w:rFonts w:hint="eastAsia" w:ascii="宋体" w:hAnsi="宋体" w:cs="宋体"/>
          <w:sz w:val="24"/>
          <w:highlight w:val="none"/>
        </w:rPr>
        <w:fldChar w:fldCharType="end"/>
      </w:r>
    </w:p>
    <w:p w14:paraId="4845A9B9">
      <w:pPr>
        <w:pStyle w:val="38"/>
        <w:tabs>
          <w:tab w:val="right" w:leader="dot" w:pos="8730"/>
        </w:tabs>
        <w:spacing w:line="440" w:lineRule="exact"/>
        <w:rPr>
          <w:rFonts w:ascii="宋体" w:hAnsi="宋体" w:cs="宋体"/>
          <w:sz w:val="24"/>
          <w:highlight w:val="none"/>
        </w:rPr>
      </w:pPr>
      <w:r>
        <w:rPr>
          <w:highlight w:val="none"/>
        </w:rPr>
        <w:fldChar w:fldCharType="begin"/>
      </w:r>
      <w:r>
        <w:rPr>
          <w:highlight w:val="none"/>
        </w:rPr>
        <w:instrText xml:space="preserve"> HYPERLINK \l "_Toc22371" </w:instrText>
      </w:r>
      <w:r>
        <w:rPr>
          <w:highlight w:val="none"/>
        </w:rPr>
        <w:fldChar w:fldCharType="separate"/>
      </w:r>
      <w:r>
        <w:rPr>
          <w:rFonts w:hint="eastAsia" w:ascii="宋体" w:hAnsi="宋体" w:cs="宋体"/>
          <w:sz w:val="24"/>
          <w:highlight w:val="none"/>
        </w:rPr>
        <w:t>第六章  投标文件格式</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_Toc22371 \h </w:instrText>
      </w:r>
      <w:r>
        <w:rPr>
          <w:rFonts w:hint="eastAsia" w:ascii="宋体" w:hAnsi="宋体" w:cs="宋体"/>
          <w:sz w:val="24"/>
          <w:highlight w:val="none"/>
        </w:rPr>
        <w:fldChar w:fldCharType="separate"/>
      </w:r>
      <w:r>
        <w:rPr>
          <w:rFonts w:hint="eastAsia" w:ascii="宋体" w:hAnsi="宋体" w:cs="宋体"/>
          <w:sz w:val="24"/>
          <w:highlight w:val="none"/>
        </w:rPr>
        <w:t>57</w:t>
      </w:r>
      <w:r>
        <w:rPr>
          <w:rFonts w:hint="eastAsia" w:ascii="宋体" w:hAnsi="宋体" w:cs="宋体"/>
          <w:sz w:val="24"/>
          <w:highlight w:val="none"/>
        </w:rPr>
        <w:fldChar w:fldCharType="end"/>
      </w:r>
      <w:r>
        <w:rPr>
          <w:rFonts w:hint="eastAsia" w:ascii="宋体" w:hAnsi="宋体" w:cs="宋体"/>
          <w:sz w:val="24"/>
          <w:highlight w:val="none"/>
        </w:rPr>
        <w:fldChar w:fldCharType="end"/>
      </w:r>
    </w:p>
    <w:p w14:paraId="437ECCFA">
      <w:pPr>
        <w:spacing w:line="440" w:lineRule="exact"/>
        <w:rPr>
          <w:rFonts w:ascii="宋体" w:hAnsi="宋体" w:cs="宋体"/>
          <w:sz w:val="24"/>
          <w:highlight w:val="none"/>
        </w:rPr>
      </w:pPr>
      <w:r>
        <w:rPr>
          <w:rFonts w:hint="eastAsia" w:ascii="宋体" w:hAnsi="宋体" w:cs="宋体"/>
          <w:sz w:val="24"/>
          <w:highlight w:val="none"/>
        </w:rPr>
        <w:fldChar w:fldCharType="end"/>
      </w:r>
    </w:p>
    <w:p w14:paraId="310BD5F1">
      <w:pPr>
        <w:pStyle w:val="21"/>
        <w:rPr>
          <w:rFonts w:ascii="宋体" w:eastAsia="宋体" w:cs="宋体"/>
          <w:szCs w:val="24"/>
          <w:highlight w:val="none"/>
        </w:rPr>
      </w:pPr>
    </w:p>
    <w:p w14:paraId="34D1049B">
      <w:pPr>
        <w:pStyle w:val="44"/>
        <w:tabs>
          <w:tab w:val="right" w:leader="dot" w:pos="8730"/>
        </w:tabs>
        <w:spacing w:line="480" w:lineRule="auto"/>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TOC \o "1-3" \h \z \u </w:instrText>
      </w:r>
      <w:r>
        <w:rPr>
          <w:rFonts w:hint="eastAsia" w:ascii="宋体" w:hAnsi="宋体" w:cs="宋体"/>
          <w:sz w:val="24"/>
          <w:highlight w:val="none"/>
        </w:rPr>
        <w:fldChar w:fldCharType="separate"/>
      </w:r>
    </w:p>
    <w:p w14:paraId="260E48B1">
      <w:pPr>
        <w:pStyle w:val="38"/>
        <w:tabs>
          <w:tab w:val="center" w:pos="60"/>
        </w:tabs>
        <w:spacing w:line="480" w:lineRule="auto"/>
        <w:rPr>
          <w:rFonts w:asciiTheme="minorEastAsia" w:hAnsiTheme="minorEastAsia" w:eastAsiaTheme="minorEastAsia" w:cstheme="minorEastAsia"/>
          <w:b/>
          <w:sz w:val="28"/>
          <w:szCs w:val="28"/>
          <w:highlight w:val="none"/>
        </w:rPr>
      </w:pPr>
      <w:r>
        <w:rPr>
          <w:rFonts w:hint="eastAsia" w:ascii="宋体" w:hAnsi="宋体" w:cs="宋体"/>
          <w:sz w:val="24"/>
          <w:highlight w:val="none"/>
        </w:rPr>
        <w:fldChar w:fldCharType="end"/>
      </w:r>
      <w:r>
        <w:rPr>
          <w:rFonts w:hint="eastAsia" w:asciiTheme="minorEastAsia" w:hAnsiTheme="minorEastAsia" w:eastAsiaTheme="minorEastAsia" w:cstheme="minorEastAsia"/>
          <w:sz w:val="24"/>
          <w:highlight w:val="none"/>
        </w:rPr>
        <w:tab/>
      </w:r>
    </w:p>
    <w:p w14:paraId="5E3F56EA">
      <w:pPr>
        <w:pStyle w:val="30"/>
        <w:tabs>
          <w:tab w:val="left" w:pos="3813"/>
        </w:tabs>
        <w:snapToGrid w:val="0"/>
        <w:spacing w:beforeLines="0" w:afterLines="0" w:line="240" w:lineRule="auto"/>
        <w:jc w:val="left"/>
        <w:outlineLvl w:val="0"/>
        <w:rPr>
          <w:rFonts w:asciiTheme="minorEastAsia" w:hAnsiTheme="minorEastAsia" w:eastAsiaTheme="minorEastAsia" w:cstheme="minorEastAsia"/>
          <w:b/>
          <w:sz w:val="30"/>
          <w:szCs w:val="30"/>
          <w:highlight w:val="none"/>
        </w:rPr>
        <w:sectPr>
          <w:footerReference r:id="rId6" w:type="default"/>
          <w:pgSz w:w="11906" w:h="16838"/>
          <w:pgMar w:top="1021" w:right="1588" w:bottom="851" w:left="1588" w:header="567" w:footer="454" w:gutter="0"/>
          <w:pgNumType w:start="1"/>
          <w:cols w:space="720" w:num="1"/>
          <w:docGrid w:linePitch="286" w:charSpace="0"/>
        </w:sectPr>
      </w:pPr>
      <w:bookmarkStart w:id="0" w:name="_Toc25920"/>
      <w:bookmarkStart w:id="1" w:name="_Toc466534747"/>
      <w:r>
        <w:rPr>
          <w:rFonts w:hint="eastAsia" w:asciiTheme="minorEastAsia" w:hAnsiTheme="minorEastAsia" w:eastAsiaTheme="minorEastAsia" w:cstheme="minorEastAsia"/>
          <w:b/>
          <w:sz w:val="30"/>
          <w:szCs w:val="30"/>
          <w:highlight w:val="none"/>
        </w:rPr>
        <w:tab/>
      </w:r>
    </w:p>
    <w:p w14:paraId="42A82600">
      <w:pPr>
        <w:pStyle w:val="30"/>
        <w:snapToGrid w:val="0"/>
        <w:spacing w:beforeLines="0" w:afterLines="0" w:line="440" w:lineRule="exact"/>
        <w:jc w:val="center"/>
        <w:outlineLvl w:val="0"/>
        <w:rPr>
          <w:rFonts w:hAnsi="宋体" w:cs="宋体"/>
          <w:b/>
          <w:highlight w:val="none"/>
        </w:rPr>
      </w:pPr>
      <w:bookmarkStart w:id="2" w:name="_Toc6080"/>
      <w:bookmarkStart w:id="3" w:name="_Toc23374"/>
      <w:r>
        <w:rPr>
          <w:rFonts w:hint="eastAsia" w:hAnsi="宋体" w:cs="宋体"/>
          <w:b/>
          <w:highlight w:val="none"/>
        </w:rPr>
        <w:t xml:space="preserve">第一章  </w:t>
      </w:r>
      <w:bookmarkEnd w:id="0"/>
      <w:bookmarkEnd w:id="1"/>
      <w:r>
        <w:rPr>
          <w:rFonts w:hint="eastAsia" w:hAnsi="宋体" w:cs="宋体"/>
          <w:b/>
          <w:highlight w:val="none"/>
        </w:rPr>
        <w:t>公开招标公告</w:t>
      </w:r>
      <w:bookmarkEnd w:id="2"/>
      <w:bookmarkEnd w:id="3"/>
    </w:p>
    <w:p w14:paraId="201CB05A">
      <w:pPr>
        <w:spacing w:line="430" w:lineRule="exact"/>
        <w:ind w:firstLine="496" w:firstLineChars="200"/>
        <w:rPr>
          <w:rFonts w:ascii="宋体" w:hAnsi="宋体" w:cs="宋体"/>
          <w:sz w:val="24"/>
          <w:highlight w:val="none"/>
        </w:rPr>
      </w:pPr>
      <w:r>
        <w:rPr>
          <w:rFonts w:hint="eastAsia" w:ascii="宋体" w:hAnsi="宋体" w:cs="宋体"/>
          <w:spacing w:val="4"/>
          <w:sz w:val="24"/>
          <w:highlight w:val="none"/>
        </w:rPr>
        <w:t>本项目为非政府采购项目，根据招标投标有关法律法规及招标人单位内控制度等规定</w:t>
      </w:r>
      <w:r>
        <w:rPr>
          <w:rFonts w:hint="eastAsia" w:ascii="宋体" w:hAnsi="宋体" w:cs="宋体"/>
          <w:sz w:val="24"/>
          <w:highlight w:val="none"/>
        </w:rPr>
        <w:t>，受</w:t>
      </w:r>
      <w:r>
        <w:rPr>
          <w:rFonts w:hint="eastAsia" w:ascii="宋体" w:hAnsi="宋体" w:cs="宋体"/>
          <w:b/>
          <w:bCs/>
          <w:sz w:val="24"/>
          <w:highlight w:val="none"/>
          <w:u w:val="single"/>
        </w:rPr>
        <w:t>临海市供水有限公司</w:t>
      </w:r>
      <w:r>
        <w:rPr>
          <w:rFonts w:hint="eastAsia" w:ascii="宋体" w:hAnsi="宋体" w:cs="宋体"/>
          <w:sz w:val="24"/>
          <w:highlight w:val="none"/>
        </w:rPr>
        <w:t>委托，参照采购有关流程，现就</w:t>
      </w:r>
      <w:r>
        <w:rPr>
          <w:rFonts w:hint="eastAsia" w:ascii="宋体" w:hAnsi="宋体" w:cs="宋体"/>
          <w:b/>
          <w:bCs/>
          <w:sz w:val="24"/>
          <w:highlight w:val="none"/>
          <w:u w:val="single"/>
        </w:rPr>
        <w:t>临海市供水有限公司为民水厂增产扩能项目</w:t>
      </w:r>
      <w:r>
        <w:rPr>
          <w:rFonts w:hint="eastAsia" w:ascii="宋体" w:hAnsi="宋体" w:cs="宋体"/>
          <w:sz w:val="24"/>
          <w:highlight w:val="none"/>
        </w:rPr>
        <w:t>进行公开招标，</w:t>
      </w:r>
      <w:r>
        <w:rPr>
          <w:rFonts w:hint="eastAsia" w:ascii="宋体" w:hAnsi="宋体" w:cs="宋体"/>
          <w:kern w:val="0"/>
          <w:sz w:val="24"/>
          <w:highlight w:val="none"/>
        </w:rPr>
        <w:t>欢迎具备本项目投标人的资格要求且能够及时提供相关货物及服务的投标人前来投标。</w:t>
      </w:r>
    </w:p>
    <w:p w14:paraId="5E02A539">
      <w:pPr>
        <w:pStyle w:val="47"/>
        <w:spacing w:before="0" w:beforeAutospacing="0" w:after="0" w:afterAutospacing="0" w:line="430" w:lineRule="exact"/>
        <w:rPr>
          <w:rFonts w:cs="宋体"/>
          <w:highlight w:val="none"/>
        </w:rPr>
      </w:pPr>
      <w:r>
        <w:rPr>
          <w:rFonts w:hint="eastAsia" w:cs="宋体"/>
          <w:b/>
          <w:bCs/>
          <w:highlight w:val="none"/>
        </w:rPr>
        <w:t>1</w:t>
      </w:r>
      <w:r>
        <w:rPr>
          <w:rFonts w:hint="eastAsia" w:cs="宋体"/>
          <w:highlight w:val="none"/>
        </w:rPr>
        <w:t>.</w:t>
      </w:r>
      <w:r>
        <w:rPr>
          <w:rFonts w:hint="eastAsia" w:cs="宋体"/>
          <w:b/>
          <w:bCs/>
          <w:highlight w:val="none"/>
        </w:rPr>
        <w:t>项目概况</w:t>
      </w:r>
    </w:p>
    <w:p w14:paraId="31252062">
      <w:pPr>
        <w:pStyle w:val="47"/>
        <w:spacing w:before="0" w:beforeAutospacing="0" w:after="0" w:afterAutospacing="0" w:line="430" w:lineRule="exact"/>
        <w:rPr>
          <w:rFonts w:cs="宋体"/>
          <w:highlight w:val="none"/>
        </w:rPr>
      </w:pPr>
      <w:r>
        <w:rPr>
          <w:rFonts w:hint="eastAsia" w:cs="宋体"/>
          <w:highlight w:val="none"/>
        </w:rPr>
        <w:t>项目名称：临海市供水有限公司为民水厂增产扩能项目</w:t>
      </w:r>
    </w:p>
    <w:p w14:paraId="1B296CDD">
      <w:pPr>
        <w:pStyle w:val="47"/>
        <w:spacing w:before="0" w:beforeAutospacing="0" w:after="0" w:afterAutospacing="0" w:line="430" w:lineRule="exact"/>
        <w:rPr>
          <w:rFonts w:cs="宋体"/>
          <w:highlight w:val="none"/>
        </w:rPr>
      </w:pPr>
      <w:r>
        <w:rPr>
          <w:rFonts w:hint="eastAsia" w:cs="宋体"/>
          <w:highlight w:val="none"/>
        </w:rPr>
        <w:t>招标人：临海市供水有限公司</w:t>
      </w:r>
    </w:p>
    <w:p w14:paraId="5C482228">
      <w:pPr>
        <w:pStyle w:val="47"/>
        <w:spacing w:before="0" w:beforeAutospacing="0" w:after="0" w:afterAutospacing="0" w:line="430" w:lineRule="exact"/>
        <w:rPr>
          <w:rFonts w:cs="宋体"/>
          <w:highlight w:val="none"/>
        </w:rPr>
      </w:pPr>
      <w:r>
        <w:rPr>
          <w:rFonts w:hint="eastAsia" w:cs="宋体"/>
          <w:highlight w:val="none"/>
        </w:rPr>
        <w:t>采购规模及内容概述：临海市供水有限公司为民水厂增产扩能项目</w:t>
      </w:r>
      <w:r>
        <w:rPr>
          <w:rFonts w:hint="eastAsia" w:cs="宋体"/>
          <w:highlight w:val="none"/>
          <w:lang w:eastAsia="zh-CN"/>
        </w:rPr>
        <w:t>，设计规模5000t/d</w:t>
      </w:r>
      <w:r>
        <w:rPr>
          <w:rFonts w:hint="eastAsia" w:cs="宋体"/>
          <w:highlight w:val="none"/>
        </w:rPr>
        <w:t>。（详见第二章招标需求）。</w:t>
      </w:r>
    </w:p>
    <w:p w14:paraId="4FACA2F6">
      <w:pPr>
        <w:spacing w:line="430" w:lineRule="exact"/>
        <w:rPr>
          <w:rFonts w:ascii="宋体" w:hAnsi="宋体" w:cs="宋体"/>
          <w:kern w:val="0"/>
          <w:sz w:val="24"/>
          <w:highlight w:val="none"/>
        </w:rPr>
      </w:pPr>
      <w:r>
        <w:rPr>
          <w:rFonts w:hint="eastAsia" w:ascii="宋体" w:hAnsi="宋体" w:cs="宋体"/>
          <w:kern w:val="0"/>
          <w:sz w:val="24"/>
          <w:highlight w:val="none"/>
        </w:rPr>
        <w:t>采购预算及最高投标限价：</w:t>
      </w:r>
      <w:r>
        <w:rPr>
          <w:rFonts w:hint="eastAsia" w:ascii="宋体" w:hAnsi="宋体" w:cs="宋体"/>
          <w:kern w:val="0"/>
          <w:sz w:val="24"/>
          <w:highlight w:val="none"/>
          <w:lang w:val="en-US" w:eastAsia="zh-CN"/>
        </w:rPr>
        <w:t>3581292</w:t>
      </w:r>
      <w:r>
        <w:rPr>
          <w:rFonts w:hint="eastAsia" w:ascii="宋体" w:hAnsi="宋体" w:cs="宋体"/>
          <w:kern w:val="0"/>
          <w:sz w:val="24"/>
          <w:highlight w:val="none"/>
        </w:rPr>
        <w:t>元</w:t>
      </w:r>
    </w:p>
    <w:p w14:paraId="54AC674F">
      <w:pPr>
        <w:spacing w:line="430" w:lineRule="exact"/>
        <w:rPr>
          <w:rFonts w:ascii="宋体" w:hAnsi="宋体" w:cs="宋体"/>
          <w:kern w:val="0"/>
          <w:sz w:val="24"/>
          <w:highlight w:val="none"/>
        </w:rPr>
      </w:pPr>
      <w:r>
        <w:rPr>
          <w:rFonts w:hint="eastAsia" w:ascii="宋体" w:hAnsi="宋体" w:cs="宋体"/>
          <w:kern w:val="0"/>
          <w:sz w:val="24"/>
          <w:highlight w:val="none"/>
        </w:rPr>
        <w:t>采购组织类型：分散采购</w:t>
      </w:r>
      <w:r>
        <w:rPr>
          <w:rFonts w:hint="eastAsia" w:ascii="宋体" w:hAnsi="宋体" w:cs="宋体"/>
          <w:kern w:val="0"/>
          <w:sz w:val="24"/>
          <w:highlight w:val="none"/>
        </w:rPr>
        <w:tab/>
      </w:r>
    </w:p>
    <w:p w14:paraId="538CD169">
      <w:pPr>
        <w:pStyle w:val="47"/>
        <w:spacing w:before="0" w:beforeAutospacing="0" w:after="0" w:afterAutospacing="0" w:line="430" w:lineRule="exact"/>
        <w:rPr>
          <w:rFonts w:cs="宋体"/>
          <w:highlight w:val="none"/>
        </w:rPr>
      </w:pPr>
      <w:r>
        <w:rPr>
          <w:rFonts w:hint="eastAsia" w:cs="宋体"/>
          <w:highlight w:val="none"/>
        </w:rPr>
        <w:t>采购标段数：1</w:t>
      </w:r>
    </w:p>
    <w:p w14:paraId="6DAD6617">
      <w:pPr>
        <w:pStyle w:val="47"/>
        <w:spacing w:before="0" w:beforeAutospacing="0" w:after="0" w:afterAutospacing="0" w:line="430" w:lineRule="exact"/>
        <w:rPr>
          <w:rFonts w:cs="宋体"/>
          <w:highlight w:val="none"/>
        </w:rPr>
      </w:pPr>
      <w:r>
        <w:rPr>
          <w:rFonts w:hint="eastAsia" w:cs="宋体"/>
          <w:highlight w:val="none"/>
        </w:rPr>
        <w:t>采购方式：公开招标</w:t>
      </w:r>
    </w:p>
    <w:p w14:paraId="5CD3201F">
      <w:pPr>
        <w:pStyle w:val="47"/>
        <w:spacing w:before="0" w:beforeAutospacing="0" w:after="0" w:afterAutospacing="0" w:line="430" w:lineRule="exact"/>
        <w:rPr>
          <w:rFonts w:cs="宋体"/>
          <w:b/>
          <w:highlight w:val="none"/>
        </w:rPr>
      </w:pPr>
      <w:r>
        <w:rPr>
          <w:rFonts w:hint="eastAsia" w:cs="宋体"/>
          <w:b/>
          <w:bCs/>
          <w:highlight w:val="none"/>
        </w:rPr>
        <w:t>▲供货期</w:t>
      </w:r>
      <w:r>
        <w:rPr>
          <w:rFonts w:hint="eastAsia" w:cs="宋体"/>
          <w:b/>
          <w:highlight w:val="none"/>
        </w:rPr>
        <w:t>：</w:t>
      </w:r>
      <w:r>
        <w:rPr>
          <w:rFonts w:hint="eastAsia" w:cs="宋体"/>
          <w:bCs/>
          <w:highlight w:val="none"/>
        </w:rPr>
        <w:t>合同签订后180日历天内完成供货、安装并调试完成。</w:t>
      </w:r>
    </w:p>
    <w:p w14:paraId="57658001">
      <w:pPr>
        <w:pStyle w:val="47"/>
        <w:spacing w:before="0" w:beforeAutospacing="0" w:after="0" w:afterAutospacing="0" w:line="430" w:lineRule="exact"/>
        <w:rPr>
          <w:rFonts w:cs="宋体"/>
          <w:b/>
          <w:highlight w:val="none"/>
        </w:rPr>
      </w:pPr>
      <w:r>
        <w:rPr>
          <w:rFonts w:hint="eastAsia" w:cs="宋体"/>
          <w:b/>
          <w:highlight w:val="none"/>
        </w:rPr>
        <w:t>采购文件公告期限：5个工作日</w:t>
      </w:r>
    </w:p>
    <w:p w14:paraId="5EEBCE45">
      <w:pPr>
        <w:pStyle w:val="47"/>
        <w:spacing w:before="0" w:beforeAutospacing="0" w:after="0" w:afterAutospacing="0" w:line="430" w:lineRule="exact"/>
        <w:rPr>
          <w:rFonts w:cs="宋体"/>
          <w:highlight w:val="none"/>
        </w:rPr>
      </w:pPr>
      <w:r>
        <w:rPr>
          <w:rFonts w:hint="eastAsia" w:cs="宋体"/>
          <w:highlight w:val="none"/>
        </w:rPr>
        <w:t>该项目已具备条件，现对该项目进行公开招标。</w:t>
      </w:r>
    </w:p>
    <w:p w14:paraId="7C78D8AC">
      <w:pPr>
        <w:spacing w:line="430" w:lineRule="exact"/>
        <w:rPr>
          <w:rFonts w:ascii="宋体" w:hAnsi="宋体" w:cs="宋体"/>
          <w:b/>
          <w:bCs/>
          <w:kern w:val="0"/>
          <w:sz w:val="24"/>
          <w:highlight w:val="none"/>
        </w:rPr>
      </w:pPr>
      <w:r>
        <w:rPr>
          <w:rFonts w:hint="eastAsia" w:ascii="宋体" w:hAnsi="宋体" w:cs="宋体"/>
          <w:b/>
          <w:bCs/>
          <w:kern w:val="0"/>
          <w:sz w:val="24"/>
          <w:highlight w:val="none"/>
        </w:rPr>
        <w:t>2.投标人资格要求</w:t>
      </w:r>
    </w:p>
    <w:p w14:paraId="0AC41949">
      <w:pPr>
        <w:spacing w:line="430" w:lineRule="exact"/>
        <w:rPr>
          <w:rFonts w:ascii="宋体" w:hAnsi="宋体" w:cs="宋体"/>
          <w:kern w:val="0"/>
          <w:sz w:val="24"/>
          <w:highlight w:val="none"/>
        </w:rPr>
      </w:pPr>
      <w:r>
        <w:rPr>
          <w:rFonts w:hint="eastAsia" w:ascii="宋体" w:hAnsi="宋体" w:cs="宋体"/>
          <w:kern w:val="0"/>
          <w:sz w:val="24"/>
          <w:highlight w:val="none"/>
        </w:rPr>
        <w:t>（1）未被“信用中国”（www.creditchina.gov.cn）、中国政府采购网（www.ccgp.gov.cn）列入失信被执行人、重大税收违法案件当事人名单、政府采购严重违法失信行为记录名单；</w:t>
      </w:r>
    </w:p>
    <w:p w14:paraId="14E18A9A">
      <w:pPr>
        <w:spacing w:line="430" w:lineRule="exact"/>
        <w:rPr>
          <w:rFonts w:ascii="宋体" w:hAnsi="宋体" w:cs="宋体"/>
          <w:kern w:val="0"/>
          <w:sz w:val="24"/>
          <w:highlight w:val="none"/>
        </w:rPr>
      </w:pPr>
      <w:r>
        <w:rPr>
          <w:rFonts w:hint="eastAsia" w:ascii="宋体" w:hAnsi="宋体" w:cs="宋体"/>
          <w:kern w:val="0"/>
          <w:sz w:val="24"/>
          <w:highlight w:val="none"/>
        </w:rPr>
        <w:t>（2）</w:t>
      </w:r>
      <w:r>
        <w:rPr>
          <w:rFonts w:hint="eastAsia" w:ascii="宋体" w:hAnsi="宋体" w:eastAsia="宋体" w:cs="宋体"/>
          <w:kern w:val="0"/>
          <w:sz w:val="24"/>
          <w:szCs w:val="24"/>
          <w:highlight w:val="none"/>
        </w:rPr>
        <w:t>具有与本采购项目相适应的商品经营或服务能力的投标人；</w:t>
      </w:r>
    </w:p>
    <w:p w14:paraId="4CC18383">
      <w:pPr>
        <w:pStyle w:val="21"/>
        <w:spacing w:line="430" w:lineRule="exact"/>
        <w:rPr>
          <w:rFonts w:hint="eastAsia" w:ascii="宋体" w:eastAsia="宋体" w:cs="宋体"/>
          <w:b w:val="0"/>
          <w:bCs w:val="0"/>
          <w:szCs w:val="24"/>
          <w:highlight w:val="none"/>
          <w:lang w:eastAsia="zh-CN"/>
        </w:rPr>
      </w:pPr>
      <w:r>
        <w:rPr>
          <w:rFonts w:hint="eastAsia" w:ascii="宋体" w:eastAsia="宋体" w:cs="宋体"/>
          <w:b w:val="0"/>
          <w:bCs w:val="0"/>
          <w:szCs w:val="24"/>
          <w:highlight w:val="none"/>
        </w:rPr>
        <w:t>（3）业绩要求：投标人自2023年1月1日以来（以竣工验收资料上载明的时间为准）完成过单个合同规模2500吨/日及以上一体化净水装置的供货业绩</w:t>
      </w:r>
      <w:r>
        <w:rPr>
          <w:rFonts w:hint="eastAsia" w:ascii="宋体" w:eastAsia="宋体" w:cs="宋体"/>
          <w:b w:val="0"/>
          <w:bCs w:val="0"/>
          <w:szCs w:val="24"/>
          <w:highlight w:val="none"/>
          <w:lang w:eastAsia="zh-CN"/>
        </w:rPr>
        <w:t>；</w:t>
      </w:r>
    </w:p>
    <w:p w14:paraId="11064BDE">
      <w:pPr>
        <w:spacing w:line="430" w:lineRule="exact"/>
        <w:rPr>
          <w:rFonts w:ascii="宋体" w:hAnsi="宋体" w:cs="宋体"/>
          <w:kern w:val="0"/>
          <w:sz w:val="24"/>
          <w:highlight w:val="none"/>
        </w:rPr>
      </w:pPr>
      <w:r>
        <w:rPr>
          <w:rFonts w:hint="eastAsia" w:ascii="宋体" w:hAnsi="宋体" w:cs="宋体"/>
          <w:kern w:val="0"/>
          <w:sz w:val="24"/>
          <w:highlight w:val="none"/>
        </w:rPr>
        <w:t>（4）本项目</w:t>
      </w:r>
      <w:r>
        <w:rPr>
          <w:rFonts w:hint="eastAsia" w:ascii="宋体" w:hAnsi="宋体" w:cs="宋体"/>
          <w:kern w:val="0"/>
          <w:sz w:val="24"/>
          <w:highlight w:val="none"/>
          <w:lang w:val="en-US" w:eastAsia="zh-CN"/>
        </w:rPr>
        <w:t>不</w:t>
      </w:r>
      <w:r>
        <w:rPr>
          <w:rFonts w:hint="eastAsia" w:ascii="宋体" w:hAnsi="宋体" w:cs="宋体"/>
          <w:kern w:val="0"/>
          <w:sz w:val="24"/>
          <w:highlight w:val="none"/>
        </w:rPr>
        <w:t>接受联合体投标。</w:t>
      </w:r>
    </w:p>
    <w:p w14:paraId="387D1F45">
      <w:pPr>
        <w:spacing w:line="430" w:lineRule="exact"/>
        <w:rPr>
          <w:rFonts w:ascii="宋体" w:hAnsi="宋体" w:cs="宋体"/>
          <w:b/>
          <w:bCs/>
          <w:kern w:val="0"/>
          <w:sz w:val="24"/>
          <w:highlight w:val="none"/>
        </w:rPr>
      </w:pPr>
      <w:r>
        <w:rPr>
          <w:rFonts w:hint="eastAsia" w:ascii="宋体" w:hAnsi="宋体" w:cs="宋体"/>
          <w:b/>
          <w:bCs/>
          <w:kern w:val="0"/>
          <w:sz w:val="24"/>
          <w:highlight w:val="none"/>
        </w:rPr>
        <w:t>3.报名</w:t>
      </w:r>
    </w:p>
    <w:p w14:paraId="3A7C01B8">
      <w:pPr>
        <w:spacing w:line="430" w:lineRule="exact"/>
        <w:rPr>
          <w:rFonts w:ascii="宋体" w:hAnsi="宋体" w:cs="宋体"/>
          <w:b/>
          <w:bCs/>
          <w:kern w:val="0"/>
          <w:sz w:val="24"/>
          <w:highlight w:val="none"/>
          <w:u w:val="single"/>
        </w:rPr>
      </w:pPr>
      <w:r>
        <w:rPr>
          <w:rFonts w:hint="eastAsia" w:ascii="宋体" w:hAnsi="宋体" w:cs="宋体"/>
          <w:b/>
          <w:bCs/>
          <w:kern w:val="0"/>
          <w:sz w:val="24"/>
          <w:highlight w:val="none"/>
          <w:u w:val="single"/>
        </w:rPr>
        <w:t>本项目无需报名，</w:t>
      </w:r>
      <w:bookmarkStart w:id="4" w:name="_Hlk59307647"/>
      <w:r>
        <w:rPr>
          <w:rFonts w:hint="eastAsia" w:ascii="宋体" w:hAnsi="宋体" w:cs="宋体"/>
          <w:b/>
          <w:bCs/>
          <w:kern w:val="0"/>
          <w:sz w:val="24"/>
          <w:highlight w:val="none"/>
          <w:u w:val="single"/>
        </w:rPr>
        <w:t>投标人须到临海市限额以下公共资源交易区域平台</w:t>
      </w:r>
    </w:p>
    <w:p w14:paraId="7C3814F1">
      <w:pPr>
        <w:spacing w:line="430" w:lineRule="exact"/>
        <w:rPr>
          <w:rFonts w:ascii="宋体" w:hAnsi="宋体" w:cs="宋体"/>
          <w:b/>
          <w:bCs/>
          <w:kern w:val="0"/>
          <w:sz w:val="24"/>
          <w:highlight w:val="none"/>
          <w:u w:val="single"/>
        </w:rPr>
      </w:pPr>
      <w:r>
        <w:rPr>
          <w:rFonts w:hint="eastAsia" w:ascii="宋体" w:hAnsi="宋体" w:cs="宋体"/>
          <w:b/>
          <w:bCs/>
          <w:kern w:val="0"/>
          <w:sz w:val="24"/>
          <w:highlight w:val="none"/>
          <w:u w:val="single"/>
        </w:rPr>
        <w:t>（https://www.lhcqjy.com.cn/home）注册</w:t>
      </w:r>
      <w:bookmarkEnd w:id="4"/>
      <w:r>
        <w:rPr>
          <w:rFonts w:hint="eastAsia" w:ascii="宋体" w:hAnsi="宋体" w:cs="宋体"/>
          <w:b/>
          <w:bCs/>
          <w:kern w:val="0"/>
          <w:sz w:val="24"/>
          <w:highlight w:val="none"/>
          <w:u w:val="single"/>
        </w:rPr>
        <w:t>、提交审核通过后可参加投标，注册咨询联系人：梁工，联系电话：0576-85407095；</w:t>
      </w:r>
    </w:p>
    <w:p w14:paraId="55FB869B">
      <w:pPr>
        <w:spacing w:line="430" w:lineRule="exact"/>
        <w:rPr>
          <w:rFonts w:ascii="宋体" w:hAnsi="宋体" w:cs="宋体"/>
          <w:b/>
          <w:bCs/>
          <w:kern w:val="0"/>
          <w:sz w:val="24"/>
          <w:highlight w:val="none"/>
        </w:rPr>
      </w:pPr>
      <w:r>
        <w:rPr>
          <w:rFonts w:hint="eastAsia" w:ascii="宋体" w:hAnsi="宋体" w:cs="宋体"/>
          <w:b/>
          <w:bCs/>
          <w:kern w:val="0"/>
          <w:sz w:val="24"/>
          <w:highlight w:val="none"/>
        </w:rPr>
        <w:t>4.招标文件的获取</w:t>
      </w:r>
    </w:p>
    <w:p w14:paraId="0AAF5340">
      <w:pPr>
        <w:spacing w:line="430" w:lineRule="exact"/>
        <w:rPr>
          <w:rFonts w:ascii="宋体" w:hAnsi="宋体" w:cs="宋体"/>
          <w:kern w:val="0"/>
          <w:sz w:val="24"/>
          <w:highlight w:val="none"/>
        </w:rPr>
      </w:pPr>
      <w:r>
        <w:rPr>
          <w:rFonts w:hint="eastAsia" w:ascii="宋体" w:hAnsi="宋体" w:cs="宋体"/>
          <w:kern w:val="0"/>
          <w:sz w:val="24"/>
          <w:highlight w:val="none"/>
        </w:rPr>
        <w:t>采购文件售价：免费</w:t>
      </w:r>
    </w:p>
    <w:p w14:paraId="6279BF07">
      <w:pPr>
        <w:spacing w:line="430" w:lineRule="exact"/>
        <w:rPr>
          <w:rFonts w:ascii="宋体" w:hAnsi="宋体" w:cs="宋体"/>
          <w:bCs/>
          <w:sz w:val="24"/>
          <w:highlight w:val="none"/>
        </w:rPr>
      </w:pPr>
      <w:r>
        <w:rPr>
          <w:rFonts w:hint="eastAsia" w:ascii="宋体" w:hAnsi="宋体" w:cs="宋体"/>
          <w:bCs/>
          <w:sz w:val="24"/>
          <w:highlight w:val="none"/>
        </w:rPr>
        <w:t>获取方式：凡有意参加投标者，在2026年   月   日8时30分00秒前，到临海市限额以下公共资源交易区域平台可自行下载采购文件。</w:t>
      </w:r>
    </w:p>
    <w:p w14:paraId="69248C54">
      <w:pPr>
        <w:pStyle w:val="47"/>
        <w:spacing w:before="0" w:beforeAutospacing="0" w:after="0" w:afterAutospacing="0" w:line="430" w:lineRule="exact"/>
        <w:rPr>
          <w:rFonts w:cs="宋体"/>
          <w:highlight w:val="none"/>
        </w:rPr>
      </w:pPr>
      <w:r>
        <w:rPr>
          <w:rFonts w:hint="eastAsia" w:cs="宋体"/>
          <w:highlight w:val="none"/>
        </w:rPr>
        <w:t>招标文件答疑：</w:t>
      </w:r>
      <w:r>
        <w:rPr>
          <w:rFonts w:hint="eastAsia" w:cs="宋体"/>
          <w:b/>
          <w:highlight w:val="none"/>
        </w:rPr>
        <w:t>投标人对采购文件提出质疑的，应当在获取采购文件或者采购文件公告期限届满之日（公告期限届满后获取采购文件的，以公告期限届满之日为准）起</w:t>
      </w:r>
      <w:r>
        <w:rPr>
          <w:rFonts w:hint="eastAsia" w:cs="宋体"/>
          <w:b/>
          <w:highlight w:val="none"/>
          <w:u w:val="single"/>
        </w:rPr>
        <w:t>7</w:t>
      </w:r>
      <w:r>
        <w:rPr>
          <w:rFonts w:hint="eastAsia" w:cs="宋体"/>
          <w:b/>
          <w:highlight w:val="none"/>
        </w:rPr>
        <w:t>个工作日内提出，否则被质疑人可不予接受。</w:t>
      </w:r>
    </w:p>
    <w:p w14:paraId="2B402E77">
      <w:pPr>
        <w:pStyle w:val="47"/>
        <w:spacing w:before="0" w:beforeAutospacing="0" w:after="0" w:afterAutospacing="0" w:line="430" w:lineRule="exact"/>
        <w:rPr>
          <w:rFonts w:cs="宋体"/>
          <w:highlight w:val="none"/>
        </w:rPr>
      </w:pPr>
      <w:r>
        <w:rPr>
          <w:rFonts w:hint="eastAsia" w:cs="宋体"/>
          <w:b/>
          <w:bCs/>
          <w:highlight w:val="none"/>
        </w:rPr>
        <w:t>5.投标保证金</w:t>
      </w:r>
    </w:p>
    <w:p w14:paraId="1F882E82">
      <w:pPr>
        <w:spacing w:line="430" w:lineRule="exact"/>
        <w:rPr>
          <w:rFonts w:ascii="宋体" w:hAnsi="宋体" w:cs="宋体"/>
          <w:b/>
          <w:sz w:val="24"/>
          <w:highlight w:val="none"/>
        </w:rPr>
      </w:pPr>
      <w:r>
        <w:rPr>
          <w:rFonts w:hint="eastAsia" w:ascii="宋体" w:hAnsi="宋体" w:cs="宋体"/>
          <w:b/>
          <w:sz w:val="24"/>
          <w:highlight w:val="none"/>
        </w:rPr>
        <w:t>本项目不收取投标保证金。</w:t>
      </w:r>
    </w:p>
    <w:p w14:paraId="40F2259C">
      <w:pPr>
        <w:spacing w:line="430" w:lineRule="exact"/>
        <w:rPr>
          <w:rFonts w:ascii="宋体" w:hAnsi="宋体" w:cs="宋体"/>
          <w:b/>
          <w:bCs/>
          <w:kern w:val="0"/>
          <w:sz w:val="24"/>
          <w:highlight w:val="none"/>
        </w:rPr>
      </w:pPr>
      <w:r>
        <w:rPr>
          <w:rFonts w:hint="eastAsia" w:ascii="宋体" w:hAnsi="宋体" w:cs="宋体"/>
          <w:b/>
          <w:sz w:val="24"/>
          <w:highlight w:val="none"/>
        </w:rPr>
        <w:t>6</w:t>
      </w:r>
      <w:r>
        <w:rPr>
          <w:rFonts w:hint="eastAsia" w:ascii="宋体" w:hAnsi="宋体" w:cs="宋体"/>
          <w:b/>
          <w:bCs/>
          <w:kern w:val="0"/>
          <w:sz w:val="24"/>
          <w:highlight w:val="none"/>
        </w:rPr>
        <w:t>.投标说明</w:t>
      </w:r>
    </w:p>
    <w:p w14:paraId="44BBC346">
      <w:pPr>
        <w:spacing w:line="430" w:lineRule="exact"/>
        <w:rPr>
          <w:rFonts w:ascii="宋体" w:hAnsi="宋体" w:cs="宋体"/>
          <w:kern w:val="0"/>
          <w:sz w:val="24"/>
          <w:highlight w:val="none"/>
        </w:rPr>
      </w:pPr>
      <w:r>
        <w:rPr>
          <w:rFonts w:hint="eastAsia" w:ascii="宋体" w:hAnsi="宋体" w:cs="宋体"/>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031C672C">
      <w:pPr>
        <w:spacing w:line="430" w:lineRule="exact"/>
        <w:rPr>
          <w:rFonts w:ascii="宋体" w:hAnsi="宋体" w:cs="宋体"/>
          <w:kern w:val="0"/>
          <w:sz w:val="24"/>
          <w:highlight w:val="none"/>
        </w:rPr>
      </w:pPr>
      <w:r>
        <w:rPr>
          <w:rFonts w:hint="eastAsia" w:ascii="宋体" w:hAnsi="宋体" w:cs="宋体"/>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1C96174">
      <w:pPr>
        <w:spacing w:line="430" w:lineRule="exact"/>
        <w:rPr>
          <w:rFonts w:ascii="宋体" w:hAnsi="宋体" w:cs="宋体"/>
          <w:kern w:val="0"/>
          <w:sz w:val="24"/>
          <w:highlight w:val="none"/>
        </w:rPr>
      </w:pPr>
      <w:r>
        <w:rPr>
          <w:rFonts w:hint="eastAsia" w:ascii="宋体" w:hAnsi="宋体" w:cs="宋体"/>
          <w:kern w:val="0"/>
          <w:sz w:val="24"/>
          <w:highlight w:val="none"/>
        </w:rPr>
        <w:t>（3）投标人应在开标前完成CA数字证书办理。（办理流程详见临海市限额以下公共资源交易区域平台-办事指南的操作说明）。</w:t>
      </w:r>
    </w:p>
    <w:p w14:paraId="02669AE7">
      <w:pPr>
        <w:spacing w:line="430" w:lineRule="exact"/>
        <w:rPr>
          <w:rFonts w:ascii="宋体" w:hAnsi="宋体" w:cs="宋体"/>
          <w:b/>
          <w:bCs/>
          <w:kern w:val="0"/>
          <w:sz w:val="24"/>
          <w:highlight w:val="none"/>
        </w:rPr>
      </w:pPr>
      <w:r>
        <w:rPr>
          <w:rFonts w:hint="eastAsia" w:ascii="宋体" w:hAnsi="宋体" w:cs="宋体"/>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highlight w:val="none"/>
        </w:rPr>
        <w:t>投标截止时间后传输、递交的投标文件，将被拒收。</w:t>
      </w:r>
    </w:p>
    <w:p w14:paraId="7CB78B9C">
      <w:pPr>
        <w:spacing w:line="430" w:lineRule="exact"/>
        <w:rPr>
          <w:rFonts w:ascii="宋体" w:hAnsi="宋体" w:cs="宋体"/>
          <w:b/>
          <w:bCs/>
          <w:kern w:val="0"/>
          <w:sz w:val="24"/>
          <w:highlight w:val="none"/>
        </w:rPr>
      </w:pPr>
      <w:r>
        <w:rPr>
          <w:rFonts w:hint="eastAsia" w:ascii="宋体" w:hAnsi="宋体" w:cs="宋体"/>
          <w:b/>
          <w:bCs/>
          <w:kern w:val="0"/>
          <w:sz w:val="24"/>
          <w:highlight w:val="none"/>
        </w:rPr>
        <w:t>（5）本招标文件中关于电子招投标内容、流程如与</w:t>
      </w:r>
      <w:r>
        <w:rPr>
          <w:rFonts w:hint="eastAsia" w:ascii="宋体" w:hAnsi="宋体" w:cs="宋体"/>
          <w:kern w:val="0"/>
          <w:sz w:val="24"/>
          <w:highlight w:val="none"/>
        </w:rPr>
        <w:t>临海市限额以下公共资源交易区域平台</w:t>
      </w:r>
      <w:r>
        <w:rPr>
          <w:rFonts w:hint="eastAsia" w:ascii="宋体" w:hAnsi="宋体" w:cs="宋体"/>
          <w:b/>
          <w:bCs/>
          <w:kern w:val="0"/>
          <w:sz w:val="24"/>
          <w:highlight w:val="none"/>
        </w:rPr>
        <w:t>中最新的内容、操作不一致的，以平台中的要求为准。</w:t>
      </w:r>
    </w:p>
    <w:p w14:paraId="67CC4D82">
      <w:pPr>
        <w:spacing w:line="430" w:lineRule="exact"/>
        <w:rPr>
          <w:rFonts w:ascii="宋体" w:hAnsi="宋体" w:cs="宋体"/>
          <w:b/>
          <w:sz w:val="24"/>
          <w:highlight w:val="none"/>
        </w:rPr>
      </w:pPr>
      <w:r>
        <w:rPr>
          <w:rFonts w:hint="eastAsia" w:ascii="宋体" w:hAnsi="宋体" w:cs="宋体"/>
          <w:b/>
          <w:sz w:val="24"/>
          <w:highlight w:val="none"/>
        </w:rPr>
        <w:t>7</w:t>
      </w:r>
      <w:r>
        <w:rPr>
          <w:rFonts w:hint="eastAsia" w:ascii="宋体" w:hAnsi="宋体" w:cs="宋体"/>
          <w:b/>
          <w:kern w:val="0"/>
          <w:sz w:val="24"/>
          <w:highlight w:val="none"/>
        </w:rPr>
        <w:t>.</w:t>
      </w:r>
      <w:r>
        <w:rPr>
          <w:rFonts w:hint="eastAsia" w:ascii="宋体" w:hAnsi="宋体" w:cs="宋体"/>
          <w:b/>
          <w:sz w:val="24"/>
          <w:highlight w:val="none"/>
        </w:rPr>
        <w:t>投标文件的组成、效力</w:t>
      </w:r>
    </w:p>
    <w:p w14:paraId="56F7E985">
      <w:pPr>
        <w:spacing w:line="430" w:lineRule="exact"/>
        <w:rPr>
          <w:rFonts w:ascii="宋体" w:hAnsi="宋体" w:cs="宋体"/>
          <w:sz w:val="24"/>
          <w:highlight w:val="none"/>
        </w:rPr>
      </w:pPr>
      <w:r>
        <w:rPr>
          <w:rFonts w:hint="eastAsia" w:ascii="宋体" w:hAnsi="宋体" w:cs="宋体"/>
          <w:sz w:val="24"/>
          <w:highlight w:val="none"/>
        </w:rPr>
        <w:t>（1）本项目实行电子投标，投标人应准备电子投标文件，本项目线下无需提供任何备份投标文件。电子投标文件应按本招标文件要求编制。</w:t>
      </w:r>
    </w:p>
    <w:p w14:paraId="72E8CD01">
      <w:pPr>
        <w:spacing w:line="430" w:lineRule="exact"/>
        <w:rPr>
          <w:rFonts w:ascii="宋体" w:hAnsi="宋体" w:cs="宋体"/>
          <w:sz w:val="24"/>
          <w:highlight w:val="none"/>
        </w:rPr>
      </w:pPr>
      <w:r>
        <w:rPr>
          <w:rFonts w:hint="eastAsia" w:ascii="宋体" w:hAnsi="宋体" w:cs="宋体"/>
          <w:sz w:val="24"/>
          <w:highlight w:val="none"/>
        </w:rPr>
        <w:t>（2）未在</w:t>
      </w:r>
      <w:r>
        <w:rPr>
          <w:rFonts w:hint="eastAsia" w:ascii="宋体" w:hAnsi="宋体" w:cs="宋体"/>
          <w:kern w:val="0"/>
          <w:sz w:val="24"/>
          <w:highlight w:val="none"/>
        </w:rPr>
        <w:t>“临海市限额以下公共资源交易区域平台”</w:t>
      </w:r>
      <w:r>
        <w:rPr>
          <w:rFonts w:hint="eastAsia" w:ascii="宋体" w:hAnsi="宋体" w:cs="宋体"/>
          <w:sz w:val="24"/>
          <w:highlight w:val="none"/>
        </w:rPr>
        <w:t>传输递交电子投标文件的，投标无效。</w:t>
      </w:r>
    </w:p>
    <w:p w14:paraId="7CD270CC">
      <w:pPr>
        <w:spacing w:line="430" w:lineRule="exact"/>
        <w:rPr>
          <w:rFonts w:ascii="宋体" w:hAnsi="宋体" w:cs="宋体"/>
          <w:sz w:val="24"/>
          <w:highlight w:val="none"/>
        </w:rPr>
      </w:pPr>
      <w:r>
        <w:rPr>
          <w:rFonts w:hint="eastAsia" w:ascii="宋体" w:hAnsi="宋体" w:cs="宋体"/>
          <w:b/>
          <w:sz w:val="24"/>
          <w:highlight w:val="none"/>
        </w:rPr>
        <w:t>8.投标截止时间及电子投标文件的递交</w:t>
      </w:r>
    </w:p>
    <w:p w14:paraId="74A26A40">
      <w:pPr>
        <w:spacing w:line="430" w:lineRule="exact"/>
        <w:rPr>
          <w:rFonts w:ascii="宋体" w:hAnsi="宋体" w:cs="宋体"/>
          <w:kern w:val="0"/>
          <w:sz w:val="24"/>
          <w:highlight w:val="none"/>
        </w:rPr>
      </w:pPr>
      <w:r>
        <w:rPr>
          <w:rFonts w:hint="eastAsia" w:ascii="宋体" w:hAnsi="宋体" w:cs="宋体"/>
          <w:b/>
          <w:bCs/>
          <w:kern w:val="0"/>
          <w:sz w:val="24"/>
          <w:highlight w:val="none"/>
        </w:rPr>
        <w:t>电子投标文件</w:t>
      </w:r>
      <w:r>
        <w:rPr>
          <w:rFonts w:hint="eastAsia" w:ascii="宋体" w:hAnsi="宋体" w:cs="宋体"/>
          <w:b/>
          <w:sz w:val="24"/>
          <w:highlight w:val="none"/>
        </w:rPr>
        <w:t>投标截止时间：2026年   月   日8时30分，</w:t>
      </w:r>
      <w:r>
        <w:rPr>
          <w:rFonts w:hint="eastAsia" w:ascii="宋体" w:hAnsi="宋体" w:cs="宋体"/>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cs="宋体"/>
          <w:sz w:val="24"/>
          <w:highlight w:val="none"/>
        </w:rPr>
        <w:t>，投标无效。</w:t>
      </w:r>
    </w:p>
    <w:p w14:paraId="660ABC2E">
      <w:pPr>
        <w:spacing w:line="430" w:lineRule="exact"/>
        <w:rPr>
          <w:rFonts w:ascii="宋体" w:hAnsi="宋体" w:cs="宋体"/>
          <w:b/>
          <w:sz w:val="24"/>
          <w:highlight w:val="none"/>
        </w:rPr>
      </w:pPr>
      <w:r>
        <w:rPr>
          <w:rFonts w:hint="eastAsia" w:ascii="宋体" w:hAnsi="宋体" w:cs="宋体"/>
          <w:b/>
          <w:sz w:val="24"/>
          <w:highlight w:val="none"/>
        </w:rPr>
        <w:t>9.</w:t>
      </w:r>
      <w:r>
        <w:rPr>
          <w:rFonts w:hint="eastAsia" w:ascii="宋体" w:hAnsi="宋体" w:cs="宋体"/>
          <w:kern w:val="0"/>
          <w:sz w:val="24"/>
          <w:highlight w:val="none"/>
        </w:rPr>
        <w:t>临海市限额以下公共资源交易区域平台</w:t>
      </w:r>
      <w:r>
        <w:rPr>
          <w:rFonts w:hint="eastAsia" w:ascii="宋体" w:hAnsi="宋体" w:cs="宋体"/>
          <w:b/>
          <w:sz w:val="24"/>
          <w:highlight w:val="none"/>
        </w:rPr>
        <w:t xml:space="preserve">及开评标期间出现网络故障或停电时的应急处理措施：      </w:t>
      </w:r>
    </w:p>
    <w:p w14:paraId="59C22D1D">
      <w:pPr>
        <w:spacing w:line="430" w:lineRule="exact"/>
        <w:rPr>
          <w:rFonts w:ascii="宋体" w:hAnsi="宋体" w:cs="宋体"/>
          <w:bCs/>
          <w:sz w:val="24"/>
          <w:highlight w:val="none"/>
        </w:rPr>
      </w:pPr>
      <w:r>
        <w:rPr>
          <w:rFonts w:hint="eastAsia" w:ascii="宋体" w:hAnsi="宋体" w:cs="宋体"/>
          <w:bCs/>
          <w:sz w:val="24"/>
          <w:highlight w:val="none"/>
        </w:rPr>
        <w:t>（1）开评标期间出现网络故障或停电如短时间内（半天内）可以排除并能恢复正常使用的，为不耽误项目进度，招标人（代理机构）可宣布待故障排除后再进行正常开标活动；</w:t>
      </w:r>
    </w:p>
    <w:p w14:paraId="7E606F25">
      <w:pPr>
        <w:spacing w:line="430" w:lineRule="exact"/>
        <w:rPr>
          <w:rFonts w:ascii="宋体" w:hAnsi="宋体" w:cs="宋体"/>
          <w:bCs/>
          <w:sz w:val="24"/>
          <w:highlight w:val="none"/>
        </w:rPr>
      </w:pPr>
      <w:r>
        <w:rPr>
          <w:rFonts w:hint="eastAsia" w:ascii="宋体" w:hAnsi="宋体" w:cs="宋体"/>
          <w:bCs/>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58083D88">
      <w:pPr>
        <w:spacing w:line="430" w:lineRule="exact"/>
        <w:rPr>
          <w:rFonts w:ascii="宋体" w:hAnsi="宋体" w:cs="宋体"/>
          <w:sz w:val="24"/>
          <w:highlight w:val="none"/>
        </w:rPr>
      </w:pPr>
      <w:r>
        <w:rPr>
          <w:rFonts w:hint="eastAsia" w:ascii="宋体" w:hAnsi="宋体" w:cs="宋体"/>
          <w:b/>
          <w:sz w:val="24"/>
          <w:highlight w:val="none"/>
        </w:rPr>
        <w:t>10.开标</w:t>
      </w:r>
    </w:p>
    <w:p w14:paraId="5B2588F6">
      <w:pPr>
        <w:spacing w:line="430" w:lineRule="exact"/>
        <w:rPr>
          <w:rFonts w:ascii="宋体" w:hAnsi="宋体" w:cs="宋体"/>
          <w:sz w:val="24"/>
          <w:highlight w:val="none"/>
        </w:rPr>
      </w:pPr>
      <w:r>
        <w:rPr>
          <w:rFonts w:hint="eastAsia" w:ascii="宋体" w:hAnsi="宋体" w:cs="宋体"/>
          <w:sz w:val="24"/>
          <w:highlight w:val="none"/>
        </w:rPr>
        <w:t>开标时间：</w:t>
      </w:r>
      <w:r>
        <w:rPr>
          <w:rFonts w:hint="eastAsia" w:ascii="宋体" w:hAnsi="宋体" w:cs="宋体"/>
          <w:b/>
          <w:sz w:val="24"/>
          <w:highlight w:val="none"/>
        </w:rPr>
        <w:t>2026年   月   日8时30分</w:t>
      </w:r>
      <w:r>
        <w:rPr>
          <w:rFonts w:hint="eastAsia" w:ascii="宋体" w:hAnsi="宋体" w:cs="宋体"/>
          <w:sz w:val="24"/>
          <w:highlight w:val="none"/>
        </w:rPr>
        <w:t>。</w:t>
      </w:r>
      <w:r>
        <w:rPr>
          <w:rFonts w:hint="eastAsia" w:ascii="宋体" w:hAnsi="宋体" w:cs="宋体"/>
          <w:sz w:val="24"/>
          <w:highlight w:val="none"/>
        </w:rPr>
        <w:br w:type="textWrapping"/>
      </w:r>
      <w:r>
        <w:rPr>
          <w:rFonts w:hint="eastAsia" w:ascii="宋体" w:hAnsi="宋体" w:cs="宋体"/>
          <w:sz w:val="24"/>
          <w:highlight w:val="none"/>
        </w:rPr>
        <w:t>开标地点：</w:t>
      </w:r>
      <w:r>
        <w:rPr>
          <w:rFonts w:hint="eastAsia" w:ascii="宋体" w:hAnsi="宋体" w:cs="宋体"/>
          <w:sz w:val="24"/>
          <w:highlight w:val="none"/>
          <w:u w:val="single"/>
        </w:rPr>
        <w:t>临海市限额以下公共资源交易区域平台南部开标室   （临海市江南街道春和路下岙余村办公大楼2楼）</w:t>
      </w:r>
      <w:r>
        <w:rPr>
          <w:rFonts w:hint="eastAsia" w:ascii="宋体" w:hAnsi="宋体" w:cs="宋体"/>
          <w:sz w:val="24"/>
          <w:highlight w:val="none"/>
        </w:rPr>
        <w:t>（不见面开标大厅）</w:t>
      </w:r>
    </w:p>
    <w:p w14:paraId="1CB66DFA">
      <w:pPr>
        <w:spacing w:line="430" w:lineRule="exact"/>
        <w:rPr>
          <w:rFonts w:ascii="宋体" w:hAnsi="宋体" w:cs="宋体"/>
          <w:sz w:val="24"/>
          <w:highlight w:val="none"/>
        </w:rPr>
      </w:pPr>
      <w:r>
        <w:rPr>
          <w:rFonts w:hint="eastAsia" w:ascii="宋体" w:hAnsi="宋体" w:cs="宋体"/>
          <w:b/>
          <w:sz w:val="24"/>
          <w:highlight w:val="none"/>
        </w:rPr>
        <w:t>11.发布公告的媒介</w:t>
      </w:r>
      <w:r>
        <w:rPr>
          <w:rFonts w:hint="eastAsia" w:ascii="宋体" w:hAnsi="宋体" w:cs="宋体"/>
          <w:sz w:val="24"/>
          <w:highlight w:val="none"/>
        </w:rPr>
        <w:br w:type="textWrapping"/>
      </w:r>
      <w:r>
        <w:rPr>
          <w:rFonts w:hint="eastAsia" w:ascii="宋体" w:hAnsi="宋体" w:cs="宋体"/>
          <w:sz w:val="24"/>
          <w:highlight w:val="none"/>
        </w:rPr>
        <w:t>本次招标公告在</w:t>
      </w:r>
      <w:r>
        <w:rPr>
          <w:rFonts w:hint="eastAsia" w:ascii="宋体" w:hAnsi="宋体" w:cs="宋体"/>
          <w:kern w:val="0"/>
          <w:sz w:val="24"/>
          <w:highlight w:val="none"/>
        </w:rPr>
        <w:t>临海市限额以下公共资源交易区域平台</w:t>
      </w:r>
      <w:r>
        <w:rPr>
          <w:rFonts w:hint="eastAsia" w:ascii="宋体" w:hAnsi="宋体" w:cs="宋体"/>
          <w:sz w:val="24"/>
          <w:highlight w:val="none"/>
        </w:rPr>
        <w:t>发布。</w:t>
      </w:r>
    </w:p>
    <w:p w14:paraId="22A1E5D3">
      <w:pPr>
        <w:spacing w:line="430" w:lineRule="exact"/>
        <w:rPr>
          <w:rFonts w:ascii="宋体" w:hAnsi="宋体" w:cs="宋体"/>
          <w:b/>
          <w:sz w:val="24"/>
          <w:highlight w:val="none"/>
        </w:rPr>
      </w:pPr>
      <w:r>
        <w:rPr>
          <w:rFonts w:hint="eastAsia" w:ascii="宋体" w:hAnsi="宋体" w:cs="宋体"/>
          <w:b/>
          <w:sz w:val="24"/>
          <w:highlight w:val="none"/>
        </w:rPr>
        <w:t>12、其他事项</w:t>
      </w:r>
    </w:p>
    <w:p w14:paraId="4D6C968B">
      <w:pPr>
        <w:spacing w:line="430" w:lineRule="exact"/>
        <w:rPr>
          <w:rFonts w:ascii="宋体" w:hAnsi="宋体" w:cs="宋体"/>
          <w:sz w:val="24"/>
          <w:highlight w:val="none"/>
        </w:rPr>
      </w:pPr>
      <w:r>
        <w:rPr>
          <w:rFonts w:hint="eastAsia" w:ascii="宋体" w:hAnsi="宋体" w:cs="宋体"/>
          <w:sz w:val="24"/>
          <w:highlight w:val="none"/>
        </w:rPr>
        <w:t>接标截止时间以平台服务器时间为准，请准时提交投标文件。</w:t>
      </w:r>
    </w:p>
    <w:p w14:paraId="7ADF4526">
      <w:pPr>
        <w:numPr>
          <w:ilvl w:val="0"/>
          <w:numId w:val="4"/>
        </w:numPr>
        <w:spacing w:line="430" w:lineRule="exact"/>
        <w:rPr>
          <w:rFonts w:ascii="宋体" w:hAnsi="宋体" w:cs="宋体"/>
          <w:b/>
          <w:sz w:val="24"/>
          <w:highlight w:val="none"/>
        </w:rPr>
      </w:pPr>
      <w:r>
        <w:rPr>
          <w:rFonts w:hint="eastAsia" w:ascii="宋体" w:hAnsi="宋体" w:cs="宋体"/>
          <w:b/>
          <w:sz w:val="24"/>
          <w:highlight w:val="none"/>
        </w:rPr>
        <w:t>联系方式</w:t>
      </w:r>
    </w:p>
    <w:p w14:paraId="4A8CB729">
      <w:pPr>
        <w:spacing w:line="430" w:lineRule="exact"/>
        <w:rPr>
          <w:rFonts w:ascii="宋体" w:hAnsi="宋体" w:cs="宋体"/>
          <w:b/>
          <w:sz w:val="24"/>
          <w:highlight w:val="none"/>
        </w:rPr>
      </w:pPr>
      <w:r>
        <w:rPr>
          <w:rFonts w:hint="eastAsia" w:ascii="宋体" w:hAnsi="宋体" w:cs="宋体"/>
          <w:b/>
          <w:sz w:val="24"/>
          <w:highlight w:val="none"/>
        </w:rPr>
        <w:t>临海市限额以下公共资源交易区域平台咨询电话：0576-85407092。</w:t>
      </w:r>
    </w:p>
    <w:p w14:paraId="1F88B520">
      <w:pPr>
        <w:spacing w:line="430" w:lineRule="exact"/>
        <w:rPr>
          <w:rFonts w:ascii="宋体" w:hAnsi="宋体" w:cs="宋体"/>
          <w:b/>
          <w:bCs/>
          <w:sz w:val="24"/>
          <w:highlight w:val="none"/>
        </w:rPr>
      </w:pPr>
      <w:r>
        <w:rPr>
          <w:rFonts w:hint="eastAsia" w:ascii="宋体" w:hAnsi="宋体" w:cs="宋体"/>
          <w:b/>
          <w:bCs/>
          <w:sz w:val="24"/>
          <w:highlight w:val="none"/>
        </w:rPr>
        <w:t>（1）招标人信息</w:t>
      </w:r>
    </w:p>
    <w:p w14:paraId="221932BF">
      <w:pPr>
        <w:spacing w:line="430" w:lineRule="exact"/>
        <w:rPr>
          <w:rFonts w:ascii="宋体" w:hAnsi="宋体" w:cs="宋体"/>
          <w:bCs/>
          <w:sz w:val="24"/>
          <w:highlight w:val="none"/>
        </w:rPr>
      </w:pPr>
      <w:r>
        <w:rPr>
          <w:rFonts w:hint="eastAsia" w:ascii="宋体" w:hAnsi="宋体" w:cs="宋体"/>
          <w:bCs/>
          <w:sz w:val="24"/>
          <w:highlight w:val="none"/>
        </w:rPr>
        <w:t>名 称：临海市供水有限公司</w:t>
      </w:r>
    </w:p>
    <w:p w14:paraId="2A24C60F">
      <w:pPr>
        <w:spacing w:line="430" w:lineRule="exact"/>
        <w:rPr>
          <w:rFonts w:ascii="宋体" w:hAnsi="宋体" w:cs="宋体"/>
          <w:bCs/>
          <w:sz w:val="24"/>
          <w:highlight w:val="none"/>
        </w:rPr>
      </w:pPr>
      <w:r>
        <w:rPr>
          <w:rFonts w:hint="eastAsia" w:ascii="宋体" w:hAnsi="宋体" w:cs="宋体"/>
          <w:bCs/>
          <w:sz w:val="24"/>
          <w:highlight w:val="none"/>
        </w:rPr>
        <w:t>项目联系人（询问）：罗先生</w:t>
      </w:r>
    </w:p>
    <w:p w14:paraId="33A7FC0E">
      <w:pPr>
        <w:spacing w:line="430" w:lineRule="exact"/>
        <w:rPr>
          <w:rFonts w:ascii="宋体" w:hAnsi="宋体" w:cs="宋体"/>
          <w:bCs/>
          <w:sz w:val="24"/>
          <w:highlight w:val="none"/>
        </w:rPr>
      </w:pPr>
      <w:r>
        <w:rPr>
          <w:rFonts w:hint="eastAsia" w:ascii="宋体" w:hAnsi="宋体" w:cs="宋体"/>
          <w:bCs/>
          <w:sz w:val="24"/>
          <w:highlight w:val="none"/>
        </w:rPr>
        <w:t xml:space="preserve">项目联系方式：13665791030 </w:t>
      </w:r>
    </w:p>
    <w:p w14:paraId="30C43A65">
      <w:pPr>
        <w:spacing w:line="430" w:lineRule="exact"/>
        <w:rPr>
          <w:rFonts w:ascii="宋体" w:hAnsi="宋体" w:cs="宋体"/>
          <w:b/>
          <w:bCs/>
          <w:sz w:val="24"/>
          <w:highlight w:val="none"/>
        </w:rPr>
      </w:pPr>
      <w:r>
        <w:rPr>
          <w:rFonts w:hint="eastAsia" w:ascii="宋体" w:hAnsi="宋体" w:cs="宋体"/>
          <w:b/>
          <w:bCs/>
          <w:sz w:val="24"/>
          <w:highlight w:val="none"/>
        </w:rPr>
        <w:t>（2）代理机构信息</w:t>
      </w:r>
    </w:p>
    <w:p w14:paraId="4F8831AC">
      <w:pPr>
        <w:spacing w:line="430" w:lineRule="exact"/>
        <w:rPr>
          <w:rFonts w:ascii="宋体" w:hAnsi="宋体" w:cs="宋体"/>
          <w:bCs/>
          <w:sz w:val="24"/>
          <w:highlight w:val="none"/>
        </w:rPr>
      </w:pPr>
      <w:r>
        <w:rPr>
          <w:rFonts w:hint="eastAsia" w:ascii="宋体" w:hAnsi="宋体" w:cs="宋体"/>
          <w:bCs/>
          <w:sz w:val="24"/>
          <w:highlight w:val="none"/>
        </w:rPr>
        <w:t xml:space="preserve">名 称：临海市工投建设咨询有限公司 </w:t>
      </w:r>
    </w:p>
    <w:p w14:paraId="4890E529">
      <w:pPr>
        <w:spacing w:line="430" w:lineRule="exact"/>
        <w:rPr>
          <w:rFonts w:ascii="宋体" w:hAnsi="宋体" w:cs="宋体"/>
          <w:bCs/>
          <w:sz w:val="24"/>
          <w:highlight w:val="none"/>
        </w:rPr>
      </w:pPr>
      <w:r>
        <w:rPr>
          <w:rFonts w:hint="eastAsia" w:ascii="宋体" w:hAnsi="宋体" w:cs="宋体"/>
          <w:bCs/>
          <w:sz w:val="24"/>
          <w:highlight w:val="none"/>
        </w:rPr>
        <w:t>项目联系人（询问）：周先生</w:t>
      </w:r>
    </w:p>
    <w:p w14:paraId="1237E5AA">
      <w:pPr>
        <w:spacing w:line="430" w:lineRule="exact"/>
        <w:rPr>
          <w:rFonts w:ascii="宋体" w:hAnsi="宋体" w:cs="宋体"/>
          <w:bCs/>
          <w:spacing w:val="-4"/>
          <w:sz w:val="24"/>
          <w:highlight w:val="none"/>
        </w:rPr>
      </w:pPr>
      <w:r>
        <w:rPr>
          <w:rFonts w:hint="eastAsia" w:ascii="宋体" w:hAnsi="宋体" w:cs="宋体"/>
          <w:bCs/>
          <w:sz w:val="24"/>
          <w:highlight w:val="none"/>
        </w:rPr>
        <w:t>项目联系方式：15990682515</w:t>
      </w:r>
    </w:p>
    <w:p w14:paraId="4152FA20">
      <w:pPr>
        <w:spacing w:line="430" w:lineRule="exact"/>
        <w:rPr>
          <w:rFonts w:ascii="宋体" w:hAnsi="宋体" w:cs="宋体"/>
          <w:bCs/>
          <w:spacing w:val="-4"/>
          <w:sz w:val="24"/>
          <w:highlight w:val="none"/>
        </w:rPr>
      </w:pPr>
      <w:r>
        <w:rPr>
          <w:rFonts w:hint="eastAsia" w:ascii="宋体" w:hAnsi="宋体" w:cs="宋体"/>
          <w:bCs/>
          <w:spacing w:val="-4"/>
          <w:sz w:val="24"/>
          <w:highlight w:val="none"/>
        </w:rPr>
        <w:t xml:space="preserve">电子邮箱: </w:t>
      </w:r>
      <w:r>
        <w:rPr>
          <w:highlight w:val="none"/>
        </w:rPr>
        <w:fldChar w:fldCharType="begin"/>
      </w:r>
      <w:r>
        <w:rPr>
          <w:highlight w:val="none"/>
        </w:rPr>
        <w:instrText xml:space="preserve"> HYPERLINK "mailto:343595626@qq.com" </w:instrText>
      </w:r>
      <w:r>
        <w:rPr>
          <w:highlight w:val="none"/>
        </w:rPr>
        <w:fldChar w:fldCharType="separate"/>
      </w:r>
      <w:r>
        <w:rPr>
          <w:rStyle w:val="59"/>
          <w:rFonts w:hint="eastAsia" w:ascii="宋体" w:hAnsi="宋体" w:cs="宋体"/>
          <w:bCs/>
          <w:color w:val="auto"/>
          <w:spacing w:val="-4"/>
          <w:sz w:val="24"/>
          <w:highlight w:val="none"/>
        </w:rPr>
        <w:t>853968315@qq.com</w:t>
      </w:r>
      <w:r>
        <w:rPr>
          <w:rStyle w:val="59"/>
          <w:rFonts w:hint="eastAsia" w:ascii="宋体" w:hAnsi="宋体" w:cs="宋体"/>
          <w:bCs/>
          <w:color w:val="auto"/>
          <w:spacing w:val="-4"/>
          <w:sz w:val="24"/>
          <w:highlight w:val="none"/>
        </w:rPr>
        <w:fldChar w:fldCharType="end"/>
      </w:r>
    </w:p>
    <w:p w14:paraId="08EBF3FE">
      <w:pPr>
        <w:spacing w:line="430" w:lineRule="exact"/>
        <w:rPr>
          <w:rFonts w:ascii="宋体" w:hAnsi="宋体" w:cs="宋体"/>
          <w:b/>
          <w:spacing w:val="-4"/>
          <w:sz w:val="24"/>
          <w:highlight w:val="none"/>
        </w:rPr>
      </w:pPr>
      <w:r>
        <w:rPr>
          <w:rFonts w:hint="eastAsia" w:ascii="宋体" w:hAnsi="宋体" w:cs="宋体"/>
          <w:b/>
          <w:spacing w:val="-4"/>
          <w:sz w:val="24"/>
          <w:highlight w:val="none"/>
        </w:rPr>
        <w:t>（3）本次非政府采购项目监管机构信息</w:t>
      </w:r>
    </w:p>
    <w:p w14:paraId="17E5819C">
      <w:pPr>
        <w:spacing w:line="430" w:lineRule="exact"/>
        <w:rPr>
          <w:rFonts w:ascii="宋体" w:hAnsi="宋体" w:cs="宋体"/>
          <w:bCs/>
          <w:sz w:val="24"/>
          <w:highlight w:val="none"/>
        </w:rPr>
      </w:pPr>
      <w:r>
        <w:rPr>
          <w:rFonts w:hint="eastAsia" w:ascii="宋体" w:hAnsi="宋体" w:cs="宋体"/>
          <w:bCs/>
          <w:sz w:val="24"/>
          <w:highlight w:val="none"/>
        </w:rPr>
        <w:t>名 称：临海市工业投资集团有限公司</w:t>
      </w:r>
    </w:p>
    <w:p w14:paraId="5D02D9E1">
      <w:pPr>
        <w:spacing w:line="430" w:lineRule="exact"/>
        <w:rPr>
          <w:rFonts w:ascii="宋体" w:hAnsi="宋体" w:cs="宋体"/>
          <w:bCs/>
          <w:sz w:val="24"/>
          <w:highlight w:val="none"/>
        </w:rPr>
      </w:pPr>
      <w:r>
        <w:rPr>
          <w:rFonts w:hint="eastAsia" w:ascii="宋体" w:hAnsi="宋体" w:cs="宋体"/>
          <w:bCs/>
          <w:sz w:val="24"/>
          <w:highlight w:val="none"/>
        </w:rPr>
        <w:t>联系电话：0576-85861579</w:t>
      </w:r>
    </w:p>
    <w:p w14:paraId="701AF1B6">
      <w:pPr>
        <w:spacing w:line="440" w:lineRule="exact"/>
        <w:jc w:val="center"/>
        <w:outlineLvl w:val="0"/>
        <w:rPr>
          <w:rFonts w:ascii="宋体" w:hAnsi="宋体" w:cs="宋体"/>
          <w:b/>
          <w:sz w:val="24"/>
          <w:highlight w:val="none"/>
        </w:rPr>
      </w:pPr>
      <w:r>
        <w:rPr>
          <w:rFonts w:hint="eastAsia" w:ascii="宋体" w:hAnsi="宋体" w:cs="宋体"/>
          <w:b/>
          <w:sz w:val="24"/>
          <w:highlight w:val="none"/>
        </w:rPr>
        <w:br w:type="page"/>
      </w:r>
      <w:bookmarkStart w:id="5" w:name="_Toc27477"/>
      <w:bookmarkStart w:id="6" w:name="_Toc13273"/>
      <w:bookmarkStart w:id="7" w:name="_Toc466534748"/>
      <w:bookmarkStart w:id="8" w:name="_Toc467749357"/>
      <w:r>
        <w:rPr>
          <w:rFonts w:hint="eastAsia" w:ascii="宋体" w:hAnsi="宋体" w:cs="宋体"/>
          <w:b/>
          <w:sz w:val="24"/>
          <w:highlight w:val="none"/>
        </w:rPr>
        <w:t>第二章   招标需求</w:t>
      </w:r>
      <w:bookmarkEnd w:id="5"/>
      <w:bookmarkEnd w:id="6"/>
    </w:p>
    <w:bookmarkEnd w:id="7"/>
    <w:bookmarkEnd w:id="8"/>
    <w:p w14:paraId="6C95D19C">
      <w:pPr>
        <w:numPr>
          <w:ilvl w:val="0"/>
          <w:numId w:val="5"/>
        </w:numPr>
        <w:autoSpaceDE w:val="0"/>
        <w:autoSpaceDN w:val="0"/>
        <w:adjustRightInd w:val="0"/>
        <w:snapToGrid w:val="0"/>
        <w:spacing w:line="440" w:lineRule="exact"/>
        <w:ind w:firstLine="352"/>
        <w:textAlignment w:val="bottom"/>
        <w:rPr>
          <w:rFonts w:ascii="宋体" w:hAnsi="宋体" w:cs="宋体"/>
          <w:b/>
          <w:bCs/>
          <w:sz w:val="24"/>
          <w:highlight w:val="none"/>
        </w:rPr>
      </w:pPr>
      <w:bookmarkStart w:id="9" w:name="_Toc466534749"/>
      <w:r>
        <w:rPr>
          <w:rFonts w:hint="eastAsia" w:ascii="宋体" w:hAnsi="宋体" w:cs="宋体"/>
          <w:b/>
          <w:bCs/>
          <w:color w:val="000000"/>
          <w:sz w:val="24"/>
          <w:highlight w:val="none"/>
        </w:rPr>
        <w:t>采购清单</w:t>
      </w:r>
    </w:p>
    <w:tbl>
      <w:tblPr>
        <w:tblStyle w:val="52"/>
        <w:tblW w:w="4994" w:type="pct"/>
        <w:tblInd w:w="0" w:type="dxa"/>
        <w:tblLayout w:type="fixed"/>
        <w:tblCellMar>
          <w:top w:w="0" w:type="dxa"/>
          <w:left w:w="108" w:type="dxa"/>
          <w:bottom w:w="0" w:type="dxa"/>
          <w:right w:w="108" w:type="dxa"/>
        </w:tblCellMar>
      </w:tblPr>
      <w:tblGrid>
        <w:gridCol w:w="571"/>
        <w:gridCol w:w="1392"/>
        <w:gridCol w:w="3938"/>
        <w:gridCol w:w="1027"/>
        <w:gridCol w:w="555"/>
        <w:gridCol w:w="1124"/>
      </w:tblGrid>
      <w:tr w14:paraId="66E5D037">
        <w:tblPrEx>
          <w:tblCellMar>
            <w:top w:w="0" w:type="dxa"/>
            <w:left w:w="108" w:type="dxa"/>
            <w:bottom w:w="0" w:type="dxa"/>
            <w:right w:w="108" w:type="dxa"/>
          </w:tblCellMar>
        </w:tblPrEx>
        <w:trPr>
          <w:trHeight w:val="474" w:hRule="atLeast"/>
        </w:trPr>
        <w:tc>
          <w:tcPr>
            <w:tcW w:w="331"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F40FA90">
            <w:pPr>
              <w:widowControl/>
              <w:spacing w:line="440" w:lineRule="exact"/>
              <w:jc w:val="center"/>
              <w:rPr>
                <w:rFonts w:ascii="宋体" w:hAnsi="宋体" w:cs="宋体"/>
                <w:b/>
                <w:bCs/>
                <w:kern w:val="0"/>
                <w:sz w:val="24"/>
                <w:highlight w:val="none"/>
              </w:rPr>
            </w:pPr>
            <w:bookmarkStart w:id="10" w:name="RANGE!A1:F193"/>
            <w:r>
              <w:rPr>
                <w:rFonts w:hint="eastAsia" w:ascii="宋体" w:hAnsi="宋体" w:cs="宋体"/>
                <w:b/>
                <w:bCs/>
                <w:kern w:val="0"/>
                <w:sz w:val="24"/>
                <w:highlight w:val="none"/>
              </w:rPr>
              <w:t>序号</w:t>
            </w:r>
            <w:bookmarkEnd w:id="10"/>
          </w:p>
        </w:tc>
        <w:tc>
          <w:tcPr>
            <w:tcW w:w="808" w:type="pct"/>
            <w:tcBorders>
              <w:top w:val="single" w:color="auto" w:sz="4" w:space="0"/>
              <w:left w:val="nil"/>
              <w:bottom w:val="single" w:color="auto" w:sz="4" w:space="0"/>
              <w:right w:val="single" w:color="auto" w:sz="4" w:space="0"/>
            </w:tcBorders>
            <w:shd w:val="clear" w:color="000000" w:fill="FFFFFF"/>
            <w:noWrap/>
            <w:vAlign w:val="center"/>
          </w:tcPr>
          <w:p w14:paraId="426C09F6">
            <w:pPr>
              <w:widowControl/>
              <w:spacing w:line="440" w:lineRule="exact"/>
              <w:jc w:val="left"/>
              <w:rPr>
                <w:rFonts w:ascii="宋体" w:hAnsi="宋体" w:cs="宋体"/>
                <w:b/>
                <w:bCs/>
                <w:kern w:val="0"/>
                <w:sz w:val="24"/>
                <w:highlight w:val="none"/>
              </w:rPr>
            </w:pPr>
            <w:r>
              <w:rPr>
                <w:rFonts w:hint="eastAsia" w:ascii="宋体" w:hAnsi="宋体" w:cs="宋体"/>
                <w:b/>
                <w:bCs/>
                <w:kern w:val="0"/>
                <w:sz w:val="24"/>
                <w:highlight w:val="none"/>
              </w:rPr>
              <w:t>设备名称</w:t>
            </w:r>
          </w:p>
        </w:tc>
        <w:tc>
          <w:tcPr>
            <w:tcW w:w="2287" w:type="pct"/>
            <w:tcBorders>
              <w:top w:val="single" w:color="auto" w:sz="4" w:space="0"/>
              <w:left w:val="nil"/>
              <w:bottom w:val="single" w:color="auto" w:sz="4" w:space="0"/>
              <w:right w:val="single" w:color="auto" w:sz="4" w:space="0"/>
            </w:tcBorders>
            <w:shd w:val="clear" w:color="000000" w:fill="FFFFFF"/>
            <w:vAlign w:val="center"/>
          </w:tcPr>
          <w:p w14:paraId="78B0370C">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规格型号及主要技术参数</w:t>
            </w:r>
          </w:p>
        </w:tc>
        <w:tc>
          <w:tcPr>
            <w:tcW w:w="596" w:type="pct"/>
            <w:tcBorders>
              <w:top w:val="single" w:color="auto" w:sz="4" w:space="0"/>
              <w:left w:val="nil"/>
              <w:bottom w:val="single" w:color="auto" w:sz="4" w:space="0"/>
              <w:right w:val="single" w:color="auto" w:sz="4" w:space="0"/>
            </w:tcBorders>
            <w:shd w:val="clear" w:color="000000" w:fill="FFFFFF"/>
            <w:noWrap/>
            <w:vAlign w:val="center"/>
          </w:tcPr>
          <w:p w14:paraId="48AC643F">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数量</w:t>
            </w:r>
          </w:p>
        </w:tc>
        <w:tc>
          <w:tcPr>
            <w:tcW w:w="322" w:type="pct"/>
            <w:tcBorders>
              <w:top w:val="single" w:color="auto" w:sz="4" w:space="0"/>
              <w:left w:val="nil"/>
              <w:bottom w:val="single" w:color="auto" w:sz="4" w:space="0"/>
              <w:right w:val="single" w:color="auto" w:sz="4" w:space="0"/>
            </w:tcBorders>
            <w:shd w:val="clear" w:color="000000" w:fill="FFFFFF"/>
            <w:noWrap/>
            <w:vAlign w:val="center"/>
          </w:tcPr>
          <w:p w14:paraId="1FBAB595">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单位</w:t>
            </w:r>
          </w:p>
        </w:tc>
        <w:tc>
          <w:tcPr>
            <w:tcW w:w="652" w:type="pct"/>
            <w:tcBorders>
              <w:top w:val="single" w:color="auto" w:sz="4" w:space="0"/>
              <w:left w:val="nil"/>
              <w:bottom w:val="single" w:color="auto" w:sz="4" w:space="0"/>
              <w:right w:val="single" w:color="auto" w:sz="4" w:space="0"/>
            </w:tcBorders>
            <w:shd w:val="clear" w:color="000000" w:fill="FFFFFF"/>
            <w:noWrap/>
            <w:vAlign w:val="center"/>
          </w:tcPr>
          <w:p w14:paraId="1033B616">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推荐品牌</w:t>
            </w:r>
          </w:p>
        </w:tc>
      </w:tr>
      <w:tr w14:paraId="6B4E0262">
        <w:tblPrEx>
          <w:tblCellMar>
            <w:top w:w="0" w:type="dxa"/>
            <w:left w:w="108" w:type="dxa"/>
            <w:bottom w:w="0" w:type="dxa"/>
            <w:right w:w="108" w:type="dxa"/>
          </w:tblCellMar>
        </w:tblPrEx>
        <w:trPr>
          <w:trHeight w:val="474" w:hRule="atLeast"/>
        </w:trPr>
        <w:tc>
          <w:tcPr>
            <w:tcW w:w="5000" w:type="pct"/>
            <w:gridSpan w:val="6"/>
            <w:tcBorders>
              <w:top w:val="single" w:color="auto" w:sz="4" w:space="0"/>
              <w:left w:val="single" w:color="auto" w:sz="4" w:space="0"/>
              <w:bottom w:val="single" w:color="auto" w:sz="4" w:space="0"/>
              <w:right w:val="single" w:color="auto" w:sz="4" w:space="0"/>
            </w:tcBorders>
            <w:shd w:val="clear" w:color="000000" w:fill="FFFFFF"/>
            <w:noWrap/>
            <w:vAlign w:val="center"/>
          </w:tcPr>
          <w:p w14:paraId="143668E4">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一、设备安装部分</w:t>
            </w:r>
          </w:p>
        </w:tc>
      </w:tr>
      <w:tr w14:paraId="35F8FECD">
        <w:tblPrEx>
          <w:tblCellMar>
            <w:top w:w="0" w:type="dxa"/>
            <w:left w:w="108" w:type="dxa"/>
            <w:bottom w:w="0" w:type="dxa"/>
            <w:right w:w="108" w:type="dxa"/>
          </w:tblCellMar>
        </w:tblPrEx>
        <w:trPr>
          <w:trHeight w:val="3018" w:hRule="atLeast"/>
        </w:trPr>
        <w:tc>
          <w:tcPr>
            <w:tcW w:w="331" w:type="pct"/>
            <w:tcBorders>
              <w:top w:val="nil"/>
              <w:left w:val="single" w:color="auto" w:sz="4" w:space="0"/>
              <w:bottom w:val="single" w:color="auto" w:sz="4" w:space="0"/>
              <w:right w:val="single" w:color="auto" w:sz="4" w:space="0"/>
            </w:tcBorders>
            <w:noWrap/>
            <w:vAlign w:val="center"/>
          </w:tcPr>
          <w:p w14:paraId="04935B5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808" w:type="pct"/>
            <w:tcBorders>
              <w:top w:val="nil"/>
              <w:left w:val="nil"/>
              <w:bottom w:val="single" w:color="auto" w:sz="4" w:space="0"/>
              <w:right w:val="single" w:color="auto" w:sz="4" w:space="0"/>
            </w:tcBorders>
            <w:noWrap/>
            <w:vAlign w:val="center"/>
          </w:tcPr>
          <w:p w14:paraId="11172CC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一体化净水设备</w:t>
            </w:r>
          </w:p>
        </w:tc>
        <w:tc>
          <w:tcPr>
            <w:tcW w:w="2287" w:type="pct"/>
            <w:tcBorders>
              <w:top w:val="nil"/>
              <w:left w:val="nil"/>
              <w:bottom w:val="single" w:color="auto" w:sz="4" w:space="0"/>
              <w:right w:val="single" w:color="auto" w:sz="4" w:space="0"/>
            </w:tcBorders>
            <w:vAlign w:val="center"/>
          </w:tcPr>
          <w:p w14:paraId="5D37D43F">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1.名称：一体化净水设备</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2.型号：设计规模5000t/d</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3.</w:t>
            </w:r>
            <w:r>
              <w:rPr>
                <w:rFonts w:hint="eastAsia" w:ascii="宋体" w:hAnsi="宋体" w:cs="宋体"/>
                <w:color w:val="000000"/>
                <w:kern w:val="0"/>
                <w:sz w:val="24"/>
                <w:highlight w:val="none"/>
                <w:lang w:bidi="ar"/>
              </w:rPr>
              <w:t>尺寸</w:t>
            </w:r>
            <w:r>
              <w:rPr>
                <w:rFonts w:hint="eastAsia" w:ascii="宋体" w:hAnsi="宋体" w:cs="宋体"/>
                <w:color w:val="000000"/>
                <w:kern w:val="0"/>
                <w:sz w:val="24"/>
                <w:highlight w:val="none"/>
                <w:lang w:val="en-US" w:eastAsia="zh-CN" w:bidi="ar"/>
              </w:rPr>
              <w:t>:长×宽×高=</w:t>
            </w:r>
            <w:r>
              <w:rPr>
                <w:rFonts w:hint="eastAsia" w:ascii="宋体" w:hAnsi="宋体" w:cs="宋体"/>
                <w:color w:val="000000"/>
                <w:kern w:val="0"/>
                <w:sz w:val="24"/>
                <w:highlight w:val="none"/>
                <w:lang w:bidi="ar"/>
              </w:rPr>
              <w:t xml:space="preserve">11.8m×8.6m×5.6m </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4</w:t>
            </w:r>
            <w:r>
              <w:rPr>
                <w:rFonts w:hint="eastAsia" w:ascii="宋体" w:hAnsi="宋体" w:cs="宋体"/>
                <w:color w:val="000000"/>
                <w:kern w:val="0"/>
                <w:sz w:val="24"/>
                <w:highlight w:val="none"/>
                <w:lang w:bidi="ar"/>
              </w:rPr>
              <w:t>.材质：材质304不锈钢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5</w:t>
            </w:r>
            <w:r>
              <w:rPr>
                <w:rFonts w:hint="eastAsia" w:ascii="宋体" w:hAnsi="宋体" w:cs="宋体"/>
                <w:color w:val="000000"/>
                <w:kern w:val="0"/>
                <w:sz w:val="24"/>
                <w:highlight w:val="none"/>
                <w:lang w:bidi="ar"/>
              </w:rPr>
              <w:t>.其他：含网格絮凝区及斜管沉淀区、无阀滤池区、反冲洗系统、排泥管路等，配套不锈钢网格高效絮凝反应器、不锈钢斜管、长柄滤头等，含本体设施的对接管路</w:t>
            </w:r>
          </w:p>
        </w:tc>
        <w:tc>
          <w:tcPr>
            <w:tcW w:w="596" w:type="pct"/>
            <w:tcBorders>
              <w:top w:val="nil"/>
              <w:left w:val="nil"/>
              <w:bottom w:val="single" w:color="auto" w:sz="4" w:space="0"/>
              <w:right w:val="single" w:color="auto" w:sz="4" w:space="0"/>
            </w:tcBorders>
            <w:noWrap/>
            <w:vAlign w:val="center"/>
          </w:tcPr>
          <w:p w14:paraId="6168423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nil"/>
              <w:left w:val="nil"/>
              <w:bottom w:val="single" w:color="auto" w:sz="4" w:space="0"/>
              <w:right w:val="single" w:color="auto" w:sz="4" w:space="0"/>
            </w:tcBorders>
            <w:noWrap/>
            <w:vAlign w:val="center"/>
          </w:tcPr>
          <w:p w14:paraId="2DFE367B">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座</w:t>
            </w:r>
          </w:p>
        </w:tc>
        <w:tc>
          <w:tcPr>
            <w:tcW w:w="652" w:type="pct"/>
            <w:tcBorders>
              <w:top w:val="nil"/>
              <w:left w:val="nil"/>
              <w:bottom w:val="single" w:color="auto" w:sz="4" w:space="0"/>
              <w:right w:val="single" w:color="auto" w:sz="4" w:space="0"/>
            </w:tcBorders>
            <w:vAlign w:val="center"/>
          </w:tcPr>
          <w:p w14:paraId="728D7D0B">
            <w:pPr>
              <w:widowControl/>
              <w:spacing w:line="440" w:lineRule="exact"/>
              <w:jc w:val="center"/>
              <w:rPr>
                <w:rFonts w:ascii="宋体" w:hAnsi="宋体" w:cs="宋体"/>
                <w:kern w:val="0"/>
                <w:sz w:val="24"/>
                <w:highlight w:val="none"/>
              </w:rPr>
            </w:pPr>
          </w:p>
        </w:tc>
      </w:tr>
      <w:tr w14:paraId="49E07DD6">
        <w:tblPrEx>
          <w:tblCellMar>
            <w:top w:w="0" w:type="dxa"/>
            <w:left w:w="108" w:type="dxa"/>
            <w:bottom w:w="0" w:type="dxa"/>
            <w:right w:w="108" w:type="dxa"/>
          </w:tblCellMar>
        </w:tblPrEx>
        <w:trPr>
          <w:trHeight w:val="691" w:hRule="atLeast"/>
        </w:trPr>
        <w:tc>
          <w:tcPr>
            <w:tcW w:w="331" w:type="pct"/>
            <w:tcBorders>
              <w:top w:val="nil"/>
              <w:left w:val="single" w:color="auto" w:sz="4" w:space="0"/>
              <w:bottom w:val="single" w:color="auto" w:sz="4" w:space="0"/>
              <w:right w:val="single" w:color="auto" w:sz="4" w:space="0"/>
            </w:tcBorders>
            <w:noWrap/>
            <w:vAlign w:val="center"/>
          </w:tcPr>
          <w:p w14:paraId="26DDB44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w:t>
            </w:r>
          </w:p>
        </w:tc>
        <w:tc>
          <w:tcPr>
            <w:tcW w:w="808" w:type="pct"/>
            <w:tcBorders>
              <w:top w:val="nil"/>
              <w:left w:val="nil"/>
              <w:bottom w:val="single" w:color="auto" w:sz="4" w:space="0"/>
              <w:right w:val="single" w:color="auto" w:sz="4" w:space="0"/>
            </w:tcBorders>
            <w:noWrap/>
            <w:vAlign w:val="center"/>
          </w:tcPr>
          <w:p w14:paraId="0C01C6FE">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水力快开排泥阀</w:t>
            </w:r>
          </w:p>
        </w:tc>
        <w:tc>
          <w:tcPr>
            <w:tcW w:w="2287" w:type="pct"/>
            <w:tcBorders>
              <w:top w:val="nil"/>
              <w:left w:val="nil"/>
              <w:bottom w:val="single" w:color="auto" w:sz="4" w:space="0"/>
              <w:right w:val="single" w:color="auto" w:sz="4" w:space="0"/>
            </w:tcBorders>
            <w:vAlign w:val="center"/>
          </w:tcPr>
          <w:p w14:paraId="04A090A4">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1.名称：水力快开排泥阀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w:t>
            </w:r>
            <w:r>
              <w:rPr>
                <w:rFonts w:hint="eastAsia" w:ascii="宋体" w:hAnsi="宋体" w:cs="宋体"/>
                <w:color w:val="000000"/>
                <w:kern w:val="0"/>
                <w:sz w:val="24"/>
                <w:highlight w:val="none"/>
                <w:lang w:val="en-US" w:eastAsia="zh-CN" w:bidi="ar"/>
              </w:rPr>
              <w:t>DN150,PN10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96" w:type="pct"/>
            <w:tcBorders>
              <w:top w:val="nil"/>
              <w:left w:val="nil"/>
              <w:bottom w:val="single" w:color="auto" w:sz="4" w:space="0"/>
              <w:right w:val="single" w:color="auto" w:sz="4" w:space="0"/>
            </w:tcBorders>
            <w:noWrap/>
            <w:vAlign w:val="center"/>
          </w:tcPr>
          <w:p w14:paraId="55145C7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322" w:type="pct"/>
            <w:tcBorders>
              <w:top w:val="nil"/>
              <w:left w:val="nil"/>
              <w:bottom w:val="single" w:color="auto" w:sz="4" w:space="0"/>
              <w:right w:val="single" w:color="auto" w:sz="4" w:space="0"/>
            </w:tcBorders>
            <w:noWrap/>
            <w:vAlign w:val="center"/>
          </w:tcPr>
          <w:p w14:paraId="5A00E087">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117C7625">
            <w:pPr>
              <w:widowControl/>
              <w:spacing w:line="440" w:lineRule="exact"/>
              <w:jc w:val="center"/>
              <w:rPr>
                <w:rFonts w:ascii="宋体" w:hAnsi="宋体" w:cs="宋体"/>
                <w:kern w:val="0"/>
                <w:sz w:val="24"/>
                <w:highlight w:val="none"/>
              </w:rPr>
            </w:pPr>
            <w:bookmarkStart w:id="11" w:name="OLE_LINK15"/>
            <w:bookmarkStart w:id="12" w:name="OLE_LINK14"/>
            <w:r>
              <w:rPr>
                <w:rFonts w:hint="eastAsia" w:ascii="宋体" w:hAnsi="宋体" w:cs="宋体"/>
                <w:kern w:val="0"/>
                <w:sz w:val="24"/>
                <w:highlight w:val="none"/>
              </w:rPr>
              <w:t>上海冠龙、宁波一机、株洲南方</w:t>
            </w:r>
            <w:bookmarkEnd w:id="11"/>
            <w:bookmarkEnd w:id="12"/>
          </w:p>
        </w:tc>
      </w:tr>
      <w:tr w14:paraId="6B6367C1">
        <w:tblPrEx>
          <w:tblCellMar>
            <w:top w:w="0" w:type="dxa"/>
            <w:left w:w="108" w:type="dxa"/>
            <w:bottom w:w="0" w:type="dxa"/>
            <w:right w:w="108" w:type="dxa"/>
          </w:tblCellMar>
        </w:tblPrEx>
        <w:trPr>
          <w:trHeight w:val="870" w:hRule="atLeast"/>
        </w:trPr>
        <w:tc>
          <w:tcPr>
            <w:tcW w:w="331" w:type="pct"/>
            <w:tcBorders>
              <w:top w:val="nil"/>
              <w:left w:val="single" w:color="auto" w:sz="4" w:space="0"/>
              <w:bottom w:val="single" w:color="auto" w:sz="4" w:space="0"/>
              <w:right w:val="single" w:color="auto" w:sz="4" w:space="0"/>
            </w:tcBorders>
            <w:noWrap/>
            <w:vAlign w:val="center"/>
          </w:tcPr>
          <w:p w14:paraId="2B68BBC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3</w:t>
            </w:r>
          </w:p>
        </w:tc>
        <w:tc>
          <w:tcPr>
            <w:tcW w:w="808" w:type="pct"/>
            <w:tcBorders>
              <w:top w:val="nil"/>
              <w:left w:val="nil"/>
              <w:bottom w:val="single" w:color="auto" w:sz="4" w:space="0"/>
              <w:right w:val="single" w:color="auto" w:sz="4" w:space="0"/>
            </w:tcBorders>
            <w:noWrap/>
            <w:vAlign w:val="center"/>
          </w:tcPr>
          <w:p w14:paraId="57A337A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电磁阀</w:t>
            </w:r>
          </w:p>
        </w:tc>
        <w:tc>
          <w:tcPr>
            <w:tcW w:w="2287" w:type="pct"/>
            <w:tcBorders>
              <w:top w:val="nil"/>
              <w:left w:val="nil"/>
              <w:bottom w:val="single" w:color="auto" w:sz="4" w:space="0"/>
              <w:right w:val="single" w:color="auto" w:sz="4" w:space="0"/>
            </w:tcBorders>
            <w:vAlign w:val="center"/>
          </w:tcPr>
          <w:p w14:paraId="08A8002A">
            <w:pPr>
              <w:widowControl/>
              <w:numPr>
                <w:ilvl w:val="0"/>
                <w:numId w:val="6"/>
              </w:numPr>
              <w:jc w:val="left"/>
              <w:textAlignment w:val="center"/>
              <w:rPr>
                <w:rFonts w:hint="eastAsia" w:ascii="宋体" w:hAnsi="宋体" w:cs="宋体"/>
                <w:color w:val="000000"/>
                <w:kern w:val="0"/>
                <w:sz w:val="24"/>
                <w:highlight w:val="none"/>
                <w:lang w:bidi="ar"/>
              </w:rPr>
            </w:pPr>
            <w:r>
              <w:rPr>
                <w:rFonts w:hint="eastAsia" w:ascii="宋体" w:hAnsi="宋体" w:cs="宋体"/>
                <w:color w:val="000000"/>
                <w:kern w:val="0"/>
                <w:sz w:val="24"/>
                <w:highlight w:val="none"/>
                <w:lang w:bidi="ar"/>
              </w:rPr>
              <w:t>名 称：电磁阀</w:t>
            </w:r>
          </w:p>
          <w:p w14:paraId="5E541D63">
            <w:pPr>
              <w:widowControl/>
              <w:numPr>
                <w:ilvl w:val="0"/>
                <w:numId w:val="6"/>
              </w:numPr>
              <w:jc w:val="left"/>
              <w:textAlignment w:val="center"/>
              <w:rPr>
                <w:rFonts w:hint="eastAsia" w:ascii="宋体" w:hAnsi="宋体" w:cs="宋体"/>
                <w:color w:val="000000"/>
                <w:kern w:val="0"/>
                <w:sz w:val="24"/>
                <w:highlight w:val="none"/>
                <w:lang w:bidi="ar"/>
              </w:rPr>
            </w:pPr>
            <w:r>
              <w:rPr>
                <w:rFonts w:hint="eastAsia" w:ascii="宋体" w:hAnsi="宋体" w:cs="宋体"/>
                <w:color w:val="000000"/>
                <w:kern w:val="0"/>
                <w:sz w:val="24"/>
                <w:highlight w:val="none"/>
                <w:lang w:bidi="ar"/>
              </w:rPr>
              <w:t>水力快开排泥阀</w:t>
            </w:r>
            <w:r>
              <w:rPr>
                <w:rFonts w:hint="eastAsia" w:ascii="宋体" w:hAnsi="宋体" w:cs="宋体"/>
                <w:color w:val="000000"/>
                <w:kern w:val="0"/>
                <w:sz w:val="24"/>
                <w:highlight w:val="none"/>
                <w:lang w:val="en-US" w:eastAsia="zh-CN" w:bidi="ar"/>
              </w:rPr>
              <w:t xml:space="preserve">配套 </w:t>
            </w:r>
          </w:p>
        </w:tc>
        <w:tc>
          <w:tcPr>
            <w:tcW w:w="596" w:type="pct"/>
            <w:tcBorders>
              <w:top w:val="nil"/>
              <w:left w:val="nil"/>
              <w:bottom w:val="single" w:color="auto" w:sz="4" w:space="0"/>
              <w:right w:val="single" w:color="auto" w:sz="4" w:space="0"/>
            </w:tcBorders>
            <w:noWrap/>
            <w:vAlign w:val="center"/>
          </w:tcPr>
          <w:p w14:paraId="7C1A48E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322" w:type="pct"/>
            <w:tcBorders>
              <w:top w:val="nil"/>
              <w:left w:val="nil"/>
              <w:bottom w:val="single" w:color="auto" w:sz="4" w:space="0"/>
              <w:right w:val="single" w:color="auto" w:sz="4" w:space="0"/>
            </w:tcBorders>
            <w:noWrap/>
            <w:vAlign w:val="center"/>
          </w:tcPr>
          <w:p w14:paraId="0DB0CAB6">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1F63C78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4EAA746B">
        <w:tblPrEx>
          <w:tblCellMar>
            <w:top w:w="0" w:type="dxa"/>
            <w:left w:w="108" w:type="dxa"/>
            <w:bottom w:w="0" w:type="dxa"/>
            <w:right w:w="108" w:type="dxa"/>
          </w:tblCellMar>
        </w:tblPrEx>
        <w:trPr>
          <w:trHeight w:val="691" w:hRule="atLeast"/>
        </w:trPr>
        <w:tc>
          <w:tcPr>
            <w:tcW w:w="331" w:type="pct"/>
            <w:tcBorders>
              <w:top w:val="nil"/>
              <w:left w:val="single" w:color="auto" w:sz="4" w:space="0"/>
              <w:bottom w:val="single" w:color="auto" w:sz="4" w:space="0"/>
              <w:right w:val="single" w:color="auto" w:sz="4" w:space="0"/>
            </w:tcBorders>
            <w:noWrap/>
            <w:vAlign w:val="center"/>
          </w:tcPr>
          <w:p w14:paraId="1FAD5F5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808" w:type="pct"/>
            <w:tcBorders>
              <w:top w:val="nil"/>
              <w:left w:val="nil"/>
              <w:bottom w:val="single" w:color="auto" w:sz="4" w:space="0"/>
              <w:right w:val="single" w:color="auto" w:sz="4" w:space="0"/>
            </w:tcBorders>
            <w:noWrap/>
            <w:vAlign w:val="center"/>
          </w:tcPr>
          <w:p w14:paraId="17095CE9">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手动闸阀</w:t>
            </w:r>
          </w:p>
        </w:tc>
        <w:tc>
          <w:tcPr>
            <w:tcW w:w="2287" w:type="pct"/>
            <w:tcBorders>
              <w:top w:val="nil"/>
              <w:left w:val="nil"/>
              <w:bottom w:val="single" w:color="auto" w:sz="4" w:space="0"/>
              <w:right w:val="single" w:color="auto" w:sz="4" w:space="0"/>
            </w:tcBorders>
            <w:vAlign w:val="center"/>
          </w:tcPr>
          <w:p w14:paraId="69A23E87">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1.名称：手动闸阀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2.规格：DN150，PN10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96" w:type="pct"/>
            <w:tcBorders>
              <w:top w:val="nil"/>
              <w:left w:val="nil"/>
              <w:bottom w:val="single" w:color="auto" w:sz="4" w:space="0"/>
              <w:right w:val="single" w:color="auto" w:sz="4" w:space="0"/>
            </w:tcBorders>
            <w:noWrap/>
            <w:vAlign w:val="center"/>
          </w:tcPr>
          <w:p w14:paraId="2ED70A0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322" w:type="pct"/>
            <w:tcBorders>
              <w:top w:val="nil"/>
              <w:left w:val="nil"/>
              <w:bottom w:val="single" w:color="auto" w:sz="4" w:space="0"/>
              <w:right w:val="single" w:color="auto" w:sz="4" w:space="0"/>
            </w:tcBorders>
            <w:noWrap/>
            <w:vAlign w:val="center"/>
          </w:tcPr>
          <w:p w14:paraId="13B14993">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680F39A4">
            <w:pPr>
              <w:widowControl/>
              <w:spacing w:line="440" w:lineRule="exact"/>
              <w:jc w:val="center"/>
              <w:rPr>
                <w:rFonts w:ascii="宋体" w:hAnsi="宋体" w:cs="宋体"/>
                <w:kern w:val="0"/>
                <w:sz w:val="24"/>
                <w:highlight w:val="none"/>
              </w:rPr>
            </w:pPr>
            <w:bookmarkStart w:id="13" w:name="OLE_LINK17"/>
            <w:bookmarkStart w:id="14" w:name="OLE_LINK16"/>
            <w:r>
              <w:rPr>
                <w:rFonts w:hint="eastAsia" w:ascii="宋体" w:hAnsi="宋体" w:cs="宋体"/>
                <w:kern w:val="0"/>
                <w:sz w:val="24"/>
                <w:highlight w:val="none"/>
              </w:rPr>
              <w:t>上海冠龙、宁波一机、株洲南方</w:t>
            </w:r>
            <w:bookmarkEnd w:id="13"/>
            <w:bookmarkEnd w:id="14"/>
          </w:p>
        </w:tc>
      </w:tr>
      <w:tr w14:paraId="0C6F5DF0">
        <w:tblPrEx>
          <w:tblCellMar>
            <w:top w:w="0" w:type="dxa"/>
            <w:left w:w="108" w:type="dxa"/>
            <w:bottom w:w="0" w:type="dxa"/>
            <w:right w:w="108" w:type="dxa"/>
          </w:tblCellMar>
        </w:tblPrEx>
        <w:trPr>
          <w:trHeight w:val="691" w:hRule="atLeast"/>
        </w:trPr>
        <w:tc>
          <w:tcPr>
            <w:tcW w:w="331" w:type="pct"/>
            <w:tcBorders>
              <w:top w:val="nil"/>
              <w:left w:val="single" w:color="auto" w:sz="4" w:space="0"/>
              <w:bottom w:val="single" w:color="auto" w:sz="4" w:space="0"/>
              <w:right w:val="single" w:color="auto" w:sz="4" w:space="0"/>
            </w:tcBorders>
            <w:noWrap/>
            <w:vAlign w:val="center"/>
          </w:tcPr>
          <w:p w14:paraId="28A48AF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5</w:t>
            </w:r>
          </w:p>
        </w:tc>
        <w:tc>
          <w:tcPr>
            <w:tcW w:w="808" w:type="pct"/>
            <w:tcBorders>
              <w:top w:val="nil"/>
              <w:left w:val="nil"/>
              <w:bottom w:val="single" w:color="auto" w:sz="4" w:space="0"/>
              <w:right w:val="single" w:color="auto" w:sz="4" w:space="0"/>
            </w:tcBorders>
            <w:noWrap/>
            <w:vAlign w:val="center"/>
          </w:tcPr>
          <w:p w14:paraId="386836E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手动蝶阀</w:t>
            </w:r>
          </w:p>
        </w:tc>
        <w:tc>
          <w:tcPr>
            <w:tcW w:w="2287" w:type="pct"/>
            <w:tcBorders>
              <w:top w:val="nil"/>
              <w:left w:val="nil"/>
              <w:bottom w:val="single" w:color="auto" w:sz="4" w:space="0"/>
              <w:right w:val="single" w:color="auto" w:sz="4" w:space="0"/>
            </w:tcBorders>
            <w:vAlign w:val="center"/>
          </w:tcPr>
          <w:p w14:paraId="36A4795D">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1.名称：手动蝶阀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2.规格：DN100，PN10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96" w:type="pct"/>
            <w:tcBorders>
              <w:top w:val="nil"/>
              <w:left w:val="nil"/>
              <w:bottom w:val="single" w:color="auto" w:sz="4" w:space="0"/>
              <w:right w:val="single" w:color="auto" w:sz="4" w:space="0"/>
            </w:tcBorders>
            <w:noWrap/>
            <w:vAlign w:val="center"/>
          </w:tcPr>
          <w:p w14:paraId="542D6EC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322" w:type="pct"/>
            <w:tcBorders>
              <w:top w:val="nil"/>
              <w:left w:val="nil"/>
              <w:bottom w:val="single" w:color="auto" w:sz="4" w:space="0"/>
              <w:right w:val="single" w:color="auto" w:sz="4" w:space="0"/>
            </w:tcBorders>
            <w:noWrap/>
            <w:vAlign w:val="center"/>
          </w:tcPr>
          <w:p w14:paraId="7BFC2A48">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3E35BE8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上海冠龙、宁波一机、株洲南方</w:t>
            </w:r>
          </w:p>
        </w:tc>
      </w:tr>
      <w:tr w14:paraId="6AE523D2">
        <w:tblPrEx>
          <w:tblCellMar>
            <w:top w:w="0" w:type="dxa"/>
            <w:left w:w="108" w:type="dxa"/>
            <w:bottom w:w="0" w:type="dxa"/>
            <w:right w:w="108" w:type="dxa"/>
          </w:tblCellMar>
        </w:tblPrEx>
        <w:trPr>
          <w:trHeight w:val="691" w:hRule="atLeast"/>
        </w:trPr>
        <w:tc>
          <w:tcPr>
            <w:tcW w:w="331" w:type="pct"/>
            <w:tcBorders>
              <w:top w:val="nil"/>
              <w:left w:val="single" w:color="auto" w:sz="4" w:space="0"/>
              <w:bottom w:val="single" w:color="auto" w:sz="4" w:space="0"/>
              <w:right w:val="single" w:color="auto" w:sz="4" w:space="0"/>
            </w:tcBorders>
            <w:noWrap/>
            <w:vAlign w:val="center"/>
          </w:tcPr>
          <w:p w14:paraId="460FD01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6</w:t>
            </w:r>
          </w:p>
        </w:tc>
        <w:tc>
          <w:tcPr>
            <w:tcW w:w="808" w:type="pct"/>
            <w:tcBorders>
              <w:top w:val="nil"/>
              <w:left w:val="nil"/>
              <w:bottom w:val="single" w:color="auto" w:sz="4" w:space="0"/>
              <w:right w:val="single" w:color="auto" w:sz="4" w:space="0"/>
            </w:tcBorders>
            <w:noWrap/>
            <w:vAlign w:val="center"/>
          </w:tcPr>
          <w:p w14:paraId="299075B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双法兰传力伸缩接头</w:t>
            </w:r>
          </w:p>
        </w:tc>
        <w:tc>
          <w:tcPr>
            <w:tcW w:w="2287" w:type="pct"/>
            <w:tcBorders>
              <w:top w:val="nil"/>
              <w:left w:val="nil"/>
              <w:bottom w:val="single" w:color="auto" w:sz="4" w:space="0"/>
              <w:right w:val="single" w:color="auto" w:sz="4" w:space="0"/>
            </w:tcBorders>
            <w:vAlign w:val="center"/>
          </w:tcPr>
          <w:p w14:paraId="455EB3E6">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1.名称：双法兰传力伸缩接头</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2.规格：DN100，PN10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96" w:type="pct"/>
            <w:tcBorders>
              <w:top w:val="nil"/>
              <w:left w:val="nil"/>
              <w:bottom w:val="single" w:color="auto" w:sz="4" w:space="0"/>
              <w:right w:val="single" w:color="auto" w:sz="4" w:space="0"/>
            </w:tcBorders>
            <w:noWrap/>
            <w:vAlign w:val="center"/>
          </w:tcPr>
          <w:p w14:paraId="43B3509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322" w:type="pct"/>
            <w:tcBorders>
              <w:top w:val="nil"/>
              <w:left w:val="nil"/>
              <w:bottom w:val="single" w:color="auto" w:sz="4" w:space="0"/>
              <w:right w:val="single" w:color="auto" w:sz="4" w:space="0"/>
            </w:tcBorders>
            <w:noWrap/>
            <w:vAlign w:val="center"/>
          </w:tcPr>
          <w:p w14:paraId="59B98F2D">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6CC1735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阀门配套</w:t>
            </w:r>
          </w:p>
        </w:tc>
      </w:tr>
      <w:tr w14:paraId="20286333">
        <w:tblPrEx>
          <w:tblCellMar>
            <w:top w:w="0" w:type="dxa"/>
            <w:left w:w="108" w:type="dxa"/>
            <w:bottom w:w="0" w:type="dxa"/>
            <w:right w:w="108" w:type="dxa"/>
          </w:tblCellMar>
        </w:tblPrEx>
        <w:trPr>
          <w:trHeight w:val="691" w:hRule="atLeast"/>
        </w:trPr>
        <w:tc>
          <w:tcPr>
            <w:tcW w:w="331" w:type="pct"/>
            <w:tcBorders>
              <w:top w:val="nil"/>
              <w:left w:val="single" w:color="auto" w:sz="4" w:space="0"/>
              <w:bottom w:val="single" w:color="auto" w:sz="4" w:space="0"/>
              <w:right w:val="single" w:color="auto" w:sz="4" w:space="0"/>
            </w:tcBorders>
            <w:noWrap/>
            <w:vAlign w:val="center"/>
          </w:tcPr>
          <w:p w14:paraId="3491EEF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7</w:t>
            </w:r>
          </w:p>
        </w:tc>
        <w:tc>
          <w:tcPr>
            <w:tcW w:w="808" w:type="pct"/>
            <w:tcBorders>
              <w:top w:val="nil"/>
              <w:left w:val="nil"/>
              <w:bottom w:val="single" w:color="auto" w:sz="4" w:space="0"/>
              <w:right w:val="single" w:color="auto" w:sz="4" w:space="0"/>
            </w:tcBorders>
            <w:noWrap/>
            <w:vAlign w:val="center"/>
          </w:tcPr>
          <w:p w14:paraId="6B8F4F2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排泥管</w:t>
            </w:r>
          </w:p>
        </w:tc>
        <w:tc>
          <w:tcPr>
            <w:tcW w:w="2287" w:type="pct"/>
            <w:tcBorders>
              <w:top w:val="nil"/>
              <w:left w:val="nil"/>
              <w:bottom w:val="single" w:color="auto" w:sz="4" w:space="0"/>
              <w:right w:val="single" w:color="auto" w:sz="4" w:space="0"/>
            </w:tcBorders>
            <w:vAlign w:val="center"/>
          </w:tcPr>
          <w:p w14:paraId="3D9EA3FD">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1.规格、压力等级：DN150，PN10，304不锈钢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2.其他：含DN200法兰18片</w:t>
            </w:r>
          </w:p>
        </w:tc>
        <w:tc>
          <w:tcPr>
            <w:tcW w:w="596" w:type="pct"/>
            <w:tcBorders>
              <w:top w:val="nil"/>
              <w:left w:val="nil"/>
              <w:bottom w:val="single" w:color="auto" w:sz="4" w:space="0"/>
              <w:right w:val="single" w:color="auto" w:sz="4" w:space="0"/>
            </w:tcBorders>
            <w:noWrap/>
            <w:vAlign w:val="center"/>
          </w:tcPr>
          <w:p w14:paraId="2CE5B12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60</w:t>
            </w:r>
          </w:p>
        </w:tc>
        <w:tc>
          <w:tcPr>
            <w:tcW w:w="322" w:type="pct"/>
            <w:tcBorders>
              <w:top w:val="nil"/>
              <w:left w:val="nil"/>
              <w:bottom w:val="single" w:color="auto" w:sz="4" w:space="0"/>
              <w:right w:val="single" w:color="auto" w:sz="4" w:space="0"/>
            </w:tcBorders>
            <w:noWrap/>
            <w:vAlign w:val="center"/>
          </w:tcPr>
          <w:p w14:paraId="1914D0D8">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652" w:type="pct"/>
            <w:tcBorders>
              <w:top w:val="nil"/>
              <w:left w:val="nil"/>
              <w:bottom w:val="single" w:color="auto" w:sz="4" w:space="0"/>
              <w:right w:val="single" w:color="auto" w:sz="4" w:space="0"/>
            </w:tcBorders>
            <w:vAlign w:val="center"/>
          </w:tcPr>
          <w:p w14:paraId="330230A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5216830E">
        <w:tblPrEx>
          <w:tblCellMar>
            <w:top w:w="0" w:type="dxa"/>
            <w:left w:w="108" w:type="dxa"/>
            <w:bottom w:w="0" w:type="dxa"/>
            <w:right w:w="108" w:type="dxa"/>
          </w:tblCellMar>
        </w:tblPrEx>
        <w:trPr>
          <w:trHeight w:val="866" w:hRule="atLeast"/>
        </w:trPr>
        <w:tc>
          <w:tcPr>
            <w:tcW w:w="331" w:type="pct"/>
            <w:tcBorders>
              <w:top w:val="nil"/>
              <w:left w:val="single" w:color="auto" w:sz="4" w:space="0"/>
              <w:bottom w:val="single" w:color="auto" w:sz="4" w:space="0"/>
              <w:right w:val="single" w:color="auto" w:sz="4" w:space="0"/>
            </w:tcBorders>
            <w:noWrap/>
            <w:vAlign w:val="center"/>
          </w:tcPr>
          <w:p w14:paraId="698D9C7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808" w:type="pct"/>
            <w:tcBorders>
              <w:top w:val="nil"/>
              <w:left w:val="nil"/>
              <w:bottom w:val="single" w:color="auto" w:sz="4" w:space="0"/>
              <w:right w:val="single" w:color="auto" w:sz="4" w:space="0"/>
            </w:tcBorders>
            <w:noWrap/>
            <w:vAlign w:val="center"/>
          </w:tcPr>
          <w:p w14:paraId="18C2D0C4">
            <w:pPr>
              <w:widowControl/>
              <w:spacing w:line="440" w:lineRule="exact"/>
              <w:jc w:val="left"/>
              <w:rPr>
                <w:rFonts w:ascii="宋体" w:hAnsi="宋体" w:cs="宋体"/>
                <w:kern w:val="0"/>
                <w:sz w:val="24"/>
                <w:highlight w:val="none"/>
              </w:rPr>
            </w:pPr>
            <w:bookmarkStart w:id="15" w:name="OLE_LINK32"/>
            <w:bookmarkStart w:id="16" w:name="OLE_LINK31"/>
            <w:bookmarkStart w:id="17" w:name="OLE_LINK34"/>
            <w:r>
              <w:rPr>
                <w:rFonts w:hint="eastAsia" w:ascii="宋体" w:hAnsi="宋体" w:cs="宋体"/>
                <w:kern w:val="0"/>
                <w:sz w:val="24"/>
                <w:highlight w:val="none"/>
              </w:rPr>
              <w:t>90°弯头</w:t>
            </w:r>
            <w:bookmarkEnd w:id="15"/>
            <w:bookmarkEnd w:id="16"/>
            <w:bookmarkEnd w:id="17"/>
          </w:p>
        </w:tc>
        <w:tc>
          <w:tcPr>
            <w:tcW w:w="2287" w:type="pct"/>
            <w:tcBorders>
              <w:top w:val="nil"/>
              <w:left w:val="nil"/>
              <w:bottom w:val="single" w:color="auto" w:sz="4" w:space="0"/>
              <w:right w:val="single" w:color="auto" w:sz="4" w:space="0"/>
            </w:tcBorders>
            <w:vAlign w:val="center"/>
          </w:tcPr>
          <w:p w14:paraId="759D8AE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1.材质及规格：DN150，PN10；304不锈钢90°弯头</w:t>
            </w:r>
          </w:p>
        </w:tc>
        <w:tc>
          <w:tcPr>
            <w:tcW w:w="596" w:type="pct"/>
            <w:tcBorders>
              <w:top w:val="nil"/>
              <w:left w:val="nil"/>
              <w:bottom w:val="single" w:color="auto" w:sz="4" w:space="0"/>
              <w:right w:val="single" w:color="auto" w:sz="4" w:space="0"/>
            </w:tcBorders>
            <w:noWrap/>
            <w:vAlign w:val="center"/>
          </w:tcPr>
          <w:p w14:paraId="5FDC326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13</w:t>
            </w:r>
          </w:p>
        </w:tc>
        <w:tc>
          <w:tcPr>
            <w:tcW w:w="322" w:type="pct"/>
            <w:tcBorders>
              <w:top w:val="nil"/>
              <w:left w:val="nil"/>
              <w:bottom w:val="single" w:color="auto" w:sz="4" w:space="0"/>
              <w:right w:val="single" w:color="auto" w:sz="4" w:space="0"/>
            </w:tcBorders>
            <w:noWrap/>
            <w:vAlign w:val="center"/>
          </w:tcPr>
          <w:p w14:paraId="41191150">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66B0466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2B591944">
        <w:tblPrEx>
          <w:tblCellMar>
            <w:top w:w="0" w:type="dxa"/>
            <w:left w:w="108" w:type="dxa"/>
            <w:bottom w:w="0" w:type="dxa"/>
            <w:right w:w="108" w:type="dxa"/>
          </w:tblCellMar>
        </w:tblPrEx>
        <w:trPr>
          <w:trHeight w:val="809" w:hRule="atLeast"/>
        </w:trPr>
        <w:tc>
          <w:tcPr>
            <w:tcW w:w="331" w:type="pct"/>
            <w:tcBorders>
              <w:top w:val="nil"/>
              <w:left w:val="single" w:color="auto" w:sz="4" w:space="0"/>
              <w:bottom w:val="single" w:color="auto" w:sz="4" w:space="0"/>
              <w:right w:val="single" w:color="auto" w:sz="4" w:space="0"/>
            </w:tcBorders>
            <w:noWrap/>
            <w:vAlign w:val="center"/>
          </w:tcPr>
          <w:p w14:paraId="4811AB6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9</w:t>
            </w:r>
          </w:p>
        </w:tc>
        <w:tc>
          <w:tcPr>
            <w:tcW w:w="808" w:type="pct"/>
            <w:tcBorders>
              <w:top w:val="nil"/>
              <w:left w:val="nil"/>
              <w:bottom w:val="single" w:color="auto" w:sz="4" w:space="0"/>
              <w:right w:val="single" w:color="auto" w:sz="4" w:space="0"/>
            </w:tcBorders>
            <w:noWrap/>
            <w:vAlign w:val="center"/>
          </w:tcPr>
          <w:p w14:paraId="7F434B5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滤池进水管</w:t>
            </w:r>
          </w:p>
        </w:tc>
        <w:tc>
          <w:tcPr>
            <w:tcW w:w="2287" w:type="pct"/>
            <w:tcBorders>
              <w:top w:val="nil"/>
              <w:left w:val="nil"/>
              <w:bottom w:val="single" w:color="auto" w:sz="4" w:space="0"/>
              <w:right w:val="single" w:color="auto" w:sz="4" w:space="0"/>
            </w:tcBorders>
            <w:vAlign w:val="center"/>
          </w:tcPr>
          <w:p w14:paraId="10649C92">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1.规格、压力等级：DN250，304不锈钢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2.连接形式：法兰连接</w:t>
            </w:r>
          </w:p>
        </w:tc>
        <w:tc>
          <w:tcPr>
            <w:tcW w:w="596" w:type="pct"/>
            <w:tcBorders>
              <w:top w:val="nil"/>
              <w:left w:val="nil"/>
              <w:bottom w:val="single" w:color="auto" w:sz="4" w:space="0"/>
              <w:right w:val="single" w:color="auto" w:sz="4" w:space="0"/>
            </w:tcBorders>
            <w:noWrap/>
            <w:vAlign w:val="center"/>
          </w:tcPr>
          <w:p w14:paraId="776587D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20</w:t>
            </w:r>
          </w:p>
        </w:tc>
        <w:tc>
          <w:tcPr>
            <w:tcW w:w="322" w:type="pct"/>
            <w:tcBorders>
              <w:top w:val="nil"/>
              <w:left w:val="nil"/>
              <w:bottom w:val="single" w:color="auto" w:sz="4" w:space="0"/>
              <w:right w:val="single" w:color="auto" w:sz="4" w:space="0"/>
            </w:tcBorders>
            <w:noWrap/>
            <w:vAlign w:val="center"/>
          </w:tcPr>
          <w:p w14:paraId="24C3A32D">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652" w:type="pct"/>
            <w:tcBorders>
              <w:top w:val="nil"/>
              <w:left w:val="nil"/>
              <w:bottom w:val="single" w:color="auto" w:sz="4" w:space="0"/>
              <w:right w:val="single" w:color="auto" w:sz="4" w:space="0"/>
            </w:tcBorders>
            <w:vAlign w:val="center"/>
          </w:tcPr>
          <w:p w14:paraId="2B9B5CF2">
            <w:pPr>
              <w:widowControl/>
              <w:spacing w:line="440" w:lineRule="exact"/>
              <w:jc w:val="center"/>
              <w:rPr>
                <w:rFonts w:ascii="宋体" w:hAnsi="宋体" w:cs="宋体"/>
                <w:kern w:val="0"/>
                <w:sz w:val="24"/>
                <w:highlight w:val="none"/>
              </w:rPr>
            </w:pPr>
            <w:bookmarkStart w:id="18" w:name="OLE_LINK1"/>
            <w:r>
              <w:rPr>
                <w:rFonts w:hint="eastAsia" w:ascii="宋体" w:hAnsi="宋体" w:cs="宋体"/>
                <w:kern w:val="0"/>
                <w:sz w:val="24"/>
                <w:highlight w:val="none"/>
              </w:rPr>
              <w:t>国产优质</w:t>
            </w:r>
            <w:bookmarkEnd w:id="18"/>
          </w:p>
        </w:tc>
      </w:tr>
      <w:tr w14:paraId="5C356108">
        <w:tblPrEx>
          <w:tblCellMar>
            <w:top w:w="0" w:type="dxa"/>
            <w:left w:w="108" w:type="dxa"/>
            <w:bottom w:w="0" w:type="dxa"/>
            <w:right w:w="108" w:type="dxa"/>
          </w:tblCellMar>
        </w:tblPrEx>
        <w:trPr>
          <w:trHeight w:val="1166" w:hRule="atLeast"/>
        </w:trPr>
        <w:tc>
          <w:tcPr>
            <w:tcW w:w="331" w:type="pct"/>
            <w:tcBorders>
              <w:top w:val="nil"/>
              <w:left w:val="single" w:color="auto" w:sz="4" w:space="0"/>
              <w:bottom w:val="single" w:color="auto" w:sz="4" w:space="0"/>
              <w:right w:val="single" w:color="auto" w:sz="4" w:space="0"/>
            </w:tcBorders>
            <w:noWrap/>
            <w:vAlign w:val="center"/>
          </w:tcPr>
          <w:p w14:paraId="0F24290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10</w:t>
            </w:r>
          </w:p>
        </w:tc>
        <w:tc>
          <w:tcPr>
            <w:tcW w:w="808" w:type="pct"/>
            <w:tcBorders>
              <w:top w:val="nil"/>
              <w:left w:val="nil"/>
              <w:bottom w:val="single" w:color="auto" w:sz="4" w:space="0"/>
              <w:right w:val="single" w:color="auto" w:sz="4" w:space="0"/>
            </w:tcBorders>
            <w:noWrap/>
            <w:vAlign w:val="center"/>
          </w:tcPr>
          <w:p w14:paraId="495534C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滤池出水管</w:t>
            </w:r>
          </w:p>
        </w:tc>
        <w:tc>
          <w:tcPr>
            <w:tcW w:w="2287" w:type="pct"/>
            <w:tcBorders>
              <w:top w:val="nil"/>
              <w:left w:val="nil"/>
              <w:bottom w:val="single" w:color="auto" w:sz="4" w:space="0"/>
              <w:right w:val="single" w:color="auto" w:sz="4" w:space="0"/>
            </w:tcBorders>
            <w:vAlign w:val="center"/>
          </w:tcPr>
          <w:p w14:paraId="69CF524A">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1.规格、压力等级：DN300，304不锈钢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2.连接形式：法兰连接</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3.其他：含法兰、三通、弯头等配件</w:t>
            </w:r>
          </w:p>
        </w:tc>
        <w:tc>
          <w:tcPr>
            <w:tcW w:w="596" w:type="pct"/>
            <w:tcBorders>
              <w:top w:val="nil"/>
              <w:left w:val="nil"/>
              <w:bottom w:val="single" w:color="auto" w:sz="4" w:space="0"/>
              <w:right w:val="single" w:color="auto" w:sz="4" w:space="0"/>
            </w:tcBorders>
            <w:noWrap/>
            <w:vAlign w:val="center"/>
          </w:tcPr>
          <w:p w14:paraId="71A406C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30</w:t>
            </w:r>
          </w:p>
        </w:tc>
        <w:tc>
          <w:tcPr>
            <w:tcW w:w="322" w:type="pct"/>
            <w:tcBorders>
              <w:top w:val="nil"/>
              <w:left w:val="nil"/>
              <w:bottom w:val="single" w:color="auto" w:sz="4" w:space="0"/>
              <w:right w:val="single" w:color="auto" w:sz="4" w:space="0"/>
            </w:tcBorders>
            <w:noWrap/>
            <w:vAlign w:val="center"/>
          </w:tcPr>
          <w:p w14:paraId="677CAA60">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652" w:type="pct"/>
            <w:tcBorders>
              <w:top w:val="nil"/>
              <w:left w:val="nil"/>
              <w:bottom w:val="single" w:color="auto" w:sz="4" w:space="0"/>
              <w:right w:val="single" w:color="auto" w:sz="4" w:space="0"/>
            </w:tcBorders>
            <w:vAlign w:val="center"/>
          </w:tcPr>
          <w:p w14:paraId="4066A5F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3DEC2A39">
        <w:tblPrEx>
          <w:tblCellMar>
            <w:top w:w="0" w:type="dxa"/>
            <w:left w:w="108" w:type="dxa"/>
            <w:bottom w:w="0" w:type="dxa"/>
            <w:right w:w="108" w:type="dxa"/>
          </w:tblCellMar>
        </w:tblPrEx>
        <w:trPr>
          <w:trHeight w:val="1668" w:hRule="atLeast"/>
        </w:trPr>
        <w:tc>
          <w:tcPr>
            <w:tcW w:w="331" w:type="pct"/>
            <w:tcBorders>
              <w:top w:val="nil"/>
              <w:left w:val="single" w:color="auto" w:sz="4" w:space="0"/>
              <w:bottom w:val="single" w:color="auto" w:sz="4" w:space="0"/>
              <w:right w:val="single" w:color="auto" w:sz="4" w:space="0"/>
            </w:tcBorders>
            <w:noWrap/>
            <w:vAlign w:val="center"/>
          </w:tcPr>
          <w:p w14:paraId="32C850A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11</w:t>
            </w:r>
          </w:p>
        </w:tc>
        <w:tc>
          <w:tcPr>
            <w:tcW w:w="808" w:type="pct"/>
            <w:tcBorders>
              <w:top w:val="nil"/>
              <w:left w:val="nil"/>
              <w:bottom w:val="single" w:color="auto" w:sz="4" w:space="0"/>
              <w:right w:val="single" w:color="auto" w:sz="4" w:space="0"/>
            </w:tcBorders>
            <w:noWrap/>
            <w:vAlign w:val="center"/>
          </w:tcPr>
          <w:p w14:paraId="170638E8">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不锈钢清水池</w:t>
            </w:r>
          </w:p>
        </w:tc>
        <w:tc>
          <w:tcPr>
            <w:tcW w:w="2287" w:type="pct"/>
            <w:tcBorders>
              <w:top w:val="nil"/>
              <w:left w:val="nil"/>
              <w:bottom w:val="single" w:color="auto" w:sz="4" w:space="0"/>
              <w:right w:val="single" w:color="auto" w:sz="4" w:space="0"/>
            </w:tcBorders>
            <w:vAlign w:val="center"/>
          </w:tcPr>
          <w:p w14:paraId="445138E0">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1.材质、类型：304不锈钢（含进、出水对接管路、人孔、放空管、溢流管、通气管、检修爬梯等）</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2.规格：长×宽×高</w:t>
            </w:r>
            <w:r>
              <w:rPr>
                <w:rFonts w:hint="eastAsia" w:ascii="宋体" w:hAnsi="宋体" w:cs="宋体"/>
                <w:color w:val="000000"/>
                <w:kern w:val="0"/>
                <w:sz w:val="24"/>
                <w:highlight w:val="none"/>
                <w:lang w:val="en-US" w:eastAsia="zh-CN" w:bidi="ar"/>
              </w:rPr>
              <w:t>=</w:t>
            </w:r>
            <w:r>
              <w:rPr>
                <w:rFonts w:hint="eastAsia" w:ascii="宋体" w:hAnsi="宋体" w:cs="宋体"/>
                <w:color w:val="000000"/>
                <w:kern w:val="0"/>
                <w:sz w:val="24"/>
                <w:highlight w:val="none"/>
                <w:lang w:bidi="ar"/>
              </w:rPr>
              <w:t>21m×10m×4.5m，有效容积≥850m3</w:t>
            </w:r>
          </w:p>
        </w:tc>
        <w:tc>
          <w:tcPr>
            <w:tcW w:w="596" w:type="pct"/>
            <w:tcBorders>
              <w:top w:val="nil"/>
              <w:left w:val="nil"/>
              <w:bottom w:val="single" w:color="auto" w:sz="4" w:space="0"/>
              <w:right w:val="single" w:color="auto" w:sz="4" w:space="0"/>
            </w:tcBorders>
            <w:noWrap/>
            <w:vAlign w:val="center"/>
          </w:tcPr>
          <w:p w14:paraId="3FFEE88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nil"/>
              <w:left w:val="nil"/>
              <w:bottom w:val="single" w:color="auto" w:sz="4" w:space="0"/>
              <w:right w:val="single" w:color="auto" w:sz="4" w:space="0"/>
            </w:tcBorders>
            <w:noWrap/>
            <w:vAlign w:val="center"/>
          </w:tcPr>
          <w:p w14:paraId="4FAA4534">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座</w:t>
            </w:r>
          </w:p>
        </w:tc>
        <w:tc>
          <w:tcPr>
            <w:tcW w:w="652" w:type="pct"/>
            <w:tcBorders>
              <w:top w:val="nil"/>
              <w:left w:val="nil"/>
              <w:bottom w:val="single" w:color="auto" w:sz="4" w:space="0"/>
              <w:right w:val="single" w:color="auto" w:sz="4" w:space="0"/>
            </w:tcBorders>
            <w:vAlign w:val="center"/>
          </w:tcPr>
          <w:p w14:paraId="28C0DEAD">
            <w:pPr>
              <w:widowControl/>
              <w:spacing w:line="440" w:lineRule="exact"/>
              <w:jc w:val="center"/>
              <w:rPr>
                <w:rFonts w:ascii="宋体" w:hAnsi="宋体" w:cs="宋体"/>
                <w:kern w:val="0"/>
                <w:sz w:val="24"/>
                <w:highlight w:val="none"/>
              </w:rPr>
            </w:pPr>
          </w:p>
        </w:tc>
      </w:tr>
      <w:tr w14:paraId="67E1855F">
        <w:tblPrEx>
          <w:tblCellMar>
            <w:top w:w="0" w:type="dxa"/>
            <w:left w:w="108" w:type="dxa"/>
            <w:bottom w:w="0" w:type="dxa"/>
            <w:right w:w="108" w:type="dxa"/>
          </w:tblCellMar>
        </w:tblPrEx>
        <w:trPr>
          <w:trHeight w:val="721" w:hRule="atLeast"/>
        </w:trPr>
        <w:tc>
          <w:tcPr>
            <w:tcW w:w="331" w:type="pct"/>
            <w:tcBorders>
              <w:top w:val="nil"/>
              <w:left w:val="single" w:color="auto" w:sz="4" w:space="0"/>
              <w:bottom w:val="single" w:color="auto" w:sz="4" w:space="0"/>
              <w:right w:val="single" w:color="auto" w:sz="4" w:space="0"/>
            </w:tcBorders>
            <w:noWrap/>
            <w:vAlign w:val="center"/>
          </w:tcPr>
          <w:p w14:paraId="760C78E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12</w:t>
            </w:r>
          </w:p>
        </w:tc>
        <w:tc>
          <w:tcPr>
            <w:tcW w:w="808" w:type="pct"/>
            <w:tcBorders>
              <w:top w:val="nil"/>
              <w:left w:val="nil"/>
              <w:bottom w:val="single" w:color="auto" w:sz="4" w:space="0"/>
              <w:right w:val="single" w:color="auto" w:sz="4" w:space="0"/>
            </w:tcBorders>
            <w:noWrap/>
            <w:vAlign w:val="center"/>
          </w:tcPr>
          <w:p w14:paraId="74E0DF1D">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电磁流量计</w:t>
            </w:r>
          </w:p>
        </w:tc>
        <w:tc>
          <w:tcPr>
            <w:tcW w:w="2287" w:type="pct"/>
            <w:tcBorders>
              <w:top w:val="nil"/>
              <w:left w:val="nil"/>
              <w:bottom w:val="single" w:color="auto" w:sz="4" w:space="0"/>
              <w:right w:val="single" w:color="auto" w:sz="4" w:space="0"/>
            </w:tcBorders>
            <w:vAlign w:val="center"/>
          </w:tcPr>
          <w:p w14:paraId="430A6D4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1.名称：电磁流量计</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3.类型：分体式，AC220V，ModBus输出</w:t>
            </w:r>
          </w:p>
        </w:tc>
        <w:tc>
          <w:tcPr>
            <w:tcW w:w="596" w:type="pct"/>
            <w:tcBorders>
              <w:top w:val="nil"/>
              <w:left w:val="nil"/>
              <w:bottom w:val="single" w:color="auto" w:sz="4" w:space="0"/>
              <w:right w:val="single" w:color="auto" w:sz="4" w:space="0"/>
            </w:tcBorders>
            <w:noWrap/>
            <w:vAlign w:val="center"/>
          </w:tcPr>
          <w:p w14:paraId="10FC007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w:t>
            </w:r>
          </w:p>
        </w:tc>
        <w:tc>
          <w:tcPr>
            <w:tcW w:w="322" w:type="pct"/>
            <w:tcBorders>
              <w:top w:val="nil"/>
              <w:left w:val="nil"/>
              <w:bottom w:val="single" w:color="auto" w:sz="4" w:space="0"/>
              <w:right w:val="single" w:color="auto" w:sz="4" w:space="0"/>
            </w:tcBorders>
            <w:noWrap/>
            <w:vAlign w:val="center"/>
          </w:tcPr>
          <w:p w14:paraId="311649D7">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只</w:t>
            </w:r>
          </w:p>
        </w:tc>
        <w:tc>
          <w:tcPr>
            <w:tcW w:w="652" w:type="pct"/>
            <w:tcBorders>
              <w:top w:val="nil"/>
              <w:left w:val="nil"/>
              <w:bottom w:val="single" w:color="auto" w:sz="4" w:space="0"/>
              <w:right w:val="single" w:color="auto" w:sz="4" w:space="0"/>
            </w:tcBorders>
            <w:vAlign w:val="center"/>
          </w:tcPr>
          <w:p w14:paraId="0AE9B8BB">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科隆、E+H、西门子</w:t>
            </w:r>
          </w:p>
        </w:tc>
      </w:tr>
      <w:tr w14:paraId="33D4BA0D">
        <w:tblPrEx>
          <w:tblCellMar>
            <w:top w:w="0" w:type="dxa"/>
            <w:left w:w="108" w:type="dxa"/>
            <w:bottom w:w="0" w:type="dxa"/>
            <w:right w:w="108" w:type="dxa"/>
          </w:tblCellMar>
        </w:tblPrEx>
        <w:trPr>
          <w:trHeight w:val="721" w:hRule="atLeast"/>
        </w:trPr>
        <w:tc>
          <w:tcPr>
            <w:tcW w:w="331" w:type="pct"/>
            <w:tcBorders>
              <w:top w:val="nil"/>
              <w:left w:val="single" w:color="auto" w:sz="4" w:space="0"/>
              <w:bottom w:val="single" w:color="auto" w:sz="4" w:space="0"/>
              <w:right w:val="single" w:color="auto" w:sz="4" w:space="0"/>
            </w:tcBorders>
            <w:noWrap/>
            <w:vAlign w:val="center"/>
          </w:tcPr>
          <w:p w14:paraId="57A9E97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13</w:t>
            </w:r>
          </w:p>
        </w:tc>
        <w:tc>
          <w:tcPr>
            <w:tcW w:w="808" w:type="pct"/>
            <w:tcBorders>
              <w:top w:val="nil"/>
              <w:left w:val="nil"/>
              <w:bottom w:val="single" w:color="auto" w:sz="4" w:space="0"/>
              <w:right w:val="single" w:color="auto" w:sz="4" w:space="0"/>
            </w:tcBorders>
            <w:noWrap/>
            <w:vAlign w:val="center"/>
          </w:tcPr>
          <w:p w14:paraId="300D3B2C">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超声波液位计</w:t>
            </w:r>
          </w:p>
        </w:tc>
        <w:tc>
          <w:tcPr>
            <w:tcW w:w="2287" w:type="pct"/>
            <w:tcBorders>
              <w:top w:val="nil"/>
              <w:left w:val="nil"/>
              <w:bottom w:val="single" w:color="auto" w:sz="4" w:space="0"/>
              <w:right w:val="single" w:color="auto" w:sz="4" w:space="0"/>
            </w:tcBorders>
            <w:vAlign w:val="center"/>
          </w:tcPr>
          <w:p w14:paraId="6EDE044F">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1.名称：超声波液位计</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2.规格：0-5m，二线制，输出4-20ma，带显示</w:t>
            </w:r>
          </w:p>
        </w:tc>
        <w:tc>
          <w:tcPr>
            <w:tcW w:w="596" w:type="pct"/>
            <w:tcBorders>
              <w:top w:val="nil"/>
              <w:left w:val="nil"/>
              <w:bottom w:val="single" w:color="auto" w:sz="4" w:space="0"/>
              <w:right w:val="single" w:color="auto" w:sz="4" w:space="0"/>
            </w:tcBorders>
            <w:noWrap/>
            <w:vAlign w:val="center"/>
          </w:tcPr>
          <w:p w14:paraId="303722D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nil"/>
              <w:left w:val="nil"/>
              <w:bottom w:val="single" w:color="auto" w:sz="4" w:space="0"/>
              <w:right w:val="single" w:color="auto" w:sz="4" w:space="0"/>
            </w:tcBorders>
            <w:noWrap/>
            <w:vAlign w:val="center"/>
          </w:tcPr>
          <w:p w14:paraId="440353F8">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只</w:t>
            </w:r>
          </w:p>
        </w:tc>
        <w:tc>
          <w:tcPr>
            <w:tcW w:w="652" w:type="pct"/>
            <w:tcBorders>
              <w:top w:val="nil"/>
              <w:left w:val="nil"/>
              <w:bottom w:val="single" w:color="auto" w:sz="4" w:space="0"/>
              <w:right w:val="single" w:color="auto" w:sz="4" w:space="0"/>
            </w:tcBorders>
            <w:vAlign w:val="center"/>
          </w:tcPr>
          <w:p w14:paraId="4105916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E+H、西门子、ABB</w:t>
            </w:r>
          </w:p>
        </w:tc>
      </w:tr>
      <w:tr w14:paraId="69DB2790">
        <w:tblPrEx>
          <w:tblCellMar>
            <w:top w:w="0" w:type="dxa"/>
            <w:left w:w="108" w:type="dxa"/>
            <w:bottom w:w="0" w:type="dxa"/>
            <w:right w:w="108" w:type="dxa"/>
          </w:tblCellMar>
        </w:tblPrEx>
        <w:trPr>
          <w:trHeight w:val="721" w:hRule="atLeast"/>
        </w:trPr>
        <w:tc>
          <w:tcPr>
            <w:tcW w:w="331" w:type="pct"/>
            <w:tcBorders>
              <w:top w:val="nil"/>
              <w:left w:val="single" w:color="auto" w:sz="4" w:space="0"/>
              <w:bottom w:val="single" w:color="auto" w:sz="4" w:space="0"/>
              <w:right w:val="single" w:color="auto" w:sz="4" w:space="0"/>
            </w:tcBorders>
            <w:noWrap/>
            <w:vAlign w:val="center"/>
          </w:tcPr>
          <w:p w14:paraId="6B24A89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14</w:t>
            </w:r>
          </w:p>
        </w:tc>
        <w:tc>
          <w:tcPr>
            <w:tcW w:w="808" w:type="pct"/>
            <w:tcBorders>
              <w:top w:val="nil"/>
              <w:left w:val="nil"/>
              <w:bottom w:val="single" w:color="auto" w:sz="4" w:space="0"/>
              <w:right w:val="single" w:color="auto" w:sz="4" w:space="0"/>
            </w:tcBorders>
            <w:noWrap/>
            <w:vAlign w:val="center"/>
          </w:tcPr>
          <w:p w14:paraId="12289861">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在线浊度仪</w:t>
            </w:r>
          </w:p>
        </w:tc>
        <w:tc>
          <w:tcPr>
            <w:tcW w:w="2287" w:type="pct"/>
            <w:tcBorders>
              <w:top w:val="nil"/>
              <w:left w:val="nil"/>
              <w:bottom w:val="single" w:color="auto" w:sz="4" w:space="0"/>
              <w:right w:val="single" w:color="auto" w:sz="4" w:space="0"/>
            </w:tcBorders>
            <w:vAlign w:val="center"/>
          </w:tcPr>
          <w:p w14:paraId="1891276E">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 称：在线浊度仪</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 号：0-10NTU，含取样管路及取样泵</w:t>
            </w:r>
          </w:p>
        </w:tc>
        <w:tc>
          <w:tcPr>
            <w:tcW w:w="596" w:type="pct"/>
            <w:tcBorders>
              <w:top w:val="nil"/>
              <w:left w:val="nil"/>
              <w:bottom w:val="single" w:color="auto" w:sz="4" w:space="0"/>
              <w:right w:val="single" w:color="auto" w:sz="4" w:space="0"/>
            </w:tcBorders>
            <w:noWrap/>
            <w:vAlign w:val="center"/>
          </w:tcPr>
          <w:p w14:paraId="30079141">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nil"/>
              <w:left w:val="nil"/>
              <w:bottom w:val="single" w:color="auto" w:sz="4" w:space="0"/>
              <w:right w:val="single" w:color="auto" w:sz="4" w:space="0"/>
            </w:tcBorders>
            <w:noWrap/>
            <w:vAlign w:val="center"/>
          </w:tcPr>
          <w:p w14:paraId="51141B13">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c>
          <w:tcPr>
            <w:tcW w:w="652" w:type="pct"/>
            <w:tcBorders>
              <w:top w:val="nil"/>
              <w:left w:val="nil"/>
              <w:bottom w:val="single" w:color="auto" w:sz="4" w:space="0"/>
              <w:right w:val="single" w:color="auto" w:sz="4" w:space="0"/>
            </w:tcBorders>
            <w:vAlign w:val="center"/>
          </w:tcPr>
          <w:p w14:paraId="5E31E66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HACH、SWAN、PI</w:t>
            </w:r>
          </w:p>
        </w:tc>
      </w:tr>
      <w:tr w14:paraId="48B42843">
        <w:tblPrEx>
          <w:tblCellMar>
            <w:top w:w="0" w:type="dxa"/>
            <w:left w:w="108" w:type="dxa"/>
            <w:bottom w:w="0" w:type="dxa"/>
            <w:right w:w="108" w:type="dxa"/>
          </w:tblCellMar>
        </w:tblPrEx>
        <w:trPr>
          <w:trHeight w:val="721" w:hRule="atLeast"/>
        </w:trPr>
        <w:tc>
          <w:tcPr>
            <w:tcW w:w="331" w:type="pct"/>
            <w:tcBorders>
              <w:top w:val="nil"/>
              <w:left w:val="single" w:color="auto" w:sz="4" w:space="0"/>
              <w:bottom w:val="single" w:color="auto" w:sz="4" w:space="0"/>
              <w:right w:val="single" w:color="auto" w:sz="4" w:space="0"/>
            </w:tcBorders>
            <w:noWrap/>
            <w:vAlign w:val="center"/>
          </w:tcPr>
          <w:p w14:paraId="3E8E896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15</w:t>
            </w:r>
          </w:p>
        </w:tc>
        <w:tc>
          <w:tcPr>
            <w:tcW w:w="808" w:type="pct"/>
            <w:tcBorders>
              <w:top w:val="nil"/>
              <w:left w:val="nil"/>
              <w:bottom w:val="single" w:color="auto" w:sz="4" w:space="0"/>
              <w:right w:val="single" w:color="auto" w:sz="4" w:space="0"/>
            </w:tcBorders>
            <w:noWrap/>
            <w:vAlign w:val="center"/>
          </w:tcPr>
          <w:p w14:paraId="2C639AE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在线余氯仪</w:t>
            </w:r>
          </w:p>
        </w:tc>
        <w:tc>
          <w:tcPr>
            <w:tcW w:w="2287" w:type="pct"/>
            <w:tcBorders>
              <w:top w:val="nil"/>
              <w:left w:val="nil"/>
              <w:bottom w:val="single" w:color="auto" w:sz="4" w:space="0"/>
              <w:right w:val="single" w:color="auto" w:sz="4" w:space="0"/>
            </w:tcBorders>
            <w:vAlign w:val="center"/>
          </w:tcPr>
          <w:p w14:paraId="4CBD2804">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 称：在线余氯仪</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 号：0~3PPM，含取样管路及取样泵</w:t>
            </w:r>
          </w:p>
        </w:tc>
        <w:tc>
          <w:tcPr>
            <w:tcW w:w="596" w:type="pct"/>
            <w:tcBorders>
              <w:top w:val="nil"/>
              <w:left w:val="nil"/>
              <w:bottom w:val="single" w:color="auto" w:sz="4" w:space="0"/>
              <w:right w:val="single" w:color="auto" w:sz="4" w:space="0"/>
            </w:tcBorders>
            <w:noWrap/>
            <w:vAlign w:val="center"/>
          </w:tcPr>
          <w:p w14:paraId="7C46570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nil"/>
              <w:left w:val="nil"/>
              <w:bottom w:val="single" w:color="auto" w:sz="4" w:space="0"/>
              <w:right w:val="single" w:color="auto" w:sz="4" w:space="0"/>
            </w:tcBorders>
            <w:noWrap/>
            <w:vAlign w:val="center"/>
          </w:tcPr>
          <w:p w14:paraId="2E3CCB7E">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c>
          <w:tcPr>
            <w:tcW w:w="652" w:type="pct"/>
            <w:tcBorders>
              <w:top w:val="nil"/>
              <w:left w:val="nil"/>
              <w:bottom w:val="single" w:color="auto" w:sz="4" w:space="0"/>
              <w:right w:val="single" w:color="auto" w:sz="4" w:space="0"/>
            </w:tcBorders>
            <w:vAlign w:val="center"/>
          </w:tcPr>
          <w:p w14:paraId="2EEF26E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HACH、SWAN、PI</w:t>
            </w:r>
          </w:p>
        </w:tc>
      </w:tr>
      <w:tr w14:paraId="7E02C980">
        <w:tblPrEx>
          <w:tblCellMar>
            <w:top w:w="0" w:type="dxa"/>
            <w:left w:w="108" w:type="dxa"/>
            <w:bottom w:w="0" w:type="dxa"/>
            <w:right w:w="108" w:type="dxa"/>
          </w:tblCellMar>
        </w:tblPrEx>
        <w:trPr>
          <w:trHeight w:val="4447" w:hRule="atLeast"/>
        </w:trPr>
        <w:tc>
          <w:tcPr>
            <w:tcW w:w="331" w:type="pct"/>
            <w:tcBorders>
              <w:top w:val="nil"/>
              <w:left w:val="single" w:color="auto" w:sz="4" w:space="0"/>
              <w:bottom w:val="single" w:color="auto" w:sz="4" w:space="0"/>
              <w:right w:val="single" w:color="auto" w:sz="4" w:space="0"/>
            </w:tcBorders>
            <w:noWrap/>
            <w:vAlign w:val="center"/>
          </w:tcPr>
          <w:p w14:paraId="26732EE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16</w:t>
            </w:r>
          </w:p>
        </w:tc>
        <w:tc>
          <w:tcPr>
            <w:tcW w:w="808" w:type="pct"/>
            <w:tcBorders>
              <w:top w:val="nil"/>
              <w:left w:val="nil"/>
              <w:bottom w:val="single" w:color="auto" w:sz="4" w:space="0"/>
              <w:right w:val="single" w:color="auto" w:sz="4" w:space="0"/>
            </w:tcBorders>
            <w:noWrap/>
            <w:vAlign w:val="center"/>
          </w:tcPr>
          <w:p w14:paraId="700ED7F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PLC系统控制柜</w:t>
            </w:r>
          </w:p>
        </w:tc>
        <w:tc>
          <w:tcPr>
            <w:tcW w:w="2287" w:type="pct"/>
            <w:tcBorders>
              <w:top w:val="nil"/>
              <w:left w:val="nil"/>
              <w:bottom w:val="single" w:color="auto" w:sz="4" w:space="0"/>
              <w:right w:val="single" w:color="auto" w:sz="4" w:space="0"/>
            </w:tcBorders>
            <w:vAlign w:val="center"/>
          </w:tcPr>
          <w:p w14:paraId="48CCAF4B">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1.名称：PLC系统控制柜</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 格：根据现场定制，材质：不锈钢S304，防护等级：IP65；CPU不低于施耐德M340、AB1769L71，西门子S7-1200，I/O点按需配置，预留20%点位。含8个排泥阀，2个电动阀手自动控制回路，实现远程控制。柜内配套双电源开关、信号避雷器、隔离器、电气元器件、线缆及辅材等；</w:t>
            </w:r>
          </w:p>
        </w:tc>
        <w:tc>
          <w:tcPr>
            <w:tcW w:w="596" w:type="pct"/>
            <w:tcBorders>
              <w:top w:val="nil"/>
              <w:left w:val="nil"/>
              <w:bottom w:val="single" w:color="auto" w:sz="4" w:space="0"/>
              <w:right w:val="single" w:color="auto" w:sz="4" w:space="0"/>
            </w:tcBorders>
            <w:noWrap/>
            <w:vAlign w:val="center"/>
          </w:tcPr>
          <w:p w14:paraId="484B4E6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nil"/>
              <w:left w:val="nil"/>
              <w:bottom w:val="single" w:color="auto" w:sz="4" w:space="0"/>
              <w:right w:val="single" w:color="auto" w:sz="4" w:space="0"/>
            </w:tcBorders>
            <w:noWrap/>
            <w:vAlign w:val="center"/>
          </w:tcPr>
          <w:p w14:paraId="5D9E8BE4">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c>
          <w:tcPr>
            <w:tcW w:w="652" w:type="pct"/>
            <w:tcBorders>
              <w:top w:val="nil"/>
              <w:left w:val="nil"/>
              <w:bottom w:val="single" w:color="auto" w:sz="4" w:space="0"/>
              <w:right w:val="single" w:color="auto" w:sz="4" w:space="0"/>
            </w:tcBorders>
            <w:vAlign w:val="center"/>
          </w:tcPr>
          <w:p w14:paraId="48E585D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元器件品牌：Schneider/ABB/Siemens；PLC品牌：AB、SIEMENS、Schneider</w:t>
            </w:r>
          </w:p>
        </w:tc>
      </w:tr>
      <w:tr w14:paraId="7F0486B3">
        <w:tblPrEx>
          <w:tblCellMar>
            <w:top w:w="0" w:type="dxa"/>
            <w:left w:w="108" w:type="dxa"/>
            <w:bottom w:w="0" w:type="dxa"/>
            <w:right w:w="108" w:type="dxa"/>
          </w:tblCellMar>
        </w:tblPrEx>
        <w:trPr>
          <w:trHeight w:val="605" w:hRule="atLeast"/>
        </w:trPr>
        <w:tc>
          <w:tcPr>
            <w:tcW w:w="331" w:type="pct"/>
            <w:vMerge w:val="restart"/>
            <w:tcBorders>
              <w:top w:val="single" w:color="auto" w:sz="4" w:space="0"/>
              <w:left w:val="single" w:color="auto" w:sz="4" w:space="0"/>
              <w:right w:val="single" w:color="auto" w:sz="4" w:space="0"/>
            </w:tcBorders>
            <w:shd w:val="clear" w:color="auto" w:fill="FFFFFF"/>
            <w:noWrap/>
            <w:vAlign w:val="center"/>
          </w:tcPr>
          <w:p w14:paraId="0F59C8B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17</w:t>
            </w:r>
          </w:p>
        </w:tc>
        <w:tc>
          <w:tcPr>
            <w:tcW w:w="808" w:type="pct"/>
            <w:vMerge w:val="restart"/>
            <w:tcBorders>
              <w:top w:val="single" w:color="auto" w:sz="4" w:space="0"/>
              <w:left w:val="nil"/>
              <w:right w:val="single" w:color="auto" w:sz="4" w:space="0"/>
            </w:tcBorders>
            <w:shd w:val="clear" w:color="auto" w:fill="FFFFFF"/>
            <w:noWrap/>
            <w:vAlign w:val="center"/>
          </w:tcPr>
          <w:p w14:paraId="0CAA2E66">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电动调节型蝶阀</w:t>
            </w:r>
          </w:p>
        </w:tc>
        <w:tc>
          <w:tcPr>
            <w:tcW w:w="2287" w:type="pct"/>
            <w:tcBorders>
              <w:top w:val="single" w:color="auto" w:sz="4" w:space="0"/>
              <w:left w:val="nil"/>
              <w:bottom w:val="single" w:color="auto" w:sz="4" w:space="0"/>
              <w:right w:val="single" w:color="auto" w:sz="4" w:space="0"/>
            </w:tcBorders>
            <w:shd w:val="clear" w:color="auto" w:fill="FFFFFF"/>
            <w:vAlign w:val="center"/>
          </w:tcPr>
          <w:p w14:paraId="1F262B6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1.名称：电动调节型蝶阀</w:t>
            </w:r>
          </w:p>
          <w:p w14:paraId="0A7C9F1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2.规格：DN300</w:t>
            </w:r>
          </w:p>
          <w:p w14:paraId="32F1903D">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3.连接形式：法兰连接</w:t>
            </w:r>
            <w:r>
              <w:rPr>
                <w:rFonts w:hint="eastAsia" w:ascii="宋体" w:hAnsi="宋体" w:cs="宋体"/>
                <w:kern w:val="0"/>
                <w:sz w:val="24"/>
                <w:highlight w:val="none"/>
              </w:rPr>
              <w:br w:type="textWrapping"/>
            </w:r>
            <w:r>
              <w:rPr>
                <w:rFonts w:hint="eastAsia" w:ascii="宋体" w:hAnsi="宋体" w:cs="宋体"/>
                <w:kern w:val="0"/>
                <w:sz w:val="24"/>
                <w:highlight w:val="none"/>
              </w:rPr>
              <w:t>4.各附法兰1片</w:t>
            </w:r>
          </w:p>
        </w:tc>
        <w:tc>
          <w:tcPr>
            <w:tcW w:w="596" w:type="pct"/>
            <w:vMerge w:val="restart"/>
            <w:tcBorders>
              <w:top w:val="single" w:color="auto" w:sz="4" w:space="0"/>
              <w:left w:val="nil"/>
              <w:right w:val="single" w:color="auto" w:sz="4" w:space="0"/>
            </w:tcBorders>
            <w:shd w:val="clear" w:color="auto" w:fill="FFFFFF"/>
            <w:noWrap/>
            <w:vAlign w:val="center"/>
          </w:tcPr>
          <w:p w14:paraId="0903F2C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vMerge w:val="restart"/>
            <w:tcBorders>
              <w:top w:val="single" w:color="auto" w:sz="4" w:space="0"/>
              <w:left w:val="nil"/>
              <w:right w:val="single" w:color="auto" w:sz="4" w:space="0"/>
            </w:tcBorders>
            <w:shd w:val="clear" w:color="auto" w:fill="FFFFFF"/>
            <w:noWrap/>
            <w:vAlign w:val="center"/>
          </w:tcPr>
          <w:p w14:paraId="3154D41B">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个</w:t>
            </w:r>
          </w:p>
        </w:tc>
        <w:tc>
          <w:tcPr>
            <w:tcW w:w="652" w:type="pct"/>
            <w:tcBorders>
              <w:top w:val="single" w:color="auto" w:sz="4" w:space="0"/>
              <w:left w:val="nil"/>
              <w:bottom w:val="single" w:color="auto" w:sz="4" w:space="0"/>
              <w:right w:val="single" w:color="auto" w:sz="4" w:space="0"/>
            </w:tcBorders>
            <w:shd w:val="clear" w:color="auto" w:fill="FFFFFF"/>
            <w:noWrap/>
            <w:vAlign w:val="center"/>
          </w:tcPr>
          <w:p w14:paraId="41727E3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lang w:bidi="ar"/>
              </w:rPr>
              <w:t>VAG、AVK、Banninger</w:t>
            </w:r>
          </w:p>
        </w:tc>
      </w:tr>
      <w:tr w14:paraId="01719C85">
        <w:tblPrEx>
          <w:tblCellMar>
            <w:top w:w="0" w:type="dxa"/>
            <w:left w:w="108" w:type="dxa"/>
            <w:bottom w:w="0" w:type="dxa"/>
            <w:right w:w="108" w:type="dxa"/>
          </w:tblCellMar>
        </w:tblPrEx>
        <w:trPr>
          <w:trHeight w:val="504" w:hRule="atLeast"/>
        </w:trPr>
        <w:tc>
          <w:tcPr>
            <w:tcW w:w="331" w:type="pct"/>
            <w:vMerge w:val="continue"/>
            <w:tcBorders>
              <w:left w:val="single" w:color="auto" w:sz="4" w:space="0"/>
              <w:bottom w:val="single" w:color="auto" w:sz="4" w:space="0"/>
              <w:right w:val="single" w:color="auto" w:sz="4" w:space="0"/>
            </w:tcBorders>
            <w:shd w:val="clear" w:color="auto" w:fill="FFFFFF"/>
            <w:noWrap/>
            <w:vAlign w:val="center"/>
          </w:tcPr>
          <w:p w14:paraId="76C48A54">
            <w:pPr>
              <w:widowControl/>
              <w:spacing w:line="440" w:lineRule="exact"/>
              <w:jc w:val="center"/>
              <w:rPr>
                <w:rFonts w:ascii="宋体" w:hAnsi="宋体" w:cs="宋体"/>
                <w:kern w:val="0"/>
                <w:sz w:val="24"/>
                <w:highlight w:val="none"/>
              </w:rPr>
            </w:pPr>
          </w:p>
        </w:tc>
        <w:tc>
          <w:tcPr>
            <w:tcW w:w="808" w:type="pct"/>
            <w:vMerge w:val="continue"/>
            <w:tcBorders>
              <w:left w:val="nil"/>
              <w:bottom w:val="single" w:color="auto" w:sz="4" w:space="0"/>
              <w:right w:val="single" w:color="auto" w:sz="4" w:space="0"/>
            </w:tcBorders>
            <w:shd w:val="clear" w:color="auto" w:fill="FFFFFF"/>
            <w:noWrap/>
            <w:vAlign w:val="center"/>
          </w:tcPr>
          <w:p w14:paraId="7E706F6E">
            <w:pPr>
              <w:widowControl/>
              <w:spacing w:line="440" w:lineRule="exact"/>
              <w:jc w:val="left"/>
              <w:rPr>
                <w:rFonts w:ascii="宋体" w:hAnsi="宋体" w:cs="宋体"/>
                <w:kern w:val="0"/>
                <w:sz w:val="24"/>
                <w:highlight w:val="none"/>
              </w:rPr>
            </w:pPr>
          </w:p>
        </w:tc>
        <w:tc>
          <w:tcPr>
            <w:tcW w:w="2287" w:type="pct"/>
            <w:tcBorders>
              <w:top w:val="single" w:color="auto" w:sz="4" w:space="0"/>
              <w:left w:val="nil"/>
              <w:bottom w:val="single" w:color="auto" w:sz="4" w:space="0"/>
              <w:right w:val="single" w:color="auto" w:sz="4" w:space="0"/>
            </w:tcBorders>
            <w:shd w:val="clear" w:color="auto" w:fill="FFFFFF"/>
            <w:vAlign w:val="center"/>
          </w:tcPr>
          <w:p w14:paraId="18F5CDB6">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电动执行机构</w:t>
            </w:r>
          </w:p>
        </w:tc>
        <w:tc>
          <w:tcPr>
            <w:tcW w:w="596" w:type="pct"/>
            <w:vMerge w:val="continue"/>
            <w:tcBorders>
              <w:left w:val="nil"/>
              <w:bottom w:val="single" w:color="auto" w:sz="4" w:space="0"/>
              <w:right w:val="single" w:color="auto" w:sz="4" w:space="0"/>
            </w:tcBorders>
            <w:shd w:val="clear" w:color="auto" w:fill="FFFFFF"/>
            <w:noWrap/>
            <w:vAlign w:val="center"/>
          </w:tcPr>
          <w:p w14:paraId="69A265F4">
            <w:pPr>
              <w:widowControl/>
              <w:spacing w:line="440" w:lineRule="exact"/>
              <w:jc w:val="center"/>
              <w:rPr>
                <w:rFonts w:ascii="宋体" w:hAnsi="宋体" w:cs="宋体"/>
                <w:kern w:val="0"/>
                <w:sz w:val="24"/>
                <w:highlight w:val="none"/>
              </w:rPr>
            </w:pPr>
          </w:p>
        </w:tc>
        <w:tc>
          <w:tcPr>
            <w:tcW w:w="322" w:type="pct"/>
            <w:vMerge w:val="continue"/>
            <w:tcBorders>
              <w:left w:val="nil"/>
              <w:bottom w:val="single" w:color="auto" w:sz="4" w:space="0"/>
              <w:right w:val="single" w:color="auto" w:sz="4" w:space="0"/>
            </w:tcBorders>
            <w:shd w:val="clear" w:color="auto" w:fill="FFFFFF"/>
            <w:noWrap/>
            <w:vAlign w:val="center"/>
          </w:tcPr>
          <w:p w14:paraId="2303A125">
            <w:pPr>
              <w:widowControl/>
              <w:spacing w:line="440" w:lineRule="exact"/>
              <w:jc w:val="center"/>
              <w:rPr>
                <w:rFonts w:ascii="宋体" w:hAnsi="宋体" w:cs="宋体"/>
                <w:kern w:val="0"/>
                <w:sz w:val="24"/>
                <w:highlight w:val="none"/>
              </w:rPr>
            </w:pPr>
          </w:p>
        </w:tc>
        <w:tc>
          <w:tcPr>
            <w:tcW w:w="652" w:type="pct"/>
            <w:tcBorders>
              <w:top w:val="single" w:color="auto" w:sz="4" w:space="0"/>
              <w:left w:val="nil"/>
              <w:bottom w:val="single" w:color="auto" w:sz="4" w:space="0"/>
              <w:right w:val="single" w:color="auto" w:sz="4" w:space="0"/>
            </w:tcBorders>
            <w:shd w:val="clear" w:color="auto" w:fill="FFFFFF"/>
            <w:noWrap/>
            <w:vAlign w:val="center"/>
          </w:tcPr>
          <w:p w14:paraId="4F1A4F6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lang w:bidi="ar"/>
              </w:rPr>
              <w:t>AUMA、ROTORK、EMG</w:t>
            </w:r>
          </w:p>
        </w:tc>
      </w:tr>
      <w:tr w14:paraId="3AD2B9B2">
        <w:tblPrEx>
          <w:tblCellMar>
            <w:top w:w="0" w:type="dxa"/>
            <w:left w:w="108" w:type="dxa"/>
            <w:bottom w:w="0" w:type="dxa"/>
            <w:right w:w="108" w:type="dxa"/>
          </w:tblCellMar>
        </w:tblPrEx>
        <w:trPr>
          <w:trHeight w:val="504" w:hRule="atLeast"/>
        </w:trPr>
        <w:tc>
          <w:tcPr>
            <w:tcW w:w="33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B0B803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18</w:t>
            </w:r>
          </w:p>
        </w:tc>
        <w:tc>
          <w:tcPr>
            <w:tcW w:w="808" w:type="pct"/>
            <w:tcBorders>
              <w:top w:val="single" w:color="auto" w:sz="4" w:space="0"/>
              <w:left w:val="nil"/>
              <w:bottom w:val="single" w:color="auto" w:sz="4" w:space="0"/>
              <w:right w:val="single" w:color="auto" w:sz="4" w:space="0"/>
            </w:tcBorders>
            <w:shd w:val="clear" w:color="auto" w:fill="FFFFFF"/>
            <w:noWrap/>
            <w:vAlign w:val="center"/>
          </w:tcPr>
          <w:p w14:paraId="0A25DDD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单法兰限位伸缩接头</w:t>
            </w:r>
          </w:p>
        </w:tc>
        <w:tc>
          <w:tcPr>
            <w:tcW w:w="2287" w:type="pct"/>
            <w:tcBorders>
              <w:top w:val="single" w:color="auto" w:sz="4" w:space="0"/>
              <w:left w:val="nil"/>
              <w:bottom w:val="single" w:color="auto" w:sz="4" w:space="0"/>
              <w:right w:val="single" w:color="auto" w:sz="4" w:space="0"/>
            </w:tcBorders>
            <w:shd w:val="clear" w:color="auto" w:fill="FFFFFF"/>
            <w:vAlign w:val="center"/>
          </w:tcPr>
          <w:p w14:paraId="143E5467">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1.名称：单法兰限位伸缩接头</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2.规格：BF 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96" w:type="pct"/>
            <w:tcBorders>
              <w:top w:val="single" w:color="auto" w:sz="4" w:space="0"/>
              <w:left w:val="nil"/>
              <w:bottom w:val="single" w:color="auto" w:sz="4" w:space="0"/>
              <w:right w:val="single" w:color="auto" w:sz="4" w:space="0"/>
            </w:tcBorders>
            <w:shd w:val="clear" w:color="auto" w:fill="FFFFFF"/>
            <w:noWrap/>
            <w:vAlign w:val="center"/>
          </w:tcPr>
          <w:p w14:paraId="012C80F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7</w:t>
            </w:r>
          </w:p>
        </w:tc>
        <w:tc>
          <w:tcPr>
            <w:tcW w:w="322" w:type="pct"/>
            <w:tcBorders>
              <w:top w:val="single" w:color="auto" w:sz="4" w:space="0"/>
              <w:left w:val="nil"/>
              <w:bottom w:val="single" w:color="auto" w:sz="4" w:space="0"/>
              <w:right w:val="single" w:color="auto" w:sz="4" w:space="0"/>
            </w:tcBorders>
            <w:shd w:val="clear" w:color="auto" w:fill="FFFFFF"/>
            <w:noWrap/>
            <w:vAlign w:val="center"/>
          </w:tcPr>
          <w:p w14:paraId="2F892F3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single" w:color="auto" w:sz="4" w:space="0"/>
              <w:left w:val="nil"/>
              <w:bottom w:val="single" w:color="auto" w:sz="4" w:space="0"/>
              <w:right w:val="single" w:color="auto" w:sz="4" w:space="0"/>
            </w:tcBorders>
            <w:shd w:val="clear" w:color="auto" w:fill="FFFFFF"/>
            <w:noWrap/>
            <w:vAlign w:val="center"/>
          </w:tcPr>
          <w:p w14:paraId="24E118C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阀门配套</w:t>
            </w:r>
          </w:p>
        </w:tc>
      </w:tr>
      <w:tr w14:paraId="270EB4DC">
        <w:tblPrEx>
          <w:tblCellMar>
            <w:top w:w="0" w:type="dxa"/>
            <w:left w:w="108" w:type="dxa"/>
            <w:bottom w:w="0" w:type="dxa"/>
            <w:right w:w="108" w:type="dxa"/>
          </w:tblCellMar>
        </w:tblPrEx>
        <w:trPr>
          <w:trHeight w:val="974" w:hRule="atLeast"/>
        </w:trPr>
        <w:tc>
          <w:tcPr>
            <w:tcW w:w="33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45511C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19</w:t>
            </w:r>
          </w:p>
        </w:tc>
        <w:tc>
          <w:tcPr>
            <w:tcW w:w="808" w:type="pct"/>
            <w:tcBorders>
              <w:top w:val="single" w:color="auto" w:sz="4" w:space="0"/>
              <w:left w:val="nil"/>
              <w:bottom w:val="single" w:color="auto" w:sz="4" w:space="0"/>
              <w:right w:val="single" w:color="auto" w:sz="4" w:space="0"/>
            </w:tcBorders>
            <w:shd w:val="clear" w:color="auto" w:fill="FFFFFF"/>
            <w:noWrap/>
            <w:vAlign w:val="center"/>
          </w:tcPr>
          <w:p w14:paraId="30848C3C">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手动蝶阀</w:t>
            </w:r>
          </w:p>
        </w:tc>
        <w:tc>
          <w:tcPr>
            <w:tcW w:w="2287" w:type="pct"/>
            <w:tcBorders>
              <w:top w:val="single" w:color="auto" w:sz="4" w:space="0"/>
              <w:left w:val="nil"/>
              <w:bottom w:val="single" w:color="auto" w:sz="4" w:space="0"/>
              <w:right w:val="single" w:color="auto" w:sz="4" w:space="0"/>
            </w:tcBorders>
            <w:shd w:val="clear" w:color="auto" w:fill="FFFFFF"/>
            <w:vAlign w:val="center"/>
          </w:tcPr>
          <w:p w14:paraId="4944AEBE">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1.名称：手动蝶阀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             4.其他：各附法兰1片</w:t>
            </w:r>
          </w:p>
        </w:tc>
        <w:tc>
          <w:tcPr>
            <w:tcW w:w="596" w:type="pct"/>
            <w:tcBorders>
              <w:top w:val="single" w:color="auto" w:sz="4" w:space="0"/>
              <w:left w:val="nil"/>
              <w:bottom w:val="single" w:color="auto" w:sz="4" w:space="0"/>
              <w:right w:val="single" w:color="auto" w:sz="4" w:space="0"/>
            </w:tcBorders>
            <w:shd w:val="clear" w:color="auto" w:fill="FFFFFF"/>
            <w:noWrap/>
            <w:vAlign w:val="center"/>
          </w:tcPr>
          <w:p w14:paraId="10387B9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322" w:type="pct"/>
            <w:tcBorders>
              <w:top w:val="single" w:color="auto" w:sz="4" w:space="0"/>
              <w:left w:val="nil"/>
              <w:bottom w:val="single" w:color="auto" w:sz="4" w:space="0"/>
              <w:right w:val="single" w:color="auto" w:sz="4" w:space="0"/>
            </w:tcBorders>
            <w:shd w:val="clear" w:color="auto" w:fill="FFFFFF"/>
            <w:noWrap/>
            <w:vAlign w:val="center"/>
          </w:tcPr>
          <w:p w14:paraId="6BC71391">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single" w:color="auto" w:sz="4" w:space="0"/>
              <w:left w:val="nil"/>
              <w:bottom w:val="single" w:color="auto" w:sz="4" w:space="0"/>
              <w:right w:val="single" w:color="auto" w:sz="4" w:space="0"/>
            </w:tcBorders>
            <w:shd w:val="clear" w:color="auto" w:fill="FFFFFF"/>
            <w:noWrap/>
            <w:vAlign w:val="center"/>
          </w:tcPr>
          <w:p w14:paraId="297B401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上海冠龙、宁波一机、株洲南方</w:t>
            </w:r>
          </w:p>
        </w:tc>
      </w:tr>
      <w:tr w14:paraId="54991949">
        <w:tblPrEx>
          <w:tblCellMar>
            <w:top w:w="0" w:type="dxa"/>
            <w:left w:w="108" w:type="dxa"/>
            <w:bottom w:w="0" w:type="dxa"/>
            <w:right w:w="108" w:type="dxa"/>
          </w:tblCellMar>
        </w:tblPrEx>
        <w:trPr>
          <w:trHeight w:val="504" w:hRule="atLeast"/>
        </w:trPr>
        <w:tc>
          <w:tcPr>
            <w:tcW w:w="33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DC93D1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20</w:t>
            </w:r>
          </w:p>
        </w:tc>
        <w:tc>
          <w:tcPr>
            <w:tcW w:w="808" w:type="pct"/>
            <w:tcBorders>
              <w:top w:val="single" w:color="auto" w:sz="4" w:space="0"/>
              <w:left w:val="nil"/>
              <w:bottom w:val="single" w:color="auto" w:sz="4" w:space="0"/>
              <w:right w:val="single" w:color="auto" w:sz="4" w:space="0"/>
            </w:tcBorders>
            <w:shd w:val="clear" w:color="auto" w:fill="FFFFFF"/>
            <w:noWrap/>
            <w:vAlign w:val="center"/>
          </w:tcPr>
          <w:p w14:paraId="05D3CC0B">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三通</w:t>
            </w:r>
          </w:p>
        </w:tc>
        <w:tc>
          <w:tcPr>
            <w:tcW w:w="2287" w:type="pct"/>
            <w:tcBorders>
              <w:top w:val="single" w:color="auto" w:sz="4" w:space="0"/>
              <w:left w:val="nil"/>
              <w:bottom w:val="single" w:color="auto" w:sz="4" w:space="0"/>
              <w:right w:val="single" w:color="auto" w:sz="4" w:space="0"/>
            </w:tcBorders>
            <w:shd w:val="clear" w:color="auto" w:fill="FFFFFF"/>
            <w:vAlign w:val="center"/>
          </w:tcPr>
          <w:p w14:paraId="40A969E7">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1.材质及规格：DN600×DN600，钢三通</w:t>
            </w:r>
          </w:p>
        </w:tc>
        <w:tc>
          <w:tcPr>
            <w:tcW w:w="596" w:type="pct"/>
            <w:tcBorders>
              <w:top w:val="single" w:color="auto" w:sz="4" w:space="0"/>
              <w:left w:val="nil"/>
              <w:bottom w:val="single" w:color="auto" w:sz="4" w:space="0"/>
              <w:right w:val="single" w:color="auto" w:sz="4" w:space="0"/>
            </w:tcBorders>
            <w:shd w:val="clear" w:color="auto" w:fill="FFFFFF"/>
            <w:noWrap/>
            <w:vAlign w:val="center"/>
          </w:tcPr>
          <w:p w14:paraId="2BF6DE8B">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single" w:color="auto" w:sz="4" w:space="0"/>
              <w:left w:val="nil"/>
              <w:bottom w:val="single" w:color="auto" w:sz="4" w:space="0"/>
              <w:right w:val="single" w:color="auto" w:sz="4" w:space="0"/>
            </w:tcBorders>
            <w:shd w:val="clear" w:color="auto" w:fill="FFFFFF"/>
            <w:noWrap/>
            <w:vAlign w:val="center"/>
          </w:tcPr>
          <w:p w14:paraId="537F644C">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single" w:color="auto" w:sz="4" w:space="0"/>
              <w:left w:val="nil"/>
              <w:bottom w:val="single" w:color="auto" w:sz="4" w:space="0"/>
              <w:right w:val="single" w:color="auto" w:sz="4" w:space="0"/>
            </w:tcBorders>
            <w:shd w:val="clear" w:color="auto" w:fill="FFFFFF"/>
            <w:noWrap/>
            <w:vAlign w:val="center"/>
          </w:tcPr>
          <w:p w14:paraId="45AFA1A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5ACE62A6">
        <w:tblPrEx>
          <w:tblCellMar>
            <w:top w:w="0" w:type="dxa"/>
            <w:left w:w="108" w:type="dxa"/>
            <w:bottom w:w="0" w:type="dxa"/>
            <w:right w:w="108" w:type="dxa"/>
          </w:tblCellMar>
        </w:tblPrEx>
        <w:trPr>
          <w:trHeight w:val="504" w:hRule="atLeast"/>
        </w:trPr>
        <w:tc>
          <w:tcPr>
            <w:tcW w:w="33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5E806D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21</w:t>
            </w:r>
          </w:p>
        </w:tc>
        <w:tc>
          <w:tcPr>
            <w:tcW w:w="808" w:type="pct"/>
            <w:tcBorders>
              <w:top w:val="single" w:color="auto" w:sz="4" w:space="0"/>
              <w:left w:val="nil"/>
              <w:bottom w:val="single" w:color="auto" w:sz="4" w:space="0"/>
              <w:right w:val="single" w:color="auto" w:sz="4" w:space="0"/>
            </w:tcBorders>
            <w:shd w:val="clear" w:color="auto" w:fill="FFFFFF"/>
            <w:noWrap/>
            <w:vAlign w:val="center"/>
          </w:tcPr>
          <w:p w14:paraId="1B32FB6A">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同心异径管</w:t>
            </w:r>
          </w:p>
        </w:tc>
        <w:tc>
          <w:tcPr>
            <w:tcW w:w="2287" w:type="pct"/>
            <w:tcBorders>
              <w:top w:val="single" w:color="auto" w:sz="4" w:space="0"/>
              <w:left w:val="nil"/>
              <w:bottom w:val="single" w:color="auto" w:sz="4" w:space="0"/>
              <w:right w:val="single" w:color="auto" w:sz="4" w:space="0"/>
            </w:tcBorders>
            <w:shd w:val="clear" w:color="auto" w:fill="FFFFFF"/>
            <w:vAlign w:val="center"/>
          </w:tcPr>
          <w:p w14:paraId="6E0A1B20">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1.材质及规格：同心异径管，DN600×DN300，钢制同心异径管</w:t>
            </w:r>
          </w:p>
        </w:tc>
        <w:tc>
          <w:tcPr>
            <w:tcW w:w="596" w:type="pct"/>
            <w:tcBorders>
              <w:top w:val="single" w:color="auto" w:sz="4" w:space="0"/>
              <w:left w:val="nil"/>
              <w:bottom w:val="single" w:color="auto" w:sz="4" w:space="0"/>
              <w:right w:val="single" w:color="auto" w:sz="4" w:space="0"/>
            </w:tcBorders>
            <w:shd w:val="clear" w:color="auto" w:fill="FFFFFF"/>
            <w:noWrap/>
            <w:vAlign w:val="center"/>
          </w:tcPr>
          <w:p w14:paraId="0870AD21">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single" w:color="auto" w:sz="4" w:space="0"/>
              <w:left w:val="nil"/>
              <w:bottom w:val="single" w:color="auto" w:sz="4" w:space="0"/>
              <w:right w:val="single" w:color="auto" w:sz="4" w:space="0"/>
            </w:tcBorders>
            <w:shd w:val="clear" w:color="auto" w:fill="FFFFFF"/>
            <w:noWrap/>
            <w:vAlign w:val="center"/>
          </w:tcPr>
          <w:p w14:paraId="2EF373A1">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single" w:color="auto" w:sz="4" w:space="0"/>
              <w:left w:val="nil"/>
              <w:bottom w:val="single" w:color="auto" w:sz="4" w:space="0"/>
              <w:right w:val="single" w:color="auto" w:sz="4" w:space="0"/>
            </w:tcBorders>
            <w:shd w:val="clear" w:color="auto" w:fill="FFFFFF"/>
            <w:noWrap/>
            <w:vAlign w:val="center"/>
          </w:tcPr>
          <w:p w14:paraId="02AB1E8B">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3E42CDAD">
        <w:tblPrEx>
          <w:tblCellMar>
            <w:top w:w="0" w:type="dxa"/>
            <w:left w:w="108" w:type="dxa"/>
            <w:bottom w:w="0" w:type="dxa"/>
            <w:right w:w="108" w:type="dxa"/>
          </w:tblCellMar>
        </w:tblPrEx>
        <w:trPr>
          <w:trHeight w:val="504" w:hRule="atLeast"/>
        </w:trPr>
        <w:tc>
          <w:tcPr>
            <w:tcW w:w="33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7A4D58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22</w:t>
            </w:r>
          </w:p>
        </w:tc>
        <w:tc>
          <w:tcPr>
            <w:tcW w:w="808" w:type="pct"/>
            <w:tcBorders>
              <w:top w:val="single" w:color="auto" w:sz="4" w:space="0"/>
              <w:left w:val="nil"/>
              <w:bottom w:val="single" w:color="auto" w:sz="4" w:space="0"/>
              <w:right w:val="single" w:color="auto" w:sz="4" w:space="0"/>
            </w:tcBorders>
            <w:shd w:val="clear" w:color="auto" w:fill="FFFFFF"/>
            <w:noWrap/>
            <w:vAlign w:val="center"/>
          </w:tcPr>
          <w:p w14:paraId="02ABCE7A">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2287" w:type="pct"/>
            <w:tcBorders>
              <w:top w:val="single" w:color="auto" w:sz="4" w:space="0"/>
              <w:left w:val="nil"/>
              <w:bottom w:val="single" w:color="auto" w:sz="4" w:space="0"/>
              <w:right w:val="single" w:color="auto" w:sz="4" w:space="0"/>
            </w:tcBorders>
            <w:shd w:val="clear" w:color="auto" w:fill="FFFFFF"/>
            <w:vAlign w:val="center"/>
          </w:tcPr>
          <w:p w14:paraId="615A631B">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1.材质及规格：DN300×90°；钢制弯头</w:t>
            </w:r>
          </w:p>
        </w:tc>
        <w:tc>
          <w:tcPr>
            <w:tcW w:w="596" w:type="pct"/>
            <w:tcBorders>
              <w:top w:val="single" w:color="auto" w:sz="4" w:space="0"/>
              <w:left w:val="nil"/>
              <w:bottom w:val="single" w:color="auto" w:sz="4" w:space="0"/>
              <w:right w:val="single" w:color="auto" w:sz="4" w:space="0"/>
            </w:tcBorders>
            <w:shd w:val="clear" w:color="auto" w:fill="FFFFFF"/>
            <w:noWrap/>
            <w:vAlign w:val="center"/>
          </w:tcPr>
          <w:p w14:paraId="36893C3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322" w:type="pct"/>
            <w:tcBorders>
              <w:top w:val="single" w:color="auto" w:sz="4" w:space="0"/>
              <w:left w:val="nil"/>
              <w:bottom w:val="single" w:color="auto" w:sz="4" w:space="0"/>
              <w:right w:val="single" w:color="auto" w:sz="4" w:space="0"/>
            </w:tcBorders>
            <w:shd w:val="clear" w:color="auto" w:fill="FFFFFF"/>
            <w:noWrap/>
            <w:vAlign w:val="center"/>
          </w:tcPr>
          <w:p w14:paraId="3C35BE10">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single" w:color="auto" w:sz="4" w:space="0"/>
              <w:left w:val="nil"/>
              <w:bottom w:val="single" w:color="auto" w:sz="4" w:space="0"/>
              <w:right w:val="single" w:color="auto" w:sz="4" w:space="0"/>
            </w:tcBorders>
            <w:shd w:val="clear" w:color="auto" w:fill="FFFFFF"/>
            <w:noWrap/>
            <w:vAlign w:val="center"/>
          </w:tcPr>
          <w:p w14:paraId="017EE07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33600D51">
        <w:tblPrEx>
          <w:tblCellMar>
            <w:top w:w="0" w:type="dxa"/>
            <w:left w:w="108" w:type="dxa"/>
            <w:bottom w:w="0" w:type="dxa"/>
            <w:right w:w="108" w:type="dxa"/>
          </w:tblCellMar>
        </w:tblPrEx>
        <w:trPr>
          <w:trHeight w:val="504" w:hRule="atLeast"/>
        </w:trPr>
        <w:tc>
          <w:tcPr>
            <w:tcW w:w="33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B28461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23</w:t>
            </w:r>
          </w:p>
        </w:tc>
        <w:tc>
          <w:tcPr>
            <w:tcW w:w="808" w:type="pct"/>
            <w:tcBorders>
              <w:top w:val="single" w:color="auto" w:sz="4" w:space="0"/>
              <w:left w:val="nil"/>
              <w:bottom w:val="single" w:color="auto" w:sz="4" w:space="0"/>
              <w:right w:val="single" w:color="auto" w:sz="4" w:space="0"/>
            </w:tcBorders>
            <w:shd w:val="clear" w:color="auto" w:fill="FFFFFF"/>
            <w:noWrap/>
            <w:vAlign w:val="center"/>
          </w:tcPr>
          <w:p w14:paraId="4C5D5AFE">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2287" w:type="pct"/>
            <w:tcBorders>
              <w:top w:val="single" w:color="auto" w:sz="4" w:space="0"/>
              <w:left w:val="nil"/>
              <w:bottom w:val="single" w:color="auto" w:sz="4" w:space="0"/>
              <w:right w:val="single" w:color="auto" w:sz="4" w:space="0"/>
            </w:tcBorders>
            <w:shd w:val="clear" w:color="auto" w:fill="FFFFFF"/>
            <w:vAlign w:val="center"/>
          </w:tcPr>
          <w:p w14:paraId="2C45B0EC">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1.材质及规格：DN300×90°(焊口找平7°)，钢制弯头</w:t>
            </w:r>
          </w:p>
        </w:tc>
        <w:tc>
          <w:tcPr>
            <w:tcW w:w="596" w:type="pct"/>
            <w:tcBorders>
              <w:top w:val="single" w:color="auto" w:sz="4" w:space="0"/>
              <w:left w:val="nil"/>
              <w:bottom w:val="single" w:color="auto" w:sz="4" w:space="0"/>
              <w:right w:val="single" w:color="auto" w:sz="4" w:space="0"/>
            </w:tcBorders>
            <w:shd w:val="clear" w:color="auto" w:fill="FFFFFF"/>
            <w:noWrap/>
            <w:vAlign w:val="center"/>
          </w:tcPr>
          <w:p w14:paraId="797B3DC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single" w:color="auto" w:sz="4" w:space="0"/>
              <w:left w:val="nil"/>
              <w:bottom w:val="single" w:color="auto" w:sz="4" w:space="0"/>
              <w:right w:val="single" w:color="auto" w:sz="4" w:space="0"/>
            </w:tcBorders>
            <w:shd w:val="clear" w:color="auto" w:fill="FFFFFF"/>
            <w:noWrap/>
            <w:vAlign w:val="center"/>
          </w:tcPr>
          <w:p w14:paraId="611E083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single" w:color="auto" w:sz="4" w:space="0"/>
              <w:left w:val="nil"/>
              <w:bottom w:val="single" w:color="auto" w:sz="4" w:space="0"/>
              <w:right w:val="single" w:color="auto" w:sz="4" w:space="0"/>
            </w:tcBorders>
            <w:shd w:val="clear" w:color="auto" w:fill="FFFFFF"/>
            <w:noWrap/>
            <w:vAlign w:val="center"/>
          </w:tcPr>
          <w:p w14:paraId="1408EE4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5092FC2E">
        <w:tblPrEx>
          <w:tblCellMar>
            <w:top w:w="0" w:type="dxa"/>
            <w:left w:w="108" w:type="dxa"/>
            <w:bottom w:w="0" w:type="dxa"/>
            <w:right w:w="108" w:type="dxa"/>
          </w:tblCellMar>
        </w:tblPrEx>
        <w:trPr>
          <w:trHeight w:val="736" w:hRule="atLeast"/>
        </w:trPr>
        <w:tc>
          <w:tcPr>
            <w:tcW w:w="331" w:type="pct"/>
            <w:tcBorders>
              <w:top w:val="nil"/>
              <w:left w:val="single" w:color="auto" w:sz="4" w:space="0"/>
              <w:bottom w:val="single" w:color="auto" w:sz="4" w:space="0"/>
              <w:right w:val="single" w:color="auto" w:sz="4" w:space="0"/>
            </w:tcBorders>
            <w:noWrap/>
            <w:vAlign w:val="center"/>
          </w:tcPr>
          <w:p w14:paraId="25A2415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24</w:t>
            </w:r>
          </w:p>
        </w:tc>
        <w:tc>
          <w:tcPr>
            <w:tcW w:w="808" w:type="pct"/>
            <w:tcBorders>
              <w:top w:val="nil"/>
              <w:left w:val="nil"/>
              <w:bottom w:val="single" w:color="auto" w:sz="4" w:space="0"/>
              <w:right w:val="single" w:color="auto" w:sz="4" w:space="0"/>
            </w:tcBorders>
            <w:noWrap/>
            <w:vAlign w:val="center"/>
          </w:tcPr>
          <w:p w14:paraId="29B5F9E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2287" w:type="pct"/>
            <w:tcBorders>
              <w:top w:val="nil"/>
              <w:left w:val="nil"/>
              <w:bottom w:val="single" w:color="auto" w:sz="4" w:space="0"/>
              <w:right w:val="single" w:color="auto" w:sz="4" w:space="0"/>
            </w:tcBorders>
            <w:vAlign w:val="center"/>
          </w:tcPr>
          <w:p w14:paraId="00B7C06A">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1.材质及规格：DN300×7°，钢制弯头</w:t>
            </w:r>
          </w:p>
        </w:tc>
        <w:tc>
          <w:tcPr>
            <w:tcW w:w="596" w:type="pct"/>
            <w:tcBorders>
              <w:top w:val="nil"/>
              <w:left w:val="nil"/>
              <w:bottom w:val="single" w:color="auto" w:sz="4" w:space="0"/>
              <w:right w:val="single" w:color="auto" w:sz="4" w:space="0"/>
            </w:tcBorders>
            <w:noWrap/>
            <w:vAlign w:val="center"/>
          </w:tcPr>
          <w:p w14:paraId="3CE6B0D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nil"/>
              <w:left w:val="nil"/>
              <w:bottom w:val="single" w:color="auto" w:sz="4" w:space="0"/>
              <w:right w:val="single" w:color="auto" w:sz="4" w:space="0"/>
            </w:tcBorders>
            <w:noWrap/>
            <w:vAlign w:val="center"/>
          </w:tcPr>
          <w:p w14:paraId="5CEBA4DC">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7D81818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6CBF550F">
        <w:tblPrEx>
          <w:tblCellMar>
            <w:top w:w="0" w:type="dxa"/>
            <w:left w:w="108" w:type="dxa"/>
            <w:bottom w:w="0" w:type="dxa"/>
            <w:right w:w="108" w:type="dxa"/>
          </w:tblCellMar>
        </w:tblPrEx>
        <w:trPr>
          <w:trHeight w:val="736" w:hRule="atLeast"/>
        </w:trPr>
        <w:tc>
          <w:tcPr>
            <w:tcW w:w="331" w:type="pct"/>
            <w:tcBorders>
              <w:top w:val="nil"/>
              <w:left w:val="single" w:color="auto" w:sz="4" w:space="0"/>
              <w:bottom w:val="single" w:color="auto" w:sz="4" w:space="0"/>
              <w:right w:val="single" w:color="auto" w:sz="4" w:space="0"/>
            </w:tcBorders>
            <w:noWrap/>
            <w:vAlign w:val="center"/>
          </w:tcPr>
          <w:p w14:paraId="3DDCFCD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25</w:t>
            </w:r>
          </w:p>
        </w:tc>
        <w:tc>
          <w:tcPr>
            <w:tcW w:w="808" w:type="pct"/>
            <w:tcBorders>
              <w:top w:val="nil"/>
              <w:left w:val="nil"/>
              <w:bottom w:val="single" w:color="auto" w:sz="4" w:space="0"/>
              <w:right w:val="single" w:color="auto" w:sz="4" w:space="0"/>
            </w:tcBorders>
            <w:noWrap/>
            <w:vAlign w:val="center"/>
          </w:tcPr>
          <w:p w14:paraId="7B9B747F">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2287" w:type="pct"/>
            <w:tcBorders>
              <w:top w:val="nil"/>
              <w:left w:val="nil"/>
              <w:bottom w:val="single" w:color="auto" w:sz="4" w:space="0"/>
              <w:right w:val="single" w:color="auto" w:sz="4" w:space="0"/>
            </w:tcBorders>
            <w:vAlign w:val="center"/>
          </w:tcPr>
          <w:p w14:paraId="689C624D">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1.材质及规格：DN300×45°；钢制弯头</w:t>
            </w:r>
          </w:p>
        </w:tc>
        <w:tc>
          <w:tcPr>
            <w:tcW w:w="596" w:type="pct"/>
            <w:tcBorders>
              <w:top w:val="nil"/>
              <w:left w:val="nil"/>
              <w:bottom w:val="single" w:color="auto" w:sz="4" w:space="0"/>
              <w:right w:val="single" w:color="auto" w:sz="4" w:space="0"/>
            </w:tcBorders>
            <w:noWrap/>
            <w:vAlign w:val="center"/>
          </w:tcPr>
          <w:p w14:paraId="2C3B458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322" w:type="pct"/>
            <w:tcBorders>
              <w:top w:val="nil"/>
              <w:left w:val="nil"/>
              <w:bottom w:val="single" w:color="auto" w:sz="4" w:space="0"/>
              <w:right w:val="single" w:color="auto" w:sz="4" w:space="0"/>
            </w:tcBorders>
            <w:noWrap/>
            <w:vAlign w:val="center"/>
          </w:tcPr>
          <w:p w14:paraId="74B21CCE">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18DC82C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54476C1F">
        <w:tblPrEx>
          <w:tblCellMar>
            <w:top w:w="0" w:type="dxa"/>
            <w:left w:w="108" w:type="dxa"/>
            <w:bottom w:w="0" w:type="dxa"/>
            <w:right w:w="108" w:type="dxa"/>
          </w:tblCellMar>
        </w:tblPrEx>
        <w:trPr>
          <w:trHeight w:val="736" w:hRule="atLeast"/>
        </w:trPr>
        <w:tc>
          <w:tcPr>
            <w:tcW w:w="331" w:type="pct"/>
            <w:tcBorders>
              <w:top w:val="nil"/>
              <w:left w:val="single" w:color="auto" w:sz="4" w:space="0"/>
              <w:bottom w:val="single" w:color="auto" w:sz="4" w:space="0"/>
              <w:right w:val="single" w:color="auto" w:sz="4" w:space="0"/>
            </w:tcBorders>
            <w:noWrap/>
            <w:vAlign w:val="center"/>
          </w:tcPr>
          <w:p w14:paraId="0130F3B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26</w:t>
            </w:r>
          </w:p>
        </w:tc>
        <w:tc>
          <w:tcPr>
            <w:tcW w:w="808" w:type="pct"/>
            <w:tcBorders>
              <w:top w:val="nil"/>
              <w:left w:val="nil"/>
              <w:bottom w:val="single" w:color="auto" w:sz="4" w:space="0"/>
              <w:right w:val="single" w:color="auto" w:sz="4" w:space="0"/>
            </w:tcBorders>
            <w:noWrap/>
            <w:vAlign w:val="center"/>
          </w:tcPr>
          <w:p w14:paraId="043CF37A">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异径三通</w:t>
            </w:r>
          </w:p>
        </w:tc>
        <w:tc>
          <w:tcPr>
            <w:tcW w:w="2287" w:type="pct"/>
            <w:tcBorders>
              <w:top w:val="nil"/>
              <w:left w:val="nil"/>
              <w:bottom w:val="single" w:color="auto" w:sz="4" w:space="0"/>
              <w:right w:val="single" w:color="auto" w:sz="4" w:space="0"/>
            </w:tcBorders>
            <w:vAlign w:val="center"/>
          </w:tcPr>
          <w:p w14:paraId="21D3D75B">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1.材质及规格：DN600×DN300，钢制三通</w:t>
            </w:r>
          </w:p>
        </w:tc>
        <w:tc>
          <w:tcPr>
            <w:tcW w:w="596" w:type="pct"/>
            <w:tcBorders>
              <w:top w:val="nil"/>
              <w:left w:val="nil"/>
              <w:bottom w:val="single" w:color="auto" w:sz="4" w:space="0"/>
              <w:right w:val="single" w:color="auto" w:sz="4" w:space="0"/>
            </w:tcBorders>
            <w:noWrap/>
            <w:vAlign w:val="center"/>
          </w:tcPr>
          <w:p w14:paraId="45B1FA3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322" w:type="pct"/>
            <w:tcBorders>
              <w:top w:val="nil"/>
              <w:left w:val="nil"/>
              <w:bottom w:val="single" w:color="auto" w:sz="4" w:space="0"/>
              <w:right w:val="single" w:color="auto" w:sz="4" w:space="0"/>
            </w:tcBorders>
            <w:noWrap/>
            <w:vAlign w:val="center"/>
          </w:tcPr>
          <w:p w14:paraId="401862A0">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652" w:type="pct"/>
            <w:tcBorders>
              <w:top w:val="nil"/>
              <w:left w:val="nil"/>
              <w:bottom w:val="single" w:color="auto" w:sz="4" w:space="0"/>
              <w:right w:val="single" w:color="auto" w:sz="4" w:space="0"/>
            </w:tcBorders>
            <w:vAlign w:val="center"/>
          </w:tcPr>
          <w:p w14:paraId="15E14ED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45CB6F43">
        <w:tblPrEx>
          <w:tblCellMar>
            <w:top w:w="0" w:type="dxa"/>
            <w:left w:w="108" w:type="dxa"/>
            <w:bottom w:w="0" w:type="dxa"/>
            <w:right w:w="108" w:type="dxa"/>
          </w:tblCellMar>
        </w:tblPrEx>
        <w:trPr>
          <w:trHeight w:val="736" w:hRule="atLeast"/>
        </w:trPr>
        <w:tc>
          <w:tcPr>
            <w:tcW w:w="331" w:type="pct"/>
            <w:tcBorders>
              <w:top w:val="nil"/>
              <w:left w:val="single" w:color="auto" w:sz="4" w:space="0"/>
              <w:bottom w:val="single" w:color="auto" w:sz="4" w:space="0"/>
              <w:right w:val="single" w:color="auto" w:sz="4" w:space="0"/>
            </w:tcBorders>
            <w:noWrap/>
            <w:vAlign w:val="center"/>
          </w:tcPr>
          <w:p w14:paraId="17599EF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27</w:t>
            </w:r>
          </w:p>
        </w:tc>
        <w:tc>
          <w:tcPr>
            <w:tcW w:w="808" w:type="pct"/>
            <w:tcBorders>
              <w:top w:val="nil"/>
              <w:left w:val="nil"/>
              <w:bottom w:val="single" w:color="auto" w:sz="4" w:space="0"/>
              <w:right w:val="single" w:color="auto" w:sz="4" w:space="0"/>
            </w:tcBorders>
            <w:noWrap/>
            <w:vAlign w:val="center"/>
          </w:tcPr>
          <w:p w14:paraId="4507D786">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钢管</w:t>
            </w:r>
          </w:p>
        </w:tc>
        <w:tc>
          <w:tcPr>
            <w:tcW w:w="2287" w:type="pct"/>
            <w:tcBorders>
              <w:top w:val="nil"/>
              <w:left w:val="nil"/>
              <w:bottom w:val="single" w:color="auto" w:sz="4" w:space="0"/>
              <w:right w:val="single" w:color="auto" w:sz="4" w:space="0"/>
            </w:tcBorders>
            <w:vAlign w:val="center"/>
          </w:tcPr>
          <w:p w14:paraId="0B024F1F">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1.规格、压力等级：DN300</w:t>
            </w:r>
          </w:p>
        </w:tc>
        <w:tc>
          <w:tcPr>
            <w:tcW w:w="596" w:type="pct"/>
            <w:tcBorders>
              <w:top w:val="nil"/>
              <w:left w:val="nil"/>
              <w:bottom w:val="single" w:color="auto" w:sz="4" w:space="0"/>
              <w:right w:val="single" w:color="auto" w:sz="4" w:space="0"/>
            </w:tcBorders>
            <w:noWrap/>
            <w:vAlign w:val="center"/>
          </w:tcPr>
          <w:p w14:paraId="7E4C890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90</w:t>
            </w:r>
          </w:p>
        </w:tc>
        <w:tc>
          <w:tcPr>
            <w:tcW w:w="322" w:type="pct"/>
            <w:tcBorders>
              <w:top w:val="nil"/>
              <w:left w:val="nil"/>
              <w:bottom w:val="single" w:color="auto" w:sz="4" w:space="0"/>
              <w:right w:val="single" w:color="auto" w:sz="4" w:space="0"/>
            </w:tcBorders>
            <w:noWrap/>
            <w:vAlign w:val="center"/>
          </w:tcPr>
          <w:p w14:paraId="1C68991C">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652" w:type="pct"/>
            <w:tcBorders>
              <w:top w:val="nil"/>
              <w:left w:val="nil"/>
              <w:bottom w:val="single" w:color="auto" w:sz="4" w:space="0"/>
              <w:right w:val="single" w:color="auto" w:sz="4" w:space="0"/>
            </w:tcBorders>
            <w:vAlign w:val="center"/>
          </w:tcPr>
          <w:p w14:paraId="38671A5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42FEEBE1">
        <w:tblPrEx>
          <w:tblCellMar>
            <w:top w:w="0" w:type="dxa"/>
            <w:left w:w="108" w:type="dxa"/>
            <w:bottom w:w="0" w:type="dxa"/>
            <w:right w:w="108" w:type="dxa"/>
          </w:tblCellMar>
        </w:tblPrEx>
        <w:trPr>
          <w:trHeight w:val="736" w:hRule="atLeast"/>
        </w:trPr>
        <w:tc>
          <w:tcPr>
            <w:tcW w:w="331" w:type="pct"/>
            <w:tcBorders>
              <w:top w:val="nil"/>
              <w:left w:val="single" w:color="auto" w:sz="4" w:space="0"/>
              <w:bottom w:val="single" w:color="auto" w:sz="4" w:space="0"/>
              <w:right w:val="single" w:color="auto" w:sz="4" w:space="0"/>
            </w:tcBorders>
            <w:noWrap/>
            <w:vAlign w:val="center"/>
          </w:tcPr>
          <w:p w14:paraId="43F3DAD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28</w:t>
            </w:r>
          </w:p>
        </w:tc>
        <w:tc>
          <w:tcPr>
            <w:tcW w:w="808" w:type="pct"/>
            <w:tcBorders>
              <w:top w:val="nil"/>
              <w:left w:val="nil"/>
              <w:bottom w:val="single" w:color="auto" w:sz="4" w:space="0"/>
              <w:right w:val="single" w:color="auto" w:sz="4" w:space="0"/>
            </w:tcBorders>
            <w:noWrap/>
            <w:vAlign w:val="center"/>
          </w:tcPr>
          <w:p w14:paraId="729600E1">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钢管</w:t>
            </w:r>
          </w:p>
        </w:tc>
        <w:tc>
          <w:tcPr>
            <w:tcW w:w="2287" w:type="pct"/>
            <w:tcBorders>
              <w:top w:val="nil"/>
              <w:left w:val="nil"/>
              <w:bottom w:val="single" w:color="auto" w:sz="4" w:space="0"/>
              <w:right w:val="single" w:color="auto" w:sz="4" w:space="0"/>
            </w:tcBorders>
            <w:vAlign w:val="center"/>
          </w:tcPr>
          <w:p w14:paraId="06D0B17F">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1.规格、压力等级：DN600</w:t>
            </w:r>
          </w:p>
        </w:tc>
        <w:tc>
          <w:tcPr>
            <w:tcW w:w="596" w:type="pct"/>
            <w:tcBorders>
              <w:top w:val="nil"/>
              <w:left w:val="nil"/>
              <w:bottom w:val="single" w:color="auto" w:sz="4" w:space="0"/>
              <w:right w:val="single" w:color="auto" w:sz="4" w:space="0"/>
            </w:tcBorders>
            <w:noWrap/>
            <w:vAlign w:val="center"/>
          </w:tcPr>
          <w:p w14:paraId="2F6C507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5</w:t>
            </w:r>
          </w:p>
        </w:tc>
        <w:tc>
          <w:tcPr>
            <w:tcW w:w="322" w:type="pct"/>
            <w:tcBorders>
              <w:top w:val="nil"/>
              <w:left w:val="nil"/>
              <w:bottom w:val="single" w:color="auto" w:sz="4" w:space="0"/>
              <w:right w:val="single" w:color="auto" w:sz="4" w:space="0"/>
            </w:tcBorders>
            <w:noWrap/>
            <w:vAlign w:val="center"/>
          </w:tcPr>
          <w:p w14:paraId="3767FD56">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652" w:type="pct"/>
            <w:tcBorders>
              <w:top w:val="nil"/>
              <w:left w:val="nil"/>
              <w:bottom w:val="single" w:color="auto" w:sz="4" w:space="0"/>
              <w:right w:val="single" w:color="auto" w:sz="4" w:space="0"/>
            </w:tcBorders>
            <w:vAlign w:val="center"/>
          </w:tcPr>
          <w:p w14:paraId="4FFA4E4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247045C0">
        <w:tblPrEx>
          <w:tblCellMar>
            <w:top w:w="0" w:type="dxa"/>
            <w:left w:w="108" w:type="dxa"/>
            <w:bottom w:w="0" w:type="dxa"/>
            <w:right w:w="108" w:type="dxa"/>
          </w:tblCellMar>
        </w:tblPrEx>
        <w:trPr>
          <w:trHeight w:val="736" w:hRule="atLeast"/>
        </w:trPr>
        <w:tc>
          <w:tcPr>
            <w:tcW w:w="331" w:type="pct"/>
            <w:tcBorders>
              <w:top w:val="nil"/>
              <w:left w:val="single" w:color="auto" w:sz="4" w:space="0"/>
              <w:bottom w:val="single" w:color="auto" w:sz="4" w:space="0"/>
              <w:right w:val="single" w:color="auto" w:sz="4" w:space="0"/>
            </w:tcBorders>
            <w:noWrap/>
            <w:vAlign w:val="center"/>
          </w:tcPr>
          <w:p w14:paraId="21FA4C7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29</w:t>
            </w:r>
          </w:p>
        </w:tc>
        <w:tc>
          <w:tcPr>
            <w:tcW w:w="808" w:type="pct"/>
            <w:tcBorders>
              <w:top w:val="nil"/>
              <w:left w:val="nil"/>
              <w:bottom w:val="single" w:color="auto" w:sz="4" w:space="0"/>
              <w:right w:val="single" w:color="auto" w:sz="4" w:space="0"/>
            </w:tcBorders>
            <w:noWrap/>
            <w:vAlign w:val="center"/>
          </w:tcPr>
          <w:p w14:paraId="529BB51C">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UPVC管</w:t>
            </w:r>
          </w:p>
        </w:tc>
        <w:tc>
          <w:tcPr>
            <w:tcW w:w="2287" w:type="pct"/>
            <w:tcBorders>
              <w:top w:val="nil"/>
              <w:left w:val="nil"/>
              <w:bottom w:val="single" w:color="auto" w:sz="4" w:space="0"/>
              <w:right w:val="single" w:color="auto" w:sz="4" w:space="0"/>
            </w:tcBorders>
            <w:vAlign w:val="center"/>
          </w:tcPr>
          <w:p w14:paraId="11C65119">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1.材质、规格：UPVC De220</w:t>
            </w:r>
          </w:p>
        </w:tc>
        <w:tc>
          <w:tcPr>
            <w:tcW w:w="596" w:type="pct"/>
            <w:tcBorders>
              <w:top w:val="nil"/>
              <w:left w:val="nil"/>
              <w:bottom w:val="single" w:color="auto" w:sz="4" w:space="0"/>
              <w:right w:val="single" w:color="auto" w:sz="4" w:space="0"/>
            </w:tcBorders>
            <w:noWrap/>
            <w:vAlign w:val="center"/>
          </w:tcPr>
          <w:p w14:paraId="79AD208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10</w:t>
            </w:r>
          </w:p>
        </w:tc>
        <w:tc>
          <w:tcPr>
            <w:tcW w:w="322" w:type="pct"/>
            <w:tcBorders>
              <w:top w:val="nil"/>
              <w:left w:val="nil"/>
              <w:bottom w:val="single" w:color="auto" w:sz="4" w:space="0"/>
              <w:right w:val="single" w:color="auto" w:sz="4" w:space="0"/>
            </w:tcBorders>
            <w:noWrap/>
            <w:vAlign w:val="center"/>
          </w:tcPr>
          <w:p w14:paraId="61D8266A">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652" w:type="pct"/>
            <w:tcBorders>
              <w:top w:val="nil"/>
              <w:left w:val="nil"/>
              <w:bottom w:val="single" w:color="auto" w:sz="4" w:space="0"/>
              <w:right w:val="single" w:color="auto" w:sz="4" w:space="0"/>
            </w:tcBorders>
            <w:vAlign w:val="center"/>
          </w:tcPr>
          <w:p w14:paraId="7161644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国产优质</w:t>
            </w:r>
          </w:p>
        </w:tc>
      </w:tr>
      <w:tr w14:paraId="665E81BA">
        <w:tblPrEx>
          <w:tblCellMar>
            <w:top w:w="0" w:type="dxa"/>
            <w:left w:w="108" w:type="dxa"/>
            <w:bottom w:w="0" w:type="dxa"/>
            <w:right w:w="108" w:type="dxa"/>
          </w:tblCellMar>
        </w:tblPrEx>
        <w:trPr>
          <w:trHeight w:val="746" w:hRule="atLeast"/>
        </w:trPr>
        <w:tc>
          <w:tcPr>
            <w:tcW w:w="5000" w:type="pct"/>
            <w:gridSpan w:val="6"/>
            <w:tcBorders>
              <w:top w:val="nil"/>
              <w:left w:val="single" w:color="auto" w:sz="4" w:space="0"/>
              <w:bottom w:val="single" w:color="auto" w:sz="4" w:space="0"/>
              <w:right w:val="single" w:color="auto" w:sz="4" w:space="0"/>
            </w:tcBorders>
            <w:noWrap/>
            <w:vAlign w:val="center"/>
          </w:tcPr>
          <w:p w14:paraId="128A1B1E">
            <w:pPr>
              <w:widowControl/>
              <w:spacing w:line="440" w:lineRule="exact"/>
              <w:jc w:val="center"/>
              <w:rPr>
                <w:rFonts w:ascii="宋体" w:hAnsi="宋体" w:cs="宋体"/>
                <w:kern w:val="0"/>
                <w:sz w:val="24"/>
                <w:highlight w:val="none"/>
              </w:rPr>
            </w:pPr>
            <w:r>
              <w:rPr>
                <w:rFonts w:hint="eastAsia" w:ascii="宋体" w:hAnsi="宋体" w:cs="宋体"/>
                <w:b/>
                <w:bCs/>
                <w:kern w:val="0"/>
                <w:sz w:val="24"/>
                <w:highlight w:val="none"/>
              </w:rPr>
              <w:t>二、建筑及市政工程部分</w:t>
            </w:r>
          </w:p>
        </w:tc>
      </w:tr>
      <w:tr w14:paraId="0DDB6E3F">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60DDF147">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003EB0">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场地平整</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336FB769">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场地平整清除地上地下障碍物(大块石、树根和草皮等杂物)</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3CA5D4">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53443F">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项</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7C7A8475">
            <w:pPr>
              <w:widowControl/>
              <w:spacing w:line="440" w:lineRule="exact"/>
              <w:jc w:val="center"/>
              <w:rPr>
                <w:rFonts w:hint="eastAsia" w:ascii="宋体" w:hAnsi="宋体" w:eastAsia="宋体" w:cs="宋体"/>
                <w:kern w:val="0"/>
                <w:sz w:val="24"/>
                <w:szCs w:val="24"/>
                <w:highlight w:val="none"/>
                <w:lang w:val="en-US" w:eastAsia="zh-CN" w:bidi="ar-SA"/>
              </w:rPr>
            </w:pPr>
          </w:p>
        </w:tc>
      </w:tr>
      <w:tr w14:paraId="702E4720">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14FB516B">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2</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5CB9DF">
            <w:pPr>
              <w:spacing w:before="62" w:line="220" w:lineRule="auto"/>
              <w:ind w:left="2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挖基坑土方</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158C7D2E">
            <w:pPr>
              <w:spacing w:before="14" w:line="215" w:lineRule="auto"/>
              <w:ind w:left="2" w:leftChars="0" w:right="39" w:righ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1.挖设备基础干土，不装车，土方类 别综合考虑，就近堆方用于回填</w:t>
            </w:r>
            <w:r>
              <w:rPr>
                <w:rFonts w:hint="eastAsia" w:ascii="宋体" w:hAnsi="宋体" w:cs="宋体"/>
                <w:kern w:val="0"/>
                <w:sz w:val="24"/>
                <w:szCs w:val="24"/>
                <w:highlight w:val="none"/>
                <w:lang w:val="en-US" w:eastAsia="zh-CN" w:bidi="ar-SA"/>
              </w:rPr>
              <w:t>。</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0575A3">
            <w:pPr>
              <w:spacing w:before="62" w:line="239" w:lineRule="auto"/>
              <w:ind w:right="34"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504.38</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AE01E4">
            <w:pPr>
              <w:spacing w:before="62"/>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5A1463CB">
            <w:pPr>
              <w:spacing w:before="62"/>
              <w:rPr>
                <w:rFonts w:hint="eastAsia" w:ascii="宋体" w:hAnsi="宋体" w:eastAsia="宋体" w:cs="宋体"/>
                <w:kern w:val="0"/>
                <w:sz w:val="24"/>
                <w:szCs w:val="24"/>
                <w:highlight w:val="none"/>
                <w:lang w:val="en-US" w:eastAsia="zh-CN" w:bidi="ar-SA"/>
              </w:rPr>
            </w:pPr>
          </w:p>
        </w:tc>
      </w:tr>
      <w:tr w14:paraId="782D152F">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2D861444">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C52809">
            <w:pPr>
              <w:spacing w:before="62" w:line="220" w:lineRule="auto"/>
              <w:ind w:left="2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挖基坑土方</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4CDAD36C">
            <w:pPr>
              <w:spacing w:before="4" w:line="210" w:lineRule="auto"/>
              <w:ind w:left="11" w:leftChars="0" w:right="29" w:righ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1.挖设备基础干土，装车，土方类别综合考虑，就近堆方用于回填</w:t>
            </w:r>
            <w:r>
              <w:rPr>
                <w:rFonts w:hint="eastAsia" w:ascii="宋体" w:hAnsi="宋体" w:cs="宋体"/>
                <w:kern w:val="0"/>
                <w:sz w:val="24"/>
                <w:szCs w:val="24"/>
                <w:highlight w:val="none"/>
                <w:lang w:val="en-US" w:eastAsia="zh-CN" w:bidi="ar-SA"/>
              </w:rPr>
              <w:t>。</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CE5676">
            <w:pPr>
              <w:spacing w:before="62" w:line="239" w:lineRule="auto"/>
              <w:ind w:right="34"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779.83</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2D5CC7">
            <w:pPr>
              <w:spacing w:before="62"/>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3ECFDF84">
            <w:pPr>
              <w:spacing w:before="62"/>
              <w:rPr>
                <w:rFonts w:hint="eastAsia" w:ascii="宋体" w:hAnsi="宋体" w:eastAsia="宋体" w:cs="宋体"/>
                <w:kern w:val="0"/>
                <w:sz w:val="24"/>
                <w:szCs w:val="24"/>
                <w:highlight w:val="none"/>
                <w:lang w:val="en-US" w:eastAsia="zh-CN" w:bidi="ar-SA"/>
              </w:rPr>
            </w:pPr>
          </w:p>
        </w:tc>
      </w:tr>
      <w:tr w14:paraId="6492119A">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0E6FC42E">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4</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71136A">
            <w:pPr>
              <w:spacing w:before="62" w:line="220" w:lineRule="auto"/>
              <w:ind w:left="2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回填方</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1969E8D4">
            <w:pPr>
              <w:spacing w:before="84" w:line="209" w:lineRule="auto"/>
              <w:ind w:left="2" w:right="45"/>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1.原土回填分层夯实，密实度按图纸要求 ；</w:t>
            </w:r>
          </w:p>
          <w:p w14:paraId="2AD2EB14">
            <w:pPr>
              <w:spacing w:line="223" w:lineRule="auto"/>
              <w:ind w:left="2" w:right="55" w:firstLine="9"/>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2.回填用土方调运，运距根据现场实际情况综合取定；</w:t>
            </w:r>
          </w:p>
          <w:p w14:paraId="448A8189">
            <w:pPr>
              <w:spacing w:line="218" w:lineRule="auto"/>
              <w:ind w:left="1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3.土方临时堆置场地费用自行考虑。</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72D5F6">
            <w:pPr>
              <w:spacing w:before="62" w:line="239" w:lineRule="auto"/>
              <w:ind w:right="30"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438.59</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3F1D34">
            <w:pPr>
              <w:spacing w:before="62"/>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7B8FFF38">
            <w:pPr>
              <w:spacing w:before="62"/>
              <w:rPr>
                <w:rFonts w:hint="eastAsia" w:ascii="宋体" w:hAnsi="宋体" w:eastAsia="宋体" w:cs="宋体"/>
                <w:kern w:val="0"/>
                <w:sz w:val="24"/>
                <w:szCs w:val="24"/>
                <w:highlight w:val="none"/>
                <w:lang w:val="en-US" w:eastAsia="zh-CN" w:bidi="ar-SA"/>
              </w:rPr>
            </w:pPr>
          </w:p>
        </w:tc>
      </w:tr>
      <w:tr w14:paraId="66D2F626">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4FB82A0F">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5</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0399E9">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余方弃置</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4207F7D8">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余土外运，运距根据现场实际情况综合取定。</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F39B5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859.84</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EB1D44">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002B69C9">
            <w:pPr>
              <w:widowControl/>
              <w:spacing w:line="440" w:lineRule="exact"/>
              <w:jc w:val="center"/>
              <w:rPr>
                <w:rFonts w:hint="eastAsia" w:ascii="宋体" w:hAnsi="宋体" w:eastAsia="宋体" w:cs="宋体"/>
                <w:kern w:val="0"/>
                <w:sz w:val="24"/>
                <w:szCs w:val="24"/>
                <w:highlight w:val="none"/>
                <w:lang w:val="en-US" w:eastAsia="zh-CN" w:bidi="ar-SA"/>
              </w:rPr>
            </w:pPr>
          </w:p>
        </w:tc>
      </w:tr>
      <w:tr w14:paraId="7DCC80D3">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4CF1F552">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6</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2B9F91">
            <w:pPr>
              <w:spacing w:before="62" w:line="219" w:lineRule="auto"/>
              <w:ind w:left="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深层搅拌桩</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13F3D24E">
            <w:pPr>
              <w:spacing w:before="66" w:line="218" w:lineRule="auto"/>
              <w:ind w:left="2" w:right="56"/>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1.单轴水泥搅拌桩，桩径700mm,桩长详见图纸</w:t>
            </w:r>
          </w:p>
          <w:p w14:paraId="23EC74A2">
            <w:pPr>
              <w:spacing w:before="13" w:line="219" w:lineRule="auto"/>
              <w:ind w:left="2"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2.涌土按20%考虑</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329F62">
            <w:pPr>
              <w:spacing w:before="61" w:line="239" w:lineRule="auto"/>
              <w:ind w:right="28"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2678.00</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7B7F09">
            <w:pPr>
              <w:spacing w:before="62" w:line="241"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7A7EB9DC">
            <w:pPr>
              <w:spacing w:before="62" w:line="241" w:lineRule="auto"/>
              <w:rPr>
                <w:rFonts w:hint="eastAsia" w:ascii="宋体" w:hAnsi="宋体" w:eastAsia="宋体" w:cs="宋体"/>
                <w:kern w:val="0"/>
                <w:sz w:val="24"/>
                <w:szCs w:val="24"/>
                <w:highlight w:val="none"/>
                <w:lang w:val="en-US" w:eastAsia="zh-CN" w:bidi="ar-SA"/>
              </w:rPr>
            </w:pPr>
          </w:p>
        </w:tc>
      </w:tr>
      <w:tr w14:paraId="3D72FD35">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48D147A1">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7</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A172E6">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截(凿)桩头</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64695FBF">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凿水泥搅拌桩桩头</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54102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40.82</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3A483A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2AF32959">
            <w:pPr>
              <w:widowControl/>
              <w:spacing w:line="440" w:lineRule="exact"/>
              <w:jc w:val="center"/>
              <w:rPr>
                <w:rFonts w:hint="eastAsia" w:ascii="宋体" w:hAnsi="宋体" w:eastAsia="宋体" w:cs="宋体"/>
                <w:kern w:val="0"/>
                <w:sz w:val="24"/>
                <w:szCs w:val="24"/>
                <w:highlight w:val="none"/>
                <w:lang w:val="en-US" w:eastAsia="zh-CN" w:bidi="ar-SA"/>
              </w:rPr>
            </w:pPr>
          </w:p>
        </w:tc>
      </w:tr>
      <w:tr w14:paraId="7FF29D17">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4BF0B1A0">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8</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8DEFD8">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余方弃置</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37E1B468">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凿出桩头外运，运距根据现场实际情况综合取定。</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8BBA0F">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40.82</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EAD24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3EAD9CAB">
            <w:pPr>
              <w:widowControl/>
              <w:spacing w:line="440" w:lineRule="exact"/>
              <w:jc w:val="center"/>
              <w:rPr>
                <w:rFonts w:hint="eastAsia" w:ascii="宋体" w:hAnsi="宋体" w:eastAsia="宋体" w:cs="宋体"/>
                <w:kern w:val="0"/>
                <w:sz w:val="24"/>
                <w:szCs w:val="24"/>
                <w:highlight w:val="none"/>
                <w:lang w:val="en-US" w:eastAsia="zh-CN" w:bidi="ar-SA"/>
              </w:rPr>
            </w:pPr>
          </w:p>
        </w:tc>
      </w:tr>
      <w:tr w14:paraId="3BB91DD2">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287C7E8D">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9</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99DD40D">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垫层</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1DE77D14">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300厚级配秒石将垫层，最大粒径不大于20mm,夯填度不大于0.90</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A4CD9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177.03</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B458C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131F9CEF">
            <w:pPr>
              <w:widowControl/>
              <w:spacing w:line="440" w:lineRule="exact"/>
              <w:jc w:val="center"/>
              <w:rPr>
                <w:rFonts w:hint="eastAsia" w:ascii="宋体" w:hAnsi="宋体" w:eastAsia="宋体" w:cs="宋体"/>
                <w:kern w:val="0"/>
                <w:sz w:val="24"/>
                <w:szCs w:val="24"/>
                <w:highlight w:val="none"/>
                <w:lang w:val="en-US" w:eastAsia="zh-CN" w:bidi="ar-SA"/>
              </w:rPr>
            </w:pPr>
          </w:p>
        </w:tc>
      </w:tr>
      <w:tr w14:paraId="71326A54">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329CD7B4">
            <w:pPr>
              <w:widowControl/>
              <w:spacing w:line="440" w:lineRule="exact"/>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10</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5AB089">
            <w:pPr>
              <w:pStyle w:val="374"/>
              <w:spacing w:line="270" w:lineRule="auto"/>
              <w:jc w:val="left"/>
              <w:rPr>
                <w:rFonts w:hint="eastAsia" w:ascii="宋体" w:hAnsi="宋体" w:eastAsia="宋体" w:cs="宋体"/>
                <w:kern w:val="0"/>
                <w:sz w:val="24"/>
                <w:szCs w:val="24"/>
                <w:highlight w:val="none"/>
                <w:lang w:val="en-US" w:eastAsia="zh-CN" w:bidi="ar-SA"/>
              </w:rPr>
            </w:pPr>
          </w:p>
          <w:p w14:paraId="70467F7C">
            <w:pPr>
              <w:spacing w:before="62" w:line="219" w:lineRule="auto"/>
              <w:ind w:left="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垫层</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2EF95B4B">
            <w:pPr>
              <w:spacing w:before="82" w:line="217" w:lineRule="auto"/>
              <w:ind w:left="2" w:firstLine="9"/>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1、混凝土种类：非泵送商品砼基础垫层</w:t>
            </w:r>
          </w:p>
          <w:p w14:paraId="4A849E41">
            <w:pPr>
              <w:spacing w:before="4" w:line="219" w:lineRule="auto"/>
              <w:ind w:left="12"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2、混凝土强度等级：C20</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693E04">
            <w:pPr>
              <w:pStyle w:val="374"/>
              <w:spacing w:line="289" w:lineRule="auto"/>
              <w:rPr>
                <w:rFonts w:hint="eastAsia" w:ascii="宋体" w:hAnsi="宋体" w:eastAsia="宋体" w:cs="宋体"/>
                <w:kern w:val="0"/>
                <w:sz w:val="24"/>
                <w:szCs w:val="24"/>
                <w:highlight w:val="none"/>
                <w:lang w:val="en-US" w:eastAsia="zh-CN" w:bidi="ar-SA"/>
              </w:rPr>
            </w:pPr>
          </w:p>
          <w:p w14:paraId="231A8CDD">
            <w:pPr>
              <w:spacing w:before="61" w:line="239" w:lineRule="auto"/>
              <w:ind w:right="25"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47.91</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D8A3DD">
            <w:pPr>
              <w:spacing w:before="62"/>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1A641390">
            <w:pPr>
              <w:spacing w:before="62"/>
              <w:rPr>
                <w:rFonts w:hint="eastAsia" w:ascii="宋体" w:hAnsi="宋体" w:eastAsia="宋体" w:cs="宋体"/>
                <w:kern w:val="0"/>
                <w:sz w:val="24"/>
                <w:szCs w:val="24"/>
                <w:highlight w:val="none"/>
                <w:lang w:val="en-US" w:eastAsia="zh-CN" w:bidi="ar-SA"/>
              </w:rPr>
            </w:pPr>
          </w:p>
        </w:tc>
      </w:tr>
      <w:tr w14:paraId="408C29A6">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24A453FC">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11</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522335">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满堂基础</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3E5CB8AD">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1、混凝土种类：泵送商品砼满堂基础</w:t>
            </w:r>
          </w:p>
          <w:p w14:paraId="32DD9525">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2、混凝土强度等级：C30/P6</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879B69">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279.98</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19F6BC">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39A44F8A">
            <w:pPr>
              <w:widowControl/>
              <w:spacing w:line="440" w:lineRule="exact"/>
              <w:jc w:val="both"/>
              <w:rPr>
                <w:rFonts w:hint="eastAsia" w:ascii="宋体" w:hAnsi="宋体" w:eastAsia="宋体" w:cs="宋体"/>
                <w:kern w:val="0"/>
                <w:sz w:val="24"/>
                <w:szCs w:val="24"/>
                <w:highlight w:val="none"/>
                <w:lang w:val="en-US" w:eastAsia="zh-CN" w:bidi="ar-SA"/>
              </w:rPr>
            </w:pPr>
          </w:p>
        </w:tc>
      </w:tr>
      <w:tr w14:paraId="067C5B04">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7B0A64FF">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12</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2E43B7">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直形墙</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7AE437EC">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1、混凝土种类：泵送商品砼直形墙</w:t>
            </w:r>
          </w:p>
          <w:p w14:paraId="164F977F">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2、混凝土强度等级：C30/P6</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A7AB00">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32.58</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84A344">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m3</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54420AAD">
            <w:pPr>
              <w:widowControl/>
              <w:spacing w:line="440" w:lineRule="exact"/>
              <w:jc w:val="center"/>
              <w:rPr>
                <w:rFonts w:hint="eastAsia" w:ascii="宋体" w:hAnsi="宋体" w:eastAsia="宋体" w:cs="宋体"/>
                <w:kern w:val="0"/>
                <w:sz w:val="24"/>
                <w:szCs w:val="24"/>
                <w:highlight w:val="none"/>
                <w:lang w:val="en-US" w:eastAsia="zh-CN" w:bidi="ar-SA"/>
              </w:rPr>
            </w:pPr>
          </w:p>
        </w:tc>
      </w:tr>
      <w:tr w14:paraId="654D5D43">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3B4FE264">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13</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88E289">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现浇构件钢筋</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14BA529E">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1、箍筋带肋钢筋HRB400Eφ10制作安装</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1390BE">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2.000</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421B1E">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t</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621B873E">
            <w:pPr>
              <w:widowControl/>
              <w:spacing w:line="440" w:lineRule="exact"/>
              <w:jc w:val="center"/>
              <w:rPr>
                <w:rFonts w:hint="eastAsia" w:ascii="宋体" w:hAnsi="宋体" w:eastAsia="宋体" w:cs="宋体"/>
                <w:kern w:val="0"/>
                <w:sz w:val="24"/>
                <w:szCs w:val="24"/>
                <w:highlight w:val="none"/>
                <w:lang w:val="en-US" w:eastAsia="zh-CN" w:bidi="ar-SA"/>
              </w:rPr>
            </w:pPr>
          </w:p>
        </w:tc>
      </w:tr>
      <w:tr w14:paraId="5682687D">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2C681CEA">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14</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3BAB33">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现浇构件钢筋</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7ACDB210">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1、箍筋带肋钢筋HRB400Eφ12制作安装</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DBE16A">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1.672</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35B7156">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t</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14912CC1">
            <w:pPr>
              <w:widowControl/>
              <w:spacing w:line="440" w:lineRule="exact"/>
              <w:jc w:val="center"/>
              <w:rPr>
                <w:rFonts w:hint="eastAsia" w:ascii="宋体" w:hAnsi="宋体" w:eastAsia="宋体" w:cs="宋体"/>
                <w:kern w:val="0"/>
                <w:sz w:val="24"/>
                <w:szCs w:val="24"/>
                <w:highlight w:val="none"/>
                <w:lang w:val="en-US" w:eastAsia="zh-CN" w:bidi="ar-SA"/>
              </w:rPr>
            </w:pPr>
          </w:p>
        </w:tc>
      </w:tr>
      <w:tr w14:paraId="52828B2B">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0C80CF54">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15</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4D0EDA8">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现浇构件钢筋</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38D22FCD">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1、箍筋带肋钢筋HRB400Eφ14制作安装</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20982D">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3.240</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29260F">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t</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29DE8417">
            <w:pPr>
              <w:widowControl/>
              <w:spacing w:line="440" w:lineRule="exact"/>
              <w:jc w:val="center"/>
              <w:rPr>
                <w:rFonts w:hint="eastAsia" w:ascii="宋体" w:hAnsi="宋体" w:eastAsia="宋体" w:cs="宋体"/>
                <w:kern w:val="0"/>
                <w:sz w:val="24"/>
                <w:szCs w:val="24"/>
                <w:highlight w:val="none"/>
                <w:lang w:val="en-US" w:eastAsia="zh-CN" w:bidi="ar-SA"/>
              </w:rPr>
            </w:pPr>
          </w:p>
        </w:tc>
      </w:tr>
      <w:tr w14:paraId="481091C7">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7FA68629">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16</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C677DC">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现浇构件钢筋</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3FD1420B">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1、热轧带肋钢筋HRB400Eφ10制作安装</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2870D6">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0.200</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318502">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t</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3F4F8617">
            <w:pPr>
              <w:widowControl/>
              <w:spacing w:line="440" w:lineRule="exact"/>
              <w:jc w:val="center"/>
              <w:rPr>
                <w:rFonts w:hint="eastAsia" w:ascii="宋体" w:hAnsi="宋体" w:eastAsia="宋体" w:cs="宋体"/>
                <w:kern w:val="0"/>
                <w:sz w:val="24"/>
                <w:szCs w:val="24"/>
                <w:highlight w:val="none"/>
                <w:lang w:val="en-US" w:eastAsia="zh-CN" w:bidi="ar-SA"/>
              </w:rPr>
            </w:pPr>
          </w:p>
        </w:tc>
      </w:tr>
      <w:tr w14:paraId="3110F83E">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405A12EE">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17</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43471E">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现浇构件钢筋</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05A1226C">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1、热轧带肋钢筋HRB400Eφ12制作安装</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33CCF3">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1.820</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5AF841">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t</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2A2F8A90">
            <w:pPr>
              <w:widowControl/>
              <w:spacing w:line="440" w:lineRule="exact"/>
              <w:jc w:val="center"/>
              <w:rPr>
                <w:rFonts w:hint="eastAsia" w:ascii="宋体" w:hAnsi="宋体" w:eastAsia="宋体" w:cs="宋体"/>
                <w:kern w:val="0"/>
                <w:sz w:val="24"/>
                <w:szCs w:val="24"/>
                <w:highlight w:val="none"/>
                <w:lang w:val="en-US" w:eastAsia="zh-CN" w:bidi="ar-SA"/>
              </w:rPr>
            </w:pPr>
          </w:p>
        </w:tc>
      </w:tr>
      <w:tr w14:paraId="7AEABCE0">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50A26BD0">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18</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402431">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现浇构件钢筋</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69B4C53E">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1、热轧带肋钢筋HRB400Eφ14制作安装</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E46513">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16.850</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92F8335">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t</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7571776E">
            <w:pPr>
              <w:widowControl/>
              <w:spacing w:line="440" w:lineRule="exact"/>
              <w:jc w:val="center"/>
              <w:rPr>
                <w:rFonts w:hint="eastAsia" w:ascii="宋体" w:hAnsi="宋体" w:eastAsia="宋体" w:cs="宋体"/>
                <w:kern w:val="0"/>
                <w:sz w:val="24"/>
                <w:szCs w:val="24"/>
                <w:highlight w:val="none"/>
                <w:lang w:val="en-US" w:eastAsia="zh-CN" w:bidi="ar-SA"/>
              </w:rPr>
            </w:pPr>
          </w:p>
        </w:tc>
      </w:tr>
      <w:tr w14:paraId="6E7253E2">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noWrap/>
            <w:vAlign w:val="center"/>
          </w:tcPr>
          <w:p w14:paraId="267759FA">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19</w:t>
            </w:r>
          </w:p>
        </w:tc>
        <w:tc>
          <w:tcPr>
            <w:tcW w:w="8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5B4F20">
            <w:pPr>
              <w:widowControl/>
              <w:spacing w:line="440" w:lineRule="exact"/>
              <w:jc w:val="left"/>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现浇构件钢筋</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475C5320">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1、热轧带肋钢筋HRB400Eφ18制作安装</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1FE023">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6.856</w:t>
            </w:r>
          </w:p>
        </w:tc>
        <w:tc>
          <w:tcPr>
            <w:tcW w:w="3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F79BE68">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t</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276DF862">
            <w:pPr>
              <w:widowControl/>
              <w:spacing w:line="440" w:lineRule="exact"/>
              <w:jc w:val="center"/>
              <w:rPr>
                <w:rFonts w:hint="eastAsia" w:ascii="宋体" w:hAnsi="宋体" w:eastAsia="宋体" w:cs="宋体"/>
                <w:kern w:val="0"/>
                <w:sz w:val="24"/>
                <w:szCs w:val="24"/>
                <w:highlight w:val="none"/>
                <w:lang w:val="en-US" w:eastAsia="zh-CN" w:bidi="ar-SA"/>
              </w:rPr>
            </w:pPr>
          </w:p>
        </w:tc>
      </w:tr>
      <w:tr w14:paraId="5BEC4296">
        <w:tblPrEx>
          <w:tblCellMar>
            <w:top w:w="0" w:type="dxa"/>
            <w:left w:w="108" w:type="dxa"/>
            <w:bottom w:w="0" w:type="dxa"/>
            <w:right w:w="108" w:type="dxa"/>
          </w:tblCellMar>
        </w:tblPrEx>
        <w:trPr>
          <w:trHeight w:val="748" w:hRule="atLeast"/>
        </w:trPr>
        <w:tc>
          <w:tcPr>
            <w:tcW w:w="331" w:type="pct"/>
            <w:tcBorders>
              <w:top w:val="single" w:color="auto" w:sz="4" w:space="0"/>
              <w:left w:val="single" w:color="auto" w:sz="4" w:space="0"/>
              <w:bottom w:val="single" w:color="auto" w:sz="4" w:space="0"/>
              <w:right w:val="single" w:color="auto" w:sz="4" w:space="0"/>
            </w:tcBorders>
            <w:vAlign w:val="top"/>
          </w:tcPr>
          <w:p w14:paraId="642CD4FB">
            <w:pPr>
              <w:widowControl/>
              <w:spacing w:line="44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20</w:t>
            </w:r>
          </w:p>
        </w:tc>
        <w:tc>
          <w:tcPr>
            <w:tcW w:w="808" w:type="pct"/>
            <w:tcBorders>
              <w:top w:val="single" w:color="auto" w:sz="4" w:space="0"/>
              <w:left w:val="single" w:color="auto" w:sz="4" w:space="0"/>
              <w:bottom w:val="single" w:color="auto" w:sz="4" w:space="0"/>
              <w:right w:val="single" w:color="auto" w:sz="4" w:space="0"/>
            </w:tcBorders>
            <w:shd w:val="clear" w:color="auto" w:fill="auto"/>
            <w:vAlign w:val="center"/>
          </w:tcPr>
          <w:p w14:paraId="029ECB39">
            <w:pPr>
              <w:widowControl/>
              <w:spacing w:line="440" w:lineRule="exact"/>
              <w:jc w:val="left"/>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套管制作安装</w:t>
            </w:r>
          </w:p>
        </w:tc>
        <w:tc>
          <w:tcPr>
            <w:tcW w:w="2287" w:type="pct"/>
            <w:tcBorders>
              <w:top w:val="single" w:color="auto" w:sz="4" w:space="0"/>
              <w:left w:val="single" w:color="auto" w:sz="4" w:space="0"/>
              <w:bottom w:val="single" w:color="auto" w:sz="4" w:space="0"/>
              <w:right w:val="single" w:color="auto" w:sz="4" w:space="0"/>
            </w:tcBorders>
            <w:shd w:val="clear" w:color="auto" w:fill="auto"/>
            <w:vAlign w:val="center"/>
          </w:tcPr>
          <w:p w14:paraId="7D12BB85">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1.集水坑侧壁预埋DN600套管</w:t>
            </w:r>
          </w:p>
        </w:tc>
        <w:tc>
          <w:tcPr>
            <w:tcW w:w="596" w:type="pct"/>
            <w:tcBorders>
              <w:top w:val="single" w:color="auto" w:sz="4" w:space="0"/>
              <w:left w:val="single" w:color="auto" w:sz="4" w:space="0"/>
              <w:bottom w:val="single" w:color="auto" w:sz="4" w:space="0"/>
              <w:right w:val="single" w:color="auto" w:sz="4" w:space="0"/>
            </w:tcBorders>
            <w:shd w:val="clear" w:color="auto" w:fill="auto"/>
            <w:vAlign w:val="center"/>
          </w:tcPr>
          <w:p w14:paraId="2E6E6E07">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w:t>
            </w:r>
          </w:p>
        </w:tc>
        <w:tc>
          <w:tcPr>
            <w:tcW w:w="322" w:type="pct"/>
            <w:tcBorders>
              <w:top w:val="single" w:color="auto" w:sz="4" w:space="0"/>
              <w:left w:val="single" w:color="auto" w:sz="4" w:space="0"/>
              <w:bottom w:val="single" w:color="auto" w:sz="4" w:space="0"/>
              <w:right w:val="single" w:color="auto" w:sz="4" w:space="0"/>
            </w:tcBorders>
            <w:shd w:val="clear" w:color="auto" w:fill="auto"/>
            <w:vAlign w:val="center"/>
          </w:tcPr>
          <w:p w14:paraId="72E1B217">
            <w:pPr>
              <w:widowControl/>
              <w:spacing w:line="440" w:lineRule="exact"/>
              <w:jc w:val="center"/>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个</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76844CC3">
            <w:pPr>
              <w:widowControl/>
              <w:spacing w:line="440" w:lineRule="exact"/>
              <w:jc w:val="center"/>
              <w:rPr>
                <w:rFonts w:hint="eastAsia" w:ascii="宋体" w:hAnsi="宋体" w:eastAsia="宋体" w:cs="宋体"/>
                <w:kern w:val="0"/>
                <w:sz w:val="24"/>
                <w:szCs w:val="24"/>
                <w:highlight w:val="none"/>
                <w:lang w:val="en-US" w:eastAsia="zh-CN" w:bidi="ar-SA"/>
              </w:rPr>
            </w:pPr>
          </w:p>
        </w:tc>
      </w:tr>
    </w:tbl>
    <w:p w14:paraId="6105AE2A">
      <w:pPr>
        <w:autoSpaceDE w:val="0"/>
        <w:autoSpaceDN w:val="0"/>
        <w:adjustRightInd w:val="0"/>
        <w:snapToGrid w:val="0"/>
        <w:spacing w:line="440" w:lineRule="exact"/>
        <w:ind w:firstLine="480" w:firstLineChars="200"/>
        <w:textAlignment w:val="bottom"/>
        <w:rPr>
          <w:rFonts w:hint="eastAsia" w:ascii="宋体" w:hAnsi="宋体" w:cs="宋体"/>
          <w:color w:val="000000"/>
          <w:sz w:val="24"/>
          <w:highlight w:val="none"/>
        </w:rPr>
      </w:pPr>
      <w:r>
        <w:rPr>
          <w:rFonts w:hint="eastAsia" w:ascii="宋体" w:hAnsi="宋体" w:cs="宋体"/>
          <w:color w:val="000000"/>
          <w:sz w:val="24"/>
          <w:highlight w:val="none"/>
        </w:rPr>
        <w:t>注：</w:t>
      </w:r>
    </w:p>
    <w:p w14:paraId="2A5A5A04">
      <w:pPr>
        <w:autoSpaceDE w:val="0"/>
        <w:autoSpaceDN w:val="0"/>
        <w:adjustRightInd w:val="0"/>
        <w:snapToGrid w:val="0"/>
        <w:spacing w:line="440" w:lineRule="exact"/>
        <w:ind w:firstLine="480" w:firstLineChars="200"/>
        <w:textAlignment w:val="bottom"/>
        <w:rPr>
          <w:rFonts w:hint="eastAsia" w:ascii="宋体" w:hAnsi="宋体" w:cs="宋体"/>
          <w:color w:val="000000"/>
          <w:sz w:val="24"/>
          <w:highlight w:val="none"/>
        </w:rPr>
      </w:pPr>
      <w:r>
        <w:rPr>
          <w:rFonts w:hint="eastAsia" w:ascii="宋体" w:hAnsi="宋体" w:cs="宋体"/>
          <w:color w:val="000000"/>
          <w:sz w:val="24"/>
          <w:highlight w:val="none"/>
        </w:rPr>
        <w:t>1、本项目是交钥匙工程，投标人的报价应包含人工、材料、辅料、设备、运输、装卸、安装、机械、二次搬运、产品保护、水电费、上位机开发费用（含上位机画面、数据库、报表等）、调试、措施费、综合管理、售后服务、保险、规费、利润、税金、风险费及其他工程费等一切费用。</w:t>
      </w:r>
    </w:p>
    <w:p w14:paraId="133E99D5">
      <w:pPr>
        <w:autoSpaceDE w:val="0"/>
        <w:autoSpaceDN w:val="0"/>
        <w:adjustRightInd w:val="0"/>
        <w:snapToGrid w:val="0"/>
        <w:spacing w:line="440" w:lineRule="exact"/>
        <w:ind w:firstLine="480" w:firstLineChars="200"/>
        <w:textAlignment w:val="bottom"/>
        <w:rPr>
          <w:rFonts w:ascii="宋体" w:hAnsi="宋体" w:cs="宋体"/>
          <w:color w:val="000000"/>
          <w:sz w:val="24"/>
          <w:highlight w:val="none"/>
        </w:rPr>
      </w:pP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参与投标的产品必须招标人要求并符合相关的国家法律法规规定的质量标准及行业规范；</w:t>
      </w:r>
    </w:p>
    <w:p w14:paraId="08AB156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40" w:lineRule="exact"/>
        <w:ind w:leftChars="0" w:firstLine="482" w:firstLineChars="200"/>
        <w:textAlignment w:val="bottom"/>
        <w:rPr>
          <w:rFonts w:ascii="宋体" w:hAnsi="宋体" w:cs="宋体"/>
          <w:b/>
          <w:bCs/>
          <w:color w:val="000000"/>
          <w:sz w:val="24"/>
          <w:highlight w:val="none"/>
        </w:rPr>
      </w:pPr>
      <w:r>
        <w:rPr>
          <w:rFonts w:hint="eastAsia" w:ascii="宋体" w:hAnsi="宋体" w:cs="宋体"/>
          <w:b/>
          <w:bCs/>
          <w:color w:val="000000"/>
          <w:sz w:val="24"/>
          <w:highlight w:val="none"/>
          <w:lang w:val="en-US" w:eastAsia="zh-CN"/>
        </w:rPr>
        <w:t>3、</w:t>
      </w:r>
      <w:r>
        <w:rPr>
          <w:rFonts w:hint="eastAsia" w:ascii="宋体" w:hAnsi="宋体" w:cs="宋体"/>
          <w:b/>
          <w:bCs/>
          <w:color w:val="000000"/>
          <w:sz w:val="24"/>
          <w:highlight w:val="none"/>
        </w:rPr>
        <w:t>▲数量按照招标文件提供的数量报价，不得增减；</w:t>
      </w:r>
      <w:r>
        <w:rPr>
          <w:rFonts w:hint="eastAsia" w:ascii="宋体" w:hAnsi="宋体" w:cs="宋体"/>
          <w:b/>
          <w:bCs/>
          <w:color w:val="000000"/>
          <w:sz w:val="24"/>
          <w:highlight w:val="none"/>
          <w:lang w:val="en-US" w:eastAsia="zh-CN"/>
        </w:rPr>
        <w:t>清单未列入的视为已考虑在内，结算时，不再另行增加。</w:t>
      </w:r>
    </w:p>
    <w:p w14:paraId="703B85D1">
      <w:pPr>
        <w:keepNext w:val="0"/>
        <w:keepLines w:val="0"/>
        <w:pageBreakBefore w:val="0"/>
        <w:widowControl w:val="0"/>
        <w:numPr>
          <w:ilvl w:val="0"/>
          <w:numId w:val="0"/>
        </w:numPr>
        <w:kinsoku/>
        <w:wordWrap/>
        <w:overflowPunct/>
        <w:topLinePunct w:val="0"/>
        <w:bidi w:val="0"/>
        <w:adjustRightInd w:val="0"/>
        <w:snapToGrid w:val="0"/>
        <w:spacing w:line="440" w:lineRule="exact"/>
        <w:ind w:leftChars="0"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投标人所投货物的技术参数</w:t>
      </w:r>
      <w:bookmarkStart w:id="98" w:name="_GoBack"/>
      <w:bookmarkEnd w:id="98"/>
      <w:r>
        <w:rPr>
          <w:rFonts w:hint="eastAsia" w:ascii="宋体" w:hAnsi="宋体" w:cs="宋体"/>
          <w:color w:val="000000"/>
          <w:sz w:val="24"/>
          <w:highlight w:val="none"/>
        </w:rPr>
        <w:t>不应低于本项目的技术要求和档次。本项目技术要求中如出现某类品牌型号特有的技术指标或性能的，只供投标人参考,不作为实质性响应条款。</w:t>
      </w:r>
    </w:p>
    <w:p w14:paraId="36230F75">
      <w:pPr>
        <w:keepNext w:val="0"/>
        <w:keepLines w:val="0"/>
        <w:pageBreakBefore w:val="0"/>
        <w:widowControl w:val="0"/>
        <w:numPr>
          <w:ilvl w:val="0"/>
          <w:numId w:val="0"/>
        </w:numPr>
        <w:kinsoku/>
        <w:wordWrap/>
        <w:overflowPunct/>
        <w:topLinePunct w:val="0"/>
        <w:bidi w:val="0"/>
        <w:adjustRightInd w:val="0"/>
        <w:snapToGrid w:val="0"/>
        <w:spacing w:line="440" w:lineRule="exact"/>
        <w:ind w:leftChars="0"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除招标文件明确的品牌外，欢迎其它能满足本项目技术需求且性能与所明确品牌相当的货物参加。</w:t>
      </w:r>
    </w:p>
    <w:p w14:paraId="6A2261BF">
      <w:pPr>
        <w:keepNext w:val="0"/>
        <w:keepLines w:val="0"/>
        <w:pageBreakBefore w:val="0"/>
        <w:widowControl w:val="0"/>
        <w:numPr>
          <w:ilvl w:val="0"/>
          <w:numId w:val="0"/>
        </w:numPr>
        <w:kinsoku/>
        <w:wordWrap/>
        <w:overflowPunct/>
        <w:topLinePunct w:val="0"/>
        <w:bidi w:val="0"/>
        <w:adjustRightInd w:val="0"/>
        <w:snapToGrid w:val="0"/>
        <w:spacing w:line="440" w:lineRule="exact"/>
        <w:ind w:leftChars="0"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6、</w:t>
      </w:r>
      <w:r>
        <w:rPr>
          <w:rFonts w:hint="eastAsia" w:ascii="宋体" w:hAnsi="宋体" w:cs="宋体"/>
          <w:color w:val="000000"/>
          <w:sz w:val="24"/>
          <w:highlight w:val="none"/>
        </w:rPr>
        <w:t>本项目的核心产品为一体化净水设备</w:t>
      </w:r>
      <w:r>
        <w:rPr>
          <w:rFonts w:hint="eastAsia" w:ascii="宋体" w:hAnsi="宋体" w:cs="宋体"/>
          <w:color w:val="000000"/>
          <w:sz w:val="24"/>
          <w:highlight w:val="none"/>
          <w:lang w:eastAsia="zh-CN"/>
        </w:rPr>
        <w:t>。提供的核心产品为相同品牌或相同产品制造商产品且通过资格审查、符合性审查的不同投标人参加同一合同项下投标的，按一家投标人计算，评审后得分最高的同品牌或相同产品制造商产品投标人获得中标人推荐资格；评审得分相同的，由招标人或者招标人委托评标委员会按照招标文件规定的方式确定一个投标人获得中标人推荐资格，招标文件未规定的采取随机抽取方式确定，其他同品牌或相同产品制造商产品投标人不作为中标候选人。</w:t>
      </w:r>
    </w:p>
    <w:p w14:paraId="0C25FAC5">
      <w:pPr>
        <w:spacing w:line="440" w:lineRule="exact"/>
        <w:jc w:val="left"/>
        <w:outlineLvl w:val="0"/>
        <w:rPr>
          <w:rFonts w:ascii="宋体" w:hAnsi="宋体" w:cs="宋体"/>
          <w:b/>
          <w:bCs/>
          <w:sz w:val="24"/>
          <w:highlight w:val="none"/>
        </w:rPr>
      </w:pPr>
      <w:bookmarkStart w:id="19" w:name="_Toc6816"/>
      <w:r>
        <w:rPr>
          <w:rFonts w:hint="eastAsia" w:ascii="宋体" w:hAnsi="宋体" w:cs="宋体"/>
          <w:b/>
          <w:bCs/>
          <w:sz w:val="24"/>
          <w:highlight w:val="none"/>
        </w:rPr>
        <w:t>二、设备技术要求</w:t>
      </w:r>
      <w:bookmarkEnd w:id="19"/>
    </w:p>
    <w:p w14:paraId="5E385A45">
      <w:pPr>
        <w:spacing w:line="440" w:lineRule="exact"/>
        <w:ind w:firstLine="482" w:firstLineChars="200"/>
        <w:rPr>
          <w:rFonts w:ascii="宋体" w:hAnsi="宋体" w:cs="宋体"/>
          <w:b/>
          <w:sz w:val="24"/>
          <w:highlight w:val="none"/>
        </w:rPr>
      </w:pPr>
      <w:r>
        <w:rPr>
          <w:rFonts w:hint="eastAsia" w:ascii="宋体" w:hAnsi="宋体" w:cs="宋体"/>
          <w:b/>
          <w:sz w:val="24"/>
          <w:highlight w:val="none"/>
        </w:rPr>
        <w:t>1、一体化净水设备</w:t>
      </w:r>
    </w:p>
    <w:p w14:paraId="24A0DE38">
      <w:pPr>
        <w:spacing w:line="440" w:lineRule="exact"/>
        <w:ind w:firstLine="480" w:firstLineChars="200"/>
        <w:rPr>
          <w:rFonts w:ascii="宋体" w:hAnsi="宋体" w:cs="宋体"/>
          <w:sz w:val="24"/>
          <w:highlight w:val="none"/>
        </w:rPr>
      </w:pPr>
      <w:r>
        <w:rPr>
          <w:rFonts w:hint="eastAsia" w:ascii="宋体" w:hAnsi="宋体" w:cs="宋体"/>
          <w:sz w:val="24"/>
          <w:highlight w:val="none"/>
        </w:rPr>
        <w:t>1.1设备选型：一体式净水设备采用箱式重力型。</w:t>
      </w:r>
    </w:p>
    <w:p w14:paraId="2A5DDE5A">
      <w:pPr>
        <w:spacing w:line="440" w:lineRule="exact"/>
        <w:ind w:firstLine="480" w:firstLineChars="200"/>
        <w:rPr>
          <w:rFonts w:ascii="宋体" w:hAnsi="宋体" w:cs="宋体"/>
          <w:sz w:val="24"/>
          <w:highlight w:val="none"/>
        </w:rPr>
      </w:pPr>
      <w:r>
        <w:rPr>
          <w:rFonts w:hint="eastAsia" w:ascii="宋体" w:hAnsi="宋体" w:cs="宋体"/>
          <w:sz w:val="24"/>
          <w:highlight w:val="none"/>
        </w:rPr>
        <w:t>1.2设备工艺流程为水力混合--网格絮凝——斜管沉淀——无阀滤池。</w:t>
      </w:r>
    </w:p>
    <w:p w14:paraId="5F49D4BA">
      <w:pPr>
        <w:spacing w:line="440" w:lineRule="exact"/>
        <w:ind w:firstLine="480" w:firstLineChars="200"/>
        <w:rPr>
          <w:rFonts w:ascii="宋体" w:hAnsi="宋体" w:cs="宋体"/>
          <w:sz w:val="24"/>
          <w:highlight w:val="none"/>
        </w:rPr>
      </w:pPr>
      <w:r>
        <w:rPr>
          <w:rFonts w:hint="eastAsia" w:ascii="宋体" w:hAnsi="宋体" w:cs="宋体"/>
          <w:sz w:val="24"/>
          <w:highlight w:val="none"/>
        </w:rPr>
        <w:t>1.3在原水水质符合《生活饮用水水源水质标准》(GB3020-93)和《地表水环境质量标准》（GB3838-2002）的情况下，设备出水水质达到最新国家《生活饮用水卫生标准》（GB5749-2022）的要求。主要指标如下：</w:t>
      </w:r>
    </w:p>
    <w:p w14:paraId="7BA74F86">
      <w:pPr>
        <w:spacing w:line="440" w:lineRule="exact"/>
        <w:ind w:firstLine="480" w:firstLineChars="200"/>
        <w:rPr>
          <w:rFonts w:ascii="宋体" w:hAnsi="宋体" w:cs="宋体"/>
          <w:sz w:val="24"/>
          <w:highlight w:val="none"/>
        </w:rPr>
      </w:pPr>
      <w:r>
        <w:rPr>
          <w:rFonts w:hint="eastAsia" w:ascii="宋体" w:hAnsi="宋体" w:cs="宋体"/>
          <w:sz w:val="24"/>
          <w:highlight w:val="none"/>
        </w:rPr>
        <w:t>出水浊度：≤0.8 NTU</w:t>
      </w:r>
    </w:p>
    <w:p w14:paraId="4301262A">
      <w:pPr>
        <w:spacing w:line="440" w:lineRule="exact"/>
        <w:ind w:firstLine="480" w:firstLineChars="200"/>
        <w:rPr>
          <w:rFonts w:ascii="宋体" w:hAnsi="宋体" w:cs="宋体"/>
          <w:sz w:val="24"/>
          <w:highlight w:val="none"/>
        </w:rPr>
      </w:pPr>
      <w:r>
        <w:rPr>
          <w:rFonts w:hint="eastAsia" w:ascii="宋体" w:hAnsi="宋体" w:cs="宋体"/>
          <w:sz w:val="24"/>
          <w:highlight w:val="none"/>
        </w:rPr>
        <w:t>1.4设计要求：</w:t>
      </w:r>
    </w:p>
    <w:p w14:paraId="0EF7D4F8">
      <w:pPr>
        <w:spacing w:line="440" w:lineRule="exact"/>
        <w:ind w:firstLine="482" w:firstLineChars="200"/>
        <w:rPr>
          <w:rFonts w:ascii="宋体" w:hAnsi="宋体" w:cs="宋体"/>
          <w:sz w:val="24"/>
          <w:highlight w:val="none"/>
        </w:rPr>
      </w:pPr>
      <w:r>
        <w:rPr>
          <w:rFonts w:hint="eastAsia" w:ascii="宋体" w:hAnsi="宋体" w:cs="宋体"/>
          <w:b/>
          <w:bCs/>
          <w:color w:val="000000"/>
          <w:sz w:val="24"/>
          <w:highlight w:val="none"/>
        </w:rPr>
        <w:t>▲</w:t>
      </w:r>
      <w:r>
        <w:rPr>
          <w:rFonts w:hint="eastAsia" w:ascii="宋体" w:hAnsi="宋体" w:cs="宋体"/>
          <w:sz w:val="24"/>
          <w:highlight w:val="none"/>
        </w:rPr>
        <w:t>1.4.1箱体外形尺寸：长×宽×高</w:t>
      </w:r>
      <w:r>
        <w:rPr>
          <w:rFonts w:hint="eastAsia" w:ascii="宋体" w:hAnsi="宋体" w:cs="宋体"/>
          <w:sz w:val="24"/>
          <w:highlight w:val="none"/>
          <w:lang w:val="en-US" w:eastAsia="zh-CN"/>
        </w:rPr>
        <w:t>=</w:t>
      </w:r>
      <w:r>
        <w:rPr>
          <w:rFonts w:hint="eastAsia" w:ascii="宋体" w:hAnsi="宋体" w:cs="宋体"/>
          <w:sz w:val="24"/>
          <w:highlight w:val="none"/>
        </w:rPr>
        <w:t>11.8m×8.6m×5.6m。</w:t>
      </w:r>
    </w:p>
    <w:p w14:paraId="35A12527">
      <w:pPr>
        <w:spacing w:line="440" w:lineRule="exact"/>
        <w:ind w:firstLine="480" w:firstLineChars="200"/>
        <w:rPr>
          <w:rFonts w:ascii="宋体" w:hAnsi="宋体" w:cs="宋体"/>
          <w:sz w:val="24"/>
          <w:highlight w:val="none"/>
        </w:rPr>
      </w:pPr>
      <w:r>
        <w:rPr>
          <w:rFonts w:hint="eastAsia" w:ascii="宋体" w:hAnsi="宋体" w:cs="宋体"/>
          <w:sz w:val="24"/>
          <w:highlight w:val="none"/>
        </w:rPr>
        <w:t>设备采用SUS304不锈钢。底板、外围箱体板厚度≥8mm；连接用的垫圈、螺母、螺栓等的材质采用不锈钢。</w:t>
      </w:r>
    </w:p>
    <w:p w14:paraId="32C05EAE">
      <w:pPr>
        <w:spacing w:line="440" w:lineRule="exact"/>
        <w:ind w:firstLine="480" w:firstLineChars="200"/>
        <w:rPr>
          <w:rFonts w:ascii="宋体" w:hAnsi="宋体" w:cs="宋体"/>
          <w:sz w:val="24"/>
          <w:highlight w:val="none"/>
        </w:rPr>
      </w:pPr>
      <w:r>
        <w:rPr>
          <w:rFonts w:hint="eastAsia" w:ascii="宋体" w:hAnsi="宋体" w:cs="宋体"/>
          <w:sz w:val="24"/>
          <w:highlight w:val="none"/>
        </w:rPr>
        <w:t>除锈防腐：不锈钢材质采用氩气保护焊接，拼装焊接后需进行酸洗钝化处理。</w:t>
      </w:r>
    </w:p>
    <w:p w14:paraId="32C31C33">
      <w:pPr>
        <w:spacing w:line="440" w:lineRule="exact"/>
        <w:ind w:firstLine="480" w:firstLineChars="200"/>
        <w:rPr>
          <w:rFonts w:ascii="宋体" w:hAnsi="宋体" w:cs="宋体"/>
          <w:sz w:val="24"/>
          <w:highlight w:val="none"/>
        </w:rPr>
      </w:pPr>
      <w:r>
        <w:rPr>
          <w:rFonts w:hint="eastAsia" w:ascii="宋体" w:hAnsi="宋体" w:cs="宋体"/>
          <w:sz w:val="24"/>
          <w:highlight w:val="none"/>
        </w:rPr>
        <w:t>设备所有不锈钢板均应符合《生活饮用水输配水设备及防护材料卫生安全评价规范》GB/T17219-1998的要求。</w:t>
      </w:r>
    </w:p>
    <w:p w14:paraId="0A9DD571">
      <w:pPr>
        <w:spacing w:line="440" w:lineRule="exact"/>
        <w:ind w:firstLine="480" w:firstLineChars="200"/>
        <w:rPr>
          <w:rFonts w:ascii="宋体" w:hAnsi="宋体" w:cs="宋体"/>
          <w:sz w:val="24"/>
          <w:highlight w:val="none"/>
        </w:rPr>
      </w:pPr>
      <w:r>
        <w:rPr>
          <w:rFonts w:hint="eastAsia" w:ascii="宋体" w:hAnsi="宋体" w:cs="宋体"/>
          <w:sz w:val="24"/>
          <w:highlight w:val="none"/>
        </w:rPr>
        <w:t>1.4.2絮凝反应段时间≥19min，不包括水在污泥区停留时间。絮凝区超高不小于 0.25m，底部存泥区高度 0.5m。</w:t>
      </w:r>
    </w:p>
    <w:p w14:paraId="3DD8EB09">
      <w:pPr>
        <w:spacing w:line="440" w:lineRule="exact"/>
        <w:ind w:firstLine="480" w:firstLineChars="200"/>
        <w:rPr>
          <w:rFonts w:ascii="宋体" w:hAnsi="宋体" w:cs="宋体"/>
          <w:sz w:val="24"/>
          <w:highlight w:val="none"/>
        </w:rPr>
      </w:pPr>
      <w:r>
        <w:rPr>
          <w:rFonts w:hint="eastAsia" w:ascii="宋体" w:hAnsi="宋体" w:cs="宋体"/>
          <w:sz w:val="24"/>
          <w:highlight w:val="none"/>
        </w:rPr>
        <w:t>絮凝反应采用网格反应装置，不锈钢304材质。</w:t>
      </w:r>
    </w:p>
    <w:p w14:paraId="111442F1">
      <w:pPr>
        <w:spacing w:line="440" w:lineRule="exact"/>
        <w:ind w:firstLine="480" w:firstLineChars="200"/>
        <w:rPr>
          <w:rFonts w:ascii="宋体" w:hAnsi="宋体" w:cs="宋体"/>
          <w:sz w:val="24"/>
          <w:highlight w:val="none"/>
        </w:rPr>
      </w:pPr>
      <w:r>
        <w:rPr>
          <w:rFonts w:hint="eastAsia" w:ascii="宋体" w:hAnsi="宋体" w:cs="宋体"/>
          <w:sz w:val="24"/>
          <w:highlight w:val="none"/>
        </w:rPr>
        <w:t>1.4.3表面负荷 6.0m3/m2.h。斜管材质为 SUS304，管径φ30mm，安装角度 60°，斜长 1.0m。沉淀区超高不小于 0.2m，清水区高度不小于 1.0m，配水区高度不小于 1.5m，底部积泥斗高度不小于 0.7m。斜管沉淀池出水通过集水槽引入出水总渠，每两条集水槽对应于一格滤池进水。出水总渠内每格滤池之间设置低于集水槽集水孔底 50mm 左右的挡板，正常过滤时，各格滤池水位不连通。</w:t>
      </w:r>
    </w:p>
    <w:p w14:paraId="65852AAC">
      <w:pPr>
        <w:spacing w:line="440" w:lineRule="exact"/>
        <w:ind w:firstLine="480" w:firstLineChars="200"/>
        <w:rPr>
          <w:rFonts w:ascii="宋体" w:hAnsi="宋体" w:cs="宋体"/>
          <w:sz w:val="24"/>
          <w:highlight w:val="none"/>
        </w:rPr>
      </w:pPr>
      <w:r>
        <w:rPr>
          <w:rFonts w:hint="eastAsia" w:ascii="宋体" w:hAnsi="宋体" w:cs="宋体"/>
          <w:sz w:val="24"/>
          <w:highlight w:val="none"/>
        </w:rPr>
        <w:t>絮凝沉淀池排泥采用排泥管，排泥采用水力快开排泥阀并配置手动阀门。</w:t>
      </w:r>
    </w:p>
    <w:p w14:paraId="362805A6">
      <w:pPr>
        <w:spacing w:line="440" w:lineRule="exact"/>
        <w:ind w:firstLine="480" w:firstLineChars="200"/>
        <w:rPr>
          <w:rFonts w:ascii="宋体" w:hAnsi="宋体" w:cs="宋体"/>
          <w:sz w:val="24"/>
          <w:highlight w:val="none"/>
        </w:rPr>
      </w:pPr>
      <w:r>
        <w:rPr>
          <w:rFonts w:hint="eastAsia" w:ascii="宋体" w:hAnsi="宋体" w:cs="宋体"/>
          <w:sz w:val="24"/>
          <w:highlight w:val="none"/>
        </w:rPr>
        <w:t>1.4.4采用重力式无阀滤池形式，水力自动或手动冲洗。滤池配水系统采用高精度滤头滤板，滤头材质为 ABS，滤板为钢制滤板，厚度≥8mm；滤料采用优质石英砂滤料，粒径：0.6～1.2mm；滤料高度：750mm；承托层粒径 2～4mm，反冲洗强度：q=12-15L/s•m2，反冲时间：t=4～7min 可调节。滤池过滤期终水头 1.7m。</w:t>
      </w:r>
    </w:p>
    <w:p w14:paraId="6712E493">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石英砂滤料及其承托层的质量要求，还必须满足国家相关的标准(如CJ /T 4 3水处理用滤料)， </w:t>
      </w:r>
    </w:p>
    <w:p w14:paraId="3FCB8356">
      <w:pPr>
        <w:spacing w:line="440" w:lineRule="exact"/>
        <w:ind w:firstLine="480" w:firstLineChars="200"/>
        <w:rPr>
          <w:rFonts w:ascii="宋体" w:hAnsi="宋体" w:cs="宋体"/>
          <w:sz w:val="24"/>
          <w:highlight w:val="none"/>
        </w:rPr>
      </w:pPr>
      <w:r>
        <w:rPr>
          <w:rFonts w:hint="eastAsia" w:ascii="宋体" w:hAnsi="宋体" w:cs="宋体"/>
          <w:sz w:val="24"/>
          <w:highlight w:val="none"/>
        </w:rPr>
        <w:t>1.4.5滤池滤头、滤板、斜管</w:t>
      </w:r>
    </w:p>
    <w:p w14:paraId="1782F565">
      <w:pPr>
        <w:spacing w:line="440" w:lineRule="exact"/>
        <w:ind w:firstLine="480" w:firstLineChars="200"/>
        <w:rPr>
          <w:rFonts w:ascii="宋体" w:hAnsi="宋体" w:cs="宋体"/>
          <w:sz w:val="24"/>
          <w:highlight w:val="none"/>
        </w:rPr>
      </w:pPr>
      <w:r>
        <w:rPr>
          <w:rFonts w:hint="eastAsia" w:ascii="宋体" w:hAnsi="宋体" w:cs="宋体"/>
          <w:sz w:val="24"/>
          <w:highlight w:val="none"/>
        </w:rPr>
        <w:t>滤头：</w:t>
      </w:r>
    </w:p>
    <w:p w14:paraId="0714A858">
      <w:pPr>
        <w:spacing w:line="440" w:lineRule="exact"/>
        <w:ind w:firstLine="480" w:firstLineChars="200"/>
        <w:rPr>
          <w:rFonts w:ascii="宋体" w:hAnsi="宋体" w:cs="宋体"/>
          <w:sz w:val="24"/>
          <w:highlight w:val="none"/>
        </w:rPr>
      </w:pPr>
      <w:r>
        <w:rPr>
          <w:rFonts w:hint="eastAsia" w:ascii="宋体" w:hAnsi="宋体" w:cs="宋体"/>
          <w:sz w:val="24"/>
          <w:highlight w:val="none"/>
        </w:rPr>
        <w:t>滤头所选用的材料是新的、优质的、无缺陷和损伤的优质ABS工程材料。符合我国食品包装材料、容器卫生标准的规定，长期在水中浸泡后，无影响水质的有害物质溶出。材料应有良好的防腐性能，并有足够的强度和刚度，有良好的抗老化性能。</w:t>
      </w:r>
    </w:p>
    <w:p w14:paraId="3A03F315">
      <w:pPr>
        <w:spacing w:line="440" w:lineRule="exact"/>
        <w:ind w:firstLine="480" w:firstLineChars="200"/>
        <w:rPr>
          <w:rFonts w:ascii="宋体" w:hAnsi="宋体" w:cs="宋体"/>
          <w:sz w:val="24"/>
          <w:highlight w:val="none"/>
        </w:rPr>
      </w:pPr>
      <w:r>
        <w:rPr>
          <w:rFonts w:hint="eastAsia" w:ascii="宋体" w:hAnsi="宋体" w:cs="宋体"/>
          <w:sz w:val="24"/>
          <w:highlight w:val="none"/>
        </w:rPr>
        <w:t>滤头由滤帽、滤柄、密封圈、拼紧螺管等组成，所有构件均采用符合相关规范的材质制作，使用寿命可达15年以上。</w:t>
      </w:r>
    </w:p>
    <w:p w14:paraId="292BDC49">
      <w:pPr>
        <w:spacing w:line="440" w:lineRule="exact"/>
        <w:ind w:firstLine="480" w:firstLineChars="200"/>
        <w:rPr>
          <w:rFonts w:ascii="宋体" w:hAnsi="宋体" w:cs="宋体"/>
          <w:sz w:val="24"/>
          <w:highlight w:val="none"/>
        </w:rPr>
      </w:pPr>
      <w:r>
        <w:rPr>
          <w:rFonts w:hint="eastAsia" w:ascii="宋体" w:hAnsi="宋体" w:cs="宋体"/>
          <w:sz w:val="24"/>
          <w:highlight w:val="none"/>
        </w:rPr>
        <w:t>滤板：</w:t>
      </w:r>
    </w:p>
    <w:p w14:paraId="2AF31E04">
      <w:pPr>
        <w:spacing w:line="440" w:lineRule="exact"/>
        <w:ind w:firstLine="480" w:firstLineChars="200"/>
        <w:rPr>
          <w:rFonts w:ascii="宋体" w:hAnsi="宋体" w:cs="宋体"/>
          <w:sz w:val="24"/>
          <w:highlight w:val="none"/>
        </w:rPr>
      </w:pPr>
      <w:bookmarkStart w:id="20" w:name="OLE_LINK7"/>
      <w:bookmarkStart w:id="21" w:name="OLE_LINK8"/>
      <w:r>
        <w:rPr>
          <w:rFonts w:hint="eastAsia" w:ascii="宋体" w:hAnsi="宋体" w:cs="宋体"/>
          <w:sz w:val="24"/>
          <w:highlight w:val="none"/>
        </w:rPr>
        <w:t>1）</w:t>
      </w:r>
      <w:bookmarkEnd w:id="20"/>
      <w:bookmarkEnd w:id="21"/>
      <w:r>
        <w:rPr>
          <w:rFonts w:hint="eastAsia" w:ascii="宋体" w:hAnsi="宋体" w:cs="宋体"/>
          <w:sz w:val="24"/>
          <w:highlight w:val="none"/>
        </w:rPr>
        <w:t>滤板厚度≥8mm，材质为不锈钢304，表面酸洗钝化处理。</w:t>
      </w:r>
    </w:p>
    <w:p w14:paraId="0296E528">
      <w:pPr>
        <w:spacing w:line="440" w:lineRule="exact"/>
        <w:ind w:firstLine="480" w:firstLineChars="200"/>
        <w:rPr>
          <w:rFonts w:ascii="宋体" w:hAnsi="宋体" w:cs="宋体"/>
          <w:sz w:val="24"/>
          <w:highlight w:val="none"/>
        </w:rPr>
      </w:pPr>
      <w:bookmarkStart w:id="22" w:name="OLE_LINK9"/>
      <w:r>
        <w:rPr>
          <w:rFonts w:hint="eastAsia" w:ascii="宋体" w:hAnsi="宋体" w:cs="宋体"/>
          <w:sz w:val="24"/>
          <w:highlight w:val="none"/>
        </w:rPr>
        <w:t>2）</w:t>
      </w:r>
      <w:bookmarkEnd w:id="22"/>
      <w:r>
        <w:rPr>
          <w:rFonts w:hint="eastAsia" w:ascii="宋体" w:hAnsi="宋体" w:cs="宋体"/>
          <w:sz w:val="24"/>
          <w:highlight w:val="none"/>
        </w:rPr>
        <w:t>同格滤池滤板平整度误差不大于±3mm，各滤池之间滤板平整度误差不大于±5mm。</w:t>
      </w:r>
    </w:p>
    <w:p w14:paraId="71D106C6">
      <w:pPr>
        <w:spacing w:line="440" w:lineRule="exact"/>
        <w:ind w:firstLine="480" w:firstLineChars="200"/>
        <w:rPr>
          <w:rFonts w:ascii="宋体" w:hAnsi="宋体" w:cs="宋体"/>
          <w:sz w:val="24"/>
          <w:highlight w:val="none"/>
        </w:rPr>
      </w:pPr>
      <w:r>
        <w:rPr>
          <w:rFonts w:hint="eastAsia" w:ascii="宋体" w:hAnsi="宋体" w:cs="宋体"/>
          <w:sz w:val="24"/>
          <w:highlight w:val="none"/>
        </w:rPr>
        <w:t>斜管：</w:t>
      </w:r>
    </w:p>
    <w:p w14:paraId="354CDA3B">
      <w:pPr>
        <w:spacing w:line="440" w:lineRule="exact"/>
        <w:ind w:firstLine="480" w:firstLineChars="200"/>
        <w:rPr>
          <w:rFonts w:ascii="宋体" w:hAnsi="宋体" w:cs="宋体"/>
          <w:kern w:val="0"/>
          <w:sz w:val="24"/>
          <w:highlight w:val="none"/>
        </w:rPr>
      </w:pPr>
      <w:r>
        <w:rPr>
          <w:rFonts w:hint="eastAsia" w:ascii="宋体" w:hAnsi="宋体" w:cs="宋体"/>
          <w:sz w:val="24"/>
          <w:highlight w:val="none"/>
        </w:rPr>
        <w:t>斜管材质为不锈钢304，表面酸洗钝化处置。</w:t>
      </w:r>
      <w:r>
        <w:rPr>
          <w:rFonts w:hint="eastAsia" w:ascii="宋体" w:hAnsi="宋体" w:cs="宋体"/>
          <w:kern w:val="0"/>
          <w:sz w:val="24"/>
          <w:highlight w:val="none"/>
        </w:rPr>
        <w:t>孔径为30mm，壁厚≥0.5mm，单根管长为1.0m，结构角度为∠60º。</w:t>
      </w:r>
    </w:p>
    <w:p w14:paraId="2110F28A">
      <w:pPr>
        <w:spacing w:line="440" w:lineRule="exact"/>
        <w:ind w:firstLine="480" w:firstLineChars="200"/>
        <w:rPr>
          <w:rFonts w:ascii="宋体" w:hAnsi="宋体" w:cs="宋体"/>
          <w:sz w:val="24"/>
          <w:highlight w:val="none"/>
        </w:rPr>
      </w:pPr>
      <w:r>
        <w:rPr>
          <w:rFonts w:hint="eastAsia" w:ascii="宋体" w:hAnsi="宋体" w:cs="宋体"/>
          <w:sz w:val="24"/>
          <w:highlight w:val="none"/>
        </w:rPr>
        <w:t>1.4.6爬梯、走道平台</w:t>
      </w:r>
    </w:p>
    <w:p w14:paraId="3758D0B7">
      <w:pPr>
        <w:spacing w:line="440" w:lineRule="exact"/>
        <w:ind w:firstLine="480" w:firstLineChars="200"/>
        <w:rPr>
          <w:rFonts w:ascii="宋体" w:hAnsi="宋体" w:cs="宋体"/>
          <w:sz w:val="24"/>
          <w:highlight w:val="none"/>
        </w:rPr>
      </w:pPr>
      <w:r>
        <w:rPr>
          <w:rFonts w:hint="eastAsia" w:ascii="宋体" w:hAnsi="宋体" w:cs="宋体"/>
          <w:sz w:val="24"/>
          <w:highlight w:val="none"/>
        </w:rPr>
        <w:t>在净水装置设爬梯供操作人员上下；净水装置顶部设必要的巡视走道平台及扶手，走道板宽度不小于85公分外挑，两长边加一短边行走，池一侧设45度左右斜梯，以便操作管理人员在上面观察净水效果，对斜管、周边槽体等进行清洗。走道板采用不锈钢扎花板，扶手栏杆均采用不锈钢圆管（SUS304）。</w:t>
      </w:r>
    </w:p>
    <w:p w14:paraId="66B26B85">
      <w:pPr>
        <w:spacing w:line="440" w:lineRule="exact"/>
        <w:ind w:firstLine="480" w:firstLineChars="200"/>
        <w:rPr>
          <w:rFonts w:ascii="宋体" w:hAnsi="宋体" w:cs="宋体"/>
          <w:sz w:val="24"/>
          <w:highlight w:val="none"/>
        </w:rPr>
      </w:pPr>
      <w:r>
        <w:rPr>
          <w:rFonts w:hint="eastAsia" w:ascii="宋体" w:hAnsi="宋体" w:cs="宋体"/>
          <w:sz w:val="24"/>
          <w:highlight w:val="none"/>
        </w:rPr>
        <w:t>1.5材质要求：</w:t>
      </w:r>
    </w:p>
    <w:p w14:paraId="04A8110D">
      <w:pPr>
        <w:spacing w:line="440" w:lineRule="exact"/>
        <w:ind w:firstLine="480" w:firstLineChars="200"/>
        <w:rPr>
          <w:rFonts w:ascii="宋体" w:hAnsi="宋体" w:cs="宋体"/>
          <w:sz w:val="24"/>
          <w:highlight w:val="none"/>
        </w:rPr>
      </w:pPr>
      <w:r>
        <w:rPr>
          <w:rFonts w:hint="eastAsia" w:ascii="宋体" w:hAnsi="宋体" w:cs="宋体"/>
          <w:sz w:val="24"/>
          <w:highlight w:val="none"/>
        </w:rPr>
        <w:t>（1）箱体：SUS304</w:t>
      </w:r>
    </w:p>
    <w:p w14:paraId="730A8016">
      <w:pPr>
        <w:spacing w:line="440" w:lineRule="exact"/>
        <w:ind w:firstLine="480" w:firstLineChars="200"/>
        <w:rPr>
          <w:rFonts w:ascii="宋体" w:hAnsi="宋体" w:cs="宋体"/>
          <w:sz w:val="24"/>
          <w:highlight w:val="none"/>
        </w:rPr>
      </w:pPr>
      <w:r>
        <w:rPr>
          <w:rFonts w:hint="eastAsia" w:ascii="宋体" w:hAnsi="宋体" w:cs="宋体"/>
          <w:sz w:val="24"/>
          <w:highlight w:val="none"/>
        </w:rPr>
        <w:t>（2）网格：SUS304</w:t>
      </w:r>
    </w:p>
    <w:p w14:paraId="500DAFDA">
      <w:pPr>
        <w:spacing w:line="440" w:lineRule="exact"/>
        <w:ind w:firstLine="480" w:firstLineChars="200"/>
        <w:rPr>
          <w:rFonts w:ascii="宋体" w:hAnsi="宋体" w:cs="宋体"/>
          <w:sz w:val="24"/>
          <w:highlight w:val="none"/>
        </w:rPr>
      </w:pPr>
      <w:r>
        <w:rPr>
          <w:rFonts w:hint="eastAsia" w:ascii="宋体" w:hAnsi="宋体" w:cs="宋体"/>
          <w:sz w:val="24"/>
          <w:highlight w:val="none"/>
        </w:rPr>
        <w:t>（3）斜管：SUS304</w:t>
      </w:r>
    </w:p>
    <w:p w14:paraId="23AC3475">
      <w:pPr>
        <w:spacing w:line="440" w:lineRule="exact"/>
        <w:ind w:firstLine="480" w:firstLineChars="200"/>
        <w:rPr>
          <w:rFonts w:ascii="宋体" w:hAnsi="宋体" w:cs="宋体"/>
          <w:sz w:val="24"/>
          <w:highlight w:val="none"/>
        </w:rPr>
      </w:pPr>
      <w:r>
        <w:rPr>
          <w:rFonts w:hint="eastAsia" w:ascii="宋体" w:hAnsi="宋体" w:cs="宋体"/>
          <w:sz w:val="24"/>
          <w:highlight w:val="none"/>
        </w:rPr>
        <w:t>（4）集水槽：SUS304</w:t>
      </w:r>
    </w:p>
    <w:p w14:paraId="6706E90A">
      <w:pPr>
        <w:spacing w:line="440" w:lineRule="exact"/>
        <w:ind w:firstLine="480" w:firstLineChars="200"/>
        <w:rPr>
          <w:rFonts w:ascii="宋体" w:hAnsi="宋体" w:cs="宋体"/>
          <w:sz w:val="24"/>
          <w:highlight w:val="none"/>
        </w:rPr>
      </w:pPr>
      <w:r>
        <w:rPr>
          <w:rFonts w:hint="eastAsia" w:ascii="宋体" w:hAnsi="宋体" w:cs="宋体"/>
          <w:sz w:val="24"/>
          <w:highlight w:val="none"/>
        </w:rPr>
        <w:t>（5）排泥管：SUS304</w:t>
      </w:r>
    </w:p>
    <w:p w14:paraId="427D678C">
      <w:pPr>
        <w:spacing w:line="440" w:lineRule="exact"/>
        <w:ind w:firstLine="480" w:firstLineChars="200"/>
        <w:rPr>
          <w:rFonts w:ascii="宋体" w:hAnsi="宋体" w:cs="宋体"/>
          <w:sz w:val="24"/>
          <w:highlight w:val="none"/>
        </w:rPr>
      </w:pPr>
      <w:r>
        <w:rPr>
          <w:rFonts w:hint="eastAsia" w:ascii="宋体" w:hAnsi="宋体" w:cs="宋体"/>
          <w:sz w:val="24"/>
          <w:highlight w:val="none"/>
        </w:rPr>
        <w:t>（6）滤头：ABS</w:t>
      </w:r>
    </w:p>
    <w:p w14:paraId="7B031580">
      <w:pPr>
        <w:spacing w:line="440" w:lineRule="exact"/>
        <w:ind w:firstLine="480" w:firstLineChars="200"/>
        <w:rPr>
          <w:rFonts w:ascii="宋体" w:hAnsi="宋体" w:cs="宋体"/>
          <w:sz w:val="24"/>
          <w:highlight w:val="none"/>
        </w:rPr>
      </w:pPr>
      <w:r>
        <w:rPr>
          <w:rFonts w:hint="eastAsia" w:ascii="宋体" w:hAnsi="宋体" w:cs="宋体"/>
          <w:sz w:val="24"/>
          <w:highlight w:val="none"/>
        </w:rPr>
        <w:t>（7）滤板：SUS304</w:t>
      </w:r>
    </w:p>
    <w:p w14:paraId="03744182">
      <w:pPr>
        <w:spacing w:line="440" w:lineRule="exact"/>
        <w:ind w:firstLine="480" w:firstLineChars="200"/>
        <w:rPr>
          <w:rFonts w:ascii="宋体" w:hAnsi="宋体" w:cs="宋体"/>
          <w:sz w:val="24"/>
          <w:highlight w:val="none"/>
        </w:rPr>
      </w:pPr>
      <w:r>
        <w:rPr>
          <w:rFonts w:hint="eastAsia" w:ascii="宋体" w:hAnsi="宋体" w:cs="宋体"/>
          <w:sz w:val="24"/>
          <w:highlight w:val="none"/>
        </w:rPr>
        <w:t>（8）滤料：均质天然石英砂滤料</w:t>
      </w:r>
    </w:p>
    <w:p w14:paraId="0EA4A6D0">
      <w:pPr>
        <w:spacing w:line="440" w:lineRule="exact"/>
        <w:ind w:firstLine="482" w:firstLineChars="200"/>
        <w:rPr>
          <w:rFonts w:ascii="宋体" w:hAnsi="宋体" w:cs="宋体"/>
          <w:b/>
          <w:sz w:val="24"/>
          <w:highlight w:val="none"/>
        </w:rPr>
      </w:pPr>
      <w:r>
        <w:rPr>
          <w:rFonts w:hint="eastAsia" w:ascii="宋体" w:hAnsi="宋体" w:cs="宋体"/>
          <w:b/>
          <w:sz w:val="24"/>
          <w:highlight w:val="none"/>
        </w:rPr>
        <w:t>2、水力快开排泥阀</w:t>
      </w:r>
    </w:p>
    <w:p w14:paraId="04F11837">
      <w:pPr>
        <w:spacing w:line="440" w:lineRule="exact"/>
        <w:ind w:firstLine="480" w:firstLineChars="200"/>
        <w:rPr>
          <w:rFonts w:ascii="宋体" w:hAnsi="宋体" w:cs="宋体"/>
          <w:sz w:val="24"/>
          <w:highlight w:val="none"/>
        </w:rPr>
      </w:pPr>
      <w:r>
        <w:rPr>
          <w:rFonts w:hint="eastAsia" w:ascii="宋体" w:hAnsi="宋体" w:cs="宋体"/>
          <w:sz w:val="24"/>
          <w:highlight w:val="none"/>
        </w:rPr>
        <w:t>2.1阀体</w:t>
      </w:r>
    </w:p>
    <w:p w14:paraId="7FFB7F17">
      <w:pPr>
        <w:spacing w:line="440" w:lineRule="exact"/>
        <w:ind w:firstLine="480" w:firstLineChars="200"/>
        <w:rPr>
          <w:rFonts w:ascii="宋体" w:hAnsi="宋体" w:cs="宋体"/>
          <w:sz w:val="24"/>
          <w:highlight w:val="none"/>
        </w:rPr>
      </w:pPr>
      <w:r>
        <w:rPr>
          <w:rFonts w:hint="eastAsia" w:ascii="宋体" w:hAnsi="宋体" w:cs="宋体"/>
          <w:sz w:val="24"/>
          <w:highlight w:val="none"/>
        </w:rPr>
        <w:t>阀体材质使用性能较好的球墨铸铁材料，采用树脂砂铸造工艺，外观质量无裂纹、合孔、缩口、头渣等影响阀门性能的缺陷。阀体最小壁厚按阀门的公称压力要求的压力等级设计，符合国家标准所需要求。阀体内外表面采用高温静电环氧树脂喷涂工艺，涂层厚度0.25mm以上，表面光洁度高于Ra6.3。</w:t>
      </w:r>
    </w:p>
    <w:p w14:paraId="1BE2F7B8">
      <w:pPr>
        <w:spacing w:line="440" w:lineRule="exact"/>
        <w:ind w:firstLine="480" w:firstLineChars="200"/>
        <w:rPr>
          <w:rFonts w:ascii="宋体" w:hAnsi="宋体" w:cs="宋体"/>
          <w:sz w:val="24"/>
          <w:highlight w:val="none"/>
        </w:rPr>
      </w:pPr>
      <w:r>
        <w:rPr>
          <w:rFonts w:hint="eastAsia" w:ascii="宋体" w:hAnsi="宋体" w:cs="宋体"/>
          <w:sz w:val="24"/>
          <w:highlight w:val="none"/>
        </w:rPr>
        <w:t>阀体法兰连接尺寸符合GB/T17241.6-2008的要求，阀体的结构长度符合CJ/T196-2004的要求。</w:t>
      </w:r>
    </w:p>
    <w:p w14:paraId="6D5F6951">
      <w:pPr>
        <w:spacing w:line="440" w:lineRule="exact"/>
        <w:ind w:firstLine="480" w:firstLineChars="200"/>
        <w:rPr>
          <w:rFonts w:ascii="宋体" w:hAnsi="宋体" w:cs="宋体"/>
          <w:sz w:val="24"/>
          <w:highlight w:val="none"/>
        </w:rPr>
      </w:pPr>
      <w:r>
        <w:rPr>
          <w:rFonts w:hint="eastAsia" w:ascii="宋体" w:hAnsi="宋体" w:cs="宋体"/>
          <w:sz w:val="24"/>
          <w:highlight w:val="none"/>
        </w:rPr>
        <w:t>阀体铸有商标、公称通径、公称压力、流向。标牌固定在阀体标牌位上，标牌上注有产品名称、型号、通径、压力、适用介质、制造厂名、制造年月。</w:t>
      </w:r>
    </w:p>
    <w:p w14:paraId="5A1CD494">
      <w:pPr>
        <w:spacing w:line="440" w:lineRule="exact"/>
        <w:ind w:firstLine="480" w:firstLineChars="200"/>
        <w:rPr>
          <w:rFonts w:ascii="宋体" w:hAnsi="宋体" w:cs="宋体"/>
          <w:sz w:val="24"/>
          <w:highlight w:val="none"/>
        </w:rPr>
      </w:pPr>
      <w:r>
        <w:rPr>
          <w:rFonts w:hint="eastAsia" w:ascii="宋体" w:hAnsi="宋体" w:cs="宋体"/>
          <w:sz w:val="24"/>
          <w:highlight w:val="none"/>
        </w:rPr>
        <w:t>2.2阀板</w:t>
      </w:r>
    </w:p>
    <w:p w14:paraId="5898FE9B">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阀板采用不锈钢板材，外包覆丁腈橡胶  </w:t>
      </w:r>
    </w:p>
    <w:p w14:paraId="52BDF9D5">
      <w:pPr>
        <w:spacing w:line="440" w:lineRule="exact"/>
        <w:ind w:firstLine="480" w:firstLineChars="200"/>
        <w:rPr>
          <w:rFonts w:ascii="宋体" w:hAnsi="宋体" w:cs="宋体"/>
          <w:sz w:val="24"/>
          <w:highlight w:val="none"/>
        </w:rPr>
      </w:pPr>
      <w:r>
        <w:rPr>
          <w:rFonts w:hint="eastAsia" w:ascii="宋体" w:hAnsi="宋体" w:cs="宋体"/>
          <w:sz w:val="24"/>
          <w:highlight w:val="none"/>
        </w:rPr>
        <w:t>2.3阀杆</w:t>
      </w:r>
    </w:p>
    <w:p w14:paraId="04F9DF05">
      <w:pPr>
        <w:spacing w:line="440" w:lineRule="exact"/>
        <w:ind w:firstLine="480" w:firstLineChars="200"/>
        <w:rPr>
          <w:rFonts w:ascii="宋体" w:hAnsi="宋体" w:cs="宋体"/>
          <w:sz w:val="24"/>
          <w:highlight w:val="none"/>
        </w:rPr>
      </w:pPr>
      <w:r>
        <w:rPr>
          <w:rFonts w:hint="eastAsia" w:ascii="宋体" w:hAnsi="宋体" w:cs="宋体"/>
          <w:sz w:val="24"/>
          <w:highlight w:val="none"/>
        </w:rPr>
        <w:t>阀杆采用不锈钢材质，上端与膜片相连，下端与阀板通过螺栓相连，连接可靠。</w:t>
      </w:r>
    </w:p>
    <w:p w14:paraId="674DC21C">
      <w:pPr>
        <w:spacing w:line="440" w:lineRule="exact"/>
        <w:ind w:firstLine="480" w:firstLineChars="200"/>
        <w:rPr>
          <w:rFonts w:ascii="宋体" w:hAnsi="宋体" w:cs="宋体"/>
          <w:sz w:val="24"/>
          <w:highlight w:val="none"/>
        </w:rPr>
      </w:pPr>
      <w:r>
        <w:rPr>
          <w:rFonts w:hint="eastAsia" w:ascii="宋体" w:hAnsi="宋体" w:cs="宋体"/>
          <w:sz w:val="24"/>
          <w:highlight w:val="none"/>
        </w:rPr>
        <w:t>2.4阀盖、隔膜座</w:t>
      </w:r>
    </w:p>
    <w:p w14:paraId="11563272">
      <w:pPr>
        <w:spacing w:line="440" w:lineRule="exact"/>
        <w:ind w:firstLine="480" w:firstLineChars="200"/>
        <w:rPr>
          <w:rFonts w:ascii="宋体" w:hAnsi="宋体" w:cs="宋体"/>
          <w:sz w:val="24"/>
          <w:highlight w:val="none"/>
        </w:rPr>
      </w:pPr>
      <w:r>
        <w:rPr>
          <w:rFonts w:hint="eastAsia" w:ascii="宋体" w:hAnsi="宋体" w:cs="宋体"/>
          <w:sz w:val="24"/>
          <w:highlight w:val="none"/>
        </w:rPr>
        <w:t>阀盖、隔膜座材质使用性能较好的球墨铸铁材料，采用树脂砂铸造工艺，外观质量无裂纹、合孔、缩口、头渣等影响阀门性能的缺陷。阀体最小壁厚按阀门的公称压力要求的压力等级设计，符合国家标准所需要求。阀体内外表面采用高温静电环氧树脂喷涂工艺，涂层厚度0.25mm以上，表面光洁度高于Ra6.3。</w:t>
      </w:r>
    </w:p>
    <w:p w14:paraId="494977F7">
      <w:pPr>
        <w:spacing w:line="440" w:lineRule="exact"/>
        <w:ind w:firstLine="480" w:firstLineChars="200"/>
        <w:rPr>
          <w:rFonts w:ascii="宋体" w:hAnsi="宋体" w:cs="宋体"/>
          <w:sz w:val="24"/>
          <w:highlight w:val="none"/>
        </w:rPr>
      </w:pPr>
      <w:r>
        <w:rPr>
          <w:rFonts w:hint="eastAsia" w:ascii="宋体" w:hAnsi="宋体" w:cs="宋体"/>
          <w:sz w:val="24"/>
          <w:highlight w:val="none"/>
        </w:rPr>
        <w:t>隔膜室上腔不进压力水源，弹簧不受介质水腐蚀，延长阀门寿命。</w:t>
      </w:r>
    </w:p>
    <w:p w14:paraId="59499526">
      <w:pPr>
        <w:spacing w:line="440" w:lineRule="exact"/>
        <w:ind w:firstLine="480" w:firstLineChars="200"/>
        <w:rPr>
          <w:rFonts w:ascii="宋体" w:hAnsi="宋体" w:cs="宋体"/>
          <w:sz w:val="24"/>
          <w:highlight w:val="none"/>
        </w:rPr>
      </w:pPr>
      <w:r>
        <w:rPr>
          <w:rFonts w:hint="eastAsia" w:ascii="宋体" w:hAnsi="宋体" w:cs="宋体"/>
          <w:sz w:val="24"/>
          <w:highlight w:val="none"/>
        </w:rPr>
        <w:t>2.5膜片</w:t>
      </w:r>
    </w:p>
    <w:p w14:paraId="1580FDD0">
      <w:pPr>
        <w:spacing w:line="440" w:lineRule="exact"/>
        <w:ind w:firstLine="480" w:firstLineChars="200"/>
        <w:rPr>
          <w:rFonts w:ascii="宋体" w:hAnsi="宋体" w:cs="宋体"/>
          <w:sz w:val="24"/>
          <w:highlight w:val="none"/>
        </w:rPr>
      </w:pPr>
      <w:r>
        <w:rPr>
          <w:rFonts w:hint="eastAsia" w:ascii="宋体" w:hAnsi="宋体" w:cs="宋体"/>
          <w:sz w:val="24"/>
          <w:highlight w:val="none"/>
        </w:rPr>
        <w:t>膜片是由橡胶加尼龙纤维做成的，硬度70±3度（邵尔A型），拉伸强度不小于14MPa，拉断伸长率不小于400%，压缩永久变形最大40%，耐疲劳弯曲最大100万次。膜片的外观质量符合HG/T3090的规定。</w:t>
      </w:r>
    </w:p>
    <w:p w14:paraId="10263881">
      <w:pPr>
        <w:spacing w:line="440" w:lineRule="exact"/>
        <w:ind w:firstLine="480" w:firstLineChars="200"/>
        <w:rPr>
          <w:rFonts w:ascii="宋体" w:hAnsi="宋体" w:cs="宋体"/>
          <w:sz w:val="24"/>
          <w:highlight w:val="none"/>
        </w:rPr>
      </w:pPr>
      <w:r>
        <w:rPr>
          <w:rFonts w:hint="eastAsia" w:ascii="宋体" w:hAnsi="宋体" w:cs="宋体"/>
          <w:sz w:val="24"/>
          <w:highlight w:val="none"/>
        </w:rPr>
        <w:t>2.6密封结构</w:t>
      </w:r>
    </w:p>
    <w:p w14:paraId="58F034A9">
      <w:pPr>
        <w:spacing w:line="440" w:lineRule="exact"/>
        <w:ind w:firstLine="480" w:firstLineChars="200"/>
        <w:rPr>
          <w:rFonts w:ascii="宋体" w:hAnsi="宋体" w:cs="宋体"/>
          <w:sz w:val="24"/>
          <w:highlight w:val="none"/>
        </w:rPr>
      </w:pPr>
      <w:r>
        <w:rPr>
          <w:rFonts w:hint="eastAsia" w:ascii="宋体" w:hAnsi="宋体" w:cs="宋体"/>
          <w:sz w:val="24"/>
          <w:highlight w:val="none"/>
        </w:rPr>
        <w:t>阀体密封面车制成锥形状，阀板的密封面是橡胶，也呈锥形状，锥形密封面的平面上有2道半圆状密封面，当阀板向下移动关闭时，阀板密封面与阀体密封面紧贴在一起，达到零泄露。由于密封面是锥形的，不易于杂质的存在，所以阀门的密封效果好，经久耐用，使用寿命长。</w:t>
      </w:r>
    </w:p>
    <w:p w14:paraId="178FF301">
      <w:pPr>
        <w:spacing w:line="440" w:lineRule="exact"/>
        <w:ind w:firstLine="482" w:firstLineChars="200"/>
        <w:rPr>
          <w:rFonts w:ascii="宋体" w:hAnsi="宋体" w:cs="宋体"/>
          <w:b/>
          <w:sz w:val="24"/>
          <w:highlight w:val="none"/>
        </w:rPr>
      </w:pPr>
      <w:r>
        <w:rPr>
          <w:rFonts w:hint="eastAsia" w:ascii="宋体" w:hAnsi="宋体" w:cs="宋体"/>
          <w:b/>
          <w:sz w:val="24"/>
          <w:highlight w:val="none"/>
        </w:rPr>
        <w:t>3、手动闸阀</w:t>
      </w:r>
    </w:p>
    <w:p w14:paraId="753C31DA">
      <w:pPr>
        <w:spacing w:line="440" w:lineRule="exact"/>
        <w:ind w:firstLine="480" w:firstLineChars="200"/>
        <w:rPr>
          <w:rFonts w:ascii="宋体" w:hAnsi="宋体" w:cs="宋体"/>
          <w:sz w:val="24"/>
          <w:highlight w:val="none"/>
        </w:rPr>
      </w:pPr>
      <w:r>
        <w:rPr>
          <w:rFonts w:hint="eastAsia" w:ascii="宋体" w:hAnsi="宋体" w:cs="宋体"/>
          <w:sz w:val="24"/>
          <w:highlight w:val="none"/>
        </w:rPr>
        <w:t>3.1闸阀的结构长度：GB 12221-89，13系列</w:t>
      </w:r>
    </w:p>
    <w:p w14:paraId="0813D790">
      <w:pPr>
        <w:spacing w:line="440" w:lineRule="exact"/>
        <w:ind w:firstLine="480" w:firstLineChars="200"/>
        <w:rPr>
          <w:rFonts w:ascii="宋体" w:hAnsi="宋体" w:cs="宋体"/>
          <w:sz w:val="24"/>
          <w:highlight w:val="none"/>
        </w:rPr>
      </w:pPr>
      <w:r>
        <w:rPr>
          <w:rFonts w:hint="eastAsia" w:ascii="宋体" w:hAnsi="宋体" w:cs="宋体"/>
          <w:sz w:val="24"/>
          <w:highlight w:val="none"/>
        </w:rPr>
        <w:t>3.2闸阀的工艺要求</w:t>
      </w:r>
    </w:p>
    <w:p w14:paraId="542FA73D">
      <w:pPr>
        <w:spacing w:line="440" w:lineRule="exact"/>
        <w:ind w:firstLine="480" w:firstLineChars="200"/>
        <w:rPr>
          <w:rFonts w:ascii="宋体" w:hAnsi="宋体" w:cs="宋体"/>
          <w:sz w:val="24"/>
          <w:highlight w:val="none"/>
        </w:rPr>
      </w:pPr>
      <w:r>
        <w:rPr>
          <w:rFonts w:hint="eastAsia" w:ascii="宋体" w:hAnsi="宋体" w:cs="宋体"/>
          <w:sz w:val="24"/>
          <w:highlight w:val="none"/>
        </w:rPr>
        <w:t>（1）闸阀的压力等级为1.0Mpa，形式为法兰连接。</w:t>
      </w:r>
    </w:p>
    <w:p w14:paraId="35105974">
      <w:pPr>
        <w:spacing w:line="440" w:lineRule="exact"/>
        <w:ind w:firstLine="480" w:firstLineChars="200"/>
        <w:rPr>
          <w:rFonts w:ascii="宋体" w:hAnsi="宋体" w:cs="宋体"/>
          <w:sz w:val="24"/>
          <w:highlight w:val="none"/>
        </w:rPr>
      </w:pPr>
      <w:r>
        <w:rPr>
          <w:rFonts w:hint="eastAsia" w:ascii="宋体" w:hAnsi="宋体" w:cs="宋体"/>
          <w:sz w:val="24"/>
          <w:highlight w:val="none"/>
        </w:rPr>
        <w:t>（2）法兰闸阀应适用的温度为－10～＋65℃。</w:t>
      </w:r>
    </w:p>
    <w:p w14:paraId="3C9B77F0">
      <w:pPr>
        <w:spacing w:line="440" w:lineRule="exact"/>
        <w:ind w:firstLine="480" w:firstLineChars="200"/>
        <w:rPr>
          <w:rFonts w:ascii="宋体" w:hAnsi="宋体" w:cs="宋体"/>
          <w:sz w:val="24"/>
          <w:highlight w:val="none"/>
        </w:rPr>
      </w:pPr>
      <w:r>
        <w:rPr>
          <w:rFonts w:hint="eastAsia" w:ascii="宋体" w:hAnsi="宋体" w:cs="宋体"/>
          <w:sz w:val="24"/>
          <w:highlight w:val="none"/>
        </w:rPr>
        <w:t>（3）闸阀的密封形式为软密封，阀座为平底无凹槽设计；阀瓣为硫化包胶，使阀瓣基体材料与橡胶结合牢固，即使阀瓣受到频繁的挤压应力，也永不脱落。</w:t>
      </w:r>
    </w:p>
    <w:p w14:paraId="2A61F5F8">
      <w:pPr>
        <w:spacing w:line="440" w:lineRule="exact"/>
        <w:ind w:firstLine="480" w:firstLineChars="200"/>
        <w:rPr>
          <w:rFonts w:ascii="宋体" w:hAnsi="宋体" w:cs="宋体"/>
          <w:sz w:val="24"/>
          <w:highlight w:val="none"/>
        </w:rPr>
      </w:pPr>
      <w:r>
        <w:rPr>
          <w:rFonts w:hint="eastAsia" w:ascii="宋体" w:hAnsi="宋体" w:cs="宋体"/>
          <w:sz w:val="24"/>
          <w:highlight w:val="none"/>
        </w:rPr>
        <w:t>（4）阀瓣的使用寿命为30年，橡胶材料必须有良好的耐磨性、回弹性、耐汽蚀性，抗老化性及耐酸碱性。</w:t>
      </w:r>
    </w:p>
    <w:p w14:paraId="53523325">
      <w:pPr>
        <w:spacing w:line="440" w:lineRule="exact"/>
        <w:ind w:firstLine="480" w:firstLineChars="200"/>
        <w:rPr>
          <w:rFonts w:ascii="宋体" w:hAnsi="宋体" w:cs="宋体"/>
          <w:sz w:val="24"/>
          <w:highlight w:val="none"/>
        </w:rPr>
      </w:pPr>
      <w:r>
        <w:rPr>
          <w:rFonts w:hint="eastAsia" w:ascii="宋体" w:hAnsi="宋体" w:cs="宋体"/>
          <w:sz w:val="24"/>
          <w:highlight w:val="none"/>
        </w:rPr>
        <w:t>（5） 阀瓣采用完全的包胶方式，使阀瓣在与水的接触中，不致使基体材料生锈，不会挤压磨擦橡胶，使其损坏。</w:t>
      </w:r>
    </w:p>
    <w:p w14:paraId="2F716042">
      <w:pPr>
        <w:spacing w:line="440" w:lineRule="exact"/>
        <w:ind w:firstLine="480" w:firstLineChars="200"/>
        <w:rPr>
          <w:rFonts w:ascii="宋体" w:hAnsi="宋体" w:cs="宋体"/>
          <w:sz w:val="24"/>
          <w:highlight w:val="none"/>
        </w:rPr>
      </w:pPr>
      <w:r>
        <w:rPr>
          <w:rFonts w:hint="eastAsia" w:ascii="宋体" w:hAnsi="宋体" w:cs="宋体"/>
          <w:sz w:val="24"/>
          <w:highlight w:val="none"/>
        </w:rPr>
        <w:t>（6） 阀门本体采用耐磨的环氧树脂烤漆，使环氧树脂与本体结合牢固，不易剥落。</w:t>
      </w:r>
    </w:p>
    <w:p w14:paraId="53B51B15">
      <w:pPr>
        <w:spacing w:line="440" w:lineRule="exact"/>
        <w:ind w:firstLine="480" w:firstLineChars="200"/>
        <w:rPr>
          <w:rFonts w:ascii="宋体" w:hAnsi="宋体" w:cs="宋体"/>
          <w:sz w:val="24"/>
          <w:highlight w:val="none"/>
        </w:rPr>
      </w:pPr>
      <w:r>
        <w:rPr>
          <w:rFonts w:hint="eastAsia" w:ascii="宋体" w:hAnsi="宋体" w:cs="宋体"/>
          <w:sz w:val="24"/>
          <w:highlight w:val="none"/>
        </w:rPr>
        <w:t>（7） 阀门关闭及开启力矩小，无论口径大小、无须用延长杆即可轻松关闭或开启。</w:t>
      </w:r>
    </w:p>
    <w:p w14:paraId="79BD8A24">
      <w:pPr>
        <w:spacing w:line="440" w:lineRule="exact"/>
        <w:ind w:firstLine="480" w:firstLineChars="200"/>
        <w:rPr>
          <w:rFonts w:ascii="宋体" w:hAnsi="宋体" w:cs="宋体"/>
          <w:sz w:val="24"/>
          <w:highlight w:val="none"/>
        </w:rPr>
      </w:pPr>
      <w:r>
        <w:rPr>
          <w:rFonts w:hint="eastAsia" w:ascii="宋体" w:hAnsi="宋体" w:cs="宋体"/>
          <w:sz w:val="24"/>
          <w:highlight w:val="none"/>
        </w:rPr>
        <w:t>（8） 阀瓣之铜螺母采用嵌入式结合，使二者紧密结合成为一体，不因水流动而产生松动或损坏现象。</w:t>
      </w:r>
    </w:p>
    <w:p w14:paraId="01FB0017">
      <w:pPr>
        <w:spacing w:line="440" w:lineRule="exact"/>
        <w:ind w:firstLine="480" w:firstLineChars="200"/>
        <w:rPr>
          <w:rFonts w:ascii="宋体" w:hAnsi="宋体" w:cs="宋体"/>
          <w:sz w:val="24"/>
          <w:highlight w:val="none"/>
        </w:rPr>
      </w:pPr>
      <w:r>
        <w:rPr>
          <w:rFonts w:hint="eastAsia" w:ascii="宋体" w:hAnsi="宋体" w:cs="宋体"/>
          <w:sz w:val="24"/>
          <w:highlight w:val="none"/>
        </w:rPr>
        <w:t>（9） 闸阀阀杆采用三道密封圈密封，密封性能良好且可在不断水情况下更换密封圈。</w:t>
      </w:r>
    </w:p>
    <w:p w14:paraId="2F238660">
      <w:pPr>
        <w:spacing w:line="440" w:lineRule="exact"/>
        <w:ind w:firstLine="480" w:firstLineChars="200"/>
        <w:rPr>
          <w:rFonts w:ascii="宋体" w:hAnsi="宋体" w:cs="宋体"/>
          <w:sz w:val="24"/>
          <w:highlight w:val="none"/>
        </w:rPr>
      </w:pPr>
      <w:r>
        <w:rPr>
          <w:rFonts w:hint="eastAsia" w:ascii="宋体" w:hAnsi="宋体" w:cs="宋体"/>
          <w:sz w:val="24"/>
          <w:highlight w:val="none"/>
        </w:rPr>
        <w:t>（10） 闸阀内外均应进行环氧树脂喷涂，颜色由业主确定，涂层厚度在0.7～1.4mm之间。涂料应为无毒产品，需提供权威机关的无毒检测报告。</w:t>
      </w:r>
    </w:p>
    <w:p w14:paraId="05E5C02D">
      <w:pPr>
        <w:spacing w:line="440" w:lineRule="exact"/>
        <w:ind w:firstLine="480" w:firstLineChars="200"/>
        <w:rPr>
          <w:rFonts w:ascii="宋体" w:hAnsi="宋体" w:cs="宋体"/>
          <w:sz w:val="24"/>
          <w:highlight w:val="none"/>
        </w:rPr>
      </w:pPr>
      <w:r>
        <w:rPr>
          <w:rFonts w:hint="eastAsia" w:ascii="宋体" w:hAnsi="宋体" w:cs="宋体"/>
          <w:sz w:val="24"/>
          <w:highlight w:val="none"/>
        </w:rPr>
        <w:t>（11） 直埋式闸阀设计、制造应符合CJ/T262标准的规定。</w:t>
      </w:r>
    </w:p>
    <w:p w14:paraId="7085E899">
      <w:pPr>
        <w:spacing w:line="440" w:lineRule="exact"/>
        <w:ind w:firstLine="480" w:firstLineChars="200"/>
        <w:rPr>
          <w:rFonts w:ascii="宋体" w:hAnsi="宋体" w:cs="宋体"/>
          <w:sz w:val="24"/>
          <w:highlight w:val="none"/>
        </w:rPr>
      </w:pPr>
      <w:r>
        <w:rPr>
          <w:rFonts w:hint="eastAsia" w:ascii="宋体" w:hAnsi="宋体" w:cs="宋体"/>
          <w:sz w:val="24"/>
          <w:highlight w:val="none"/>
        </w:rPr>
        <w:t>（12） 直埋盒式传动帽闸阀的阀盒与地面平齐。</w:t>
      </w:r>
    </w:p>
    <w:p w14:paraId="62592B65">
      <w:pPr>
        <w:spacing w:line="440" w:lineRule="exact"/>
        <w:ind w:firstLine="480" w:firstLineChars="200"/>
        <w:rPr>
          <w:rFonts w:ascii="宋体" w:hAnsi="宋体" w:cs="宋体"/>
          <w:sz w:val="24"/>
          <w:highlight w:val="none"/>
        </w:rPr>
      </w:pPr>
      <w:r>
        <w:rPr>
          <w:rFonts w:hint="eastAsia" w:ascii="宋体" w:hAnsi="宋体" w:cs="宋体"/>
          <w:sz w:val="24"/>
          <w:highlight w:val="none"/>
        </w:rPr>
        <w:t>（13） 直埋式闸阀加长杆用优质碳素钢制成，材料应符合GB/T699的规定。加长杆的护管可用塑料管制成，材料应符合相关标准的规定，阀盒和盒盖可使用球墨铸铁制成，材料应符合GB/T12227的规定。固定高度型加长杆，按闸阀的设计埋深确定高度，并可在安装现场锯短，以适应实际埋深，伸缩高度型加长杆，伸缩量不宜小于100mm，并应设置限位装置，以防止拉伸脱落。上下两段伸缩护管的接合部位应具有防止砂粒、淤泥进入的结构措施。加长杆的顶部应连接传动帽，传动帽的尺寸符合CJ/T216的有关规定。加长杆应转动灵活可靠，无卡阻。</w:t>
      </w:r>
    </w:p>
    <w:p w14:paraId="75AE1F2B">
      <w:pPr>
        <w:spacing w:line="440" w:lineRule="exact"/>
        <w:ind w:firstLine="480" w:firstLineChars="200"/>
        <w:rPr>
          <w:rFonts w:ascii="宋体" w:hAnsi="宋体" w:cs="宋体"/>
          <w:sz w:val="24"/>
          <w:highlight w:val="none"/>
        </w:rPr>
      </w:pPr>
      <w:r>
        <w:rPr>
          <w:rFonts w:hint="eastAsia" w:ascii="宋体" w:hAnsi="宋体" w:cs="宋体"/>
          <w:sz w:val="24"/>
          <w:highlight w:val="none"/>
        </w:rPr>
        <w:t>3.3主要零件材质</w:t>
      </w:r>
    </w:p>
    <w:p w14:paraId="536BB49F">
      <w:pPr>
        <w:spacing w:line="440" w:lineRule="exact"/>
        <w:ind w:firstLine="480" w:firstLineChars="200"/>
        <w:rPr>
          <w:rFonts w:ascii="宋体" w:hAnsi="宋体" w:cs="宋体"/>
          <w:sz w:val="24"/>
          <w:highlight w:val="none"/>
        </w:rPr>
      </w:pPr>
      <w:r>
        <w:rPr>
          <w:rFonts w:hint="eastAsia" w:ascii="宋体" w:hAnsi="宋体" w:cs="宋体"/>
          <w:sz w:val="24"/>
          <w:highlight w:val="none"/>
        </w:rPr>
        <w:t>阀体：</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球墨铸铁</w:t>
      </w:r>
    </w:p>
    <w:p w14:paraId="215DF746">
      <w:pPr>
        <w:spacing w:line="440" w:lineRule="exact"/>
        <w:ind w:firstLine="480" w:firstLineChars="200"/>
        <w:rPr>
          <w:rFonts w:ascii="宋体" w:hAnsi="宋体" w:cs="宋体"/>
          <w:sz w:val="24"/>
          <w:highlight w:val="none"/>
        </w:rPr>
      </w:pPr>
      <w:r>
        <w:rPr>
          <w:rFonts w:hint="eastAsia" w:ascii="宋体" w:hAnsi="宋体" w:cs="宋体"/>
          <w:sz w:val="24"/>
          <w:highlight w:val="none"/>
        </w:rPr>
        <w:t>阀芯骨架：</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球墨铸铁</w:t>
      </w:r>
    </w:p>
    <w:p w14:paraId="318F0112">
      <w:pPr>
        <w:spacing w:line="440" w:lineRule="exact"/>
        <w:ind w:firstLine="480" w:firstLineChars="200"/>
        <w:rPr>
          <w:rFonts w:ascii="宋体" w:hAnsi="宋体" w:cs="宋体"/>
          <w:sz w:val="24"/>
          <w:highlight w:val="none"/>
        </w:rPr>
      </w:pPr>
      <w:r>
        <w:rPr>
          <w:rFonts w:hint="eastAsia" w:ascii="宋体" w:hAnsi="宋体" w:cs="宋体"/>
          <w:sz w:val="24"/>
          <w:highlight w:val="none"/>
        </w:rPr>
        <w:t>阀芯橡胶：</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NBR或EPDM</w:t>
      </w:r>
    </w:p>
    <w:p w14:paraId="7271D7A3">
      <w:pPr>
        <w:spacing w:line="440" w:lineRule="exact"/>
        <w:ind w:firstLine="480" w:firstLineChars="200"/>
        <w:rPr>
          <w:rFonts w:ascii="宋体" w:hAnsi="宋体" w:cs="宋体"/>
          <w:sz w:val="24"/>
          <w:highlight w:val="none"/>
        </w:rPr>
      </w:pPr>
      <w:r>
        <w:rPr>
          <w:rFonts w:hint="eastAsia" w:ascii="宋体" w:hAnsi="宋体" w:cs="宋体"/>
          <w:sz w:val="24"/>
          <w:highlight w:val="none"/>
        </w:rPr>
        <w:t>铜螺母：</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青铜</w:t>
      </w:r>
    </w:p>
    <w:p w14:paraId="657AA79F">
      <w:pPr>
        <w:spacing w:line="440" w:lineRule="exact"/>
        <w:ind w:firstLine="480" w:firstLineChars="200"/>
        <w:rPr>
          <w:rFonts w:ascii="宋体" w:hAnsi="宋体" w:cs="宋体"/>
          <w:sz w:val="24"/>
          <w:highlight w:val="none"/>
        </w:rPr>
      </w:pPr>
      <w:r>
        <w:rPr>
          <w:rFonts w:hint="eastAsia" w:ascii="宋体" w:hAnsi="宋体" w:cs="宋体"/>
          <w:sz w:val="24"/>
          <w:highlight w:val="none"/>
        </w:rPr>
        <w:t>阀杆：</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S304不锈钢</w:t>
      </w:r>
    </w:p>
    <w:p w14:paraId="233B9336">
      <w:pPr>
        <w:spacing w:line="440" w:lineRule="exact"/>
        <w:ind w:firstLine="480" w:firstLineChars="200"/>
        <w:rPr>
          <w:rFonts w:ascii="宋体" w:hAnsi="宋体" w:cs="宋体"/>
          <w:sz w:val="24"/>
          <w:highlight w:val="none"/>
        </w:rPr>
      </w:pPr>
      <w:r>
        <w:rPr>
          <w:rFonts w:hint="eastAsia" w:ascii="宋体" w:hAnsi="宋体" w:cs="宋体"/>
          <w:sz w:val="24"/>
          <w:highlight w:val="none"/>
        </w:rPr>
        <w:t>阀盖：</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球墨铸铁</w:t>
      </w:r>
    </w:p>
    <w:p w14:paraId="25C9C232">
      <w:pPr>
        <w:spacing w:line="440" w:lineRule="exact"/>
        <w:ind w:firstLine="480" w:firstLineChars="200"/>
        <w:rPr>
          <w:rFonts w:ascii="宋体" w:hAnsi="宋体" w:cs="宋体"/>
          <w:sz w:val="24"/>
          <w:highlight w:val="none"/>
        </w:rPr>
      </w:pPr>
      <w:r>
        <w:rPr>
          <w:rFonts w:hint="eastAsia" w:ascii="宋体" w:hAnsi="宋体" w:cs="宋体"/>
          <w:sz w:val="24"/>
          <w:highlight w:val="none"/>
        </w:rPr>
        <w:t>止推轴承：</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青铜或黄铜</w:t>
      </w:r>
    </w:p>
    <w:p w14:paraId="72D32FA8">
      <w:pPr>
        <w:spacing w:line="440" w:lineRule="exact"/>
        <w:ind w:firstLine="480" w:firstLineChars="200"/>
        <w:rPr>
          <w:rFonts w:ascii="宋体" w:hAnsi="宋体" w:cs="宋体"/>
          <w:sz w:val="24"/>
          <w:highlight w:val="none"/>
        </w:rPr>
      </w:pPr>
      <w:r>
        <w:rPr>
          <w:rFonts w:hint="eastAsia" w:ascii="宋体" w:hAnsi="宋体" w:cs="宋体"/>
          <w:sz w:val="24"/>
          <w:highlight w:val="none"/>
        </w:rPr>
        <w:t>手轮：</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球墨铸铁</w:t>
      </w:r>
    </w:p>
    <w:p w14:paraId="12C1819A">
      <w:pPr>
        <w:spacing w:line="440" w:lineRule="exact"/>
        <w:ind w:firstLine="480" w:firstLineChars="200"/>
        <w:rPr>
          <w:rFonts w:ascii="宋体" w:hAnsi="宋体" w:cs="宋体"/>
          <w:sz w:val="24"/>
          <w:highlight w:val="none"/>
        </w:rPr>
      </w:pPr>
      <w:r>
        <w:rPr>
          <w:rFonts w:hint="eastAsia" w:ascii="宋体" w:hAnsi="宋体" w:cs="宋体"/>
          <w:sz w:val="24"/>
          <w:highlight w:val="none"/>
        </w:rPr>
        <w:t>螺栓：</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不锈钢S304</w:t>
      </w:r>
    </w:p>
    <w:p w14:paraId="60BBDE3F">
      <w:pPr>
        <w:spacing w:line="440" w:lineRule="exact"/>
        <w:ind w:firstLine="480" w:firstLineChars="200"/>
        <w:rPr>
          <w:rFonts w:ascii="宋体" w:hAnsi="宋体" w:cs="宋体"/>
          <w:sz w:val="24"/>
          <w:highlight w:val="none"/>
        </w:rPr>
      </w:pPr>
      <w:r>
        <w:rPr>
          <w:rFonts w:hint="eastAsia" w:ascii="宋体" w:hAnsi="宋体" w:cs="宋体"/>
          <w:sz w:val="24"/>
          <w:highlight w:val="none"/>
        </w:rPr>
        <w:t>3.4压力测试</w:t>
      </w:r>
    </w:p>
    <w:p w14:paraId="65F86545">
      <w:pPr>
        <w:spacing w:line="440" w:lineRule="exact"/>
        <w:ind w:firstLine="480" w:firstLineChars="200"/>
        <w:rPr>
          <w:rFonts w:ascii="宋体" w:hAnsi="宋体" w:cs="宋体"/>
          <w:sz w:val="24"/>
          <w:highlight w:val="none"/>
        </w:rPr>
      </w:pPr>
      <w:r>
        <w:rPr>
          <w:rFonts w:hint="eastAsia" w:ascii="宋体" w:hAnsi="宋体" w:cs="宋体"/>
          <w:sz w:val="24"/>
          <w:highlight w:val="none"/>
        </w:rPr>
        <w:t>（1）阀体需进行1.5倍额高压力的强度测试。</w:t>
      </w:r>
    </w:p>
    <w:p w14:paraId="26CF1829">
      <w:pPr>
        <w:spacing w:line="440" w:lineRule="exact"/>
        <w:ind w:firstLine="480" w:firstLineChars="200"/>
        <w:rPr>
          <w:rFonts w:ascii="宋体" w:hAnsi="宋体" w:cs="宋体"/>
          <w:sz w:val="24"/>
          <w:highlight w:val="none"/>
        </w:rPr>
      </w:pPr>
      <w:r>
        <w:rPr>
          <w:rFonts w:hint="eastAsia" w:ascii="宋体" w:hAnsi="宋体" w:cs="宋体"/>
          <w:sz w:val="24"/>
          <w:highlight w:val="none"/>
        </w:rPr>
        <w:t>（2）密封进行1.1倍额高压力的双向密封测试。</w:t>
      </w:r>
    </w:p>
    <w:p w14:paraId="4FA00A02">
      <w:pPr>
        <w:spacing w:line="440" w:lineRule="exact"/>
        <w:ind w:firstLine="480" w:firstLineChars="200"/>
        <w:rPr>
          <w:rFonts w:ascii="宋体" w:hAnsi="宋体" w:cs="宋体"/>
          <w:sz w:val="24"/>
          <w:highlight w:val="none"/>
        </w:rPr>
      </w:pPr>
      <w:bookmarkStart w:id="23" w:name="_Toc278973406"/>
      <w:r>
        <w:rPr>
          <w:rFonts w:hint="eastAsia" w:ascii="宋体" w:hAnsi="宋体" w:cs="宋体"/>
          <w:sz w:val="24"/>
          <w:highlight w:val="none"/>
        </w:rPr>
        <w:t>3.5橡胶瓣止回阀</w:t>
      </w:r>
      <w:bookmarkEnd w:id="23"/>
    </w:p>
    <w:p w14:paraId="33611211">
      <w:pPr>
        <w:spacing w:line="440" w:lineRule="exact"/>
        <w:ind w:firstLine="480" w:firstLineChars="200"/>
        <w:rPr>
          <w:rFonts w:ascii="宋体" w:hAnsi="宋体" w:cs="宋体"/>
          <w:sz w:val="24"/>
          <w:highlight w:val="none"/>
        </w:rPr>
      </w:pPr>
      <w:r>
        <w:rPr>
          <w:rFonts w:hint="eastAsia" w:ascii="宋体" w:hAnsi="宋体" w:cs="宋体"/>
          <w:sz w:val="24"/>
          <w:highlight w:val="none"/>
        </w:rPr>
        <w:t>橡胶瓣止回阀主要由阀体，阀盖及橡胶瓣三大部件组成。其中橡胶瓣有钢板，钢棒及强化尼龙布做衬底，外层披覆橡胶制成，阀瓣开关寿命需达100万次以上。采用全流面积式设计。</w:t>
      </w:r>
    </w:p>
    <w:p w14:paraId="2CB17933">
      <w:pPr>
        <w:spacing w:line="440" w:lineRule="exact"/>
        <w:jc w:val="center"/>
        <w:rPr>
          <w:rFonts w:ascii="宋体" w:hAnsi="宋体" w:cs="宋体"/>
          <w:sz w:val="24"/>
          <w:highlight w:val="none"/>
        </w:rPr>
      </w:pPr>
      <w:r>
        <w:rPr>
          <w:rFonts w:hint="eastAsia" w:ascii="宋体" w:hAnsi="宋体" w:cs="宋体"/>
          <w:sz w:val="24"/>
          <w:highlight w:val="none"/>
        </w:rPr>
        <w:t>材质及技术参数</w:t>
      </w:r>
    </w:p>
    <w:tbl>
      <w:tblPr>
        <w:tblStyle w:val="5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3060"/>
        <w:gridCol w:w="4274"/>
      </w:tblGrid>
      <w:tr w14:paraId="3DA0F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48" w:type="dxa"/>
            <w:gridSpan w:val="2"/>
            <w:vAlign w:val="center"/>
          </w:tcPr>
          <w:p w14:paraId="12061F10">
            <w:pPr>
              <w:pStyle w:val="400"/>
              <w:spacing w:line="440" w:lineRule="exact"/>
              <w:ind w:firstLine="480"/>
              <w:rPr>
                <w:rFonts w:ascii="宋体" w:hAnsi="宋体" w:cs="宋体"/>
                <w:szCs w:val="24"/>
                <w:highlight w:val="none"/>
              </w:rPr>
            </w:pPr>
            <w:r>
              <w:rPr>
                <w:rFonts w:hint="eastAsia" w:ascii="宋体" w:hAnsi="宋体" w:cs="宋体"/>
                <w:szCs w:val="24"/>
                <w:highlight w:val="none"/>
              </w:rPr>
              <w:t>公称通径</w:t>
            </w:r>
          </w:p>
        </w:tc>
        <w:tc>
          <w:tcPr>
            <w:tcW w:w="4274" w:type="dxa"/>
            <w:vAlign w:val="center"/>
          </w:tcPr>
          <w:p w14:paraId="338A51B8">
            <w:pPr>
              <w:pStyle w:val="400"/>
              <w:spacing w:line="440" w:lineRule="exact"/>
              <w:ind w:firstLine="480"/>
              <w:rPr>
                <w:rFonts w:ascii="宋体" w:hAnsi="宋体" w:cs="宋体"/>
                <w:szCs w:val="24"/>
                <w:highlight w:val="none"/>
              </w:rPr>
            </w:pPr>
            <w:r>
              <w:rPr>
                <w:rFonts w:hint="eastAsia" w:ascii="宋体" w:hAnsi="宋体" w:cs="宋体"/>
                <w:szCs w:val="24"/>
                <w:highlight w:val="none"/>
              </w:rPr>
              <w:t>DN50-DN800</w:t>
            </w:r>
          </w:p>
        </w:tc>
      </w:tr>
      <w:tr w14:paraId="38533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48" w:type="dxa"/>
            <w:gridSpan w:val="2"/>
            <w:vAlign w:val="center"/>
          </w:tcPr>
          <w:p w14:paraId="7D4A7AF3">
            <w:pPr>
              <w:pStyle w:val="400"/>
              <w:spacing w:line="440" w:lineRule="exact"/>
              <w:ind w:firstLine="480"/>
              <w:rPr>
                <w:rFonts w:ascii="宋体" w:hAnsi="宋体" w:cs="宋体"/>
                <w:szCs w:val="24"/>
                <w:highlight w:val="none"/>
              </w:rPr>
            </w:pPr>
            <w:r>
              <w:rPr>
                <w:rFonts w:hint="eastAsia" w:ascii="宋体" w:hAnsi="宋体" w:cs="宋体"/>
                <w:szCs w:val="24"/>
                <w:highlight w:val="none"/>
              </w:rPr>
              <w:t>公称压力</w:t>
            </w:r>
          </w:p>
        </w:tc>
        <w:tc>
          <w:tcPr>
            <w:tcW w:w="4274" w:type="dxa"/>
            <w:vAlign w:val="center"/>
          </w:tcPr>
          <w:p w14:paraId="39020B6D">
            <w:pPr>
              <w:pStyle w:val="400"/>
              <w:spacing w:line="440" w:lineRule="exact"/>
              <w:ind w:firstLine="480"/>
              <w:rPr>
                <w:rFonts w:ascii="宋体" w:hAnsi="宋体" w:cs="宋体"/>
                <w:szCs w:val="24"/>
                <w:highlight w:val="none"/>
              </w:rPr>
            </w:pPr>
            <w:r>
              <w:rPr>
                <w:rFonts w:hint="eastAsia" w:ascii="宋体" w:hAnsi="宋体" w:cs="宋体"/>
                <w:szCs w:val="24"/>
                <w:highlight w:val="none"/>
              </w:rPr>
              <w:t>PN10</w:t>
            </w:r>
          </w:p>
        </w:tc>
      </w:tr>
      <w:tr w14:paraId="5CC7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48" w:type="dxa"/>
            <w:gridSpan w:val="2"/>
            <w:vAlign w:val="center"/>
          </w:tcPr>
          <w:p w14:paraId="3DD3A3C1">
            <w:pPr>
              <w:pStyle w:val="400"/>
              <w:spacing w:line="440" w:lineRule="exact"/>
              <w:ind w:firstLine="480"/>
              <w:rPr>
                <w:rFonts w:ascii="宋体" w:hAnsi="宋体" w:cs="宋体"/>
                <w:szCs w:val="24"/>
                <w:highlight w:val="none"/>
              </w:rPr>
            </w:pPr>
            <w:r>
              <w:rPr>
                <w:rFonts w:hint="eastAsia" w:ascii="宋体" w:hAnsi="宋体" w:cs="宋体"/>
                <w:szCs w:val="24"/>
                <w:highlight w:val="none"/>
              </w:rPr>
              <w:t>阀座试验压力</w:t>
            </w:r>
          </w:p>
        </w:tc>
        <w:tc>
          <w:tcPr>
            <w:tcW w:w="4274" w:type="dxa"/>
            <w:vAlign w:val="center"/>
          </w:tcPr>
          <w:p w14:paraId="3D03C852">
            <w:pPr>
              <w:pStyle w:val="400"/>
              <w:spacing w:line="440" w:lineRule="exact"/>
              <w:ind w:firstLine="480"/>
              <w:rPr>
                <w:rFonts w:ascii="宋体" w:hAnsi="宋体" w:cs="宋体"/>
                <w:szCs w:val="24"/>
                <w:highlight w:val="none"/>
              </w:rPr>
            </w:pPr>
            <w:r>
              <w:rPr>
                <w:rFonts w:hint="eastAsia" w:ascii="宋体" w:hAnsi="宋体" w:cs="宋体"/>
                <w:szCs w:val="24"/>
                <w:highlight w:val="none"/>
              </w:rPr>
              <w:t>1.1Mpa</w:t>
            </w:r>
          </w:p>
        </w:tc>
      </w:tr>
      <w:tr w14:paraId="2D3BF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248" w:type="dxa"/>
            <w:gridSpan w:val="2"/>
            <w:vAlign w:val="center"/>
          </w:tcPr>
          <w:p w14:paraId="7EF1997A">
            <w:pPr>
              <w:pStyle w:val="400"/>
              <w:spacing w:line="440" w:lineRule="exact"/>
              <w:ind w:firstLine="480"/>
              <w:rPr>
                <w:rFonts w:ascii="宋体" w:hAnsi="宋体" w:cs="宋体"/>
                <w:szCs w:val="24"/>
                <w:highlight w:val="none"/>
              </w:rPr>
            </w:pPr>
            <w:r>
              <w:rPr>
                <w:rFonts w:hint="eastAsia" w:ascii="宋体" w:hAnsi="宋体" w:cs="宋体"/>
                <w:szCs w:val="24"/>
                <w:highlight w:val="none"/>
              </w:rPr>
              <w:t>阀体试验压力</w:t>
            </w:r>
          </w:p>
        </w:tc>
        <w:tc>
          <w:tcPr>
            <w:tcW w:w="4274" w:type="dxa"/>
            <w:vAlign w:val="center"/>
          </w:tcPr>
          <w:p w14:paraId="57D62419">
            <w:pPr>
              <w:pStyle w:val="400"/>
              <w:spacing w:line="440" w:lineRule="exact"/>
              <w:ind w:firstLine="480"/>
              <w:rPr>
                <w:rFonts w:ascii="宋体" w:hAnsi="宋体" w:cs="宋体"/>
                <w:szCs w:val="24"/>
                <w:highlight w:val="none"/>
              </w:rPr>
            </w:pPr>
            <w:r>
              <w:rPr>
                <w:rFonts w:hint="eastAsia" w:ascii="宋体" w:hAnsi="宋体" w:cs="宋体"/>
                <w:szCs w:val="24"/>
                <w:highlight w:val="none"/>
              </w:rPr>
              <w:t>1.5Mpa</w:t>
            </w:r>
          </w:p>
        </w:tc>
      </w:tr>
      <w:tr w14:paraId="773CE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88" w:type="dxa"/>
            <w:vMerge w:val="restart"/>
            <w:vAlign w:val="center"/>
          </w:tcPr>
          <w:p w14:paraId="07560A3A">
            <w:pPr>
              <w:pStyle w:val="400"/>
              <w:spacing w:line="440" w:lineRule="exact"/>
              <w:ind w:firstLine="480"/>
              <w:rPr>
                <w:rFonts w:ascii="宋体" w:hAnsi="宋体" w:cs="宋体"/>
                <w:szCs w:val="24"/>
                <w:highlight w:val="none"/>
              </w:rPr>
            </w:pPr>
            <w:r>
              <w:rPr>
                <w:rFonts w:hint="eastAsia" w:ascii="宋体" w:hAnsi="宋体" w:cs="宋体"/>
                <w:szCs w:val="24"/>
                <w:highlight w:val="none"/>
              </w:rPr>
              <w:t>材质</w:t>
            </w:r>
          </w:p>
        </w:tc>
        <w:tc>
          <w:tcPr>
            <w:tcW w:w="3060" w:type="dxa"/>
            <w:vAlign w:val="center"/>
          </w:tcPr>
          <w:p w14:paraId="67F204DF">
            <w:pPr>
              <w:pStyle w:val="400"/>
              <w:spacing w:line="440" w:lineRule="exact"/>
              <w:ind w:firstLine="480"/>
              <w:rPr>
                <w:rFonts w:ascii="宋体" w:hAnsi="宋体" w:cs="宋体"/>
                <w:szCs w:val="24"/>
                <w:highlight w:val="none"/>
              </w:rPr>
            </w:pPr>
            <w:r>
              <w:rPr>
                <w:rFonts w:hint="eastAsia" w:ascii="宋体" w:hAnsi="宋体" w:cs="宋体"/>
                <w:szCs w:val="24"/>
                <w:highlight w:val="none"/>
              </w:rPr>
              <w:t>阀体</w:t>
            </w:r>
          </w:p>
        </w:tc>
        <w:tc>
          <w:tcPr>
            <w:tcW w:w="4274" w:type="dxa"/>
            <w:vAlign w:val="center"/>
          </w:tcPr>
          <w:p w14:paraId="36B3F34A">
            <w:pPr>
              <w:pStyle w:val="400"/>
              <w:spacing w:line="440" w:lineRule="exact"/>
              <w:ind w:firstLine="480"/>
              <w:rPr>
                <w:rFonts w:ascii="宋体" w:hAnsi="宋体" w:cs="宋体"/>
                <w:szCs w:val="24"/>
                <w:highlight w:val="none"/>
              </w:rPr>
            </w:pPr>
            <w:r>
              <w:rPr>
                <w:rFonts w:hint="eastAsia" w:ascii="宋体" w:hAnsi="宋体" w:cs="宋体"/>
                <w:szCs w:val="24"/>
                <w:highlight w:val="none"/>
              </w:rPr>
              <w:t>球墨铸铁</w:t>
            </w:r>
          </w:p>
        </w:tc>
      </w:tr>
      <w:tr w14:paraId="23C4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88" w:type="dxa"/>
            <w:vMerge w:val="continue"/>
            <w:vAlign w:val="center"/>
          </w:tcPr>
          <w:p w14:paraId="5192774E">
            <w:pPr>
              <w:pStyle w:val="400"/>
              <w:spacing w:line="440" w:lineRule="exact"/>
              <w:ind w:firstLine="480"/>
              <w:rPr>
                <w:rFonts w:ascii="宋体" w:hAnsi="宋体" w:cs="宋体"/>
                <w:szCs w:val="24"/>
                <w:highlight w:val="none"/>
              </w:rPr>
            </w:pPr>
          </w:p>
        </w:tc>
        <w:tc>
          <w:tcPr>
            <w:tcW w:w="3060" w:type="dxa"/>
            <w:vAlign w:val="center"/>
          </w:tcPr>
          <w:p w14:paraId="3CEF6DCA">
            <w:pPr>
              <w:pStyle w:val="400"/>
              <w:spacing w:line="440" w:lineRule="exact"/>
              <w:ind w:firstLine="480"/>
              <w:rPr>
                <w:rFonts w:ascii="宋体" w:hAnsi="宋体" w:cs="宋体"/>
                <w:szCs w:val="24"/>
                <w:highlight w:val="none"/>
              </w:rPr>
            </w:pPr>
            <w:r>
              <w:rPr>
                <w:rFonts w:hint="eastAsia" w:ascii="宋体" w:hAnsi="宋体" w:cs="宋体"/>
                <w:szCs w:val="24"/>
                <w:highlight w:val="none"/>
              </w:rPr>
              <w:t>阀盖</w:t>
            </w:r>
          </w:p>
        </w:tc>
        <w:tc>
          <w:tcPr>
            <w:tcW w:w="4274" w:type="dxa"/>
            <w:vAlign w:val="center"/>
          </w:tcPr>
          <w:p w14:paraId="30E0E07D">
            <w:pPr>
              <w:pStyle w:val="400"/>
              <w:spacing w:line="440" w:lineRule="exact"/>
              <w:ind w:firstLine="480"/>
              <w:rPr>
                <w:rFonts w:ascii="宋体" w:hAnsi="宋体" w:cs="宋体"/>
                <w:szCs w:val="24"/>
                <w:highlight w:val="none"/>
              </w:rPr>
            </w:pPr>
            <w:r>
              <w:rPr>
                <w:rFonts w:hint="eastAsia" w:ascii="宋体" w:hAnsi="宋体" w:cs="宋体"/>
                <w:szCs w:val="24"/>
                <w:highlight w:val="none"/>
              </w:rPr>
              <w:t>球墨铸铁</w:t>
            </w:r>
          </w:p>
        </w:tc>
      </w:tr>
      <w:tr w14:paraId="1D6E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88" w:type="dxa"/>
            <w:vMerge w:val="continue"/>
            <w:vAlign w:val="center"/>
          </w:tcPr>
          <w:p w14:paraId="1E55D3E3">
            <w:pPr>
              <w:pStyle w:val="400"/>
              <w:spacing w:line="440" w:lineRule="exact"/>
              <w:ind w:firstLine="480"/>
              <w:rPr>
                <w:rFonts w:ascii="宋体" w:hAnsi="宋体" w:cs="宋体"/>
                <w:szCs w:val="24"/>
                <w:highlight w:val="none"/>
              </w:rPr>
            </w:pPr>
          </w:p>
        </w:tc>
        <w:tc>
          <w:tcPr>
            <w:tcW w:w="3060" w:type="dxa"/>
            <w:vAlign w:val="center"/>
          </w:tcPr>
          <w:p w14:paraId="40FF18F2">
            <w:pPr>
              <w:pStyle w:val="400"/>
              <w:spacing w:line="440" w:lineRule="exact"/>
              <w:ind w:firstLine="480"/>
              <w:rPr>
                <w:rFonts w:ascii="宋体" w:hAnsi="宋体" w:cs="宋体"/>
                <w:szCs w:val="24"/>
                <w:highlight w:val="none"/>
              </w:rPr>
            </w:pPr>
            <w:r>
              <w:rPr>
                <w:rFonts w:hint="eastAsia" w:ascii="宋体" w:hAnsi="宋体" w:cs="宋体"/>
                <w:szCs w:val="24"/>
                <w:highlight w:val="none"/>
              </w:rPr>
              <w:t>阀瓣</w:t>
            </w:r>
          </w:p>
        </w:tc>
        <w:tc>
          <w:tcPr>
            <w:tcW w:w="4274" w:type="dxa"/>
            <w:vAlign w:val="center"/>
          </w:tcPr>
          <w:p w14:paraId="0FFD3EC4">
            <w:pPr>
              <w:pStyle w:val="400"/>
              <w:spacing w:line="440" w:lineRule="exact"/>
              <w:ind w:firstLine="480"/>
              <w:rPr>
                <w:rFonts w:ascii="宋体" w:hAnsi="宋体" w:cs="宋体"/>
                <w:szCs w:val="24"/>
                <w:highlight w:val="none"/>
              </w:rPr>
            </w:pPr>
            <w:r>
              <w:rPr>
                <w:rFonts w:hint="eastAsia" w:ascii="宋体" w:hAnsi="宋体" w:cs="宋体"/>
                <w:szCs w:val="24"/>
                <w:highlight w:val="none"/>
              </w:rPr>
              <w:t>碳钢+强化尼龙布+NBR</w:t>
            </w:r>
          </w:p>
        </w:tc>
      </w:tr>
    </w:tbl>
    <w:p w14:paraId="6654EE66">
      <w:pPr>
        <w:spacing w:line="440" w:lineRule="exact"/>
        <w:ind w:firstLine="482" w:firstLineChars="200"/>
        <w:rPr>
          <w:rFonts w:ascii="宋体" w:hAnsi="宋体" w:cs="宋体"/>
          <w:b/>
          <w:sz w:val="24"/>
          <w:highlight w:val="none"/>
        </w:rPr>
      </w:pPr>
      <w:r>
        <w:rPr>
          <w:rFonts w:hint="eastAsia" w:ascii="宋体" w:hAnsi="宋体" w:cs="宋体"/>
          <w:b/>
          <w:sz w:val="24"/>
          <w:highlight w:val="none"/>
        </w:rPr>
        <w:t>4、手动蝶阀</w:t>
      </w:r>
    </w:p>
    <w:p w14:paraId="064DB2B2">
      <w:pPr>
        <w:spacing w:line="440" w:lineRule="exact"/>
        <w:ind w:firstLine="480" w:firstLineChars="200"/>
        <w:rPr>
          <w:rFonts w:ascii="宋体" w:hAnsi="宋体" w:cs="宋体"/>
          <w:sz w:val="24"/>
          <w:highlight w:val="none"/>
        </w:rPr>
      </w:pPr>
      <w:r>
        <w:rPr>
          <w:rFonts w:hint="eastAsia" w:ascii="宋体" w:hAnsi="宋体" w:cs="宋体"/>
          <w:sz w:val="24"/>
          <w:highlight w:val="none"/>
        </w:rPr>
        <w:t>（1）蝶阀的结构型式：为双偏心型结构，即在阀门打开后密封橡胶圈与挤压面基本脱离，确保橡胶密封圈不受较大挤压，保证阀门使用寿命。蝶阀采用双偏心双法兰式蝶阀。</w:t>
      </w:r>
    </w:p>
    <w:p w14:paraId="189FF951">
      <w:pPr>
        <w:spacing w:line="440" w:lineRule="exact"/>
        <w:ind w:firstLine="480" w:firstLineChars="200"/>
        <w:rPr>
          <w:rFonts w:ascii="宋体" w:hAnsi="宋体" w:cs="宋体"/>
          <w:sz w:val="24"/>
          <w:highlight w:val="none"/>
        </w:rPr>
      </w:pPr>
      <w:r>
        <w:rPr>
          <w:rFonts w:hint="eastAsia" w:ascii="宋体" w:hAnsi="宋体" w:cs="宋体"/>
          <w:sz w:val="24"/>
          <w:highlight w:val="none"/>
        </w:rPr>
        <w:t>（2）阀体：采用球墨铸铁QT450或同等及以上材料。</w:t>
      </w:r>
    </w:p>
    <w:p w14:paraId="22B03294">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（3）阀板：采用球墨铸铁QT450或同等及以上材料，为减少阀门流阻损失，蝶阀应选配流线型或者双层拱形蝶板。    </w:t>
      </w:r>
    </w:p>
    <w:p w14:paraId="5EDCC9BF">
      <w:pPr>
        <w:spacing w:line="440" w:lineRule="exact"/>
        <w:ind w:firstLine="480" w:firstLineChars="200"/>
        <w:rPr>
          <w:rFonts w:ascii="宋体" w:hAnsi="宋体" w:cs="宋体"/>
          <w:sz w:val="24"/>
          <w:highlight w:val="none"/>
        </w:rPr>
      </w:pPr>
      <w:r>
        <w:rPr>
          <w:rFonts w:hint="eastAsia" w:ascii="宋体" w:hAnsi="宋体" w:cs="宋体"/>
          <w:sz w:val="24"/>
          <w:highlight w:val="none"/>
        </w:rPr>
        <w:t>（4）阀轴：应采用2Cr13不锈钢材质或采用更好材料。为确保阀轴在运行过程中受力均匀，蝶板与阀轴的连接应采用销结构。销不得穿过阀轴的中心，不会削弱轴的强度，且与阀轴的贴合面大大增加，通过销和阀轴结合面间产生预紧力，使蝶板阀轴紧密结合在一起无间隙，在开启和关闭阀门时不会产生冲击载荷，使蝶板转动平稳，密封可靠。</w:t>
      </w:r>
    </w:p>
    <w:p w14:paraId="2DB6E312">
      <w:pPr>
        <w:spacing w:line="440" w:lineRule="exact"/>
        <w:ind w:firstLine="480" w:firstLineChars="200"/>
        <w:rPr>
          <w:rFonts w:ascii="宋体" w:hAnsi="宋体" w:cs="宋体"/>
          <w:sz w:val="24"/>
          <w:highlight w:val="none"/>
        </w:rPr>
      </w:pPr>
      <w:r>
        <w:rPr>
          <w:rFonts w:hint="eastAsia" w:ascii="宋体" w:hAnsi="宋体" w:cs="宋体"/>
          <w:sz w:val="24"/>
          <w:highlight w:val="none"/>
        </w:rPr>
        <w:t>（5）密封材料：采用EPDM，橡胶圈应具有卓越的压缩形变性能或回弹记忆力（压缩后橡胶恢复原来形状的能力）。</w:t>
      </w:r>
    </w:p>
    <w:p w14:paraId="4FD7A0E4">
      <w:pPr>
        <w:spacing w:line="440" w:lineRule="exact"/>
        <w:ind w:firstLine="480" w:firstLineChars="200"/>
        <w:rPr>
          <w:rFonts w:ascii="宋体" w:hAnsi="宋体" w:cs="宋体"/>
          <w:sz w:val="24"/>
          <w:highlight w:val="none"/>
        </w:rPr>
      </w:pPr>
      <w:r>
        <w:rPr>
          <w:rFonts w:hint="eastAsia" w:ascii="宋体" w:hAnsi="宋体" w:cs="宋体"/>
          <w:sz w:val="24"/>
          <w:highlight w:val="none"/>
        </w:rPr>
        <w:t>（6）阀门的密封设计结构：蝶阀要求双向密封，对水流无方向要求，顺时针方向为关闭阀，逆时针方向为开阀,并且有明显标志。（即蝶阀应当能有双向等压密封能力）。</w:t>
      </w:r>
    </w:p>
    <w:p w14:paraId="24BC71B7">
      <w:pPr>
        <w:spacing w:line="440" w:lineRule="exact"/>
        <w:ind w:firstLine="480" w:firstLineChars="200"/>
        <w:rPr>
          <w:rFonts w:ascii="宋体" w:hAnsi="宋体" w:cs="宋体"/>
          <w:sz w:val="24"/>
          <w:highlight w:val="none"/>
        </w:rPr>
      </w:pPr>
      <w:r>
        <w:rPr>
          <w:rFonts w:hint="eastAsia" w:ascii="宋体" w:hAnsi="宋体" w:cs="宋体"/>
          <w:sz w:val="24"/>
          <w:highlight w:val="none"/>
        </w:rPr>
        <w:t>（7）阀座应符合GB/T12238《法兰和对夹连接弹性密封蝶阀》标准，阀座应采用不锈钢304材质，不得采用一体式阀座投标；</w:t>
      </w:r>
    </w:p>
    <w:p w14:paraId="6466AFFD">
      <w:pPr>
        <w:spacing w:line="440" w:lineRule="exact"/>
        <w:ind w:firstLine="480" w:firstLineChars="200"/>
        <w:rPr>
          <w:rFonts w:ascii="宋体" w:hAnsi="宋体" w:cs="宋体"/>
          <w:sz w:val="24"/>
          <w:highlight w:val="none"/>
        </w:rPr>
      </w:pPr>
      <w:r>
        <w:rPr>
          <w:rFonts w:hint="eastAsia" w:ascii="宋体" w:hAnsi="宋体" w:cs="宋体"/>
          <w:sz w:val="24"/>
          <w:highlight w:val="none"/>
        </w:rPr>
        <w:t>（8）为保障主阀密封的坚固耐用并避免阀座对密封圈的损伤，阀座不得采用堆焊形式，以避免堆焊工艺中焊层的脆裂与焊材的材质析出，应采用整体不锈钢材料制作（投标时须提供彩色加工过程和实物图片为证）；确保阀座具有足够的韧性、刚度和耐腐蚀性。</w:t>
      </w:r>
    </w:p>
    <w:p w14:paraId="0E554674">
      <w:pPr>
        <w:spacing w:line="440" w:lineRule="exact"/>
        <w:ind w:firstLine="480" w:firstLineChars="200"/>
        <w:rPr>
          <w:rFonts w:ascii="宋体" w:hAnsi="宋体" w:cs="宋体"/>
          <w:sz w:val="24"/>
          <w:highlight w:val="none"/>
        </w:rPr>
      </w:pPr>
      <w:r>
        <w:rPr>
          <w:rFonts w:hint="eastAsia" w:ascii="宋体" w:hAnsi="宋体" w:cs="宋体"/>
          <w:sz w:val="24"/>
          <w:highlight w:val="none"/>
        </w:rPr>
        <w:t>（9）阀板密封圈：阀板密封圈建议采用直接以锯齿状式嵌入或者采用其他更先进的办法。橡胶密封圈应固定至阀瓣上，压缩量可调，密封圈嵌入阀座后有一定的自由度和供橡胶弹性退让的空间，使其能在一定范围内通过自身调节，在工作压力作用下产生自密封力，进行双向密封。在水流冲击下，不松动、不脱落、不渗漏，并且当有异物卡住时不易损坏。阀门密封圈与阀体上阀座之间接触面可达±1°，（即保证阀门在关闭89-91°范围内均能完好密封，漏失率为0），密封圈具有良好的耐磨性、弹性、抗腐蚀性及抗老化性，能确保在正常情况下使用20年以上。（需提供图片证明，并加以详细说明）。</w:t>
      </w:r>
    </w:p>
    <w:p w14:paraId="129A192B">
      <w:pPr>
        <w:spacing w:line="440" w:lineRule="exact"/>
        <w:ind w:firstLine="480" w:firstLineChars="200"/>
        <w:rPr>
          <w:rFonts w:ascii="宋体" w:hAnsi="宋体" w:cs="宋体"/>
          <w:sz w:val="24"/>
          <w:highlight w:val="none"/>
        </w:rPr>
      </w:pPr>
      <w:r>
        <w:rPr>
          <w:rFonts w:hint="eastAsia" w:ascii="宋体" w:hAnsi="宋体" w:cs="宋体"/>
          <w:sz w:val="24"/>
          <w:highlight w:val="none"/>
        </w:rPr>
        <w:t>（10）蝶阀采用蜗轮蜗杆齿轮箱，可以很好的控制扭矩输出，需采用优良品牌，操作装置应满足沿海使用情况，采用全密封防浸水结构（防护等级IP68），以及具有良好的自锁性，即保证蝶板能稳定的停留在任意的中间位置上；同时所有蝶阀都应装配有可调节的机械式开启和关闭的限位器和开度指示器。开空无空程，并保证开度指示与蝶板位置同步一致。（开度指示器所用的材料必须是球墨铸铁）。</w:t>
      </w:r>
    </w:p>
    <w:p w14:paraId="0E05E097">
      <w:pPr>
        <w:spacing w:line="440" w:lineRule="exact"/>
        <w:ind w:firstLine="480" w:firstLineChars="200"/>
        <w:rPr>
          <w:rFonts w:ascii="宋体" w:hAnsi="宋体" w:cs="宋体"/>
          <w:sz w:val="24"/>
          <w:highlight w:val="none"/>
        </w:rPr>
      </w:pPr>
      <w:r>
        <w:rPr>
          <w:rFonts w:hint="eastAsia" w:ascii="宋体" w:hAnsi="宋体" w:cs="宋体"/>
          <w:sz w:val="24"/>
          <w:highlight w:val="none"/>
        </w:rPr>
        <w:t>（11）蝶阀应具有很好的导流性，使阀门全开时介质流经阀门时的流阻系数不超过0.3。</w:t>
      </w:r>
    </w:p>
    <w:p w14:paraId="1E9CB80C">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（12）阀体应能承受1.5倍额定压力，且阀体不能发生变形，法兰与阀体为一体式。阀体上应有明显的铸造商标。        </w:t>
      </w:r>
    </w:p>
    <w:p w14:paraId="0B6CA6F4">
      <w:pPr>
        <w:spacing w:line="440" w:lineRule="exact"/>
        <w:ind w:firstLine="480" w:firstLineChars="200"/>
        <w:rPr>
          <w:rFonts w:ascii="宋体" w:hAnsi="宋体" w:cs="宋体"/>
          <w:sz w:val="24"/>
          <w:highlight w:val="none"/>
        </w:rPr>
      </w:pPr>
      <w:r>
        <w:rPr>
          <w:rFonts w:hint="eastAsia" w:ascii="宋体" w:hAnsi="宋体" w:cs="宋体"/>
          <w:sz w:val="24"/>
          <w:highlight w:val="none"/>
        </w:rPr>
        <w:t>（13）阀板在承受较高压差时工作压力不超过使用材料抗拉强度的1/5，阀板的厚度不得超过阀轴直径的2倍。</w:t>
      </w:r>
    </w:p>
    <w:p w14:paraId="22587ABD">
      <w:pPr>
        <w:spacing w:line="440" w:lineRule="exact"/>
        <w:ind w:firstLine="480" w:firstLineChars="200"/>
        <w:rPr>
          <w:rFonts w:ascii="宋体" w:hAnsi="宋体" w:cs="宋体"/>
          <w:sz w:val="24"/>
          <w:highlight w:val="none"/>
        </w:rPr>
      </w:pPr>
      <w:r>
        <w:rPr>
          <w:rFonts w:hint="eastAsia" w:ascii="宋体" w:hAnsi="宋体" w:cs="宋体"/>
          <w:sz w:val="24"/>
          <w:highlight w:val="none"/>
        </w:rPr>
        <w:t>（14）蝶阀应具有蝶板轴向调整及固定装置。通过蝶板轴向位置的精密调整及固定，使蝶板在阀座上的位置处于最佳密封状态。对于可能在长期使用过程中引起的蝶板下垂，也可方便的进一步调整锁定，达到长期使用零泄露。（投标时须提供彩色加工过程和实物图片为证）</w:t>
      </w:r>
    </w:p>
    <w:p w14:paraId="2F901CC1">
      <w:pPr>
        <w:spacing w:line="440" w:lineRule="exact"/>
        <w:ind w:firstLine="480" w:firstLineChars="200"/>
        <w:rPr>
          <w:rFonts w:ascii="宋体" w:hAnsi="宋体" w:cs="宋体"/>
          <w:sz w:val="24"/>
          <w:highlight w:val="none"/>
        </w:rPr>
      </w:pPr>
      <w:r>
        <w:rPr>
          <w:rFonts w:hint="eastAsia" w:ascii="宋体" w:hAnsi="宋体" w:cs="宋体"/>
          <w:sz w:val="24"/>
          <w:highlight w:val="none"/>
        </w:rPr>
        <w:t>（15）球墨铸铁铸件采用树脂砂造型工艺，铸件应经抛丸处理，应达到GB/8923-1988中规定的Sa2 1/2表面处理等级，并在完成后6小时进行环氧树脂静电喷涂，涂层固化后不因溶解于水，涂层厚度不低于250微米。环氧树脂符合GB/T 17219-1998卫生标准，附着力符合GB1720、韧性、硬度冲击强度符合1731-1730标准。</w:t>
      </w:r>
    </w:p>
    <w:p w14:paraId="20FEA6ED">
      <w:pPr>
        <w:spacing w:line="440" w:lineRule="exact"/>
        <w:ind w:firstLine="480" w:firstLineChars="200"/>
        <w:rPr>
          <w:rFonts w:ascii="宋体" w:hAnsi="宋体" w:cs="宋体"/>
          <w:sz w:val="24"/>
          <w:highlight w:val="none"/>
        </w:rPr>
      </w:pPr>
      <w:r>
        <w:rPr>
          <w:rFonts w:hint="eastAsia" w:ascii="宋体" w:hAnsi="宋体" w:cs="宋体"/>
          <w:sz w:val="24"/>
          <w:highlight w:val="none"/>
        </w:rPr>
        <w:t>（16)检测及质量追溯：每件出厂产品都必须经过双向密封性能测试（1.1倍工作压力）以及1.5倍壳体压力测试， 检测完毕后的产品需贴上标签或者铭牌。</w:t>
      </w:r>
    </w:p>
    <w:p w14:paraId="059EB7F7">
      <w:pPr>
        <w:spacing w:line="440" w:lineRule="exact"/>
        <w:ind w:firstLine="482" w:firstLineChars="200"/>
        <w:rPr>
          <w:rFonts w:ascii="宋体" w:hAnsi="宋体" w:cs="宋体"/>
          <w:b/>
          <w:sz w:val="24"/>
          <w:highlight w:val="none"/>
        </w:rPr>
      </w:pPr>
      <w:r>
        <w:rPr>
          <w:rFonts w:hint="eastAsia" w:ascii="宋体" w:hAnsi="宋体" w:cs="宋体"/>
          <w:b/>
          <w:sz w:val="24"/>
          <w:highlight w:val="none"/>
        </w:rPr>
        <w:t>5、双法兰传力伸缩接头</w:t>
      </w:r>
    </w:p>
    <w:p w14:paraId="70692420">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5.1部件材质 </w:t>
      </w:r>
    </w:p>
    <w:p w14:paraId="60A6D751">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本体：球墨铸铁QT450-10 </w:t>
      </w:r>
    </w:p>
    <w:p w14:paraId="232ABE5D">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限位短管：球墨铸铁QT450-10 </w:t>
      </w:r>
    </w:p>
    <w:p w14:paraId="21FC9666">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限位盘：碳钢Q235A </w:t>
      </w:r>
    </w:p>
    <w:p w14:paraId="2D5CD19A">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密封圈：丁腈橡胶 </w:t>
      </w:r>
    </w:p>
    <w:p w14:paraId="2BDD54AE">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压盖：球墨铸铁QT450-10 </w:t>
      </w:r>
    </w:p>
    <w:p w14:paraId="3980C677">
      <w:pPr>
        <w:spacing w:line="440" w:lineRule="exact"/>
        <w:ind w:firstLine="480" w:firstLineChars="200"/>
        <w:rPr>
          <w:rFonts w:ascii="宋体" w:hAnsi="宋体" w:cs="宋体"/>
          <w:sz w:val="24"/>
          <w:highlight w:val="none"/>
        </w:rPr>
      </w:pPr>
      <w:r>
        <w:rPr>
          <w:rFonts w:hint="eastAsia" w:ascii="宋体" w:hAnsi="宋体" w:cs="宋体"/>
          <w:sz w:val="24"/>
          <w:highlight w:val="none"/>
        </w:rPr>
        <w:t>限位螺杆：碳钢Q235A（镀锌）</w:t>
      </w:r>
    </w:p>
    <w:p w14:paraId="7D695F3C">
      <w:pPr>
        <w:spacing w:line="440" w:lineRule="exact"/>
        <w:ind w:firstLine="480" w:firstLineChars="200"/>
        <w:rPr>
          <w:rFonts w:ascii="宋体" w:hAnsi="宋体" w:cs="宋体"/>
          <w:sz w:val="24"/>
          <w:highlight w:val="none"/>
        </w:rPr>
      </w:pPr>
      <w:r>
        <w:rPr>
          <w:rFonts w:hint="eastAsia" w:ascii="宋体" w:hAnsi="宋体" w:cs="宋体"/>
          <w:sz w:val="24"/>
          <w:highlight w:val="none"/>
        </w:rPr>
        <w:t>调整螺母：碳钢Q235A（镀锌）</w:t>
      </w:r>
    </w:p>
    <w:p w14:paraId="64925EF4">
      <w:pPr>
        <w:spacing w:line="440" w:lineRule="exact"/>
        <w:ind w:firstLine="482" w:firstLineChars="200"/>
        <w:rPr>
          <w:rFonts w:ascii="宋体" w:hAnsi="宋体" w:cs="宋体"/>
          <w:b/>
          <w:sz w:val="24"/>
          <w:highlight w:val="none"/>
        </w:rPr>
      </w:pPr>
      <w:r>
        <w:rPr>
          <w:rFonts w:hint="eastAsia" w:ascii="宋体" w:hAnsi="宋体" w:cs="宋体"/>
          <w:b/>
          <w:sz w:val="24"/>
          <w:highlight w:val="none"/>
        </w:rPr>
        <w:t>6、不锈钢水箱</w:t>
      </w:r>
    </w:p>
    <w:p w14:paraId="3D2AB83D">
      <w:pPr>
        <w:spacing w:line="440" w:lineRule="exact"/>
        <w:ind w:firstLine="482" w:firstLineChars="200"/>
        <w:rPr>
          <w:rFonts w:ascii="宋体" w:hAnsi="宋体" w:cs="宋体"/>
          <w:b/>
          <w:sz w:val="24"/>
          <w:highlight w:val="none"/>
        </w:rPr>
      </w:pPr>
      <w:r>
        <w:rPr>
          <w:rFonts w:hint="eastAsia" w:ascii="宋体" w:hAnsi="宋体" w:cs="宋体"/>
          <w:b/>
          <w:sz w:val="24"/>
          <w:highlight w:val="none"/>
        </w:rPr>
        <w:t>6.1水箱材质</w:t>
      </w:r>
    </w:p>
    <w:p w14:paraId="5C2ECE56">
      <w:pPr>
        <w:spacing w:line="440" w:lineRule="exact"/>
        <w:ind w:firstLine="480" w:firstLineChars="200"/>
        <w:rPr>
          <w:rFonts w:ascii="宋体" w:hAnsi="宋体" w:cs="宋体"/>
          <w:sz w:val="24"/>
          <w:highlight w:val="none"/>
        </w:rPr>
      </w:pPr>
      <w:r>
        <w:rPr>
          <w:rFonts w:hint="eastAsia" w:ascii="宋体" w:hAnsi="宋体" w:cs="宋体"/>
          <w:sz w:val="24"/>
          <w:highlight w:val="none"/>
        </w:rPr>
        <w:t>▲不锈钢水箱长×宽×高</w:t>
      </w:r>
      <w:r>
        <w:rPr>
          <w:rFonts w:hint="eastAsia" w:ascii="宋体" w:hAnsi="宋体" w:cs="宋体"/>
          <w:sz w:val="24"/>
          <w:highlight w:val="none"/>
          <w:lang w:val="en-US" w:eastAsia="zh-CN"/>
        </w:rPr>
        <w:t>=</w:t>
      </w:r>
      <w:r>
        <w:rPr>
          <w:rFonts w:hint="eastAsia" w:ascii="宋体" w:hAnsi="宋体" w:cs="宋体"/>
          <w:sz w:val="24"/>
          <w:highlight w:val="none"/>
        </w:rPr>
        <w:t>21m×10m×4.5m</w:t>
      </w:r>
    </w:p>
    <w:p w14:paraId="6A2B03E4">
      <w:pPr>
        <w:spacing w:line="440" w:lineRule="exact"/>
        <w:ind w:firstLine="480" w:firstLineChars="200"/>
        <w:rPr>
          <w:rFonts w:ascii="宋体" w:hAnsi="宋体" w:cs="宋体"/>
          <w:sz w:val="24"/>
          <w:highlight w:val="none"/>
        </w:rPr>
      </w:pPr>
      <w:r>
        <w:rPr>
          <w:rFonts w:hint="eastAsia" w:ascii="宋体" w:hAnsi="宋体" w:cs="宋体"/>
          <w:sz w:val="24"/>
          <w:highlight w:val="none"/>
        </w:rPr>
        <w:t>（1）水箱主体各附件所采用材质均应为S30408（06CRL9NI10）不锈钢，并应符合GB/T 3280的规定。</w:t>
      </w:r>
    </w:p>
    <w:p w14:paraId="2E0C2063">
      <w:pPr>
        <w:spacing w:line="440" w:lineRule="exact"/>
        <w:ind w:firstLine="480" w:firstLineChars="200"/>
        <w:rPr>
          <w:rFonts w:ascii="宋体" w:hAnsi="宋体" w:cs="宋体"/>
          <w:sz w:val="24"/>
          <w:highlight w:val="none"/>
        </w:rPr>
      </w:pPr>
      <w:r>
        <w:rPr>
          <w:rFonts w:hint="eastAsia" w:ascii="宋体" w:hAnsi="宋体" w:cs="宋体"/>
          <w:sz w:val="24"/>
          <w:highlight w:val="none"/>
        </w:rPr>
        <w:t>（2）水箱内部拉筋和支撑筋为不锈钢折制成U型或角钢，材质与箱体相同。扶梯应采用与箱体相同材质。材质符合《生活饮用水输配水设备及防护材料的安全性评价标准》GB/T 17219要求，其机械性能应符合GB/T 3280的规定。</w:t>
      </w:r>
    </w:p>
    <w:p w14:paraId="5D999089">
      <w:pPr>
        <w:spacing w:line="440" w:lineRule="exact"/>
        <w:ind w:firstLine="480" w:firstLineChars="200"/>
        <w:rPr>
          <w:rFonts w:ascii="宋体" w:hAnsi="宋体" w:cs="宋体"/>
          <w:sz w:val="24"/>
          <w:highlight w:val="none"/>
        </w:rPr>
      </w:pPr>
      <w:r>
        <w:rPr>
          <w:rFonts w:hint="eastAsia" w:ascii="宋体" w:hAnsi="宋体" w:cs="宋体"/>
          <w:sz w:val="24"/>
          <w:highlight w:val="none"/>
        </w:rPr>
        <w:t>（3）水箱安装应采用钨极氩弧焊，采用不锈钢材质焊接（需用ER308或更高等级的焊丝焊接）。</w:t>
      </w:r>
    </w:p>
    <w:p w14:paraId="2427CE3F">
      <w:pPr>
        <w:spacing w:line="440" w:lineRule="exact"/>
        <w:ind w:firstLine="480" w:firstLineChars="200"/>
        <w:rPr>
          <w:rFonts w:ascii="宋体" w:hAnsi="宋体" w:cs="宋体"/>
          <w:sz w:val="24"/>
          <w:highlight w:val="none"/>
        </w:rPr>
      </w:pPr>
      <w:r>
        <w:rPr>
          <w:rFonts w:hint="eastAsia" w:ascii="宋体" w:hAnsi="宋体" w:cs="宋体"/>
          <w:sz w:val="24"/>
          <w:highlight w:val="none"/>
        </w:rPr>
        <w:t>（4）水箱各部位（含顶部）均需满焊，焊接工作人员需持证上岗</w:t>
      </w:r>
    </w:p>
    <w:p w14:paraId="02969A89">
      <w:pPr>
        <w:spacing w:line="440" w:lineRule="exact"/>
        <w:ind w:firstLine="480" w:firstLineChars="200"/>
        <w:rPr>
          <w:rFonts w:ascii="宋体" w:hAnsi="宋体" w:cs="宋体"/>
          <w:sz w:val="24"/>
          <w:highlight w:val="none"/>
        </w:rPr>
      </w:pPr>
      <w:r>
        <w:rPr>
          <w:rFonts w:hint="eastAsia" w:ascii="宋体" w:hAnsi="宋体" w:cs="宋体"/>
          <w:sz w:val="24"/>
          <w:highlight w:val="none"/>
        </w:rPr>
        <w:t>（5）水箱各部位板厚度不小于下表要求：</w:t>
      </w:r>
    </w:p>
    <w:tbl>
      <w:tblPr>
        <w:tblStyle w:val="53"/>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52"/>
        <w:gridCol w:w="1053"/>
        <w:gridCol w:w="1053"/>
        <w:gridCol w:w="1053"/>
        <w:gridCol w:w="1053"/>
        <w:gridCol w:w="1053"/>
        <w:gridCol w:w="1053"/>
        <w:gridCol w:w="1053"/>
      </w:tblGrid>
      <w:tr w14:paraId="3DB3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40" w:type="dxa"/>
            <w:vMerge w:val="restart"/>
            <w:vAlign w:val="center"/>
          </w:tcPr>
          <w:p w14:paraId="014D5904">
            <w:pPr>
              <w:pStyle w:val="401"/>
              <w:spacing w:line="440" w:lineRule="exact"/>
              <w:jc w:val="center"/>
              <w:rPr>
                <w:kern w:val="0"/>
                <w:highlight w:val="none"/>
              </w:rPr>
            </w:pPr>
            <w:r>
              <w:rPr>
                <w:rFonts w:hint="eastAsia"/>
                <w:kern w:val="0"/>
                <w:highlight w:val="none"/>
              </w:rPr>
              <w:t>水箱高度（mm）</w:t>
            </w:r>
          </w:p>
        </w:tc>
        <w:tc>
          <w:tcPr>
            <w:tcW w:w="7280" w:type="dxa"/>
            <w:gridSpan w:val="7"/>
            <w:vAlign w:val="center"/>
          </w:tcPr>
          <w:p w14:paraId="5377A0E9">
            <w:pPr>
              <w:pStyle w:val="401"/>
              <w:spacing w:line="440" w:lineRule="exact"/>
              <w:jc w:val="center"/>
              <w:rPr>
                <w:kern w:val="0"/>
                <w:highlight w:val="none"/>
              </w:rPr>
            </w:pPr>
            <w:r>
              <w:rPr>
                <w:rFonts w:hint="eastAsia"/>
                <w:kern w:val="0"/>
                <w:highlight w:val="none"/>
              </w:rPr>
              <w:t>水箱板厚度（mm）</w:t>
            </w:r>
          </w:p>
        </w:tc>
      </w:tr>
      <w:tr w14:paraId="567D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40" w:type="dxa"/>
            <w:vMerge w:val="continue"/>
            <w:vAlign w:val="center"/>
          </w:tcPr>
          <w:p w14:paraId="12FE030F">
            <w:pPr>
              <w:pStyle w:val="401"/>
              <w:spacing w:line="440" w:lineRule="exact"/>
              <w:jc w:val="center"/>
              <w:rPr>
                <w:kern w:val="0"/>
                <w:highlight w:val="none"/>
              </w:rPr>
            </w:pPr>
          </w:p>
        </w:tc>
        <w:tc>
          <w:tcPr>
            <w:tcW w:w="1040" w:type="dxa"/>
            <w:vMerge w:val="restart"/>
            <w:vAlign w:val="center"/>
          </w:tcPr>
          <w:p w14:paraId="6D90EC6F">
            <w:pPr>
              <w:pStyle w:val="401"/>
              <w:spacing w:line="440" w:lineRule="exact"/>
              <w:jc w:val="center"/>
              <w:rPr>
                <w:kern w:val="0"/>
                <w:highlight w:val="none"/>
              </w:rPr>
            </w:pPr>
            <w:r>
              <w:rPr>
                <w:rFonts w:hint="eastAsia"/>
                <w:kern w:val="0"/>
                <w:highlight w:val="none"/>
              </w:rPr>
              <w:t>水箱箱顶</w:t>
            </w:r>
          </w:p>
        </w:tc>
        <w:tc>
          <w:tcPr>
            <w:tcW w:w="1040" w:type="dxa"/>
            <w:vMerge w:val="restart"/>
            <w:vAlign w:val="center"/>
          </w:tcPr>
          <w:p w14:paraId="007DB9A7">
            <w:pPr>
              <w:pStyle w:val="401"/>
              <w:spacing w:line="440" w:lineRule="exact"/>
              <w:jc w:val="center"/>
              <w:rPr>
                <w:kern w:val="0"/>
                <w:highlight w:val="none"/>
              </w:rPr>
            </w:pPr>
            <w:r>
              <w:rPr>
                <w:rFonts w:hint="eastAsia"/>
                <w:kern w:val="0"/>
                <w:highlight w:val="none"/>
              </w:rPr>
              <w:t>水箱箱底</w:t>
            </w:r>
          </w:p>
        </w:tc>
        <w:tc>
          <w:tcPr>
            <w:tcW w:w="5200" w:type="dxa"/>
            <w:gridSpan w:val="5"/>
            <w:vAlign w:val="center"/>
          </w:tcPr>
          <w:p w14:paraId="66514525">
            <w:pPr>
              <w:pStyle w:val="401"/>
              <w:spacing w:line="440" w:lineRule="exact"/>
              <w:jc w:val="center"/>
              <w:rPr>
                <w:kern w:val="0"/>
                <w:highlight w:val="none"/>
              </w:rPr>
            </w:pPr>
            <w:r>
              <w:rPr>
                <w:rFonts w:hint="eastAsia"/>
                <w:kern w:val="0"/>
                <w:highlight w:val="none"/>
              </w:rPr>
              <w:t>水箱侧板</w:t>
            </w:r>
          </w:p>
        </w:tc>
      </w:tr>
      <w:tr w14:paraId="35F8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40" w:type="dxa"/>
            <w:vMerge w:val="continue"/>
            <w:vAlign w:val="center"/>
          </w:tcPr>
          <w:p w14:paraId="1CEEADE1">
            <w:pPr>
              <w:pStyle w:val="401"/>
              <w:spacing w:line="440" w:lineRule="exact"/>
              <w:jc w:val="center"/>
              <w:rPr>
                <w:kern w:val="0"/>
                <w:highlight w:val="none"/>
              </w:rPr>
            </w:pPr>
          </w:p>
        </w:tc>
        <w:tc>
          <w:tcPr>
            <w:tcW w:w="1040" w:type="dxa"/>
            <w:vMerge w:val="continue"/>
            <w:vAlign w:val="center"/>
          </w:tcPr>
          <w:p w14:paraId="24549E46">
            <w:pPr>
              <w:pStyle w:val="401"/>
              <w:spacing w:line="440" w:lineRule="exact"/>
              <w:jc w:val="center"/>
              <w:rPr>
                <w:kern w:val="0"/>
                <w:highlight w:val="none"/>
              </w:rPr>
            </w:pPr>
          </w:p>
        </w:tc>
        <w:tc>
          <w:tcPr>
            <w:tcW w:w="1040" w:type="dxa"/>
            <w:vMerge w:val="continue"/>
            <w:vAlign w:val="center"/>
          </w:tcPr>
          <w:p w14:paraId="70285FB4">
            <w:pPr>
              <w:pStyle w:val="401"/>
              <w:spacing w:line="440" w:lineRule="exact"/>
              <w:jc w:val="center"/>
              <w:rPr>
                <w:kern w:val="0"/>
                <w:highlight w:val="none"/>
              </w:rPr>
            </w:pPr>
          </w:p>
        </w:tc>
        <w:tc>
          <w:tcPr>
            <w:tcW w:w="1040" w:type="dxa"/>
            <w:vAlign w:val="center"/>
          </w:tcPr>
          <w:p w14:paraId="3D73D15E">
            <w:pPr>
              <w:pStyle w:val="401"/>
              <w:spacing w:line="440" w:lineRule="exact"/>
              <w:jc w:val="center"/>
              <w:rPr>
                <w:kern w:val="0"/>
                <w:highlight w:val="none"/>
              </w:rPr>
            </w:pPr>
            <w:r>
              <w:rPr>
                <w:rFonts w:hint="eastAsia"/>
                <w:kern w:val="0"/>
                <w:highlight w:val="none"/>
              </w:rPr>
              <w:t>1侧板</w:t>
            </w:r>
          </w:p>
        </w:tc>
        <w:tc>
          <w:tcPr>
            <w:tcW w:w="1040" w:type="dxa"/>
            <w:vAlign w:val="center"/>
          </w:tcPr>
          <w:p w14:paraId="0C1FE6F0">
            <w:pPr>
              <w:pStyle w:val="401"/>
              <w:spacing w:line="440" w:lineRule="exact"/>
              <w:jc w:val="center"/>
              <w:rPr>
                <w:kern w:val="0"/>
                <w:highlight w:val="none"/>
              </w:rPr>
            </w:pPr>
            <w:r>
              <w:rPr>
                <w:rFonts w:hint="eastAsia"/>
                <w:kern w:val="0"/>
                <w:highlight w:val="none"/>
              </w:rPr>
              <w:t>2侧板</w:t>
            </w:r>
          </w:p>
        </w:tc>
        <w:tc>
          <w:tcPr>
            <w:tcW w:w="1040" w:type="dxa"/>
            <w:vAlign w:val="center"/>
          </w:tcPr>
          <w:p w14:paraId="5CC6BB44">
            <w:pPr>
              <w:pStyle w:val="401"/>
              <w:spacing w:line="440" w:lineRule="exact"/>
              <w:jc w:val="center"/>
              <w:rPr>
                <w:kern w:val="0"/>
                <w:highlight w:val="none"/>
              </w:rPr>
            </w:pPr>
            <w:r>
              <w:rPr>
                <w:rFonts w:hint="eastAsia"/>
                <w:kern w:val="0"/>
                <w:highlight w:val="none"/>
              </w:rPr>
              <w:t>3侧板</w:t>
            </w:r>
          </w:p>
        </w:tc>
        <w:tc>
          <w:tcPr>
            <w:tcW w:w="1040" w:type="dxa"/>
            <w:vAlign w:val="center"/>
          </w:tcPr>
          <w:p w14:paraId="7EBF0723">
            <w:pPr>
              <w:pStyle w:val="401"/>
              <w:spacing w:line="440" w:lineRule="exact"/>
              <w:jc w:val="center"/>
              <w:rPr>
                <w:kern w:val="0"/>
                <w:highlight w:val="none"/>
              </w:rPr>
            </w:pPr>
            <w:r>
              <w:rPr>
                <w:rFonts w:hint="eastAsia"/>
                <w:kern w:val="0"/>
                <w:highlight w:val="none"/>
              </w:rPr>
              <w:t>4侧板</w:t>
            </w:r>
          </w:p>
        </w:tc>
        <w:tc>
          <w:tcPr>
            <w:tcW w:w="1040" w:type="dxa"/>
            <w:vAlign w:val="center"/>
          </w:tcPr>
          <w:p w14:paraId="53A41EB5">
            <w:pPr>
              <w:pStyle w:val="401"/>
              <w:spacing w:line="440" w:lineRule="exact"/>
              <w:jc w:val="center"/>
              <w:rPr>
                <w:kern w:val="0"/>
                <w:highlight w:val="none"/>
              </w:rPr>
            </w:pPr>
            <w:r>
              <w:rPr>
                <w:rFonts w:hint="eastAsia"/>
                <w:kern w:val="0"/>
                <w:highlight w:val="none"/>
              </w:rPr>
              <w:t>5侧板</w:t>
            </w:r>
          </w:p>
        </w:tc>
      </w:tr>
      <w:tr w14:paraId="55F32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40" w:type="dxa"/>
            <w:vAlign w:val="center"/>
          </w:tcPr>
          <w:p w14:paraId="6DF95559">
            <w:pPr>
              <w:pStyle w:val="401"/>
              <w:spacing w:line="440" w:lineRule="exact"/>
              <w:jc w:val="center"/>
              <w:rPr>
                <w:kern w:val="0"/>
                <w:highlight w:val="none"/>
              </w:rPr>
            </w:pPr>
            <w:r>
              <w:rPr>
                <w:rFonts w:hint="eastAsia"/>
                <w:kern w:val="0"/>
                <w:highlight w:val="none"/>
              </w:rPr>
              <w:t>4500</w:t>
            </w:r>
          </w:p>
        </w:tc>
        <w:tc>
          <w:tcPr>
            <w:tcW w:w="1040" w:type="dxa"/>
            <w:vAlign w:val="center"/>
          </w:tcPr>
          <w:p w14:paraId="4B29D682">
            <w:pPr>
              <w:pStyle w:val="401"/>
              <w:spacing w:line="440" w:lineRule="exact"/>
              <w:jc w:val="center"/>
              <w:rPr>
                <w:kern w:val="0"/>
                <w:highlight w:val="none"/>
              </w:rPr>
            </w:pPr>
            <w:r>
              <w:rPr>
                <w:rFonts w:hint="eastAsia"/>
                <w:kern w:val="0"/>
                <w:highlight w:val="none"/>
              </w:rPr>
              <w:t>1.5</w:t>
            </w:r>
          </w:p>
        </w:tc>
        <w:tc>
          <w:tcPr>
            <w:tcW w:w="1040" w:type="dxa"/>
            <w:vAlign w:val="center"/>
          </w:tcPr>
          <w:p w14:paraId="53295781">
            <w:pPr>
              <w:pStyle w:val="401"/>
              <w:spacing w:line="440" w:lineRule="exact"/>
              <w:jc w:val="center"/>
              <w:rPr>
                <w:kern w:val="0"/>
                <w:highlight w:val="none"/>
              </w:rPr>
            </w:pPr>
            <w:r>
              <w:rPr>
                <w:rFonts w:hint="eastAsia"/>
                <w:kern w:val="0"/>
                <w:highlight w:val="none"/>
              </w:rPr>
              <w:t>3.0</w:t>
            </w:r>
          </w:p>
        </w:tc>
        <w:tc>
          <w:tcPr>
            <w:tcW w:w="1040" w:type="dxa"/>
            <w:vAlign w:val="center"/>
          </w:tcPr>
          <w:p w14:paraId="0579B9DA">
            <w:pPr>
              <w:pStyle w:val="401"/>
              <w:spacing w:line="440" w:lineRule="exact"/>
              <w:jc w:val="center"/>
              <w:rPr>
                <w:kern w:val="0"/>
                <w:highlight w:val="none"/>
              </w:rPr>
            </w:pPr>
            <w:r>
              <w:rPr>
                <w:rFonts w:hint="eastAsia"/>
                <w:kern w:val="0"/>
                <w:highlight w:val="none"/>
              </w:rPr>
              <w:t>3.0</w:t>
            </w:r>
          </w:p>
        </w:tc>
        <w:tc>
          <w:tcPr>
            <w:tcW w:w="1040" w:type="dxa"/>
            <w:vAlign w:val="center"/>
          </w:tcPr>
          <w:p w14:paraId="68B7528A">
            <w:pPr>
              <w:pStyle w:val="401"/>
              <w:spacing w:line="440" w:lineRule="exact"/>
              <w:jc w:val="center"/>
              <w:rPr>
                <w:kern w:val="0"/>
                <w:highlight w:val="none"/>
              </w:rPr>
            </w:pPr>
            <w:r>
              <w:rPr>
                <w:rFonts w:hint="eastAsia"/>
                <w:kern w:val="0"/>
                <w:highlight w:val="none"/>
              </w:rPr>
              <w:t>3.0</w:t>
            </w:r>
          </w:p>
        </w:tc>
        <w:tc>
          <w:tcPr>
            <w:tcW w:w="1040" w:type="dxa"/>
            <w:vAlign w:val="center"/>
          </w:tcPr>
          <w:p w14:paraId="66AEE05D">
            <w:pPr>
              <w:pStyle w:val="401"/>
              <w:spacing w:line="440" w:lineRule="exact"/>
              <w:jc w:val="center"/>
              <w:rPr>
                <w:kern w:val="0"/>
                <w:highlight w:val="none"/>
              </w:rPr>
            </w:pPr>
            <w:r>
              <w:rPr>
                <w:rFonts w:hint="eastAsia"/>
                <w:kern w:val="0"/>
                <w:highlight w:val="none"/>
              </w:rPr>
              <w:t>2.5</w:t>
            </w:r>
          </w:p>
        </w:tc>
        <w:tc>
          <w:tcPr>
            <w:tcW w:w="1040" w:type="dxa"/>
            <w:vAlign w:val="center"/>
          </w:tcPr>
          <w:p w14:paraId="09DE4F17">
            <w:pPr>
              <w:pStyle w:val="401"/>
              <w:spacing w:line="440" w:lineRule="exact"/>
              <w:jc w:val="center"/>
              <w:rPr>
                <w:kern w:val="0"/>
                <w:highlight w:val="none"/>
              </w:rPr>
            </w:pPr>
            <w:r>
              <w:rPr>
                <w:rFonts w:hint="eastAsia"/>
                <w:kern w:val="0"/>
                <w:highlight w:val="none"/>
              </w:rPr>
              <w:t>2.0</w:t>
            </w:r>
          </w:p>
        </w:tc>
        <w:tc>
          <w:tcPr>
            <w:tcW w:w="1040" w:type="dxa"/>
            <w:vAlign w:val="center"/>
          </w:tcPr>
          <w:p w14:paraId="579766D6">
            <w:pPr>
              <w:pStyle w:val="401"/>
              <w:spacing w:line="440" w:lineRule="exact"/>
              <w:jc w:val="center"/>
              <w:rPr>
                <w:kern w:val="0"/>
                <w:highlight w:val="none"/>
              </w:rPr>
            </w:pPr>
            <w:r>
              <w:rPr>
                <w:rFonts w:hint="eastAsia"/>
                <w:kern w:val="0"/>
                <w:highlight w:val="none"/>
              </w:rPr>
              <w:t>1.5</w:t>
            </w:r>
          </w:p>
        </w:tc>
      </w:tr>
    </w:tbl>
    <w:p w14:paraId="1889A861">
      <w:pPr>
        <w:pStyle w:val="401"/>
        <w:spacing w:line="440" w:lineRule="exact"/>
        <w:ind w:left="425"/>
        <w:rPr>
          <w:highlight w:val="none"/>
        </w:rPr>
      </w:pPr>
      <w:r>
        <w:rPr>
          <w:rFonts w:hint="eastAsia"/>
          <w:highlight w:val="none"/>
        </w:rPr>
        <w:t>（6）水箱采用不锈钢板材厚度的允许公差符合下表1.5规定。</w:t>
      </w:r>
    </w:p>
    <w:p w14:paraId="058C2FC0">
      <w:pPr>
        <w:pStyle w:val="401"/>
        <w:spacing w:line="440" w:lineRule="exact"/>
        <w:jc w:val="center"/>
        <w:rPr>
          <w:highlight w:val="none"/>
        </w:rPr>
      </w:pPr>
      <w:r>
        <w:rPr>
          <w:rFonts w:hint="eastAsia"/>
          <w:highlight w:val="none"/>
        </w:rPr>
        <w:t>不锈钢板材厚度的允许公差</w:t>
      </w:r>
    </w:p>
    <w:tbl>
      <w:tblPr>
        <w:tblStyle w:val="53"/>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10"/>
        <w:gridCol w:w="4210"/>
      </w:tblGrid>
      <w:tr w14:paraId="5E35E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58" w:type="dxa"/>
            <w:vAlign w:val="center"/>
          </w:tcPr>
          <w:p w14:paraId="0359A13B">
            <w:pPr>
              <w:pStyle w:val="401"/>
              <w:spacing w:line="440" w:lineRule="exact"/>
              <w:jc w:val="center"/>
              <w:rPr>
                <w:kern w:val="0"/>
                <w:highlight w:val="none"/>
              </w:rPr>
            </w:pPr>
            <w:r>
              <w:rPr>
                <w:rFonts w:hint="eastAsia"/>
                <w:kern w:val="0"/>
                <w:highlight w:val="none"/>
              </w:rPr>
              <w:t>壁厚mm</w:t>
            </w:r>
          </w:p>
        </w:tc>
        <w:tc>
          <w:tcPr>
            <w:tcW w:w="4158" w:type="dxa"/>
            <w:vAlign w:val="center"/>
          </w:tcPr>
          <w:p w14:paraId="6F8673EE">
            <w:pPr>
              <w:pStyle w:val="401"/>
              <w:spacing w:line="440" w:lineRule="exact"/>
              <w:jc w:val="center"/>
              <w:rPr>
                <w:kern w:val="0"/>
                <w:highlight w:val="none"/>
              </w:rPr>
            </w:pPr>
            <w:r>
              <w:rPr>
                <w:rFonts w:hint="eastAsia"/>
                <w:kern w:val="0"/>
                <w:highlight w:val="none"/>
              </w:rPr>
              <w:t>允许公差mm</w:t>
            </w:r>
          </w:p>
        </w:tc>
      </w:tr>
      <w:tr w14:paraId="5149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58" w:type="dxa"/>
            <w:vAlign w:val="center"/>
          </w:tcPr>
          <w:p w14:paraId="691172BB">
            <w:pPr>
              <w:pStyle w:val="401"/>
              <w:spacing w:line="440" w:lineRule="exact"/>
              <w:jc w:val="center"/>
              <w:rPr>
                <w:kern w:val="0"/>
                <w:highlight w:val="none"/>
              </w:rPr>
            </w:pPr>
            <w:r>
              <w:rPr>
                <w:rFonts w:hint="eastAsia"/>
                <w:kern w:val="0"/>
                <w:highlight w:val="none"/>
              </w:rPr>
              <w:t>1.5</w:t>
            </w:r>
          </w:p>
        </w:tc>
        <w:tc>
          <w:tcPr>
            <w:tcW w:w="4158" w:type="dxa"/>
            <w:vAlign w:val="center"/>
          </w:tcPr>
          <w:p w14:paraId="0E413497">
            <w:pPr>
              <w:pStyle w:val="401"/>
              <w:spacing w:line="440" w:lineRule="exact"/>
              <w:jc w:val="center"/>
              <w:rPr>
                <w:kern w:val="0"/>
                <w:highlight w:val="none"/>
              </w:rPr>
            </w:pPr>
            <w:r>
              <w:rPr>
                <w:rFonts w:hint="eastAsia"/>
                <w:kern w:val="0"/>
                <w:highlight w:val="none"/>
              </w:rPr>
              <w:t>±0.15</w:t>
            </w:r>
          </w:p>
        </w:tc>
      </w:tr>
      <w:tr w14:paraId="2AAB6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58" w:type="dxa"/>
            <w:vAlign w:val="center"/>
          </w:tcPr>
          <w:p w14:paraId="23EA9388">
            <w:pPr>
              <w:pStyle w:val="401"/>
              <w:spacing w:line="440" w:lineRule="exact"/>
              <w:jc w:val="center"/>
              <w:rPr>
                <w:kern w:val="0"/>
                <w:highlight w:val="none"/>
              </w:rPr>
            </w:pPr>
            <w:r>
              <w:rPr>
                <w:rFonts w:hint="eastAsia"/>
                <w:kern w:val="0"/>
                <w:highlight w:val="none"/>
              </w:rPr>
              <w:t>2.0</w:t>
            </w:r>
          </w:p>
        </w:tc>
        <w:tc>
          <w:tcPr>
            <w:tcW w:w="4158" w:type="dxa"/>
            <w:vAlign w:val="center"/>
          </w:tcPr>
          <w:p w14:paraId="7BDBDC3F">
            <w:pPr>
              <w:pStyle w:val="401"/>
              <w:spacing w:line="440" w:lineRule="exact"/>
              <w:jc w:val="center"/>
              <w:rPr>
                <w:kern w:val="0"/>
                <w:highlight w:val="none"/>
              </w:rPr>
            </w:pPr>
            <w:r>
              <w:rPr>
                <w:rFonts w:hint="eastAsia"/>
                <w:kern w:val="0"/>
                <w:highlight w:val="none"/>
              </w:rPr>
              <w:t>±0.20</w:t>
            </w:r>
          </w:p>
        </w:tc>
      </w:tr>
      <w:tr w14:paraId="37475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58" w:type="dxa"/>
            <w:vAlign w:val="center"/>
          </w:tcPr>
          <w:p w14:paraId="585BA2A1">
            <w:pPr>
              <w:pStyle w:val="401"/>
              <w:spacing w:line="440" w:lineRule="exact"/>
              <w:jc w:val="center"/>
              <w:rPr>
                <w:kern w:val="0"/>
                <w:highlight w:val="none"/>
              </w:rPr>
            </w:pPr>
            <w:r>
              <w:rPr>
                <w:rFonts w:hint="eastAsia"/>
                <w:kern w:val="0"/>
                <w:highlight w:val="none"/>
              </w:rPr>
              <w:t>2.5</w:t>
            </w:r>
          </w:p>
        </w:tc>
        <w:tc>
          <w:tcPr>
            <w:tcW w:w="4158" w:type="dxa"/>
            <w:vAlign w:val="center"/>
          </w:tcPr>
          <w:p w14:paraId="68F39D9F">
            <w:pPr>
              <w:pStyle w:val="401"/>
              <w:spacing w:line="440" w:lineRule="exact"/>
              <w:jc w:val="center"/>
              <w:rPr>
                <w:kern w:val="0"/>
                <w:highlight w:val="none"/>
              </w:rPr>
            </w:pPr>
            <w:r>
              <w:rPr>
                <w:rFonts w:hint="eastAsia"/>
                <w:kern w:val="0"/>
                <w:highlight w:val="none"/>
              </w:rPr>
              <w:t>±0.25</w:t>
            </w:r>
          </w:p>
        </w:tc>
      </w:tr>
      <w:tr w14:paraId="1489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58" w:type="dxa"/>
            <w:vAlign w:val="center"/>
          </w:tcPr>
          <w:p w14:paraId="3329FD94">
            <w:pPr>
              <w:pStyle w:val="401"/>
              <w:spacing w:line="440" w:lineRule="exact"/>
              <w:jc w:val="center"/>
              <w:rPr>
                <w:kern w:val="0"/>
                <w:highlight w:val="none"/>
              </w:rPr>
            </w:pPr>
            <w:r>
              <w:rPr>
                <w:rFonts w:hint="eastAsia"/>
                <w:kern w:val="0"/>
                <w:highlight w:val="none"/>
              </w:rPr>
              <w:t>3.0</w:t>
            </w:r>
          </w:p>
        </w:tc>
        <w:tc>
          <w:tcPr>
            <w:tcW w:w="4158" w:type="dxa"/>
            <w:vAlign w:val="center"/>
          </w:tcPr>
          <w:p w14:paraId="4F8F2ECD">
            <w:pPr>
              <w:pStyle w:val="401"/>
              <w:spacing w:line="440" w:lineRule="exact"/>
              <w:jc w:val="center"/>
              <w:rPr>
                <w:kern w:val="0"/>
                <w:highlight w:val="none"/>
              </w:rPr>
            </w:pPr>
            <w:r>
              <w:rPr>
                <w:rFonts w:hint="eastAsia"/>
                <w:kern w:val="0"/>
                <w:highlight w:val="none"/>
              </w:rPr>
              <w:t>±0.30</w:t>
            </w:r>
          </w:p>
        </w:tc>
      </w:tr>
    </w:tbl>
    <w:p w14:paraId="14A22709">
      <w:pPr>
        <w:spacing w:line="440" w:lineRule="exact"/>
        <w:ind w:firstLine="482" w:firstLineChars="200"/>
        <w:rPr>
          <w:rFonts w:ascii="宋体" w:hAnsi="宋体" w:cs="宋体"/>
          <w:b/>
          <w:sz w:val="24"/>
          <w:highlight w:val="none"/>
        </w:rPr>
      </w:pPr>
      <w:r>
        <w:rPr>
          <w:rFonts w:hint="eastAsia" w:ascii="宋体" w:hAnsi="宋体" w:cs="宋体"/>
          <w:b/>
          <w:sz w:val="24"/>
          <w:highlight w:val="none"/>
        </w:rPr>
        <w:t>6.2水箱槽钢底座</w:t>
      </w:r>
    </w:p>
    <w:p w14:paraId="28BA567E">
      <w:pPr>
        <w:spacing w:line="440" w:lineRule="exact"/>
        <w:ind w:firstLine="480" w:firstLineChars="200"/>
        <w:rPr>
          <w:rFonts w:ascii="宋体" w:hAnsi="宋体" w:cs="宋体"/>
          <w:sz w:val="24"/>
          <w:highlight w:val="none"/>
        </w:rPr>
      </w:pPr>
      <w:r>
        <w:rPr>
          <w:rFonts w:hint="eastAsia" w:ascii="宋体" w:hAnsi="宋体" w:cs="宋体"/>
          <w:sz w:val="24"/>
          <w:highlight w:val="none"/>
        </w:rPr>
        <w:t>（1）水箱槽钢底座采用轻型热轧槽钢10号，槽钢采用热镀锌工艺处理材料，应做好必要的防腐措施，防止发生生锈等腐蚀现象。</w:t>
      </w:r>
    </w:p>
    <w:p w14:paraId="66077F68">
      <w:pPr>
        <w:spacing w:line="440" w:lineRule="exact"/>
        <w:ind w:firstLine="480" w:firstLineChars="200"/>
        <w:rPr>
          <w:rFonts w:ascii="宋体" w:hAnsi="宋体" w:cs="宋体"/>
          <w:sz w:val="24"/>
          <w:highlight w:val="none"/>
        </w:rPr>
      </w:pPr>
      <w:r>
        <w:rPr>
          <w:rFonts w:hint="eastAsia" w:ascii="宋体" w:hAnsi="宋体" w:cs="宋体"/>
          <w:sz w:val="24"/>
          <w:highlight w:val="none"/>
        </w:rPr>
        <w:t>（2）水箱槽钢底座应用地脚螺栓固定，槽钢、地脚螺栓宜采用镀锌防腐。地脚螺栓釆用金属胀管螺栓，螺纹规格为M10，公称长庋为≥100mm，钻孔深度为胀管（套管）长度加10-15mm。</w:t>
      </w:r>
    </w:p>
    <w:p w14:paraId="69ABB15A">
      <w:pPr>
        <w:spacing w:line="440" w:lineRule="exact"/>
        <w:ind w:firstLine="482" w:firstLineChars="200"/>
        <w:rPr>
          <w:rFonts w:ascii="宋体" w:hAnsi="宋体" w:cs="宋体"/>
          <w:b/>
          <w:sz w:val="24"/>
          <w:highlight w:val="none"/>
        </w:rPr>
      </w:pPr>
      <w:r>
        <w:rPr>
          <w:rFonts w:hint="eastAsia" w:ascii="宋体" w:hAnsi="宋体" w:cs="宋体"/>
          <w:b/>
          <w:sz w:val="24"/>
          <w:highlight w:val="none"/>
        </w:rPr>
        <w:t>6.3安装要求</w:t>
      </w:r>
    </w:p>
    <w:p w14:paraId="5E63076C">
      <w:pPr>
        <w:spacing w:line="440" w:lineRule="exact"/>
        <w:ind w:firstLine="480" w:firstLineChars="200"/>
        <w:rPr>
          <w:rFonts w:ascii="宋体" w:hAnsi="宋体" w:cs="宋体"/>
          <w:sz w:val="24"/>
          <w:highlight w:val="none"/>
        </w:rPr>
      </w:pPr>
      <w:r>
        <w:rPr>
          <w:rFonts w:hint="eastAsia" w:ascii="宋体" w:hAnsi="宋体" w:cs="宋体"/>
          <w:sz w:val="24"/>
          <w:highlight w:val="none"/>
        </w:rPr>
        <w:t>水箱应设置在通风良好、不结冻、卫生安全及维护方便的场所。设置在建筑物内的水箱应设置通风及排水设施，还应满足下列要求：</w:t>
      </w:r>
    </w:p>
    <w:p w14:paraId="532D19E5">
      <w:pPr>
        <w:spacing w:line="440" w:lineRule="exact"/>
        <w:ind w:firstLine="480" w:firstLineChars="200"/>
        <w:rPr>
          <w:rFonts w:ascii="宋体" w:hAnsi="宋体" w:cs="宋体"/>
          <w:sz w:val="24"/>
          <w:highlight w:val="none"/>
        </w:rPr>
      </w:pPr>
      <w:r>
        <w:rPr>
          <w:rFonts w:hint="eastAsia" w:ascii="宋体" w:hAnsi="宋体" w:cs="宋体"/>
          <w:sz w:val="24"/>
          <w:highlight w:val="none"/>
        </w:rPr>
        <w:t>水箱外壁与建筑本体结构墙面或其他池壁之间的净距，应满足施工或装配的要求；</w:t>
      </w:r>
    </w:p>
    <w:p w14:paraId="318EA2FA">
      <w:pPr>
        <w:spacing w:line="440" w:lineRule="exact"/>
        <w:ind w:firstLine="480" w:firstLineChars="200"/>
        <w:rPr>
          <w:rFonts w:ascii="宋体" w:hAnsi="宋体" w:cs="宋体"/>
          <w:sz w:val="24"/>
          <w:highlight w:val="none"/>
        </w:rPr>
      </w:pPr>
      <w:r>
        <w:rPr>
          <w:rFonts w:hint="eastAsia" w:ascii="宋体" w:hAnsi="宋体" w:cs="宋体"/>
          <w:sz w:val="24"/>
          <w:highlight w:val="none"/>
        </w:rPr>
        <w:t>水箱侧面无管道时，净距不宜小于700mm，侧面有管道时，净距不宜小于1000mm，且管道外壁与建筑本体墙面之间的通道宽度不宜小于600mm；设有人孔的水箱顶面与上面构筑物楼板面底的净距离不应小于800mm</w:t>
      </w:r>
    </w:p>
    <w:p w14:paraId="1B7A665B">
      <w:pPr>
        <w:spacing w:line="440" w:lineRule="exact"/>
        <w:ind w:firstLine="480" w:firstLineChars="200"/>
        <w:rPr>
          <w:rFonts w:ascii="宋体" w:hAnsi="宋体" w:cs="宋体"/>
          <w:sz w:val="24"/>
          <w:highlight w:val="none"/>
        </w:rPr>
      </w:pPr>
      <w:r>
        <w:rPr>
          <w:rFonts w:hint="eastAsia" w:ascii="宋体" w:hAnsi="宋体" w:cs="宋体"/>
          <w:sz w:val="24"/>
          <w:highlight w:val="none"/>
        </w:rPr>
        <w:t>水箱底板与地面的净距不应小于500mm。</w:t>
      </w:r>
    </w:p>
    <w:p w14:paraId="1CE66733">
      <w:pPr>
        <w:spacing w:line="440" w:lineRule="exact"/>
        <w:ind w:firstLine="480" w:firstLineChars="200"/>
        <w:rPr>
          <w:rFonts w:ascii="宋体" w:hAnsi="宋体" w:cs="宋体"/>
          <w:sz w:val="24"/>
          <w:highlight w:val="none"/>
        </w:rPr>
      </w:pPr>
      <w:r>
        <w:rPr>
          <w:rFonts w:hint="eastAsia" w:ascii="宋体" w:hAnsi="宋体" w:cs="宋体"/>
          <w:sz w:val="24"/>
          <w:highlight w:val="none"/>
        </w:rPr>
        <w:t>水箱设置在有防雷要求的区域应按照GB 50057《建筑物防雷设计规范》要求设置防雷措施。</w:t>
      </w:r>
    </w:p>
    <w:p w14:paraId="750B010D">
      <w:pPr>
        <w:spacing w:line="440" w:lineRule="exact"/>
        <w:ind w:firstLine="482" w:firstLineChars="200"/>
        <w:rPr>
          <w:rFonts w:ascii="宋体" w:hAnsi="宋体" w:cs="宋体"/>
          <w:b/>
          <w:sz w:val="24"/>
          <w:highlight w:val="none"/>
        </w:rPr>
      </w:pPr>
      <w:r>
        <w:rPr>
          <w:rFonts w:hint="eastAsia" w:ascii="宋体" w:hAnsi="宋体" w:cs="宋体"/>
          <w:b/>
          <w:sz w:val="24"/>
          <w:highlight w:val="none"/>
        </w:rPr>
        <w:t>6.4配套设施</w:t>
      </w:r>
    </w:p>
    <w:p w14:paraId="40AEFCFB">
      <w:pPr>
        <w:spacing w:line="440" w:lineRule="exact"/>
        <w:ind w:firstLine="480" w:firstLineChars="200"/>
        <w:rPr>
          <w:rFonts w:ascii="宋体" w:hAnsi="宋体" w:cs="宋体"/>
          <w:sz w:val="24"/>
          <w:highlight w:val="none"/>
        </w:rPr>
      </w:pPr>
      <w:r>
        <w:rPr>
          <w:rFonts w:hint="eastAsia" w:ascii="宋体" w:hAnsi="宋体" w:cs="宋体"/>
          <w:sz w:val="24"/>
          <w:highlight w:val="none"/>
        </w:rPr>
        <w:t>水箱应设进水管、出水管、溢流管、泄水管、通气管；根据需求配备液位控制信号装置，并应符合下列要求：</w:t>
      </w:r>
    </w:p>
    <w:p w14:paraId="1419B8D8">
      <w:pPr>
        <w:spacing w:line="440" w:lineRule="exact"/>
        <w:ind w:firstLine="480" w:firstLineChars="200"/>
        <w:rPr>
          <w:rFonts w:ascii="宋体" w:hAnsi="宋体" w:cs="宋体"/>
          <w:sz w:val="24"/>
          <w:highlight w:val="none"/>
        </w:rPr>
      </w:pPr>
      <w:r>
        <w:rPr>
          <w:rFonts w:hint="eastAsia" w:ascii="宋体" w:hAnsi="宋体" w:cs="宋体"/>
          <w:sz w:val="24"/>
          <w:highlight w:val="none"/>
        </w:rPr>
        <w:t>水箱构造和配管布置应符合《建筑给水排水设计标准》(GB 50015)有关防止水质污染的规定。</w:t>
      </w:r>
    </w:p>
    <w:p w14:paraId="534F73A6">
      <w:pPr>
        <w:spacing w:line="440" w:lineRule="exact"/>
        <w:ind w:firstLine="480" w:firstLineChars="200"/>
        <w:rPr>
          <w:rFonts w:ascii="宋体" w:hAnsi="宋体" w:cs="宋体"/>
          <w:sz w:val="24"/>
          <w:highlight w:val="none"/>
        </w:rPr>
      </w:pPr>
      <w:r>
        <w:rPr>
          <w:rFonts w:hint="eastAsia" w:ascii="宋体" w:hAnsi="宋体" w:cs="宋体"/>
          <w:sz w:val="24"/>
          <w:highlight w:val="none"/>
        </w:rPr>
        <w:t>当利用市政管网压力直接进水时，应设置自动水位控制阀，进水控制阀应具有液压控制及水位差控制功能。</w:t>
      </w:r>
    </w:p>
    <w:p w14:paraId="035AA136">
      <w:pPr>
        <w:spacing w:line="440" w:lineRule="exact"/>
        <w:ind w:firstLine="480" w:firstLineChars="200"/>
        <w:rPr>
          <w:rFonts w:ascii="宋体" w:hAnsi="宋体" w:cs="宋体"/>
          <w:sz w:val="24"/>
          <w:highlight w:val="none"/>
        </w:rPr>
      </w:pPr>
      <w:r>
        <w:rPr>
          <w:rFonts w:hint="eastAsia" w:ascii="宋体" w:hAnsi="宋体" w:cs="宋体"/>
          <w:sz w:val="24"/>
          <w:highlight w:val="none"/>
        </w:rPr>
        <w:t>当采用浮球阀进水时，浮球阀设置不宜少于两个并应设置在人孔两侧，且进水标高应一致。</w:t>
      </w:r>
    </w:p>
    <w:p w14:paraId="1F0B316A">
      <w:pPr>
        <w:spacing w:line="440" w:lineRule="exact"/>
        <w:ind w:firstLine="480" w:firstLineChars="200"/>
        <w:rPr>
          <w:rFonts w:ascii="宋体" w:hAnsi="宋体" w:cs="宋体"/>
          <w:sz w:val="24"/>
          <w:highlight w:val="none"/>
        </w:rPr>
      </w:pPr>
      <w:r>
        <w:rPr>
          <w:rFonts w:hint="eastAsia" w:ascii="宋体" w:hAnsi="宋体" w:cs="宋体"/>
          <w:sz w:val="24"/>
          <w:highlight w:val="none"/>
        </w:rPr>
        <w:t>当进水阀采用遥控浮球式恒液位控制阀时，先导浮球阀应安装在靠近人孔处，进水管应安装在远离先导浮球阀处，同时不应造成短流现象。</w:t>
      </w:r>
    </w:p>
    <w:p w14:paraId="4E5C9A86">
      <w:pPr>
        <w:spacing w:line="440" w:lineRule="exact"/>
        <w:ind w:firstLine="480" w:firstLineChars="200"/>
        <w:rPr>
          <w:rFonts w:ascii="宋体" w:hAnsi="宋体" w:cs="宋体"/>
          <w:sz w:val="24"/>
          <w:highlight w:val="none"/>
        </w:rPr>
      </w:pPr>
      <w:r>
        <w:rPr>
          <w:rFonts w:hint="eastAsia" w:ascii="宋体" w:hAnsi="宋体" w:cs="宋体"/>
          <w:sz w:val="24"/>
          <w:highlight w:val="none"/>
        </w:rPr>
        <w:t>当进水阀采用遥控电子浮球式恒液位控制阀时，电子浮球开关应安装在不易被水箱内拉筋、撑筋干扰位置，且应远离进水管。</w:t>
      </w:r>
    </w:p>
    <w:p w14:paraId="22051B91">
      <w:pPr>
        <w:spacing w:line="440" w:lineRule="exact"/>
        <w:ind w:firstLine="480" w:firstLineChars="200"/>
        <w:rPr>
          <w:rFonts w:ascii="宋体" w:hAnsi="宋体" w:cs="宋体"/>
          <w:sz w:val="24"/>
          <w:highlight w:val="none"/>
        </w:rPr>
      </w:pPr>
      <w:r>
        <w:rPr>
          <w:rFonts w:hint="eastAsia" w:ascii="宋体" w:hAnsi="宋体" w:cs="宋体"/>
          <w:sz w:val="24"/>
          <w:highlight w:val="none"/>
        </w:rPr>
        <w:t>当水箱采用水泵加压进水时，水箱内应设置水位自动控制水泵开、停的装置。当一组水泵供给多个水箱时，进水管道上宜装设电动控制阀，由水位监控设备实现自动控制。</w:t>
      </w:r>
    </w:p>
    <w:p w14:paraId="3DB7E153">
      <w:pPr>
        <w:spacing w:line="440" w:lineRule="exact"/>
        <w:ind w:firstLine="480" w:firstLineChars="200"/>
        <w:rPr>
          <w:rFonts w:ascii="宋体" w:hAnsi="宋体" w:cs="宋体"/>
          <w:sz w:val="24"/>
          <w:highlight w:val="none"/>
        </w:rPr>
      </w:pPr>
      <w:r>
        <w:rPr>
          <w:rFonts w:hint="eastAsia" w:ascii="宋体" w:hAnsi="宋体" w:cs="宋体"/>
          <w:sz w:val="24"/>
          <w:highlight w:val="none"/>
        </w:rPr>
        <w:t>水箱内的溢流管宜采用水平喇叭口集水，喇叭口下方的垂直管段不宜小于4倍溢流管管径，溢流管的管径应按能排泄水箱储水的最大流入量确定，宜比进水管管径大一级。</w:t>
      </w:r>
    </w:p>
    <w:p w14:paraId="687BA279">
      <w:pPr>
        <w:spacing w:line="440" w:lineRule="exact"/>
        <w:ind w:firstLine="480" w:firstLineChars="200"/>
        <w:rPr>
          <w:rFonts w:ascii="宋体" w:hAnsi="宋体" w:cs="宋体"/>
          <w:sz w:val="24"/>
          <w:highlight w:val="none"/>
        </w:rPr>
      </w:pPr>
      <w:r>
        <w:rPr>
          <w:rFonts w:hint="eastAsia" w:ascii="宋体" w:hAnsi="宋体" w:cs="宋体"/>
          <w:sz w:val="24"/>
          <w:highlight w:val="none"/>
        </w:rPr>
        <w:t>水箱泄水管的管径应按泄空时间和泄水受体排泄能力确定，当水箱中的水不能以重力自流泄空时，应设置移动或固定的提升装置。</w:t>
      </w:r>
    </w:p>
    <w:p w14:paraId="3DDE2B40">
      <w:pPr>
        <w:spacing w:line="440" w:lineRule="exact"/>
        <w:ind w:firstLine="480" w:firstLineChars="200"/>
        <w:rPr>
          <w:rFonts w:ascii="宋体" w:hAnsi="宋体" w:cs="宋体"/>
          <w:sz w:val="24"/>
          <w:highlight w:val="none"/>
        </w:rPr>
      </w:pPr>
      <w:r>
        <w:rPr>
          <w:rFonts w:hint="eastAsia" w:ascii="宋体" w:hAnsi="宋体" w:cs="宋体"/>
          <w:sz w:val="24"/>
          <w:highlight w:val="none"/>
        </w:rPr>
        <w:t>水箱宜设置水位监视和溢流报警装置，应能有信号输出远传功能。</w:t>
      </w:r>
    </w:p>
    <w:p w14:paraId="284963AA">
      <w:pPr>
        <w:spacing w:line="440" w:lineRule="exact"/>
        <w:ind w:firstLine="480" w:firstLineChars="200"/>
        <w:rPr>
          <w:rFonts w:ascii="宋体" w:hAnsi="宋体" w:cs="宋体"/>
          <w:sz w:val="24"/>
          <w:highlight w:val="none"/>
        </w:rPr>
      </w:pPr>
      <w:r>
        <w:rPr>
          <w:rFonts w:hint="eastAsia" w:ascii="宋体" w:hAnsi="宋体" w:cs="宋体"/>
          <w:sz w:val="24"/>
          <w:highlight w:val="none"/>
        </w:rPr>
        <w:t>水箱的通气管宜布设于水箱顶的最高处，通气管设置应不少于两个，分别位于水箱对角线上，一高一低布置，高度差宜≧400mm，通气管管径应按水箱上部空间容积确定，不应小于60mm。</w:t>
      </w:r>
    </w:p>
    <w:p w14:paraId="414B5580">
      <w:pPr>
        <w:spacing w:line="440" w:lineRule="exact"/>
        <w:ind w:firstLine="480" w:firstLineChars="200"/>
        <w:rPr>
          <w:rFonts w:ascii="宋体" w:hAnsi="宋体" w:cs="宋体"/>
          <w:sz w:val="24"/>
          <w:highlight w:val="none"/>
        </w:rPr>
      </w:pPr>
      <w:r>
        <w:rPr>
          <w:rFonts w:hint="eastAsia" w:ascii="宋体" w:hAnsi="宋体" w:cs="宋体"/>
          <w:sz w:val="24"/>
          <w:highlight w:val="none"/>
        </w:rPr>
        <w:t>水箱市政进水管上应安装进水蝶阀与过滤器。</w:t>
      </w:r>
    </w:p>
    <w:p w14:paraId="28FDAB4E">
      <w:pPr>
        <w:spacing w:line="440" w:lineRule="exact"/>
        <w:ind w:firstLine="480" w:firstLineChars="200"/>
        <w:rPr>
          <w:rFonts w:ascii="宋体" w:hAnsi="宋体" w:cs="宋体"/>
          <w:sz w:val="24"/>
          <w:highlight w:val="none"/>
        </w:rPr>
      </w:pPr>
      <w:r>
        <w:rPr>
          <w:rFonts w:hint="eastAsia" w:ascii="宋体" w:hAnsi="宋体" w:cs="宋体"/>
          <w:sz w:val="24"/>
          <w:highlight w:val="none"/>
        </w:rPr>
        <w:t>水箱的通气管、溢流管应设有防止小动物进入水箱的防护措施。</w:t>
      </w:r>
    </w:p>
    <w:p w14:paraId="33353C99">
      <w:pPr>
        <w:spacing w:line="440" w:lineRule="exact"/>
        <w:ind w:firstLine="480" w:firstLineChars="200"/>
        <w:rPr>
          <w:rFonts w:ascii="宋体" w:hAnsi="宋体" w:cs="宋体"/>
          <w:sz w:val="24"/>
          <w:highlight w:val="none"/>
        </w:rPr>
      </w:pPr>
      <w:r>
        <w:rPr>
          <w:rFonts w:hint="eastAsia" w:ascii="宋体" w:hAnsi="宋体" w:cs="宋体"/>
          <w:sz w:val="24"/>
          <w:highlight w:val="none"/>
        </w:rPr>
        <w:t>水箱人孔应加盖、加锁。</w:t>
      </w:r>
    </w:p>
    <w:p w14:paraId="355A7428">
      <w:pPr>
        <w:spacing w:line="440" w:lineRule="exact"/>
        <w:ind w:firstLine="480" w:firstLineChars="200"/>
        <w:rPr>
          <w:rFonts w:ascii="宋体" w:hAnsi="宋体" w:cs="宋体"/>
          <w:sz w:val="24"/>
          <w:highlight w:val="none"/>
        </w:rPr>
      </w:pPr>
      <w:r>
        <w:rPr>
          <w:rFonts w:hint="eastAsia" w:ascii="宋体" w:hAnsi="宋体" w:cs="宋体"/>
          <w:sz w:val="24"/>
          <w:highlight w:val="none"/>
        </w:rPr>
        <w:t>水箱应配置便于检修的内、外扶梯。扶梯应采用与水箱同材质的不锈钢板制作。</w:t>
      </w:r>
    </w:p>
    <w:p w14:paraId="6E1AE0DF">
      <w:pPr>
        <w:spacing w:line="440" w:lineRule="exact"/>
        <w:ind w:firstLine="480" w:firstLineChars="200"/>
        <w:rPr>
          <w:rFonts w:ascii="宋体" w:hAnsi="宋体" w:cs="宋体"/>
          <w:sz w:val="24"/>
          <w:highlight w:val="none"/>
        </w:rPr>
      </w:pPr>
      <w:r>
        <w:rPr>
          <w:rFonts w:hint="eastAsia" w:ascii="宋体" w:hAnsi="宋体" w:cs="宋体"/>
          <w:sz w:val="24"/>
          <w:highlight w:val="none"/>
        </w:rPr>
        <w:t>水箱高度超过3.5米的的外扶梯应设置防护围笼，围笼材质与扶梯材质相同。</w:t>
      </w:r>
    </w:p>
    <w:p w14:paraId="5E8CA4AE">
      <w:pPr>
        <w:spacing w:line="440" w:lineRule="exact"/>
        <w:ind w:firstLine="480" w:firstLineChars="200"/>
        <w:rPr>
          <w:rFonts w:ascii="宋体" w:hAnsi="宋体" w:cs="宋体"/>
          <w:sz w:val="24"/>
          <w:highlight w:val="none"/>
        </w:rPr>
      </w:pPr>
      <w:r>
        <w:rPr>
          <w:rFonts w:hint="eastAsia" w:ascii="宋体" w:hAnsi="宋体" w:cs="宋体"/>
          <w:sz w:val="24"/>
          <w:highlight w:val="none"/>
        </w:rPr>
        <w:t>水箱铭牌应有下列标志：产品名称、体积、规格型号、材质、制造厂名称、地址、生产日期等。</w:t>
      </w:r>
    </w:p>
    <w:p w14:paraId="5EEDF843">
      <w:pPr>
        <w:spacing w:line="440" w:lineRule="exact"/>
        <w:ind w:firstLine="482" w:firstLineChars="200"/>
        <w:rPr>
          <w:rFonts w:ascii="宋体" w:hAnsi="宋体" w:cs="宋体"/>
          <w:b/>
          <w:sz w:val="24"/>
          <w:highlight w:val="none"/>
        </w:rPr>
      </w:pPr>
      <w:r>
        <w:rPr>
          <w:rFonts w:hint="eastAsia" w:ascii="宋体" w:hAnsi="宋体" w:cs="宋体"/>
          <w:b/>
          <w:sz w:val="24"/>
          <w:highlight w:val="none"/>
        </w:rPr>
        <w:t>6.5验收标准</w:t>
      </w:r>
    </w:p>
    <w:p w14:paraId="2FD7CB54">
      <w:pPr>
        <w:spacing w:line="440" w:lineRule="exact"/>
        <w:ind w:firstLine="480" w:firstLineChars="200"/>
        <w:rPr>
          <w:rFonts w:ascii="宋体" w:hAnsi="宋体" w:cs="宋体"/>
          <w:sz w:val="24"/>
          <w:highlight w:val="none"/>
        </w:rPr>
      </w:pPr>
      <w:r>
        <w:rPr>
          <w:rFonts w:hint="eastAsia" w:ascii="宋体" w:hAnsi="宋体" w:cs="宋体"/>
          <w:sz w:val="24"/>
          <w:highlight w:val="none"/>
        </w:rPr>
        <w:t>不锈钢水箱的验收标准参考其制作工序中的标准进行，其成品交付的验收标准为煤油渗透试验，装水实验24个小时不漏水、无变形，各项标准不影响水箱的正常使用为合格。</w:t>
      </w:r>
    </w:p>
    <w:p w14:paraId="03931C96">
      <w:pPr>
        <w:spacing w:line="440" w:lineRule="exact"/>
        <w:ind w:firstLine="480" w:firstLineChars="200"/>
        <w:rPr>
          <w:rFonts w:ascii="宋体" w:hAnsi="宋体" w:cs="宋体"/>
          <w:sz w:val="24"/>
          <w:highlight w:val="none"/>
        </w:rPr>
      </w:pPr>
      <w:r>
        <w:rPr>
          <w:rFonts w:hint="eastAsia" w:ascii="宋体" w:hAnsi="宋体" w:cs="宋体"/>
          <w:sz w:val="24"/>
          <w:highlight w:val="none"/>
        </w:rPr>
        <w:t>水箱外观应完整，光滑平整，无裂痕，焊缝应平整牢固，无虚焊、漏焊。打磨后的焊缝隙高度应和水箱母体高度保持一致，无明显划伤、凹坑。</w:t>
      </w:r>
    </w:p>
    <w:p w14:paraId="0CED09E2">
      <w:pPr>
        <w:spacing w:line="440" w:lineRule="exact"/>
        <w:ind w:firstLine="480" w:firstLineChars="200"/>
        <w:rPr>
          <w:rFonts w:ascii="宋体" w:hAnsi="宋体" w:cs="宋体"/>
          <w:sz w:val="24"/>
          <w:highlight w:val="none"/>
        </w:rPr>
      </w:pPr>
      <w:r>
        <w:rPr>
          <w:rFonts w:hint="eastAsia" w:ascii="宋体" w:hAnsi="宋体" w:cs="宋体"/>
          <w:sz w:val="24"/>
          <w:highlight w:val="none"/>
        </w:rPr>
        <w:t>内部结构部件排列均称、无毛刺，加强筋无间断，焊接对称，生产过程遗留脏污需清理干净。</w:t>
      </w:r>
    </w:p>
    <w:p w14:paraId="18E2B072">
      <w:pPr>
        <w:spacing w:line="440" w:lineRule="exact"/>
        <w:ind w:firstLine="482" w:firstLineChars="200"/>
        <w:rPr>
          <w:rFonts w:ascii="宋体" w:hAnsi="宋体" w:cs="宋体"/>
          <w:b/>
          <w:sz w:val="24"/>
          <w:highlight w:val="none"/>
        </w:rPr>
      </w:pPr>
      <w:r>
        <w:rPr>
          <w:rFonts w:hint="eastAsia" w:ascii="宋体" w:hAnsi="宋体" w:cs="宋体"/>
          <w:b/>
          <w:sz w:val="24"/>
          <w:highlight w:val="none"/>
        </w:rPr>
        <w:t>7、电磁流量计</w:t>
      </w:r>
    </w:p>
    <w:p w14:paraId="350D1381">
      <w:pPr>
        <w:spacing w:line="440" w:lineRule="exact"/>
        <w:ind w:firstLine="480" w:firstLineChars="200"/>
        <w:rPr>
          <w:rFonts w:ascii="宋体" w:hAnsi="宋体" w:cs="宋体"/>
          <w:sz w:val="24"/>
          <w:highlight w:val="none"/>
        </w:rPr>
      </w:pPr>
      <w:r>
        <w:rPr>
          <w:rFonts w:hint="eastAsia" w:ascii="宋体" w:hAnsi="宋体" w:cs="宋体"/>
          <w:sz w:val="24"/>
          <w:highlight w:val="none"/>
        </w:rPr>
        <w:t>用途：流量的测量、显示和传送</w:t>
      </w:r>
    </w:p>
    <w:p w14:paraId="3CF335C2">
      <w:pPr>
        <w:spacing w:line="440" w:lineRule="exact"/>
        <w:ind w:firstLine="480" w:firstLineChars="200"/>
        <w:rPr>
          <w:rFonts w:ascii="宋体" w:hAnsi="宋体" w:cs="宋体"/>
          <w:sz w:val="24"/>
          <w:highlight w:val="none"/>
        </w:rPr>
      </w:pPr>
      <w:r>
        <w:rPr>
          <w:rFonts w:hint="eastAsia" w:ascii="宋体" w:hAnsi="宋体" w:cs="宋体"/>
          <w:sz w:val="24"/>
          <w:highlight w:val="none"/>
        </w:rPr>
        <w:t>该仪表主要安装在管道上，含传感器、变送器、传感器与变送器之间的专用电缆及传感器的安装支架、标准附件等。</w:t>
      </w:r>
    </w:p>
    <w:p w14:paraId="3CDD9F56">
      <w:pPr>
        <w:spacing w:line="440" w:lineRule="exact"/>
        <w:ind w:firstLine="480" w:firstLineChars="200"/>
        <w:rPr>
          <w:rFonts w:ascii="宋体" w:hAnsi="宋体" w:cs="宋体"/>
          <w:sz w:val="24"/>
          <w:highlight w:val="none"/>
        </w:rPr>
      </w:pPr>
      <w:r>
        <w:rPr>
          <w:rFonts w:hint="eastAsia" w:ascii="宋体" w:hAnsi="宋体" w:cs="宋体"/>
          <w:sz w:val="24"/>
          <w:highlight w:val="none"/>
        </w:rPr>
        <w:t>形式：传感器与变送器分体（现场显示瞬时流量和累计流量），10米电缆</w:t>
      </w:r>
    </w:p>
    <w:p w14:paraId="73D24B67">
      <w:pPr>
        <w:spacing w:line="440" w:lineRule="exact"/>
        <w:ind w:firstLine="480" w:firstLineChars="200"/>
        <w:rPr>
          <w:rFonts w:ascii="宋体" w:hAnsi="宋体" w:cs="宋体"/>
          <w:sz w:val="24"/>
          <w:highlight w:val="none"/>
        </w:rPr>
      </w:pPr>
      <w:r>
        <w:rPr>
          <w:rFonts w:hint="eastAsia" w:ascii="宋体" w:hAnsi="宋体" w:cs="宋体"/>
          <w:sz w:val="24"/>
          <w:highlight w:val="none"/>
        </w:rPr>
        <w:t>工作压力：满足工艺管道运行需要</w:t>
      </w:r>
    </w:p>
    <w:p w14:paraId="098C41A9">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电极材料：不锈钢316L </w:t>
      </w:r>
    </w:p>
    <w:p w14:paraId="5D8F91CE">
      <w:pPr>
        <w:spacing w:line="440" w:lineRule="exact"/>
        <w:ind w:firstLine="480" w:firstLineChars="200"/>
        <w:rPr>
          <w:rFonts w:ascii="宋体" w:hAnsi="宋体" w:cs="宋体"/>
          <w:sz w:val="24"/>
          <w:highlight w:val="none"/>
        </w:rPr>
      </w:pPr>
      <w:r>
        <w:rPr>
          <w:rFonts w:hint="eastAsia" w:ascii="宋体" w:hAnsi="宋体" w:cs="宋体"/>
          <w:sz w:val="24"/>
          <w:highlight w:val="none"/>
        </w:rPr>
        <w:t>内衬材质：氯丁橡胶或硬橡胶</w:t>
      </w:r>
    </w:p>
    <w:p w14:paraId="375AD50B">
      <w:pPr>
        <w:spacing w:line="440" w:lineRule="exact"/>
        <w:ind w:firstLine="480" w:firstLineChars="200"/>
        <w:rPr>
          <w:rFonts w:ascii="宋体" w:hAnsi="宋体" w:cs="宋体"/>
          <w:sz w:val="24"/>
          <w:highlight w:val="none"/>
        </w:rPr>
      </w:pPr>
      <w:r>
        <w:rPr>
          <w:rFonts w:hint="eastAsia" w:ascii="宋体" w:hAnsi="宋体" w:cs="宋体"/>
          <w:sz w:val="24"/>
          <w:highlight w:val="none"/>
        </w:rPr>
        <w:t>测量误差：≤0.5%</w:t>
      </w:r>
    </w:p>
    <w:p w14:paraId="34957B5B">
      <w:pPr>
        <w:spacing w:line="440" w:lineRule="exact"/>
        <w:ind w:firstLine="480" w:firstLineChars="200"/>
        <w:rPr>
          <w:rFonts w:ascii="宋体" w:hAnsi="宋体" w:cs="宋体"/>
          <w:sz w:val="24"/>
          <w:highlight w:val="none"/>
        </w:rPr>
      </w:pPr>
      <w:r>
        <w:rPr>
          <w:rFonts w:hint="eastAsia" w:ascii="宋体" w:hAnsi="宋体" w:cs="宋体"/>
          <w:sz w:val="24"/>
          <w:highlight w:val="none"/>
        </w:rPr>
        <w:t>精度：测量值的0.3~±0.5%</w:t>
      </w:r>
    </w:p>
    <w:p w14:paraId="19476F26">
      <w:pPr>
        <w:spacing w:line="440" w:lineRule="exact"/>
        <w:ind w:firstLine="480" w:firstLineChars="200"/>
        <w:rPr>
          <w:rFonts w:ascii="宋体" w:hAnsi="宋体" w:cs="宋体"/>
          <w:sz w:val="24"/>
          <w:highlight w:val="none"/>
        </w:rPr>
      </w:pPr>
      <w:r>
        <w:rPr>
          <w:rFonts w:hint="eastAsia" w:ascii="宋体" w:hAnsi="宋体" w:cs="宋体"/>
          <w:sz w:val="24"/>
          <w:highlight w:val="none"/>
        </w:rPr>
        <w:t>输出及通讯：4-20ma +脉冲/频率+Modbus</w:t>
      </w:r>
    </w:p>
    <w:p w14:paraId="1F9DA7AB">
      <w:pPr>
        <w:spacing w:line="440" w:lineRule="exact"/>
        <w:ind w:firstLine="480" w:firstLineChars="200"/>
        <w:rPr>
          <w:rFonts w:ascii="宋体" w:hAnsi="宋体" w:cs="宋体"/>
          <w:sz w:val="24"/>
          <w:highlight w:val="none"/>
        </w:rPr>
      </w:pPr>
      <w:r>
        <w:rPr>
          <w:rFonts w:hint="eastAsia" w:ascii="宋体" w:hAnsi="宋体" w:cs="宋体"/>
          <w:sz w:val="24"/>
          <w:highlight w:val="none"/>
        </w:rPr>
        <w:t>功能: 具有独立的调零点稳定或“自动稳零”功能，空管置零功能，需有小流量切除、正反向计量现场操作功能、断电自动储存系统数据、带溢出自动复位功能，溢出次数不小于250次</w:t>
      </w:r>
    </w:p>
    <w:p w14:paraId="085F9A2A">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保护等级：传感器IP68及以上；变送器IP65及以上 </w:t>
      </w:r>
    </w:p>
    <w:p w14:paraId="3E8AAA56">
      <w:pPr>
        <w:spacing w:line="440" w:lineRule="exact"/>
        <w:ind w:firstLine="480" w:firstLineChars="200"/>
        <w:rPr>
          <w:rFonts w:ascii="宋体" w:hAnsi="宋体" w:cs="宋体"/>
          <w:sz w:val="24"/>
          <w:highlight w:val="none"/>
        </w:rPr>
      </w:pPr>
      <w:r>
        <w:rPr>
          <w:rFonts w:hint="eastAsia" w:ascii="宋体" w:hAnsi="宋体" w:cs="宋体"/>
          <w:sz w:val="24"/>
          <w:highlight w:val="none"/>
        </w:rPr>
        <w:t>法兰标准：与管道连接法兰匹配</w:t>
      </w:r>
    </w:p>
    <w:p w14:paraId="6305485C">
      <w:pPr>
        <w:spacing w:line="440" w:lineRule="exact"/>
        <w:ind w:firstLine="482" w:firstLineChars="200"/>
        <w:rPr>
          <w:rFonts w:ascii="宋体" w:hAnsi="宋体" w:cs="宋体"/>
          <w:b/>
          <w:sz w:val="24"/>
          <w:highlight w:val="none"/>
        </w:rPr>
      </w:pPr>
      <w:r>
        <w:rPr>
          <w:rFonts w:hint="eastAsia" w:ascii="宋体" w:hAnsi="宋体" w:cs="宋体"/>
          <w:b/>
          <w:sz w:val="24"/>
          <w:highlight w:val="none"/>
        </w:rPr>
        <w:t>8、超声波液位仪</w:t>
      </w:r>
    </w:p>
    <w:p w14:paraId="15413005">
      <w:pPr>
        <w:spacing w:line="440" w:lineRule="exact"/>
        <w:ind w:firstLine="480" w:firstLineChars="200"/>
        <w:rPr>
          <w:rFonts w:ascii="宋体" w:hAnsi="宋体" w:cs="宋体"/>
          <w:sz w:val="24"/>
          <w:highlight w:val="none"/>
        </w:rPr>
      </w:pPr>
      <w:r>
        <w:rPr>
          <w:rFonts w:hint="eastAsia" w:ascii="宋体" w:hAnsi="宋体" w:cs="宋体"/>
          <w:sz w:val="24"/>
          <w:highlight w:val="none"/>
        </w:rPr>
        <w:t>用途：测量、指示和传送液位信号</w:t>
      </w:r>
    </w:p>
    <w:p w14:paraId="77D90525">
      <w:pPr>
        <w:spacing w:line="440" w:lineRule="exact"/>
        <w:ind w:firstLine="480" w:firstLineChars="200"/>
        <w:rPr>
          <w:rFonts w:ascii="宋体" w:hAnsi="宋体" w:cs="宋体"/>
          <w:sz w:val="24"/>
          <w:highlight w:val="none"/>
        </w:rPr>
      </w:pPr>
      <w:r>
        <w:rPr>
          <w:rFonts w:hint="eastAsia" w:ascii="宋体" w:hAnsi="宋体" w:cs="宋体"/>
          <w:sz w:val="24"/>
          <w:highlight w:val="none"/>
        </w:rPr>
        <w:t>测量范围：0-5M</w:t>
      </w:r>
    </w:p>
    <w:p w14:paraId="7EFE50C1">
      <w:pPr>
        <w:spacing w:line="440" w:lineRule="exact"/>
        <w:ind w:firstLine="480" w:firstLineChars="200"/>
        <w:rPr>
          <w:rFonts w:ascii="宋体" w:hAnsi="宋体" w:cs="宋体"/>
          <w:sz w:val="24"/>
          <w:highlight w:val="none"/>
        </w:rPr>
      </w:pPr>
      <w:r>
        <w:rPr>
          <w:rFonts w:hint="eastAsia" w:ascii="宋体" w:hAnsi="宋体" w:cs="宋体"/>
          <w:sz w:val="24"/>
          <w:highlight w:val="none"/>
        </w:rPr>
        <w:t>技术要求：工作场所，露天安装，适用于水、药剂等介质。</w:t>
      </w:r>
    </w:p>
    <w:p w14:paraId="0CAFAD08">
      <w:pPr>
        <w:spacing w:line="440" w:lineRule="exact"/>
        <w:ind w:firstLine="480" w:firstLineChars="200"/>
        <w:rPr>
          <w:rFonts w:ascii="宋体" w:hAnsi="宋体" w:cs="宋体"/>
          <w:sz w:val="24"/>
          <w:highlight w:val="none"/>
        </w:rPr>
      </w:pPr>
      <w:r>
        <w:rPr>
          <w:rFonts w:hint="eastAsia" w:ascii="宋体" w:hAnsi="宋体" w:cs="宋体"/>
          <w:sz w:val="24"/>
          <w:highlight w:val="none"/>
        </w:rPr>
        <w:t>分辨率：1mm</w:t>
      </w:r>
    </w:p>
    <w:p w14:paraId="5D3B4EB5">
      <w:pPr>
        <w:spacing w:line="440" w:lineRule="exact"/>
        <w:ind w:firstLine="480" w:firstLineChars="200"/>
        <w:rPr>
          <w:rFonts w:ascii="宋体" w:hAnsi="宋体" w:cs="宋体"/>
          <w:sz w:val="24"/>
          <w:highlight w:val="none"/>
        </w:rPr>
      </w:pPr>
      <w:r>
        <w:rPr>
          <w:rFonts w:hint="eastAsia" w:ascii="宋体" w:hAnsi="宋体" w:cs="宋体"/>
          <w:sz w:val="24"/>
          <w:highlight w:val="none"/>
        </w:rPr>
        <w:t>精度：±1 mm OR 0.2%</w:t>
      </w:r>
    </w:p>
    <w:p w14:paraId="4E7D87E1">
      <w:pPr>
        <w:spacing w:line="440" w:lineRule="exact"/>
        <w:ind w:firstLine="480" w:firstLineChars="200"/>
        <w:rPr>
          <w:rFonts w:ascii="宋体" w:hAnsi="宋体" w:cs="宋体"/>
          <w:sz w:val="24"/>
          <w:highlight w:val="none"/>
        </w:rPr>
      </w:pPr>
      <w:r>
        <w:rPr>
          <w:rFonts w:hint="eastAsia" w:ascii="宋体" w:hAnsi="宋体" w:cs="宋体"/>
          <w:sz w:val="24"/>
          <w:highlight w:val="none"/>
        </w:rPr>
        <w:t>供电：24VDC或220VA</w:t>
      </w:r>
    </w:p>
    <w:p w14:paraId="4C8952BF">
      <w:pPr>
        <w:spacing w:line="440" w:lineRule="exact"/>
        <w:ind w:firstLine="480" w:firstLineChars="200"/>
        <w:rPr>
          <w:rFonts w:ascii="宋体" w:hAnsi="宋体" w:cs="宋体"/>
          <w:sz w:val="24"/>
          <w:highlight w:val="none"/>
        </w:rPr>
      </w:pPr>
      <w:r>
        <w:rPr>
          <w:rFonts w:hint="eastAsia" w:ascii="宋体" w:hAnsi="宋体" w:cs="宋体"/>
          <w:sz w:val="24"/>
          <w:highlight w:val="none"/>
        </w:rPr>
        <w:t>显示：清晰的多行文本图解显示、包络线显示</w:t>
      </w:r>
    </w:p>
    <w:p w14:paraId="0820BEC2">
      <w:pPr>
        <w:spacing w:line="440" w:lineRule="exact"/>
        <w:ind w:firstLine="480" w:firstLineChars="200"/>
        <w:rPr>
          <w:rFonts w:ascii="宋体" w:hAnsi="宋体" w:cs="宋体"/>
          <w:sz w:val="24"/>
          <w:highlight w:val="none"/>
        </w:rPr>
      </w:pPr>
      <w:r>
        <w:rPr>
          <w:rFonts w:hint="eastAsia" w:ascii="宋体" w:hAnsi="宋体" w:cs="宋体"/>
          <w:sz w:val="24"/>
          <w:highlight w:val="none"/>
        </w:rPr>
        <w:t>输出：4-20mA</w:t>
      </w:r>
    </w:p>
    <w:p w14:paraId="65B76C7E">
      <w:pPr>
        <w:spacing w:line="440" w:lineRule="exact"/>
        <w:ind w:firstLine="480" w:firstLineChars="200"/>
        <w:rPr>
          <w:rFonts w:ascii="宋体" w:hAnsi="宋体" w:cs="宋体"/>
          <w:sz w:val="24"/>
          <w:highlight w:val="none"/>
        </w:rPr>
      </w:pPr>
      <w:r>
        <w:rPr>
          <w:rFonts w:hint="eastAsia" w:ascii="宋体" w:hAnsi="宋体" w:cs="宋体"/>
          <w:sz w:val="24"/>
          <w:highlight w:val="none"/>
        </w:rPr>
        <w:t>过程连接：1-1/2”(5m)</w:t>
      </w:r>
    </w:p>
    <w:p w14:paraId="77B40D3C">
      <w:pPr>
        <w:spacing w:line="440" w:lineRule="exact"/>
        <w:ind w:firstLine="480" w:firstLineChars="200"/>
        <w:rPr>
          <w:rFonts w:ascii="宋体" w:hAnsi="宋体" w:cs="宋体"/>
          <w:sz w:val="24"/>
          <w:highlight w:val="none"/>
        </w:rPr>
      </w:pPr>
      <w:r>
        <w:rPr>
          <w:rFonts w:hint="eastAsia" w:ascii="宋体" w:hAnsi="宋体" w:cs="宋体"/>
          <w:sz w:val="24"/>
          <w:highlight w:val="none"/>
        </w:rPr>
        <w:t>外壳材质：F16塑料透明显示盖</w:t>
      </w:r>
    </w:p>
    <w:p w14:paraId="0F33417E">
      <w:pPr>
        <w:spacing w:line="440" w:lineRule="exact"/>
        <w:ind w:firstLine="480" w:firstLineChars="200"/>
        <w:rPr>
          <w:rFonts w:ascii="宋体" w:hAnsi="宋体" w:cs="宋体"/>
          <w:sz w:val="24"/>
          <w:highlight w:val="none"/>
        </w:rPr>
      </w:pPr>
      <w:r>
        <w:rPr>
          <w:rFonts w:hint="eastAsia" w:ascii="宋体" w:hAnsi="宋体" w:cs="宋体"/>
          <w:sz w:val="24"/>
          <w:highlight w:val="none"/>
        </w:rPr>
        <w:t>工作温度：-40-60℃</w:t>
      </w:r>
    </w:p>
    <w:p w14:paraId="4AED03DB">
      <w:pPr>
        <w:spacing w:line="440" w:lineRule="exact"/>
        <w:ind w:firstLine="480" w:firstLineChars="200"/>
        <w:rPr>
          <w:rFonts w:ascii="宋体" w:hAnsi="宋体" w:cs="宋体"/>
          <w:sz w:val="24"/>
          <w:highlight w:val="none"/>
        </w:rPr>
      </w:pPr>
      <w:r>
        <w:rPr>
          <w:rFonts w:hint="eastAsia" w:ascii="宋体" w:hAnsi="宋体" w:cs="宋体"/>
          <w:sz w:val="24"/>
          <w:highlight w:val="none"/>
        </w:rPr>
        <w:t>补偿：介质温度，带干扰信号抑制功能</w:t>
      </w:r>
    </w:p>
    <w:p w14:paraId="5F713336">
      <w:pPr>
        <w:spacing w:line="440" w:lineRule="exact"/>
        <w:ind w:firstLine="480" w:firstLineChars="200"/>
        <w:rPr>
          <w:rFonts w:ascii="宋体" w:hAnsi="宋体" w:cs="宋体"/>
          <w:sz w:val="24"/>
          <w:highlight w:val="none"/>
        </w:rPr>
      </w:pPr>
      <w:r>
        <w:rPr>
          <w:rFonts w:hint="eastAsia" w:ascii="宋体" w:hAnsi="宋体" w:cs="宋体"/>
          <w:sz w:val="24"/>
          <w:highlight w:val="none"/>
        </w:rPr>
        <w:t>防护等级：IP68</w:t>
      </w:r>
    </w:p>
    <w:p w14:paraId="7A42D94C">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输出：4-20mA </w:t>
      </w:r>
    </w:p>
    <w:p w14:paraId="79BF1738">
      <w:pPr>
        <w:spacing w:line="440" w:lineRule="exact"/>
        <w:ind w:firstLine="482" w:firstLineChars="200"/>
        <w:rPr>
          <w:rFonts w:ascii="宋体" w:hAnsi="宋体" w:cs="宋体"/>
          <w:b/>
          <w:sz w:val="24"/>
          <w:highlight w:val="none"/>
        </w:rPr>
      </w:pPr>
      <w:r>
        <w:rPr>
          <w:rFonts w:hint="eastAsia" w:ascii="宋体" w:hAnsi="宋体" w:cs="宋体"/>
          <w:b/>
          <w:sz w:val="24"/>
          <w:highlight w:val="none"/>
        </w:rPr>
        <w:t>9、在线浊度仪</w:t>
      </w:r>
    </w:p>
    <w:p w14:paraId="7F95B3C2">
      <w:pPr>
        <w:spacing w:line="440" w:lineRule="exact"/>
        <w:ind w:firstLine="480" w:firstLineChars="200"/>
        <w:rPr>
          <w:rFonts w:ascii="宋体" w:hAnsi="宋体" w:cs="宋体"/>
          <w:sz w:val="24"/>
          <w:highlight w:val="none"/>
        </w:rPr>
      </w:pPr>
      <w:r>
        <w:rPr>
          <w:rFonts w:hint="eastAsia" w:ascii="宋体" w:hAnsi="宋体" w:cs="宋体"/>
          <w:sz w:val="24"/>
          <w:highlight w:val="none"/>
        </w:rPr>
        <w:t>用途：测量、指示和传送过程检测介质的浊度值</w:t>
      </w:r>
    </w:p>
    <w:p w14:paraId="5ACC5620">
      <w:pPr>
        <w:spacing w:line="440" w:lineRule="exact"/>
        <w:ind w:firstLine="480" w:firstLineChars="200"/>
        <w:rPr>
          <w:rFonts w:ascii="宋体" w:hAnsi="宋体" w:cs="宋体"/>
          <w:sz w:val="24"/>
          <w:highlight w:val="none"/>
        </w:rPr>
      </w:pPr>
      <w:r>
        <w:rPr>
          <w:rFonts w:hint="eastAsia" w:ascii="宋体" w:hAnsi="宋体" w:cs="宋体"/>
          <w:sz w:val="24"/>
          <w:highlight w:val="none"/>
        </w:rPr>
        <w:t>组成：传感器，变送器和安装附件</w:t>
      </w:r>
    </w:p>
    <w:p w14:paraId="177E3A4F">
      <w:pPr>
        <w:spacing w:line="440" w:lineRule="exact"/>
        <w:ind w:firstLine="480" w:firstLineChars="200"/>
        <w:rPr>
          <w:rFonts w:ascii="宋体" w:hAnsi="宋体" w:cs="宋体"/>
          <w:sz w:val="24"/>
          <w:highlight w:val="none"/>
        </w:rPr>
      </w:pPr>
      <w:r>
        <w:rPr>
          <w:rFonts w:hint="eastAsia" w:ascii="宋体" w:hAnsi="宋体" w:cs="宋体"/>
          <w:sz w:val="24"/>
          <w:highlight w:val="none"/>
        </w:rPr>
        <w:t>浊度传感器技术参数：</w:t>
      </w:r>
    </w:p>
    <w:p w14:paraId="59804A6C">
      <w:pPr>
        <w:spacing w:line="440" w:lineRule="exact"/>
        <w:ind w:firstLine="480" w:firstLineChars="200"/>
        <w:rPr>
          <w:rFonts w:ascii="宋体" w:hAnsi="宋体" w:cs="宋体"/>
          <w:sz w:val="24"/>
          <w:highlight w:val="none"/>
        </w:rPr>
      </w:pPr>
      <w:r>
        <w:rPr>
          <w:rFonts w:hint="eastAsia" w:ascii="宋体" w:hAnsi="宋体" w:cs="宋体"/>
          <w:sz w:val="24"/>
          <w:highlight w:val="none"/>
        </w:rPr>
        <w:t>测量原理：90°散射光；</w:t>
      </w:r>
    </w:p>
    <w:p w14:paraId="623F7FB4">
      <w:pPr>
        <w:spacing w:line="440" w:lineRule="exact"/>
        <w:ind w:firstLine="480" w:firstLineChars="200"/>
        <w:rPr>
          <w:rFonts w:ascii="宋体" w:hAnsi="宋体" w:cs="宋体"/>
          <w:sz w:val="24"/>
          <w:highlight w:val="none"/>
        </w:rPr>
      </w:pPr>
      <w:r>
        <w:rPr>
          <w:rFonts w:hint="eastAsia" w:ascii="宋体" w:hAnsi="宋体" w:cs="宋体"/>
          <w:sz w:val="24"/>
          <w:highlight w:val="none"/>
        </w:rPr>
        <w:t>量程：0-100NTU</w:t>
      </w:r>
    </w:p>
    <w:p w14:paraId="3720826C">
      <w:pPr>
        <w:spacing w:line="440" w:lineRule="exact"/>
        <w:ind w:firstLine="480" w:firstLineChars="200"/>
        <w:rPr>
          <w:rFonts w:ascii="宋体" w:hAnsi="宋体" w:cs="宋体"/>
          <w:sz w:val="24"/>
          <w:highlight w:val="none"/>
        </w:rPr>
      </w:pPr>
      <w:r>
        <w:rPr>
          <w:rFonts w:hint="eastAsia" w:ascii="宋体" w:hAnsi="宋体" w:cs="宋体"/>
          <w:sz w:val="24"/>
          <w:highlight w:val="none"/>
        </w:rPr>
        <w:t>精度：0~40NTU：读数的±2%或±0.015NTU，40~100NTU：读数的±5%；</w:t>
      </w:r>
    </w:p>
    <w:p w14:paraId="4D3C9BC2">
      <w:pPr>
        <w:spacing w:line="440" w:lineRule="exact"/>
        <w:ind w:firstLine="480" w:firstLineChars="200"/>
        <w:rPr>
          <w:rFonts w:ascii="宋体" w:hAnsi="宋体" w:cs="宋体"/>
          <w:sz w:val="24"/>
          <w:highlight w:val="none"/>
        </w:rPr>
      </w:pPr>
      <w:r>
        <w:rPr>
          <w:rFonts w:hint="eastAsia" w:ascii="宋体" w:hAnsi="宋体" w:cs="宋体"/>
          <w:sz w:val="24"/>
          <w:highlight w:val="none"/>
        </w:rPr>
        <w:t>分辨率：0~9.9999NTU：0.0001NTU，10.000~99.999NTU：0.001NTU；</w:t>
      </w:r>
    </w:p>
    <w:p w14:paraId="6CBE16C2">
      <w:pPr>
        <w:spacing w:line="440" w:lineRule="exact"/>
        <w:ind w:firstLine="480" w:firstLineChars="200"/>
        <w:rPr>
          <w:rFonts w:ascii="宋体" w:hAnsi="宋体" w:cs="宋体"/>
          <w:sz w:val="24"/>
          <w:highlight w:val="none"/>
        </w:rPr>
      </w:pPr>
      <w:r>
        <w:rPr>
          <w:rFonts w:hint="eastAsia" w:ascii="宋体" w:hAnsi="宋体" w:cs="宋体"/>
          <w:sz w:val="24"/>
          <w:highlight w:val="none"/>
        </w:rPr>
        <w:t>重复性：优于读数的±1.0%或±0.002NTU；</w:t>
      </w:r>
    </w:p>
    <w:p w14:paraId="65DC9C40">
      <w:pPr>
        <w:spacing w:line="440" w:lineRule="exact"/>
        <w:ind w:firstLine="480" w:firstLineChars="200"/>
        <w:rPr>
          <w:rFonts w:ascii="宋体" w:hAnsi="宋体" w:cs="宋体"/>
          <w:sz w:val="24"/>
          <w:highlight w:val="none"/>
        </w:rPr>
      </w:pPr>
      <w:r>
        <w:rPr>
          <w:rFonts w:hint="eastAsia" w:ascii="宋体" w:hAnsi="宋体" w:cs="宋体"/>
          <w:sz w:val="24"/>
          <w:highlight w:val="none"/>
        </w:rPr>
        <w:t>响应时间：15秒；</w:t>
      </w:r>
    </w:p>
    <w:p w14:paraId="63800FC0">
      <w:pPr>
        <w:spacing w:line="440" w:lineRule="exact"/>
        <w:ind w:firstLine="480" w:firstLineChars="200"/>
        <w:rPr>
          <w:rFonts w:ascii="宋体" w:hAnsi="宋体" w:cs="宋体"/>
          <w:sz w:val="24"/>
          <w:highlight w:val="none"/>
        </w:rPr>
      </w:pPr>
      <w:r>
        <w:rPr>
          <w:rFonts w:hint="eastAsia" w:ascii="宋体" w:hAnsi="宋体" w:cs="宋体"/>
          <w:sz w:val="24"/>
          <w:highlight w:val="none"/>
        </w:rPr>
        <w:t>信号平均时间：6、30、60、90秒可选；</w:t>
      </w:r>
    </w:p>
    <w:p w14:paraId="7CD3E337">
      <w:pPr>
        <w:spacing w:line="440" w:lineRule="exact"/>
        <w:ind w:firstLine="480" w:firstLineChars="200"/>
        <w:rPr>
          <w:rFonts w:ascii="宋体" w:hAnsi="宋体" w:cs="宋体"/>
          <w:sz w:val="24"/>
          <w:highlight w:val="none"/>
        </w:rPr>
      </w:pPr>
      <w:r>
        <w:rPr>
          <w:rFonts w:hint="eastAsia" w:ascii="宋体" w:hAnsi="宋体" w:cs="宋体"/>
          <w:sz w:val="24"/>
          <w:highlight w:val="none"/>
        </w:rPr>
        <w:t>样品流量：200~750mL/min；</w:t>
      </w:r>
    </w:p>
    <w:p w14:paraId="6A1C0909">
      <w:pPr>
        <w:spacing w:line="440" w:lineRule="exact"/>
        <w:ind w:firstLine="480" w:firstLineChars="200"/>
        <w:rPr>
          <w:rFonts w:ascii="宋体" w:hAnsi="宋体" w:cs="宋体"/>
          <w:sz w:val="24"/>
          <w:highlight w:val="none"/>
        </w:rPr>
      </w:pPr>
      <w:r>
        <w:rPr>
          <w:rFonts w:hint="eastAsia" w:ascii="宋体" w:hAnsi="宋体" w:cs="宋体"/>
          <w:sz w:val="24"/>
          <w:highlight w:val="none"/>
        </w:rPr>
        <w:t>操作温度：0~50℃(单探头)；0~40℃(双探头)；</w:t>
      </w:r>
    </w:p>
    <w:p w14:paraId="4B732D1E">
      <w:pPr>
        <w:spacing w:line="440" w:lineRule="exact"/>
        <w:ind w:firstLine="480" w:firstLineChars="200"/>
        <w:rPr>
          <w:rFonts w:ascii="宋体" w:hAnsi="宋体" w:cs="宋体"/>
          <w:sz w:val="24"/>
          <w:highlight w:val="none"/>
        </w:rPr>
      </w:pPr>
      <w:r>
        <w:rPr>
          <w:rFonts w:hint="eastAsia" w:ascii="宋体" w:hAnsi="宋体" w:cs="宋体"/>
          <w:sz w:val="24"/>
          <w:highlight w:val="none"/>
        </w:rPr>
        <w:t>试样进口管件：1/4英寸NPT（美国标准锥管螺纹）×1/4英寸承压管件；排水口： 1/2英寸NPT（美国标准锥管螺纹）与软管的连接管件；</w:t>
      </w:r>
    </w:p>
    <w:p w14:paraId="2F8A8EA0">
      <w:pPr>
        <w:spacing w:line="440" w:lineRule="exact"/>
        <w:ind w:firstLine="480" w:firstLineChars="200"/>
        <w:rPr>
          <w:rFonts w:ascii="宋体" w:hAnsi="宋体" w:cs="宋体"/>
          <w:sz w:val="24"/>
          <w:highlight w:val="none"/>
        </w:rPr>
      </w:pPr>
      <w:r>
        <w:rPr>
          <w:rFonts w:hint="eastAsia" w:ascii="宋体" w:hAnsi="宋体" w:cs="宋体"/>
          <w:sz w:val="24"/>
          <w:highlight w:val="none"/>
        </w:rPr>
        <w:t>传感器电缆：2米，电缆可延长；</w:t>
      </w:r>
    </w:p>
    <w:p w14:paraId="0CDCC136">
      <w:pPr>
        <w:spacing w:line="440" w:lineRule="exact"/>
        <w:ind w:firstLine="480" w:firstLineChars="200"/>
        <w:rPr>
          <w:rFonts w:ascii="宋体" w:hAnsi="宋体" w:cs="宋体"/>
          <w:sz w:val="24"/>
          <w:highlight w:val="none"/>
        </w:rPr>
      </w:pPr>
      <w:r>
        <w:rPr>
          <w:rFonts w:hint="eastAsia" w:ascii="宋体" w:hAnsi="宋体" w:cs="宋体"/>
          <w:sz w:val="24"/>
          <w:highlight w:val="none"/>
        </w:rPr>
        <w:t>检出限：0.0032NTU（根据ISO15839)；</w:t>
      </w:r>
    </w:p>
    <w:p w14:paraId="6FE466B1">
      <w:pPr>
        <w:spacing w:line="440" w:lineRule="exact"/>
        <w:ind w:firstLine="480" w:firstLineChars="200"/>
        <w:rPr>
          <w:rFonts w:ascii="宋体" w:hAnsi="宋体" w:cs="宋体"/>
          <w:sz w:val="24"/>
          <w:highlight w:val="none"/>
        </w:rPr>
      </w:pPr>
      <w:r>
        <w:rPr>
          <w:rFonts w:hint="eastAsia" w:ascii="宋体" w:hAnsi="宋体" w:cs="宋体"/>
          <w:sz w:val="24"/>
          <w:highlight w:val="none"/>
        </w:rPr>
        <w:t>功率：12.5W；</w:t>
      </w:r>
    </w:p>
    <w:p w14:paraId="6886DE4E">
      <w:pPr>
        <w:spacing w:line="440" w:lineRule="exact"/>
        <w:ind w:firstLine="480" w:firstLineChars="200"/>
        <w:rPr>
          <w:rFonts w:ascii="宋体" w:hAnsi="宋体" w:cs="宋体"/>
          <w:sz w:val="24"/>
          <w:highlight w:val="none"/>
        </w:rPr>
      </w:pPr>
      <w:r>
        <w:rPr>
          <w:rFonts w:hint="eastAsia" w:ascii="宋体" w:hAnsi="宋体" w:cs="宋体"/>
          <w:sz w:val="24"/>
          <w:highlight w:val="none"/>
        </w:rPr>
        <w:t>控制器技术参数：</w:t>
      </w:r>
    </w:p>
    <w:p w14:paraId="5ADBB1FC">
      <w:pPr>
        <w:spacing w:line="440" w:lineRule="exact"/>
        <w:ind w:firstLine="480" w:firstLineChars="200"/>
        <w:rPr>
          <w:rFonts w:ascii="宋体" w:hAnsi="宋体" w:cs="宋体"/>
          <w:sz w:val="24"/>
          <w:highlight w:val="none"/>
        </w:rPr>
      </w:pPr>
      <w:r>
        <w:rPr>
          <w:rFonts w:hint="eastAsia" w:ascii="宋体" w:hAnsi="宋体" w:cs="宋体"/>
          <w:sz w:val="24"/>
          <w:highlight w:val="none"/>
        </w:rPr>
        <w:t>显示：图形数据点阵LCD，带LED背景灯照明，半透明反射式；在任意光线下可读；</w:t>
      </w:r>
    </w:p>
    <w:p w14:paraId="6121D577">
      <w:pPr>
        <w:spacing w:line="440" w:lineRule="exact"/>
        <w:ind w:firstLine="480" w:firstLineChars="200"/>
        <w:rPr>
          <w:rFonts w:ascii="宋体" w:hAnsi="宋体" w:cs="宋体"/>
          <w:sz w:val="24"/>
          <w:highlight w:val="none"/>
        </w:rPr>
      </w:pPr>
      <w:r>
        <w:rPr>
          <w:rFonts w:hint="eastAsia" w:ascii="宋体" w:hAnsi="宋体" w:cs="宋体"/>
          <w:sz w:val="24"/>
          <w:highlight w:val="none"/>
        </w:rPr>
        <w:t>显示屏分辨率：160×240像素；</w:t>
      </w:r>
    </w:p>
    <w:p w14:paraId="31195ECF">
      <w:pPr>
        <w:spacing w:line="440" w:lineRule="exact"/>
        <w:ind w:firstLine="480" w:firstLineChars="200"/>
        <w:rPr>
          <w:rFonts w:ascii="宋体" w:hAnsi="宋体" w:cs="宋体"/>
          <w:sz w:val="24"/>
          <w:highlight w:val="none"/>
        </w:rPr>
      </w:pPr>
      <w:r>
        <w:rPr>
          <w:rFonts w:hint="eastAsia" w:ascii="宋体" w:hAnsi="宋体" w:cs="宋体"/>
          <w:sz w:val="24"/>
          <w:highlight w:val="none"/>
        </w:rPr>
        <w:t>显示屏尺寸：48×68mm（1.89×2.67"）；</w:t>
      </w:r>
    </w:p>
    <w:p w14:paraId="5D4A14F3">
      <w:pPr>
        <w:spacing w:line="440" w:lineRule="exact"/>
        <w:ind w:firstLine="480" w:firstLineChars="200"/>
        <w:rPr>
          <w:rFonts w:ascii="宋体" w:hAnsi="宋体" w:cs="宋体"/>
          <w:sz w:val="24"/>
          <w:highlight w:val="none"/>
        </w:rPr>
      </w:pPr>
      <w:r>
        <w:rPr>
          <w:rFonts w:hint="eastAsia" w:ascii="宋体" w:hAnsi="宋体" w:cs="宋体"/>
          <w:sz w:val="24"/>
          <w:highlight w:val="none"/>
        </w:rPr>
        <w:t>安全等级：两个密码保护；</w:t>
      </w:r>
    </w:p>
    <w:p w14:paraId="1CD982DC">
      <w:pPr>
        <w:spacing w:line="440" w:lineRule="exact"/>
        <w:ind w:firstLine="480" w:firstLineChars="200"/>
        <w:rPr>
          <w:rFonts w:ascii="宋体" w:hAnsi="宋体" w:cs="宋体"/>
          <w:sz w:val="24"/>
          <w:highlight w:val="none"/>
        </w:rPr>
      </w:pPr>
      <w:r>
        <w:rPr>
          <w:rFonts w:hint="eastAsia" w:ascii="宋体" w:hAnsi="宋体" w:cs="宋体"/>
          <w:sz w:val="24"/>
          <w:highlight w:val="none"/>
        </w:rPr>
        <w:t>探头输入：单通道；</w:t>
      </w:r>
    </w:p>
    <w:p w14:paraId="5AA01E17">
      <w:pPr>
        <w:spacing w:line="440" w:lineRule="exact"/>
        <w:ind w:firstLine="480" w:firstLineChars="200"/>
        <w:rPr>
          <w:rFonts w:ascii="宋体" w:hAnsi="宋体" w:cs="宋体"/>
          <w:sz w:val="24"/>
          <w:highlight w:val="none"/>
        </w:rPr>
      </w:pPr>
      <w:r>
        <w:rPr>
          <w:rFonts w:hint="eastAsia" w:ascii="宋体" w:hAnsi="宋体" w:cs="宋体"/>
          <w:sz w:val="24"/>
          <w:highlight w:val="none"/>
        </w:rPr>
        <w:t>输出：两路模拟的0/4-20mA输出信号，带独立的PID控制功能以。</w:t>
      </w:r>
    </w:p>
    <w:p w14:paraId="2C8D51B0">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工作环境：-20~60℃，0～95％相对湿度、无冷凝； </w:t>
      </w:r>
    </w:p>
    <w:p w14:paraId="5F2FDF7B">
      <w:pPr>
        <w:spacing w:line="440" w:lineRule="exact"/>
        <w:ind w:firstLine="480" w:firstLineChars="200"/>
        <w:rPr>
          <w:rFonts w:ascii="宋体" w:hAnsi="宋体" w:cs="宋体"/>
          <w:sz w:val="24"/>
          <w:highlight w:val="none"/>
        </w:rPr>
      </w:pPr>
      <w:r>
        <w:rPr>
          <w:rFonts w:hint="eastAsia" w:ascii="宋体" w:hAnsi="宋体" w:cs="宋体"/>
          <w:sz w:val="24"/>
          <w:highlight w:val="none"/>
        </w:rPr>
        <w:t>存储环境：-20~70℃，0～95％相对湿度、无冷凝；</w:t>
      </w:r>
    </w:p>
    <w:p w14:paraId="2E5CA7C1">
      <w:pPr>
        <w:spacing w:line="440" w:lineRule="exact"/>
        <w:ind w:firstLine="480" w:firstLineChars="200"/>
        <w:rPr>
          <w:rFonts w:ascii="宋体" w:hAnsi="宋体" w:cs="宋体"/>
          <w:sz w:val="24"/>
          <w:highlight w:val="none"/>
        </w:rPr>
      </w:pPr>
      <w:r>
        <w:rPr>
          <w:rFonts w:hint="eastAsia" w:ascii="宋体" w:hAnsi="宋体" w:cs="宋体"/>
          <w:sz w:val="24"/>
          <w:highlight w:val="none"/>
        </w:rPr>
        <w:t>继电器：四个SPDT (C型)触头，1200W，5 A，250Vac；</w:t>
      </w:r>
    </w:p>
    <w:p w14:paraId="723C1A46">
      <w:pPr>
        <w:spacing w:line="440" w:lineRule="exact"/>
        <w:ind w:firstLine="480" w:firstLineChars="200"/>
        <w:rPr>
          <w:rFonts w:ascii="宋体" w:hAnsi="宋体" w:cs="宋体"/>
          <w:sz w:val="24"/>
          <w:highlight w:val="none"/>
        </w:rPr>
      </w:pPr>
      <w:r>
        <w:rPr>
          <w:rFonts w:hint="eastAsia" w:ascii="宋体" w:hAnsi="宋体" w:cs="宋体"/>
          <w:sz w:val="24"/>
          <w:highlight w:val="none"/>
        </w:rPr>
        <w:t>电气接口：1/2”；</w:t>
      </w:r>
    </w:p>
    <w:p w14:paraId="50F7CBA2">
      <w:pPr>
        <w:spacing w:line="440" w:lineRule="exact"/>
        <w:ind w:firstLine="480" w:firstLineChars="200"/>
        <w:rPr>
          <w:rFonts w:ascii="宋体" w:hAnsi="宋体" w:cs="宋体"/>
          <w:sz w:val="24"/>
          <w:highlight w:val="none"/>
        </w:rPr>
      </w:pPr>
      <w:r>
        <w:rPr>
          <w:rFonts w:hint="eastAsia" w:ascii="宋体" w:hAnsi="宋体" w:cs="宋体"/>
          <w:sz w:val="24"/>
          <w:highlight w:val="none"/>
        </w:rPr>
        <w:t>外壳防护等级：NEMA4X/IP66；</w:t>
      </w:r>
    </w:p>
    <w:p w14:paraId="2E518B50">
      <w:pPr>
        <w:spacing w:line="440" w:lineRule="exact"/>
        <w:ind w:firstLine="480" w:firstLineChars="200"/>
        <w:rPr>
          <w:rFonts w:ascii="宋体" w:hAnsi="宋体" w:cs="宋体"/>
          <w:sz w:val="24"/>
          <w:highlight w:val="none"/>
        </w:rPr>
      </w:pPr>
      <w:r>
        <w:rPr>
          <w:rFonts w:hint="eastAsia" w:ascii="宋体" w:hAnsi="宋体" w:cs="宋体"/>
          <w:sz w:val="24"/>
          <w:highlight w:val="none"/>
        </w:rPr>
        <w:t>电源：100~240VAC±10%，；</w:t>
      </w:r>
    </w:p>
    <w:p w14:paraId="32C1E563">
      <w:pPr>
        <w:spacing w:line="440" w:lineRule="exact"/>
        <w:ind w:firstLine="480" w:firstLineChars="200"/>
        <w:rPr>
          <w:rFonts w:ascii="宋体" w:hAnsi="宋体" w:cs="宋体"/>
          <w:sz w:val="24"/>
          <w:highlight w:val="none"/>
        </w:rPr>
      </w:pPr>
      <w:r>
        <w:rPr>
          <w:rFonts w:hint="eastAsia" w:ascii="宋体" w:hAnsi="宋体" w:cs="宋体"/>
          <w:sz w:val="24"/>
          <w:highlight w:val="none"/>
        </w:rPr>
        <w:t>电子认证：EMC：CE认证，电磁和辐射排放符合EN50081-2，抗干扰符合EN 61000-6-2；</w:t>
      </w:r>
    </w:p>
    <w:p w14:paraId="12715E3C">
      <w:pPr>
        <w:spacing w:line="440" w:lineRule="exact"/>
        <w:ind w:firstLine="480" w:firstLineChars="200"/>
        <w:rPr>
          <w:rFonts w:ascii="宋体" w:hAnsi="宋体" w:cs="宋体"/>
          <w:sz w:val="24"/>
          <w:highlight w:val="none"/>
        </w:rPr>
      </w:pPr>
      <w:r>
        <w:rPr>
          <w:rFonts w:hint="eastAsia" w:ascii="宋体" w:hAnsi="宋体" w:cs="宋体"/>
          <w:sz w:val="24"/>
          <w:highlight w:val="none"/>
        </w:rPr>
        <w:t>安装方式：壁挂/面板/夹管式安装；</w:t>
      </w:r>
      <w:r>
        <w:rPr>
          <w:rFonts w:hint="eastAsia" w:ascii="宋体" w:hAnsi="宋体" w:cs="宋体"/>
          <w:sz w:val="24"/>
          <w:highlight w:val="none"/>
        </w:rPr>
        <w:tab/>
      </w:r>
    </w:p>
    <w:p w14:paraId="65826E90">
      <w:pPr>
        <w:spacing w:line="440" w:lineRule="exact"/>
        <w:ind w:firstLine="482" w:firstLineChars="200"/>
        <w:rPr>
          <w:rFonts w:ascii="宋体" w:hAnsi="宋体" w:cs="宋体"/>
          <w:b/>
          <w:sz w:val="24"/>
          <w:highlight w:val="none"/>
        </w:rPr>
      </w:pPr>
      <w:r>
        <w:rPr>
          <w:rFonts w:hint="eastAsia" w:ascii="宋体" w:hAnsi="宋体" w:cs="宋体"/>
          <w:b/>
          <w:sz w:val="24"/>
          <w:highlight w:val="none"/>
        </w:rPr>
        <w:t>10、在线余氯仪</w:t>
      </w:r>
    </w:p>
    <w:p w14:paraId="76FCDDC8">
      <w:pPr>
        <w:spacing w:line="440" w:lineRule="exact"/>
        <w:ind w:firstLine="480" w:firstLineChars="200"/>
        <w:rPr>
          <w:rFonts w:ascii="宋体" w:hAnsi="宋体" w:cs="宋体"/>
          <w:sz w:val="24"/>
          <w:highlight w:val="none"/>
        </w:rPr>
      </w:pPr>
      <w:r>
        <w:rPr>
          <w:rFonts w:hint="eastAsia" w:ascii="宋体" w:hAnsi="宋体" w:cs="宋体"/>
          <w:sz w:val="24"/>
          <w:highlight w:val="none"/>
        </w:rPr>
        <w:t>功能：在线测量、监测控制介质中的游离氯或总氯含量</w:t>
      </w:r>
    </w:p>
    <w:p w14:paraId="7D95BF06">
      <w:pPr>
        <w:spacing w:line="440" w:lineRule="exact"/>
        <w:ind w:firstLine="480" w:firstLineChars="200"/>
        <w:rPr>
          <w:rFonts w:ascii="宋体" w:hAnsi="宋体" w:cs="宋体"/>
          <w:sz w:val="24"/>
          <w:highlight w:val="none"/>
        </w:rPr>
      </w:pPr>
      <w:r>
        <w:rPr>
          <w:rFonts w:hint="eastAsia" w:ascii="宋体" w:hAnsi="宋体" w:cs="宋体"/>
          <w:sz w:val="24"/>
          <w:highlight w:val="none"/>
        </w:rPr>
        <w:t>原理：DPD比色法   测量范围：余氯或总氯、PH（选项）</w:t>
      </w:r>
    </w:p>
    <w:p w14:paraId="709BF240">
      <w:pPr>
        <w:spacing w:line="440" w:lineRule="exact"/>
        <w:ind w:firstLine="480" w:firstLineChars="200"/>
        <w:rPr>
          <w:rFonts w:ascii="宋体" w:hAnsi="宋体" w:cs="宋体"/>
          <w:sz w:val="24"/>
          <w:highlight w:val="none"/>
        </w:rPr>
      </w:pPr>
      <w:r>
        <w:rPr>
          <w:rFonts w:hint="eastAsia" w:ascii="宋体" w:hAnsi="宋体" w:cs="宋体"/>
          <w:sz w:val="24"/>
          <w:highlight w:val="none"/>
        </w:rPr>
        <w:t>测量周期：余/总氯：2－60分钟可调可根据要求有效控制试剂使用量</w:t>
      </w:r>
    </w:p>
    <w:p w14:paraId="15026172">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量程：余/总氯：0.00-5.00PPM </w:t>
      </w:r>
    </w:p>
    <w:p w14:paraId="51DD64A2">
      <w:pPr>
        <w:spacing w:line="440" w:lineRule="exact"/>
        <w:ind w:firstLine="480" w:firstLineChars="200"/>
        <w:rPr>
          <w:rFonts w:ascii="宋体" w:hAnsi="宋体" w:cs="宋体"/>
          <w:sz w:val="24"/>
          <w:highlight w:val="none"/>
        </w:rPr>
      </w:pPr>
      <w:r>
        <w:rPr>
          <w:rFonts w:hint="eastAsia" w:ascii="宋体" w:hAnsi="宋体" w:cs="宋体"/>
          <w:sz w:val="24"/>
          <w:highlight w:val="none"/>
        </w:rPr>
        <w:t>精度：读数的±1%或0.01PPM  最低检测限：0.01PPM</w:t>
      </w:r>
    </w:p>
    <w:p w14:paraId="3B378B18">
      <w:pPr>
        <w:spacing w:line="440" w:lineRule="exact"/>
        <w:ind w:firstLine="480" w:firstLineChars="200"/>
        <w:rPr>
          <w:rFonts w:ascii="宋体" w:hAnsi="宋体" w:cs="宋体"/>
          <w:sz w:val="24"/>
          <w:highlight w:val="none"/>
        </w:rPr>
      </w:pPr>
      <w:r>
        <w:rPr>
          <w:rFonts w:hint="eastAsia" w:ascii="宋体" w:hAnsi="宋体" w:cs="宋体"/>
          <w:sz w:val="24"/>
          <w:highlight w:val="none"/>
        </w:rPr>
        <w:t>测量时间：90%，60秒</w:t>
      </w:r>
    </w:p>
    <w:p w14:paraId="6BB31568">
      <w:pPr>
        <w:spacing w:line="440" w:lineRule="exact"/>
        <w:ind w:firstLine="480" w:firstLineChars="200"/>
        <w:rPr>
          <w:rFonts w:ascii="宋体" w:hAnsi="宋体" w:cs="宋体"/>
          <w:sz w:val="24"/>
          <w:highlight w:val="none"/>
        </w:rPr>
      </w:pPr>
      <w:r>
        <w:rPr>
          <w:rFonts w:hint="eastAsia" w:ascii="宋体" w:hAnsi="宋体" w:cs="宋体"/>
          <w:sz w:val="24"/>
          <w:highlight w:val="none"/>
        </w:rPr>
        <w:t>输出：2路0/4～20mA（备选RS-485串口输出，可选MODBUS或PROFIBUS等通用协议）</w:t>
      </w:r>
    </w:p>
    <w:p w14:paraId="5DA07EC1">
      <w:pPr>
        <w:spacing w:line="440" w:lineRule="exact"/>
        <w:ind w:firstLine="480" w:firstLineChars="200"/>
        <w:rPr>
          <w:rFonts w:ascii="宋体" w:hAnsi="宋体" w:cs="宋体"/>
          <w:sz w:val="24"/>
          <w:highlight w:val="none"/>
        </w:rPr>
      </w:pPr>
      <w:r>
        <w:rPr>
          <w:rFonts w:hint="eastAsia" w:ascii="宋体" w:hAnsi="宋体" w:cs="宋体"/>
          <w:sz w:val="24"/>
          <w:highlight w:val="none"/>
        </w:rPr>
        <w:t>操作温度：-10~50℃；0～95％相对湿度、无冷凝</w:t>
      </w:r>
    </w:p>
    <w:p w14:paraId="1934C040">
      <w:pPr>
        <w:spacing w:line="440" w:lineRule="exact"/>
        <w:ind w:firstLine="480" w:firstLineChars="200"/>
        <w:rPr>
          <w:rFonts w:ascii="宋体" w:hAnsi="宋体" w:cs="宋体"/>
          <w:sz w:val="24"/>
          <w:highlight w:val="none"/>
        </w:rPr>
      </w:pPr>
      <w:r>
        <w:rPr>
          <w:rFonts w:hint="eastAsia" w:ascii="宋体" w:hAnsi="宋体" w:cs="宋体"/>
          <w:sz w:val="24"/>
          <w:highlight w:val="none"/>
        </w:rPr>
        <w:t>电源：220VAC +10% -15% 50Hz，或 24VDC +10% -15%</w:t>
      </w:r>
    </w:p>
    <w:p w14:paraId="3DDB1600">
      <w:pPr>
        <w:spacing w:line="440" w:lineRule="exact"/>
        <w:ind w:firstLine="482" w:firstLineChars="200"/>
        <w:rPr>
          <w:rFonts w:ascii="宋体" w:hAnsi="宋体" w:cs="宋体"/>
          <w:b/>
          <w:sz w:val="24"/>
          <w:highlight w:val="none"/>
        </w:rPr>
      </w:pPr>
      <w:r>
        <w:rPr>
          <w:rFonts w:hint="eastAsia" w:ascii="宋体" w:hAnsi="宋体" w:cs="宋体"/>
          <w:b/>
          <w:sz w:val="24"/>
          <w:highlight w:val="none"/>
        </w:rPr>
        <w:t>11、PLC控制柜</w:t>
      </w:r>
    </w:p>
    <w:p w14:paraId="7A3DEB69">
      <w:pPr>
        <w:spacing w:line="440" w:lineRule="exact"/>
        <w:ind w:firstLine="482" w:firstLineChars="200"/>
        <w:rPr>
          <w:rFonts w:ascii="宋体" w:hAnsi="宋体" w:cs="宋体"/>
          <w:b/>
          <w:sz w:val="24"/>
          <w:highlight w:val="none"/>
        </w:rPr>
      </w:pPr>
      <w:r>
        <w:rPr>
          <w:rFonts w:hint="eastAsia" w:ascii="宋体" w:hAnsi="宋体" w:cs="宋体"/>
          <w:b/>
          <w:sz w:val="24"/>
          <w:highlight w:val="none"/>
        </w:rPr>
        <w:t>11.1控制柜</w:t>
      </w:r>
    </w:p>
    <w:p w14:paraId="1DAF4B6C">
      <w:pPr>
        <w:spacing w:line="440" w:lineRule="exact"/>
        <w:ind w:firstLine="480" w:firstLineChars="200"/>
        <w:rPr>
          <w:rFonts w:ascii="宋体" w:hAnsi="宋体" w:cs="宋体"/>
          <w:sz w:val="24"/>
          <w:highlight w:val="none"/>
        </w:rPr>
      </w:pPr>
      <w:r>
        <w:rPr>
          <w:rFonts w:hint="eastAsia" w:ascii="宋体" w:hAnsi="宋体" w:cs="宋体"/>
          <w:sz w:val="24"/>
          <w:highlight w:val="none"/>
        </w:rPr>
        <w:t>（1）柜体：尺寸根据现场定制材质：不锈钢S304防护等级：IP65</w:t>
      </w:r>
    </w:p>
    <w:p w14:paraId="6D44C924">
      <w:pPr>
        <w:spacing w:line="440" w:lineRule="exact"/>
        <w:ind w:firstLine="480" w:firstLineChars="200"/>
        <w:rPr>
          <w:rFonts w:ascii="宋体" w:hAnsi="宋体" w:cs="宋体"/>
          <w:sz w:val="24"/>
          <w:highlight w:val="none"/>
        </w:rPr>
      </w:pPr>
      <w:r>
        <w:rPr>
          <w:rFonts w:hint="eastAsia" w:ascii="宋体" w:hAnsi="宋体" w:cs="宋体"/>
          <w:sz w:val="24"/>
          <w:highlight w:val="none"/>
        </w:rPr>
        <w:t>（2）配有安装用的起重吊耳，带有可锁上的前门；</w:t>
      </w:r>
    </w:p>
    <w:p w14:paraId="3D9DEA19">
      <w:pPr>
        <w:spacing w:line="440" w:lineRule="exact"/>
        <w:ind w:firstLine="480" w:firstLineChars="200"/>
        <w:rPr>
          <w:rFonts w:ascii="宋体" w:hAnsi="宋体" w:cs="宋体"/>
          <w:sz w:val="24"/>
          <w:highlight w:val="none"/>
        </w:rPr>
      </w:pPr>
      <w:r>
        <w:rPr>
          <w:rFonts w:hint="eastAsia" w:ascii="宋体" w:hAnsi="宋体" w:cs="宋体"/>
          <w:sz w:val="24"/>
          <w:highlight w:val="none"/>
        </w:rPr>
        <w:t>（3）控制柜包括功能单元、控制保护等设备，对每个装置留有适当的空间便于接线和维修；</w:t>
      </w:r>
    </w:p>
    <w:p w14:paraId="726B3FBD">
      <w:pPr>
        <w:spacing w:line="440" w:lineRule="exact"/>
        <w:ind w:firstLine="480" w:firstLineChars="200"/>
        <w:rPr>
          <w:rFonts w:ascii="宋体" w:hAnsi="宋体" w:cs="宋体"/>
          <w:sz w:val="24"/>
          <w:highlight w:val="none"/>
        </w:rPr>
      </w:pPr>
      <w:r>
        <w:rPr>
          <w:rFonts w:hint="eastAsia" w:ascii="宋体" w:hAnsi="宋体" w:cs="宋体"/>
          <w:sz w:val="24"/>
          <w:highlight w:val="none"/>
        </w:rPr>
        <w:t>（4）控制柜内提供门控30W 荧光灯，安装在柜的顶部，并且要具有更换灯管的操作空间。柜体设有防小动物进入的通风装置；</w:t>
      </w:r>
    </w:p>
    <w:p w14:paraId="12088A36">
      <w:pPr>
        <w:spacing w:line="440" w:lineRule="exact"/>
        <w:ind w:firstLine="480" w:firstLineChars="200"/>
        <w:rPr>
          <w:rFonts w:ascii="宋体" w:hAnsi="宋体" w:cs="宋体"/>
          <w:sz w:val="24"/>
          <w:highlight w:val="none"/>
        </w:rPr>
      </w:pPr>
      <w:r>
        <w:rPr>
          <w:rFonts w:hint="eastAsia" w:ascii="宋体" w:hAnsi="宋体" w:cs="宋体"/>
          <w:sz w:val="24"/>
          <w:highlight w:val="none"/>
        </w:rPr>
        <w:t>（5）所有的输出信号均采用中间继电器进行隔离，中间继电器及空气开关、接触器、按钮等电器元件采用施耐德、西门子、ABB或同档次品牌产品。中间继电器应自带状态指示灯；</w:t>
      </w:r>
    </w:p>
    <w:p w14:paraId="45C83CDE">
      <w:pPr>
        <w:spacing w:line="440" w:lineRule="exact"/>
        <w:ind w:firstLine="480" w:firstLineChars="200"/>
        <w:rPr>
          <w:rFonts w:ascii="宋体" w:hAnsi="宋体" w:cs="宋体"/>
          <w:sz w:val="24"/>
          <w:highlight w:val="none"/>
        </w:rPr>
      </w:pPr>
      <w:r>
        <w:rPr>
          <w:rFonts w:hint="eastAsia" w:ascii="宋体" w:hAnsi="宋体" w:cs="宋体"/>
          <w:sz w:val="24"/>
          <w:highlight w:val="none"/>
        </w:rPr>
        <w:t>（6）所有的电源进线均用空气开关进行隔离。</w:t>
      </w:r>
    </w:p>
    <w:p w14:paraId="12C13206">
      <w:pPr>
        <w:spacing w:line="440" w:lineRule="exact"/>
        <w:ind w:firstLine="480" w:firstLineChars="200"/>
        <w:rPr>
          <w:rFonts w:ascii="宋体" w:hAnsi="宋体" w:cs="宋体"/>
          <w:sz w:val="24"/>
          <w:highlight w:val="none"/>
        </w:rPr>
      </w:pPr>
      <w:r>
        <w:rPr>
          <w:rFonts w:hint="eastAsia" w:ascii="宋体" w:hAnsi="宋体" w:cs="宋体"/>
          <w:sz w:val="24"/>
          <w:highlight w:val="none"/>
        </w:rPr>
        <w:t>（7）柜体内元器件安装牢固、布局合理、符合电气规范；</w:t>
      </w:r>
    </w:p>
    <w:p w14:paraId="12115887">
      <w:pPr>
        <w:spacing w:line="440" w:lineRule="exact"/>
        <w:ind w:firstLine="480" w:firstLineChars="200"/>
        <w:rPr>
          <w:rFonts w:ascii="宋体" w:hAnsi="宋体" w:cs="宋体"/>
          <w:sz w:val="24"/>
          <w:highlight w:val="none"/>
        </w:rPr>
      </w:pPr>
      <w:r>
        <w:rPr>
          <w:rFonts w:hint="eastAsia" w:ascii="宋体" w:hAnsi="宋体" w:cs="宋体"/>
          <w:sz w:val="24"/>
          <w:highlight w:val="none"/>
        </w:rPr>
        <w:t>（8）柜体的接线端子采用威德米勒、菲尼克斯端子，每个端子都有标记，并与安装施工图相对应；</w:t>
      </w:r>
    </w:p>
    <w:p w14:paraId="145C53C0">
      <w:pPr>
        <w:spacing w:line="440" w:lineRule="exact"/>
        <w:ind w:firstLine="480" w:firstLineChars="200"/>
        <w:rPr>
          <w:rFonts w:ascii="宋体" w:hAnsi="宋体" w:cs="宋体"/>
          <w:sz w:val="24"/>
          <w:highlight w:val="none"/>
        </w:rPr>
      </w:pPr>
      <w:r>
        <w:rPr>
          <w:rFonts w:hint="eastAsia" w:ascii="宋体" w:hAnsi="宋体" w:cs="宋体"/>
          <w:sz w:val="24"/>
          <w:highlight w:val="none"/>
        </w:rPr>
        <w:t>（9）柜体中的接线方式采用平板压接方式；</w:t>
      </w:r>
    </w:p>
    <w:p w14:paraId="0277AA89">
      <w:pPr>
        <w:spacing w:line="440" w:lineRule="exact"/>
        <w:ind w:firstLine="480" w:firstLineChars="200"/>
        <w:rPr>
          <w:rFonts w:ascii="宋体" w:hAnsi="宋体" w:cs="宋体"/>
          <w:sz w:val="24"/>
          <w:highlight w:val="none"/>
        </w:rPr>
      </w:pPr>
      <w:r>
        <w:rPr>
          <w:rFonts w:hint="eastAsia" w:ascii="宋体" w:hAnsi="宋体" w:cs="宋体"/>
          <w:sz w:val="24"/>
          <w:highlight w:val="none"/>
        </w:rPr>
        <w:t>（10）柜体中的走线槽按I/O要求配置，并留20%的余量；</w:t>
      </w:r>
    </w:p>
    <w:p w14:paraId="23590FFD">
      <w:pPr>
        <w:spacing w:line="440" w:lineRule="exact"/>
        <w:ind w:firstLine="480" w:firstLineChars="200"/>
        <w:rPr>
          <w:rFonts w:ascii="宋体" w:hAnsi="宋体" w:cs="宋体"/>
          <w:sz w:val="24"/>
          <w:highlight w:val="none"/>
        </w:rPr>
      </w:pPr>
      <w:r>
        <w:rPr>
          <w:rFonts w:hint="eastAsia" w:ascii="宋体" w:hAnsi="宋体" w:cs="宋体"/>
          <w:sz w:val="24"/>
          <w:highlight w:val="none"/>
        </w:rPr>
        <w:t>（11）柜内有配电用及维修用的220VAC 电源插座，轨道式安装；</w:t>
      </w:r>
    </w:p>
    <w:p w14:paraId="4F573320">
      <w:pPr>
        <w:spacing w:line="440" w:lineRule="exact"/>
        <w:ind w:firstLine="480" w:firstLineChars="200"/>
        <w:rPr>
          <w:rFonts w:ascii="宋体" w:hAnsi="宋体" w:cs="宋体"/>
          <w:sz w:val="24"/>
          <w:highlight w:val="none"/>
        </w:rPr>
      </w:pPr>
      <w:r>
        <w:rPr>
          <w:rFonts w:hint="eastAsia" w:ascii="宋体" w:hAnsi="宋体" w:cs="宋体"/>
          <w:sz w:val="24"/>
          <w:highlight w:val="none"/>
        </w:rPr>
        <w:t>（12）柜内所有线路用铜排或软铜线，按照负荷大小选定规格和线径。不同功能的线用不同颜色区分；</w:t>
      </w:r>
    </w:p>
    <w:p w14:paraId="19318326">
      <w:pPr>
        <w:spacing w:line="440" w:lineRule="exact"/>
        <w:ind w:firstLine="480" w:firstLineChars="200"/>
        <w:rPr>
          <w:rFonts w:ascii="宋体" w:hAnsi="宋体" w:cs="宋体"/>
          <w:sz w:val="24"/>
          <w:highlight w:val="none"/>
        </w:rPr>
      </w:pPr>
      <w:r>
        <w:rPr>
          <w:rFonts w:hint="eastAsia" w:ascii="宋体" w:hAnsi="宋体" w:cs="宋体"/>
          <w:sz w:val="24"/>
          <w:highlight w:val="none"/>
        </w:rPr>
        <w:t>（13）柜内所有走线都经线槽。所有导出线和端子上做永久性编号，并与安装施工图相对应；</w:t>
      </w:r>
    </w:p>
    <w:p w14:paraId="46D4F3C9">
      <w:pPr>
        <w:spacing w:line="440" w:lineRule="exact"/>
        <w:ind w:firstLine="480" w:firstLineChars="200"/>
        <w:rPr>
          <w:rFonts w:ascii="宋体" w:hAnsi="宋体" w:cs="宋体"/>
          <w:sz w:val="24"/>
          <w:highlight w:val="none"/>
        </w:rPr>
      </w:pPr>
      <w:r>
        <w:rPr>
          <w:rFonts w:hint="eastAsia" w:ascii="宋体" w:hAnsi="宋体" w:cs="宋体"/>
          <w:sz w:val="24"/>
          <w:highlight w:val="none"/>
        </w:rPr>
        <w:t>（14）柜内提供2 条接地铜排，一条用于信号和屏蔽接地，一条用于设备和控制柜保护接地，信号接地母排安装在独立的支座上。每条接地母排上有不少于5个的接地点。</w:t>
      </w:r>
    </w:p>
    <w:p w14:paraId="1694598A">
      <w:pPr>
        <w:spacing w:line="440" w:lineRule="exact"/>
        <w:ind w:firstLine="480" w:firstLineChars="200"/>
        <w:rPr>
          <w:rFonts w:ascii="宋体" w:hAnsi="宋体" w:cs="宋体"/>
          <w:sz w:val="24"/>
          <w:highlight w:val="none"/>
        </w:rPr>
      </w:pPr>
      <w:r>
        <w:rPr>
          <w:rFonts w:hint="eastAsia" w:ascii="宋体" w:hAnsi="宋体" w:cs="宋体"/>
          <w:sz w:val="24"/>
          <w:highlight w:val="none"/>
        </w:rPr>
        <w:t>（15）输入的电源应有熔丝、开关等隔离，做好接地/接零；</w:t>
      </w:r>
    </w:p>
    <w:p w14:paraId="59D89BE3">
      <w:pPr>
        <w:spacing w:line="440" w:lineRule="exact"/>
        <w:ind w:firstLine="480" w:firstLineChars="200"/>
        <w:rPr>
          <w:rFonts w:ascii="宋体" w:hAnsi="宋体" w:cs="宋体"/>
          <w:sz w:val="24"/>
          <w:highlight w:val="none"/>
        </w:rPr>
      </w:pPr>
      <w:r>
        <w:rPr>
          <w:rFonts w:hint="eastAsia" w:ascii="宋体" w:hAnsi="宋体" w:cs="宋体"/>
          <w:sz w:val="24"/>
          <w:highlight w:val="none"/>
        </w:rPr>
        <w:t>（16）电源缆线接至低压控制柜；</w:t>
      </w:r>
    </w:p>
    <w:p w14:paraId="632E7116">
      <w:pPr>
        <w:spacing w:line="440" w:lineRule="exact"/>
        <w:ind w:firstLine="480" w:firstLineChars="200"/>
        <w:rPr>
          <w:rFonts w:ascii="宋体" w:hAnsi="宋体" w:cs="宋体"/>
          <w:sz w:val="24"/>
          <w:highlight w:val="none"/>
        </w:rPr>
      </w:pPr>
      <w:r>
        <w:rPr>
          <w:rFonts w:hint="eastAsia" w:ascii="宋体" w:hAnsi="宋体" w:cs="宋体"/>
          <w:sz w:val="24"/>
          <w:highlight w:val="none"/>
        </w:rPr>
        <w:t>（17）自控缆线、接口满足工程范围；</w:t>
      </w:r>
    </w:p>
    <w:p w14:paraId="242B232F">
      <w:pPr>
        <w:spacing w:line="440" w:lineRule="exact"/>
        <w:ind w:firstLine="480" w:firstLineChars="200"/>
        <w:rPr>
          <w:rFonts w:ascii="宋体" w:hAnsi="宋体" w:cs="宋体"/>
          <w:sz w:val="24"/>
          <w:highlight w:val="none"/>
        </w:rPr>
      </w:pPr>
      <w:r>
        <w:rPr>
          <w:rFonts w:hint="eastAsia" w:ascii="宋体" w:hAnsi="宋体" w:cs="宋体"/>
          <w:sz w:val="24"/>
          <w:highlight w:val="none"/>
        </w:rPr>
        <w:t>（18）电源线、模拟信号线、数字开关量线尽量安放在不同的线束内；所有柜内外的接线应先通过柜体端子排，特殊设备可以直接与电线电缆相连。</w:t>
      </w:r>
    </w:p>
    <w:p w14:paraId="31E1C8EE">
      <w:pPr>
        <w:spacing w:line="440" w:lineRule="exact"/>
        <w:ind w:firstLine="480" w:firstLineChars="200"/>
        <w:rPr>
          <w:rFonts w:ascii="宋体" w:hAnsi="宋体" w:cs="宋体"/>
          <w:sz w:val="24"/>
          <w:highlight w:val="none"/>
        </w:rPr>
      </w:pPr>
      <w:r>
        <w:rPr>
          <w:rFonts w:hint="eastAsia" w:ascii="宋体" w:hAnsi="宋体" w:cs="宋体"/>
          <w:sz w:val="24"/>
          <w:highlight w:val="none"/>
        </w:rPr>
        <w:t>（19）系统总屏蔽、抗电磁干扰符合IEC801/VDE0843和国家GB中屏蔽、抗辐射有关技术要求。</w:t>
      </w:r>
    </w:p>
    <w:p w14:paraId="08D485A8">
      <w:pPr>
        <w:spacing w:line="440" w:lineRule="exact"/>
        <w:ind w:firstLine="482" w:firstLineChars="200"/>
        <w:rPr>
          <w:rFonts w:ascii="宋体" w:hAnsi="宋体" w:cs="宋体"/>
          <w:b/>
          <w:sz w:val="24"/>
          <w:highlight w:val="none"/>
        </w:rPr>
      </w:pPr>
      <w:r>
        <w:rPr>
          <w:rFonts w:hint="eastAsia" w:ascii="宋体" w:hAnsi="宋体" w:cs="宋体"/>
          <w:b/>
          <w:sz w:val="24"/>
          <w:highlight w:val="none"/>
        </w:rPr>
        <w:t>11.2 PLC硬件要求</w:t>
      </w:r>
    </w:p>
    <w:p w14:paraId="5AEEECD3">
      <w:pPr>
        <w:spacing w:line="440" w:lineRule="exact"/>
        <w:ind w:firstLine="480" w:firstLineChars="200"/>
        <w:rPr>
          <w:rFonts w:ascii="宋体" w:hAnsi="宋体" w:cs="宋体"/>
          <w:sz w:val="24"/>
          <w:highlight w:val="none"/>
        </w:rPr>
      </w:pPr>
      <w:r>
        <w:rPr>
          <w:rFonts w:hint="eastAsia" w:ascii="宋体" w:hAnsi="宋体" w:cs="宋体"/>
          <w:sz w:val="24"/>
          <w:highlight w:val="none"/>
        </w:rPr>
        <w:t>作为送水泵房的主要控制设备PLC的选择应本着技术先进、性能优越、安全可靠、完全开放的原则，同时保证用户在选型、设计、施工、运行、维护、升级等各个阶段上总体最优的成本控制。</w:t>
      </w:r>
    </w:p>
    <w:p w14:paraId="328E9848">
      <w:pPr>
        <w:spacing w:line="440" w:lineRule="exact"/>
        <w:ind w:firstLine="480" w:firstLineChars="200"/>
        <w:rPr>
          <w:rFonts w:ascii="宋体" w:hAnsi="宋体" w:cs="宋体"/>
          <w:sz w:val="24"/>
          <w:highlight w:val="none"/>
        </w:rPr>
      </w:pPr>
      <w:r>
        <w:rPr>
          <w:rFonts w:hint="eastAsia" w:ascii="宋体" w:hAnsi="宋体" w:cs="宋体"/>
          <w:sz w:val="24"/>
          <w:highlight w:val="none"/>
        </w:rPr>
        <w:t>控制系统必须是代表了原厂商最新的技术，并在今后相当长一段时间内保持其技术的先进性，控制系统产品的</w:t>
      </w:r>
      <w:r>
        <w:rPr>
          <w:rFonts w:hint="eastAsia" w:ascii="宋体" w:hAnsi="宋体" w:cs="宋体"/>
          <w:sz w:val="24"/>
          <w:highlight w:val="none"/>
          <w:lang w:val="en-US" w:eastAsia="zh-CN"/>
        </w:rPr>
        <w:t>投标人</w:t>
      </w:r>
      <w:r>
        <w:rPr>
          <w:rFonts w:hint="eastAsia" w:ascii="宋体" w:hAnsi="宋体" w:cs="宋体"/>
          <w:sz w:val="24"/>
          <w:highlight w:val="none"/>
        </w:rPr>
        <w:t>具有较强的本地的技术支持和服务能力。</w:t>
      </w:r>
    </w:p>
    <w:p w14:paraId="2D9B9E62">
      <w:pPr>
        <w:spacing w:line="440" w:lineRule="exact"/>
        <w:ind w:firstLine="480" w:firstLineChars="200"/>
        <w:rPr>
          <w:rFonts w:ascii="宋体" w:hAnsi="宋体" w:cs="宋体"/>
          <w:sz w:val="24"/>
          <w:highlight w:val="none"/>
        </w:rPr>
      </w:pPr>
      <w:r>
        <w:rPr>
          <w:rFonts w:hint="eastAsia" w:ascii="宋体" w:hAnsi="宋体" w:cs="宋体"/>
          <w:sz w:val="24"/>
          <w:highlight w:val="none"/>
        </w:rPr>
        <w:t>自动控制系统重要设备及网络考虑冗余结构，确保系统的可靠性，以及流程的正常运作。</w:t>
      </w:r>
    </w:p>
    <w:p w14:paraId="3483483B">
      <w:pPr>
        <w:spacing w:line="440" w:lineRule="exact"/>
        <w:ind w:firstLine="480" w:firstLineChars="200"/>
        <w:rPr>
          <w:rFonts w:ascii="宋体" w:hAnsi="宋体" w:cs="宋体"/>
          <w:sz w:val="24"/>
          <w:highlight w:val="none"/>
        </w:rPr>
      </w:pPr>
      <w:r>
        <w:rPr>
          <w:rFonts w:hint="eastAsia" w:ascii="宋体" w:hAnsi="宋体" w:cs="宋体"/>
          <w:sz w:val="24"/>
          <w:highlight w:val="none"/>
        </w:rPr>
        <w:t>在背板电源和用户端电源不断开的情况下CPU、I/O模块、通讯模块及可拆卸端子排等必须能够支持带电插拨。</w:t>
      </w:r>
    </w:p>
    <w:p w14:paraId="6A271E65">
      <w:pPr>
        <w:spacing w:line="440" w:lineRule="exact"/>
        <w:ind w:firstLine="480" w:firstLineChars="200"/>
        <w:rPr>
          <w:rFonts w:ascii="宋体" w:hAnsi="宋体" w:cs="宋体"/>
          <w:sz w:val="24"/>
          <w:highlight w:val="none"/>
        </w:rPr>
      </w:pPr>
      <w:r>
        <w:rPr>
          <w:rFonts w:hint="eastAsia" w:ascii="宋体" w:hAnsi="宋体" w:cs="宋体"/>
          <w:sz w:val="24"/>
          <w:highlight w:val="none"/>
        </w:rPr>
        <w:t>各有源及无源信号均需设有信号隔离，防止出现信号干扰现象，满足电磁兼容性指令中群脉冲抗扰度和浪涌抗扰度CLASS A标准。</w:t>
      </w:r>
    </w:p>
    <w:p w14:paraId="49024571">
      <w:pPr>
        <w:spacing w:line="440" w:lineRule="exact"/>
        <w:ind w:firstLine="480" w:firstLineChars="200"/>
        <w:rPr>
          <w:rFonts w:ascii="宋体" w:hAnsi="宋体" w:cs="宋体"/>
          <w:sz w:val="24"/>
          <w:highlight w:val="none"/>
        </w:rPr>
      </w:pPr>
      <w:r>
        <w:rPr>
          <w:rFonts w:hint="eastAsia" w:ascii="宋体" w:hAnsi="宋体" w:cs="宋体"/>
          <w:sz w:val="24"/>
          <w:highlight w:val="none"/>
        </w:rPr>
        <w:t>硬件：采用模块式结构，每块模板具有独立的功能，电源、控制器、相互隔离的输入/输出通道。模板的数量有一定的扩展余地。</w:t>
      </w:r>
    </w:p>
    <w:p w14:paraId="2F19BF48">
      <w:pPr>
        <w:spacing w:line="440" w:lineRule="exact"/>
        <w:ind w:firstLine="480" w:firstLineChars="200"/>
        <w:rPr>
          <w:rFonts w:ascii="宋体" w:hAnsi="宋体" w:cs="宋体"/>
          <w:sz w:val="24"/>
          <w:highlight w:val="none"/>
        </w:rPr>
      </w:pPr>
      <w:r>
        <w:rPr>
          <w:rFonts w:hint="eastAsia" w:ascii="宋体" w:hAnsi="宋体" w:cs="宋体"/>
          <w:sz w:val="24"/>
          <w:highlight w:val="none"/>
        </w:rPr>
        <w:t>（1）CPU模块</w:t>
      </w:r>
    </w:p>
    <w:p w14:paraId="298A3043">
      <w:pPr>
        <w:spacing w:line="440" w:lineRule="exact"/>
        <w:ind w:firstLine="480" w:firstLineChars="200"/>
        <w:rPr>
          <w:rFonts w:ascii="宋体" w:hAnsi="宋体" w:cs="宋体"/>
          <w:sz w:val="24"/>
          <w:highlight w:val="none"/>
        </w:rPr>
      </w:pPr>
      <w:r>
        <w:rPr>
          <w:rFonts w:hint="eastAsia" w:ascii="宋体" w:hAnsi="宋体" w:cs="宋体"/>
          <w:sz w:val="24"/>
          <w:highlight w:val="none"/>
        </w:rPr>
        <w:t>布尔运算执行速度 ：≥0.08μs/指令</w:t>
      </w:r>
    </w:p>
    <w:p w14:paraId="0316CA87">
      <w:pPr>
        <w:spacing w:line="440" w:lineRule="exact"/>
        <w:ind w:firstLine="480" w:firstLineChars="200"/>
        <w:rPr>
          <w:rFonts w:ascii="宋体" w:hAnsi="宋体" w:cs="宋体"/>
          <w:sz w:val="24"/>
          <w:highlight w:val="none"/>
        </w:rPr>
      </w:pPr>
      <w:r>
        <w:rPr>
          <w:rFonts w:hint="eastAsia" w:ascii="宋体" w:hAnsi="宋体" w:cs="宋体"/>
          <w:sz w:val="24"/>
          <w:highlight w:val="none"/>
        </w:rPr>
        <w:t>移动字执行速度：≥ 1.7μs/指令</w:t>
      </w:r>
    </w:p>
    <w:p w14:paraId="1B999B76">
      <w:pPr>
        <w:spacing w:line="440" w:lineRule="exact"/>
        <w:ind w:firstLine="480" w:firstLineChars="200"/>
        <w:rPr>
          <w:rFonts w:ascii="宋体" w:hAnsi="宋体" w:cs="宋体"/>
          <w:sz w:val="24"/>
          <w:highlight w:val="none"/>
        </w:rPr>
      </w:pPr>
      <w:r>
        <w:rPr>
          <w:rFonts w:hint="eastAsia" w:ascii="宋体" w:hAnsi="宋体" w:cs="宋体"/>
          <w:sz w:val="24"/>
          <w:highlight w:val="none"/>
        </w:rPr>
        <w:t>实数数学运算执行速度：≥ 2.3μs/指令</w:t>
      </w:r>
    </w:p>
    <w:p w14:paraId="6B94E305">
      <w:pPr>
        <w:spacing w:line="440" w:lineRule="exact"/>
        <w:ind w:firstLine="480" w:firstLineChars="200"/>
        <w:rPr>
          <w:rFonts w:ascii="宋体" w:hAnsi="宋体" w:cs="宋体"/>
          <w:sz w:val="24"/>
          <w:highlight w:val="none"/>
        </w:rPr>
      </w:pPr>
      <w:r>
        <w:rPr>
          <w:rFonts w:hint="eastAsia" w:ascii="宋体" w:hAnsi="宋体" w:cs="宋体"/>
          <w:sz w:val="24"/>
          <w:highlight w:val="none"/>
        </w:rPr>
        <w:t>用户存储器： ≥75 KB 工作存储器/4 MB 负载存储器</w:t>
      </w:r>
    </w:p>
    <w:p w14:paraId="2B292798">
      <w:pPr>
        <w:spacing w:line="440" w:lineRule="exact"/>
        <w:ind w:firstLine="480" w:firstLineChars="200"/>
        <w:rPr>
          <w:rFonts w:ascii="宋体" w:hAnsi="宋体" w:cs="宋体"/>
          <w:sz w:val="24"/>
          <w:highlight w:val="none"/>
        </w:rPr>
      </w:pPr>
      <w:r>
        <w:rPr>
          <w:rFonts w:hint="eastAsia" w:ascii="宋体" w:hAnsi="宋体" w:cs="宋体"/>
          <w:sz w:val="24"/>
          <w:highlight w:val="none"/>
        </w:rPr>
        <w:t>位存储器（M）： ≥8192 个字节</w:t>
      </w:r>
    </w:p>
    <w:p w14:paraId="5DB2EBD8">
      <w:pPr>
        <w:spacing w:line="440" w:lineRule="exact"/>
        <w:ind w:firstLine="480" w:firstLineChars="200"/>
        <w:rPr>
          <w:rFonts w:ascii="宋体" w:hAnsi="宋体" w:cs="宋体"/>
          <w:sz w:val="24"/>
          <w:highlight w:val="none"/>
        </w:rPr>
      </w:pPr>
      <w:r>
        <w:rPr>
          <w:rFonts w:hint="eastAsia" w:ascii="宋体" w:hAnsi="宋体" w:cs="宋体"/>
          <w:sz w:val="24"/>
          <w:highlight w:val="none"/>
        </w:rPr>
        <w:t>信号模块扩展： 不少于 8 个信号模块</w:t>
      </w:r>
    </w:p>
    <w:p w14:paraId="498687AD">
      <w:pPr>
        <w:spacing w:line="440" w:lineRule="exact"/>
        <w:ind w:firstLine="480" w:firstLineChars="200"/>
        <w:rPr>
          <w:rFonts w:ascii="宋体" w:hAnsi="宋体" w:cs="宋体"/>
          <w:sz w:val="24"/>
          <w:highlight w:val="none"/>
        </w:rPr>
      </w:pPr>
      <w:r>
        <w:rPr>
          <w:rFonts w:hint="eastAsia" w:ascii="宋体" w:hAnsi="宋体" w:cs="宋体"/>
          <w:sz w:val="24"/>
          <w:highlight w:val="none"/>
        </w:rPr>
        <w:t>信号板扩展 ：至少 1 块信号板</w:t>
      </w:r>
    </w:p>
    <w:p w14:paraId="7255A5F0">
      <w:pPr>
        <w:spacing w:line="440" w:lineRule="exact"/>
        <w:ind w:firstLine="480" w:firstLineChars="200"/>
        <w:rPr>
          <w:rFonts w:ascii="宋体" w:hAnsi="宋体" w:cs="宋体"/>
          <w:sz w:val="24"/>
          <w:highlight w:val="none"/>
        </w:rPr>
      </w:pPr>
      <w:r>
        <w:rPr>
          <w:rFonts w:hint="eastAsia" w:ascii="宋体" w:hAnsi="宋体" w:cs="宋体"/>
          <w:sz w:val="24"/>
          <w:highlight w:val="none"/>
        </w:rPr>
        <w:t>通信模块扩展：不少于3 个通信模块</w:t>
      </w:r>
    </w:p>
    <w:p w14:paraId="1D0AF2BA">
      <w:pPr>
        <w:spacing w:line="440" w:lineRule="exact"/>
        <w:ind w:firstLine="480" w:firstLineChars="200"/>
        <w:rPr>
          <w:rFonts w:ascii="宋体" w:hAnsi="宋体" w:cs="宋体"/>
          <w:sz w:val="24"/>
          <w:highlight w:val="none"/>
        </w:rPr>
      </w:pPr>
      <w:r>
        <w:rPr>
          <w:rFonts w:hint="eastAsia" w:ascii="宋体" w:hAnsi="宋体" w:cs="宋体"/>
          <w:sz w:val="24"/>
          <w:highlight w:val="none"/>
        </w:rPr>
        <w:t>通信端口数 ：至少2个</w:t>
      </w:r>
    </w:p>
    <w:p w14:paraId="7D05EEA0">
      <w:pPr>
        <w:spacing w:line="440" w:lineRule="exact"/>
        <w:ind w:firstLine="480" w:firstLineChars="200"/>
        <w:rPr>
          <w:rFonts w:ascii="宋体" w:hAnsi="宋体" w:cs="宋体"/>
          <w:sz w:val="24"/>
          <w:highlight w:val="none"/>
        </w:rPr>
      </w:pPr>
      <w:r>
        <w:rPr>
          <w:rFonts w:hint="eastAsia" w:ascii="宋体" w:hAnsi="宋体" w:cs="宋体"/>
          <w:sz w:val="24"/>
          <w:highlight w:val="none"/>
        </w:rPr>
        <w:t>类型 ：以太网/Modbus总线</w:t>
      </w:r>
    </w:p>
    <w:p w14:paraId="458DF263">
      <w:pPr>
        <w:spacing w:line="440" w:lineRule="exact"/>
        <w:ind w:firstLine="480" w:firstLineChars="200"/>
        <w:rPr>
          <w:rFonts w:ascii="宋体" w:hAnsi="宋体" w:cs="宋体"/>
          <w:sz w:val="24"/>
          <w:highlight w:val="none"/>
        </w:rPr>
      </w:pPr>
      <w:r>
        <w:rPr>
          <w:rFonts w:hint="eastAsia" w:ascii="宋体" w:hAnsi="宋体" w:cs="宋体"/>
          <w:sz w:val="24"/>
          <w:highlight w:val="none"/>
        </w:rPr>
        <w:t>以太网数据传输率： 10/100 Mb/s</w:t>
      </w:r>
    </w:p>
    <w:p w14:paraId="305FBFF6">
      <w:pPr>
        <w:spacing w:line="440" w:lineRule="exact"/>
        <w:ind w:firstLine="480" w:firstLineChars="200"/>
        <w:rPr>
          <w:rFonts w:ascii="宋体" w:hAnsi="宋体" w:cs="宋体"/>
          <w:sz w:val="24"/>
          <w:highlight w:val="none"/>
        </w:rPr>
      </w:pPr>
      <w:r>
        <w:rPr>
          <w:rFonts w:hint="eastAsia" w:ascii="宋体" w:hAnsi="宋体" w:cs="宋体"/>
          <w:sz w:val="24"/>
          <w:highlight w:val="none"/>
        </w:rPr>
        <w:t>Modbus总线数据传输率：≥9.6Kb/s</w:t>
      </w:r>
    </w:p>
    <w:p w14:paraId="70936835">
      <w:pPr>
        <w:spacing w:line="440" w:lineRule="exact"/>
        <w:ind w:firstLine="480" w:firstLineChars="200"/>
        <w:rPr>
          <w:rFonts w:ascii="宋体" w:hAnsi="宋体" w:cs="宋体"/>
          <w:sz w:val="24"/>
          <w:highlight w:val="none"/>
        </w:rPr>
      </w:pPr>
      <w:r>
        <w:rPr>
          <w:rFonts w:hint="eastAsia" w:ascii="宋体" w:hAnsi="宋体" w:cs="宋体"/>
          <w:sz w:val="24"/>
          <w:highlight w:val="none"/>
        </w:rPr>
        <w:t>（2）电源模块</w:t>
      </w:r>
    </w:p>
    <w:p w14:paraId="5C2B4FE3">
      <w:pPr>
        <w:spacing w:line="440" w:lineRule="exact"/>
        <w:ind w:firstLine="480" w:firstLineChars="200"/>
        <w:rPr>
          <w:rFonts w:ascii="宋体" w:hAnsi="宋体" w:cs="宋体"/>
          <w:sz w:val="24"/>
          <w:highlight w:val="none"/>
        </w:rPr>
      </w:pPr>
      <w:r>
        <w:rPr>
          <w:rFonts w:hint="eastAsia" w:ascii="宋体" w:hAnsi="宋体" w:cs="宋体"/>
          <w:sz w:val="24"/>
          <w:highlight w:val="none"/>
        </w:rPr>
        <w:t>为控制器提供标准电压源，保护系统免受噪音与电源波动的干扰；</w:t>
      </w:r>
    </w:p>
    <w:p w14:paraId="2B568F24">
      <w:pPr>
        <w:spacing w:line="440" w:lineRule="exact"/>
        <w:ind w:firstLine="480" w:firstLineChars="200"/>
        <w:rPr>
          <w:rFonts w:ascii="宋体" w:hAnsi="宋体" w:cs="宋体"/>
          <w:sz w:val="24"/>
          <w:highlight w:val="none"/>
        </w:rPr>
      </w:pPr>
      <w:r>
        <w:rPr>
          <w:rFonts w:hint="eastAsia" w:ascii="宋体" w:hAnsi="宋体" w:cs="宋体"/>
          <w:sz w:val="24"/>
          <w:highlight w:val="none"/>
        </w:rPr>
        <w:t>所配备的电源模块应具有能量保持功能；</w:t>
      </w:r>
    </w:p>
    <w:p w14:paraId="71AC7B08">
      <w:pPr>
        <w:spacing w:line="440" w:lineRule="exact"/>
        <w:ind w:firstLine="480" w:firstLineChars="200"/>
        <w:rPr>
          <w:rFonts w:ascii="宋体" w:hAnsi="宋体" w:cs="宋体"/>
          <w:sz w:val="24"/>
          <w:highlight w:val="none"/>
        </w:rPr>
      </w:pPr>
      <w:r>
        <w:rPr>
          <w:rFonts w:hint="eastAsia" w:ascii="宋体" w:hAnsi="宋体" w:cs="宋体"/>
          <w:sz w:val="24"/>
          <w:highlight w:val="none"/>
        </w:rPr>
        <w:t>工作电压：170~265VAV（与机架和模块相配）；</w:t>
      </w:r>
    </w:p>
    <w:p w14:paraId="46F48513">
      <w:pPr>
        <w:spacing w:line="440" w:lineRule="exact"/>
        <w:ind w:firstLine="480" w:firstLineChars="200"/>
        <w:rPr>
          <w:rFonts w:ascii="宋体" w:hAnsi="宋体" w:cs="宋体"/>
          <w:sz w:val="24"/>
          <w:highlight w:val="none"/>
        </w:rPr>
      </w:pPr>
      <w:r>
        <w:rPr>
          <w:rFonts w:hint="eastAsia" w:ascii="宋体" w:hAnsi="宋体" w:cs="宋体"/>
          <w:sz w:val="24"/>
          <w:highlight w:val="none"/>
        </w:rPr>
        <w:t>具有过流保护和过压保护功能</w:t>
      </w:r>
    </w:p>
    <w:p w14:paraId="3F994EA0">
      <w:pPr>
        <w:spacing w:line="440" w:lineRule="exact"/>
        <w:ind w:firstLine="480" w:firstLineChars="200"/>
        <w:rPr>
          <w:rFonts w:ascii="宋体" w:hAnsi="宋体" w:cs="宋体"/>
          <w:sz w:val="24"/>
          <w:highlight w:val="none"/>
        </w:rPr>
      </w:pPr>
      <w:r>
        <w:rPr>
          <w:rFonts w:hint="eastAsia" w:ascii="宋体" w:hAnsi="宋体" w:cs="宋体"/>
          <w:sz w:val="24"/>
          <w:highlight w:val="none"/>
        </w:rPr>
        <w:t>具有运行状态LED灯显示（包括运行、故障状态）</w:t>
      </w:r>
    </w:p>
    <w:p w14:paraId="15E4FD5C">
      <w:pPr>
        <w:spacing w:line="440" w:lineRule="exact"/>
        <w:ind w:firstLine="480" w:firstLineChars="200"/>
        <w:rPr>
          <w:rFonts w:ascii="宋体" w:hAnsi="宋体" w:cs="宋体"/>
          <w:sz w:val="24"/>
          <w:highlight w:val="none"/>
        </w:rPr>
      </w:pPr>
      <w:r>
        <w:rPr>
          <w:rFonts w:hint="eastAsia" w:ascii="宋体" w:hAnsi="宋体" w:cs="宋体"/>
          <w:sz w:val="24"/>
          <w:highlight w:val="none"/>
        </w:rPr>
        <w:t>（3）I/O模块</w:t>
      </w:r>
    </w:p>
    <w:p w14:paraId="7CCB0A6C">
      <w:pPr>
        <w:spacing w:line="440" w:lineRule="exact"/>
        <w:ind w:firstLine="480" w:firstLineChars="200"/>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1 \* GB3 </w:instrText>
      </w:r>
      <w:r>
        <w:rPr>
          <w:rFonts w:hint="eastAsia" w:ascii="宋体" w:hAnsi="宋体" w:cs="宋体"/>
          <w:sz w:val="24"/>
          <w:highlight w:val="none"/>
        </w:rPr>
        <w:fldChar w:fldCharType="separate"/>
      </w:r>
      <w:r>
        <w:rPr>
          <w:rFonts w:hint="eastAsia" w:ascii="宋体" w:hAnsi="宋体" w:cs="宋体"/>
          <w:sz w:val="24"/>
          <w:highlight w:val="none"/>
        </w:rPr>
        <w:t>①</w:t>
      </w:r>
      <w:r>
        <w:rPr>
          <w:rFonts w:hint="eastAsia" w:ascii="宋体" w:hAnsi="宋体" w:cs="宋体"/>
          <w:sz w:val="24"/>
          <w:highlight w:val="none"/>
        </w:rPr>
        <w:fldChar w:fldCharType="end"/>
      </w:r>
      <w:r>
        <w:rPr>
          <w:rFonts w:hint="eastAsia" w:ascii="宋体" w:hAnsi="宋体" w:cs="宋体"/>
          <w:sz w:val="24"/>
          <w:highlight w:val="none"/>
        </w:rPr>
        <w:t>数字输入模块（DI）</w:t>
      </w:r>
    </w:p>
    <w:p w14:paraId="11ECA0D2">
      <w:pPr>
        <w:spacing w:line="440" w:lineRule="exact"/>
        <w:ind w:firstLine="480" w:firstLineChars="200"/>
        <w:rPr>
          <w:rFonts w:ascii="宋体" w:hAnsi="宋体" w:cs="宋体"/>
          <w:sz w:val="24"/>
          <w:highlight w:val="none"/>
        </w:rPr>
      </w:pPr>
      <w:r>
        <w:rPr>
          <w:rFonts w:hint="eastAsia" w:ascii="宋体" w:hAnsi="宋体" w:cs="宋体"/>
          <w:sz w:val="24"/>
          <w:highlight w:val="none"/>
        </w:rPr>
        <w:t>输入电压：24VDC</w:t>
      </w:r>
    </w:p>
    <w:p w14:paraId="6D589F04">
      <w:pPr>
        <w:spacing w:line="440" w:lineRule="exact"/>
        <w:ind w:firstLine="480" w:firstLineChars="200"/>
        <w:rPr>
          <w:rFonts w:ascii="宋体" w:hAnsi="宋体" w:cs="宋体"/>
          <w:sz w:val="24"/>
          <w:highlight w:val="none"/>
        </w:rPr>
      </w:pPr>
      <w:r>
        <w:rPr>
          <w:rFonts w:hint="eastAsia" w:ascii="宋体" w:hAnsi="宋体" w:cs="宋体"/>
          <w:sz w:val="24"/>
          <w:highlight w:val="none"/>
        </w:rPr>
        <w:t>输入点数：16、32点</w:t>
      </w:r>
    </w:p>
    <w:p w14:paraId="25064801">
      <w:pPr>
        <w:spacing w:line="440" w:lineRule="exact"/>
        <w:ind w:firstLine="480" w:firstLineChars="200"/>
        <w:rPr>
          <w:rFonts w:ascii="宋体" w:hAnsi="宋体" w:cs="宋体"/>
          <w:sz w:val="24"/>
          <w:highlight w:val="none"/>
        </w:rPr>
      </w:pPr>
      <w:r>
        <w:rPr>
          <w:rFonts w:hint="eastAsia" w:ascii="宋体" w:hAnsi="宋体" w:cs="宋体"/>
          <w:sz w:val="24"/>
          <w:highlight w:val="none"/>
        </w:rPr>
        <w:t>具有光电隔离功能，每个输入点有对应的运行状态指示</w:t>
      </w:r>
    </w:p>
    <w:p w14:paraId="19CB9BF9">
      <w:pPr>
        <w:spacing w:line="440" w:lineRule="exact"/>
        <w:ind w:firstLine="480" w:firstLineChars="200"/>
        <w:rPr>
          <w:rFonts w:ascii="宋体" w:hAnsi="宋体" w:cs="宋体"/>
          <w:sz w:val="24"/>
          <w:highlight w:val="none"/>
        </w:rPr>
      </w:pPr>
      <w:r>
        <w:rPr>
          <w:rFonts w:hint="eastAsia" w:ascii="宋体" w:hAnsi="宋体" w:cs="宋体"/>
          <w:sz w:val="24"/>
          <w:highlight w:val="none"/>
        </w:rPr>
        <w:t>连接方式：采用可拆卸式端子排或接线器连接</w:t>
      </w:r>
    </w:p>
    <w:p w14:paraId="34DA2781">
      <w:pPr>
        <w:spacing w:line="440" w:lineRule="exact"/>
        <w:ind w:firstLine="480" w:firstLineChars="200"/>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2 \* GB3 </w:instrText>
      </w:r>
      <w:r>
        <w:rPr>
          <w:rFonts w:hint="eastAsia" w:ascii="宋体" w:hAnsi="宋体" w:cs="宋体"/>
          <w:sz w:val="24"/>
          <w:highlight w:val="none"/>
        </w:rPr>
        <w:fldChar w:fldCharType="separate"/>
      </w:r>
      <w:r>
        <w:rPr>
          <w:rFonts w:hint="eastAsia" w:ascii="宋体" w:hAnsi="宋体" w:cs="宋体"/>
          <w:sz w:val="24"/>
          <w:highlight w:val="none"/>
        </w:rPr>
        <w:t>②</w:t>
      </w:r>
      <w:r>
        <w:rPr>
          <w:rFonts w:hint="eastAsia" w:ascii="宋体" w:hAnsi="宋体" w:cs="宋体"/>
          <w:sz w:val="24"/>
          <w:highlight w:val="none"/>
        </w:rPr>
        <w:fldChar w:fldCharType="end"/>
      </w:r>
      <w:r>
        <w:rPr>
          <w:rFonts w:hint="eastAsia" w:ascii="宋体" w:hAnsi="宋体" w:cs="宋体"/>
          <w:sz w:val="24"/>
          <w:highlight w:val="none"/>
        </w:rPr>
        <w:t>数字输出模块（DO）</w:t>
      </w:r>
    </w:p>
    <w:p w14:paraId="1C31BF7C">
      <w:pPr>
        <w:spacing w:line="440" w:lineRule="exact"/>
        <w:ind w:firstLine="480" w:firstLineChars="200"/>
        <w:rPr>
          <w:rFonts w:ascii="宋体" w:hAnsi="宋体" w:cs="宋体"/>
          <w:sz w:val="24"/>
          <w:highlight w:val="none"/>
        </w:rPr>
      </w:pPr>
      <w:r>
        <w:rPr>
          <w:rFonts w:hint="eastAsia" w:ascii="宋体" w:hAnsi="宋体" w:cs="宋体"/>
          <w:sz w:val="24"/>
          <w:highlight w:val="none"/>
        </w:rPr>
        <w:t>输入电压：24VDC</w:t>
      </w:r>
    </w:p>
    <w:p w14:paraId="62BAA575">
      <w:pPr>
        <w:spacing w:line="440" w:lineRule="exact"/>
        <w:ind w:firstLine="480" w:firstLineChars="200"/>
        <w:rPr>
          <w:rFonts w:ascii="宋体" w:hAnsi="宋体" w:cs="宋体"/>
          <w:sz w:val="24"/>
          <w:highlight w:val="none"/>
        </w:rPr>
      </w:pPr>
      <w:r>
        <w:rPr>
          <w:rFonts w:hint="eastAsia" w:ascii="宋体" w:hAnsi="宋体" w:cs="宋体"/>
          <w:sz w:val="24"/>
          <w:highlight w:val="none"/>
        </w:rPr>
        <w:t>输入点数：16、32点</w:t>
      </w:r>
    </w:p>
    <w:p w14:paraId="421D77FE">
      <w:pPr>
        <w:spacing w:line="440" w:lineRule="exact"/>
        <w:ind w:firstLine="480" w:firstLineChars="200"/>
        <w:rPr>
          <w:rFonts w:ascii="宋体" w:hAnsi="宋体" w:cs="宋体"/>
          <w:sz w:val="24"/>
          <w:highlight w:val="none"/>
        </w:rPr>
      </w:pPr>
      <w:r>
        <w:rPr>
          <w:rFonts w:hint="eastAsia" w:ascii="宋体" w:hAnsi="宋体" w:cs="宋体"/>
          <w:sz w:val="24"/>
          <w:highlight w:val="none"/>
        </w:rPr>
        <w:t>具有光电隔离功能，每个输入点有对应的运行状态指示</w:t>
      </w:r>
    </w:p>
    <w:p w14:paraId="7CC06949">
      <w:pPr>
        <w:spacing w:line="440" w:lineRule="exact"/>
        <w:ind w:firstLine="480" w:firstLineChars="200"/>
        <w:rPr>
          <w:rFonts w:ascii="宋体" w:hAnsi="宋体" w:cs="宋体"/>
          <w:sz w:val="24"/>
          <w:highlight w:val="none"/>
        </w:rPr>
      </w:pPr>
      <w:r>
        <w:rPr>
          <w:rFonts w:hint="eastAsia" w:ascii="宋体" w:hAnsi="宋体" w:cs="宋体"/>
          <w:sz w:val="24"/>
          <w:highlight w:val="none"/>
        </w:rPr>
        <w:t>连接方式：采用可拆卸式端子排或接线器连接</w:t>
      </w:r>
    </w:p>
    <w:p w14:paraId="09D9A85D">
      <w:pPr>
        <w:spacing w:line="440" w:lineRule="exact"/>
        <w:ind w:firstLine="480" w:firstLineChars="200"/>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w:instrText>
      </w:r>
      <w:r>
        <w:rPr>
          <w:rFonts w:hint="eastAsia" w:ascii="宋体" w:hAnsi="宋体" w:cs="宋体"/>
          <w:sz w:val="24"/>
          <w:highlight w:val="none"/>
        </w:rPr>
        <w:fldChar w:fldCharType="separate"/>
      </w:r>
      <w:r>
        <w:rPr>
          <w:rFonts w:hint="eastAsia" w:ascii="宋体" w:hAnsi="宋体" w:cs="宋体"/>
          <w:sz w:val="24"/>
          <w:highlight w:val="none"/>
        </w:rPr>
        <w:t>③</w:t>
      </w:r>
      <w:r>
        <w:rPr>
          <w:rFonts w:hint="eastAsia" w:ascii="宋体" w:hAnsi="宋体" w:cs="宋体"/>
          <w:sz w:val="24"/>
          <w:highlight w:val="none"/>
        </w:rPr>
        <w:fldChar w:fldCharType="end"/>
      </w:r>
      <w:r>
        <w:rPr>
          <w:rFonts w:hint="eastAsia" w:ascii="宋体" w:hAnsi="宋体" w:cs="宋体"/>
          <w:sz w:val="24"/>
          <w:highlight w:val="none"/>
        </w:rPr>
        <w:t>模拟输入模块（AI）</w:t>
      </w:r>
    </w:p>
    <w:p w14:paraId="77E4723E">
      <w:pPr>
        <w:spacing w:line="440" w:lineRule="exact"/>
        <w:ind w:firstLine="480" w:firstLineChars="200"/>
        <w:rPr>
          <w:rFonts w:ascii="宋体" w:hAnsi="宋体" w:cs="宋体"/>
          <w:sz w:val="24"/>
          <w:highlight w:val="none"/>
        </w:rPr>
      </w:pPr>
      <w:r>
        <w:rPr>
          <w:rFonts w:hint="eastAsia" w:ascii="宋体" w:hAnsi="宋体" w:cs="宋体"/>
          <w:sz w:val="24"/>
          <w:highlight w:val="none"/>
        </w:rPr>
        <w:t>输入点数：8、16点</w:t>
      </w:r>
    </w:p>
    <w:p w14:paraId="7B70FC95">
      <w:pPr>
        <w:spacing w:line="440" w:lineRule="exact"/>
        <w:ind w:firstLine="480" w:firstLineChars="200"/>
        <w:rPr>
          <w:rFonts w:ascii="宋体" w:hAnsi="宋体" w:cs="宋体"/>
          <w:sz w:val="24"/>
          <w:highlight w:val="none"/>
        </w:rPr>
      </w:pPr>
      <w:r>
        <w:rPr>
          <w:rFonts w:hint="eastAsia" w:ascii="宋体" w:hAnsi="宋体" w:cs="宋体"/>
          <w:sz w:val="24"/>
          <w:highlight w:val="none"/>
        </w:rPr>
        <w:t>输入范围：4-20mA</w:t>
      </w:r>
    </w:p>
    <w:p w14:paraId="3A128E7D">
      <w:pPr>
        <w:spacing w:line="440" w:lineRule="exact"/>
        <w:ind w:firstLine="480" w:firstLineChars="200"/>
        <w:rPr>
          <w:rFonts w:ascii="宋体" w:hAnsi="宋体" w:cs="宋体"/>
          <w:sz w:val="24"/>
          <w:highlight w:val="none"/>
        </w:rPr>
      </w:pPr>
      <w:r>
        <w:rPr>
          <w:rFonts w:hint="eastAsia" w:ascii="宋体" w:hAnsi="宋体" w:cs="宋体"/>
          <w:sz w:val="24"/>
          <w:highlight w:val="none"/>
        </w:rPr>
        <w:t>转换速度：≤12ms/点</w:t>
      </w:r>
    </w:p>
    <w:p w14:paraId="1D5CFF97">
      <w:pPr>
        <w:spacing w:line="440" w:lineRule="exact"/>
        <w:ind w:firstLine="480" w:firstLineChars="200"/>
        <w:rPr>
          <w:rFonts w:ascii="宋体" w:hAnsi="宋体" w:cs="宋体"/>
          <w:sz w:val="24"/>
          <w:highlight w:val="none"/>
        </w:rPr>
      </w:pPr>
      <w:r>
        <w:rPr>
          <w:rFonts w:hint="eastAsia" w:ascii="宋体" w:hAnsi="宋体" w:cs="宋体"/>
          <w:sz w:val="24"/>
          <w:highlight w:val="none"/>
        </w:rPr>
        <w:t>精度（25℃）≤0.25%满量程</w:t>
      </w:r>
    </w:p>
    <w:p w14:paraId="0BC00B4D">
      <w:pPr>
        <w:spacing w:line="440" w:lineRule="exact"/>
        <w:ind w:firstLine="480" w:firstLineChars="200"/>
        <w:rPr>
          <w:rFonts w:ascii="宋体" w:hAnsi="宋体" w:cs="宋体"/>
          <w:sz w:val="24"/>
          <w:highlight w:val="none"/>
        </w:rPr>
      </w:pPr>
      <w:r>
        <w:rPr>
          <w:rFonts w:hint="eastAsia" w:ascii="宋体" w:hAnsi="宋体" w:cs="宋体"/>
          <w:sz w:val="24"/>
          <w:highlight w:val="none"/>
        </w:rPr>
        <w:t>连接方式：采用可拆卸式端子排或接线器连接</w:t>
      </w:r>
    </w:p>
    <w:p w14:paraId="2768974A">
      <w:pPr>
        <w:spacing w:line="440" w:lineRule="exact"/>
        <w:ind w:firstLine="480" w:firstLineChars="200"/>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4 \* GB3 </w:instrText>
      </w:r>
      <w:r>
        <w:rPr>
          <w:rFonts w:hint="eastAsia" w:ascii="宋体" w:hAnsi="宋体" w:cs="宋体"/>
          <w:sz w:val="24"/>
          <w:highlight w:val="none"/>
        </w:rPr>
        <w:fldChar w:fldCharType="separate"/>
      </w:r>
      <w:r>
        <w:rPr>
          <w:rFonts w:hint="eastAsia" w:ascii="宋体" w:hAnsi="宋体" w:cs="宋体"/>
          <w:sz w:val="24"/>
          <w:highlight w:val="none"/>
        </w:rPr>
        <w:t>④</w:t>
      </w:r>
      <w:r>
        <w:rPr>
          <w:rFonts w:hint="eastAsia" w:ascii="宋体" w:hAnsi="宋体" w:cs="宋体"/>
          <w:sz w:val="24"/>
          <w:highlight w:val="none"/>
        </w:rPr>
        <w:fldChar w:fldCharType="end"/>
      </w:r>
      <w:r>
        <w:rPr>
          <w:rFonts w:hint="eastAsia" w:ascii="宋体" w:hAnsi="宋体" w:cs="宋体"/>
          <w:sz w:val="24"/>
          <w:highlight w:val="none"/>
        </w:rPr>
        <w:t>模拟输出模块（AO）</w:t>
      </w:r>
    </w:p>
    <w:p w14:paraId="0114ED95">
      <w:pPr>
        <w:spacing w:line="440" w:lineRule="exact"/>
        <w:ind w:firstLine="480" w:firstLineChars="200"/>
        <w:rPr>
          <w:rFonts w:ascii="宋体" w:hAnsi="宋体" w:cs="宋体"/>
          <w:sz w:val="24"/>
          <w:highlight w:val="none"/>
        </w:rPr>
      </w:pPr>
      <w:r>
        <w:rPr>
          <w:rFonts w:hint="eastAsia" w:ascii="宋体" w:hAnsi="宋体" w:cs="宋体"/>
          <w:sz w:val="24"/>
          <w:highlight w:val="none"/>
        </w:rPr>
        <w:t>输出点数：4、8点</w:t>
      </w:r>
    </w:p>
    <w:p w14:paraId="086B0AAE">
      <w:pPr>
        <w:spacing w:line="440" w:lineRule="exact"/>
        <w:ind w:firstLine="480" w:firstLineChars="200"/>
        <w:rPr>
          <w:rFonts w:ascii="宋体" w:hAnsi="宋体" w:cs="宋体"/>
          <w:sz w:val="24"/>
          <w:highlight w:val="none"/>
        </w:rPr>
      </w:pPr>
      <w:r>
        <w:rPr>
          <w:rFonts w:hint="eastAsia" w:ascii="宋体" w:hAnsi="宋体" w:cs="宋体"/>
          <w:sz w:val="24"/>
          <w:highlight w:val="none"/>
        </w:rPr>
        <w:t>输出范围：4-20mA</w:t>
      </w:r>
    </w:p>
    <w:p w14:paraId="0CD1DCEC">
      <w:pPr>
        <w:spacing w:line="440" w:lineRule="exact"/>
        <w:ind w:firstLine="480" w:firstLineChars="200"/>
        <w:rPr>
          <w:rFonts w:ascii="宋体" w:hAnsi="宋体" w:cs="宋体"/>
          <w:sz w:val="24"/>
          <w:highlight w:val="none"/>
        </w:rPr>
      </w:pPr>
      <w:r>
        <w:rPr>
          <w:rFonts w:hint="eastAsia" w:ascii="宋体" w:hAnsi="宋体" w:cs="宋体"/>
          <w:sz w:val="24"/>
          <w:highlight w:val="none"/>
        </w:rPr>
        <w:t>转换速度：≤12ms/点</w:t>
      </w:r>
    </w:p>
    <w:p w14:paraId="23179877">
      <w:pPr>
        <w:spacing w:line="440" w:lineRule="exact"/>
        <w:ind w:firstLine="480" w:firstLineChars="200"/>
        <w:rPr>
          <w:rFonts w:ascii="宋体" w:hAnsi="宋体" w:cs="宋体"/>
          <w:sz w:val="24"/>
          <w:highlight w:val="none"/>
        </w:rPr>
      </w:pPr>
      <w:r>
        <w:rPr>
          <w:rFonts w:hint="eastAsia" w:ascii="宋体" w:hAnsi="宋体" w:cs="宋体"/>
          <w:sz w:val="24"/>
          <w:highlight w:val="none"/>
        </w:rPr>
        <w:t>精度（25℃）≤0.25%满量程</w:t>
      </w:r>
    </w:p>
    <w:p w14:paraId="38E1E99A">
      <w:pPr>
        <w:spacing w:line="440" w:lineRule="exact"/>
        <w:ind w:firstLine="480" w:firstLineChars="200"/>
        <w:rPr>
          <w:rFonts w:ascii="宋体" w:hAnsi="宋体" w:cs="宋体"/>
          <w:sz w:val="24"/>
          <w:highlight w:val="none"/>
        </w:rPr>
      </w:pPr>
      <w:r>
        <w:rPr>
          <w:rFonts w:hint="eastAsia" w:ascii="宋体" w:hAnsi="宋体" w:cs="宋体"/>
          <w:sz w:val="24"/>
          <w:highlight w:val="none"/>
        </w:rPr>
        <w:t>连接方式：采用可拆卸式端子排或接线器连接</w:t>
      </w:r>
    </w:p>
    <w:p w14:paraId="262859F3">
      <w:pPr>
        <w:spacing w:line="440" w:lineRule="exact"/>
        <w:ind w:firstLine="482" w:firstLineChars="200"/>
        <w:rPr>
          <w:rFonts w:ascii="宋体" w:hAnsi="宋体" w:cs="宋体"/>
          <w:b/>
          <w:sz w:val="24"/>
          <w:highlight w:val="none"/>
        </w:rPr>
      </w:pPr>
      <w:r>
        <w:rPr>
          <w:rFonts w:hint="eastAsia" w:ascii="宋体" w:hAnsi="宋体" w:cs="宋体"/>
          <w:b/>
          <w:sz w:val="24"/>
          <w:highlight w:val="none"/>
        </w:rPr>
        <w:t>11.3 PLC控制功能要求</w:t>
      </w:r>
    </w:p>
    <w:p w14:paraId="3302C2C3">
      <w:pPr>
        <w:spacing w:line="440" w:lineRule="exact"/>
        <w:ind w:firstLine="480" w:firstLineChars="200"/>
        <w:rPr>
          <w:rFonts w:ascii="宋体" w:hAnsi="宋体" w:cs="宋体"/>
          <w:sz w:val="24"/>
          <w:highlight w:val="none"/>
        </w:rPr>
      </w:pPr>
      <w:r>
        <w:rPr>
          <w:rFonts w:hint="eastAsia" w:ascii="宋体" w:hAnsi="宋体" w:cs="宋体"/>
          <w:sz w:val="24"/>
          <w:highlight w:val="none"/>
        </w:rPr>
        <w:t>具有实时监测生产过程参数：压力、流量、液位等，水质参数：温度、浊度、PH 值、余氯等，并对采集的参数进行处理同时供上位机储存、显示功能。</w:t>
      </w:r>
    </w:p>
    <w:p w14:paraId="06F98595">
      <w:pPr>
        <w:spacing w:line="440" w:lineRule="exact"/>
        <w:ind w:firstLine="480" w:firstLineChars="200"/>
        <w:rPr>
          <w:rFonts w:ascii="宋体" w:hAnsi="宋体" w:cs="宋体"/>
          <w:sz w:val="24"/>
          <w:highlight w:val="none"/>
        </w:rPr>
      </w:pPr>
      <w:r>
        <w:rPr>
          <w:rFonts w:hint="eastAsia" w:ascii="宋体" w:hAnsi="宋体" w:cs="宋体"/>
          <w:sz w:val="24"/>
          <w:highlight w:val="none"/>
        </w:rPr>
        <w:t>具有实时监测主要设备的运行状态，并对其进行采集、处理同时供上位机储存、显示功能。</w:t>
      </w:r>
    </w:p>
    <w:p w14:paraId="3806C7E1">
      <w:pPr>
        <w:spacing w:line="440" w:lineRule="exact"/>
        <w:ind w:firstLine="480" w:firstLineChars="200"/>
        <w:rPr>
          <w:rFonts w:ascii="宋体" w:hAnsi="宋体" w:cs="宋体"/>
          <w:sz w:val="24"/>
          <w:highlight w:val="none"/>
        </w:rPr>
      </w:pPr>
      <w:r>
        <w:rPr>
          <w:rFonts w:hint="eastAsia" w:ascii="宋体" w:hAnsi="宋体" w:cs="宋体"/>
          <w:sz w:val="24"/>
          <w:highlight w:val="none"/>
        </w:rPr>
        <w:t>具有全自动控制或调节水泵、阀门等设备功能。</w:t>
      </w:r>
    </w:p>
    <w:p w14:paraId="04C65DF4">
      <w:pPr>
        <w:spacing w:line="440" w:lineRule="exact"/>
        <w:ind w:firstLine="480" w:firstLineChars="200"/>
        <w:rPr>
          <w:rFonts w:ascii="宋体" w:hAnsi="宋体" w:cs="宋体"/>
          <w:sz w:val="24"/>
          <w:highlight w:val="none"/>
        </w:rPr>
      </w:pPr>
      <w:r>
        <w:rPr>
          <w:rFonts w:hint="eastAsia" w:ascii="宋体" w:hAnsi="宋体" w:cs="宋体"/>
          <w:sz w:val="24"/>
          <w:highlight w:val="none"/>
        </w:rPr>
        <w:t>具有自动进行越限保护处理，和设备故障自动进行保护功能。</w:t>
      </w:r>
    </w:p>
    <w:p w14:paraId="2387AB37">
      <w:pPr>
        <w:spacing w:line="440" w:lineRule="exact"/>
        <w:ind w:firstLine="480" w:firstLineChars="200"/>
        <w:rPr>
          <w:rFonts w:ascii="宋体" w:hAnsi="宋体" w:cs="宋体"/>
          <w:sz w:val="24"/>
          <w:highlight w:val="none"/>
        </w:rPr>
      </w:pPr>
      <w:r>
        <w:rPr>
          <w:rFonts w:hint="eastAsia" w:ascii="宋体" w:hAnsi="宋体" w:cs="宋体"/>
          <w:sz w:val="24"/>
          <w:highlight w:val="none"/>
        </w:rPr>
        <w:t>对于自带PLC的设备，需具有过电流预警功能，和设备故障自动进行保护。</w:t>
      </w:r>
    </w:p>
    <w:p w14:paraId="17FA74C4">
      <w:pPr>
        <w:spacing w:line="440" w:lineRule="exact"/>
        <w:ind w:firstLine="480" w:firstLineChars="200"/>
        <w:rPr>
          <w:rFonts w:ascii="宋体" w:hAnsi="宋体" w:cs="宋体"/>
          <w:sz w:val="24"/>
          <w:highlight w:val="none"/>
        </w:rPr>
      </w:pPr>
      <w:r>
        <w:rPr>
          <w:rFonts w:hint="eastAsia" w:ascii="宋体" w:hAnsi="宋体" w:cs="宋体"/>
          <w:sz w:val="24"/>
          <w:highlight w:val="none"/>
        </w:rPr>
        <w:t>对上位机的错误指令进行屏蔽处理功能。</w:t>
      </w:r>
    </w:p>
    <w:p w14:paraId="7EFE67D1">
      <w:pPr>
        <w:spacing w:line="440" w:lineRule="exact"/>
        <w:ind w:firstLine="480" w:firstLineChars="200"/>
        <w:rPr>
          <w:rFonts w:ascii="宋体" w:hAnsi="宋体" w:cs="宋体"/>
          <w:sz w:val="24"/>
          <w:highlight w:val="none"/>
        </w:rPr>
      </w:pPr>
      <w:r>
        <w:rPr>
          <w:rFonts w:hint="eastAsia" w:ascii="宋体" w:hAnsi="宋体" w:cs="宋体"/>
          <w:sz w:val="24"/>
          <w:highlight w:val="none"/>
        </w:rPr>
        <w:t>用户能自行根据工艺或其它因素的变化进行系统组态功能。</w:t>
      </w:r>
    </w:p>
    <w:p w14:paraId="1A7CAE4F">
      <w:pPr>
        <w:spacing w:line="440" w:lineRule="exact"/>
        <w:ind w:firstLine="480" w:firstLineChars="200"/>
        <w:rPr>
          <w:rFonts w:ascii="宋体" w:hAnsi="宋体" w:cs="宋体"/>
          <w:sz w:val="24"/>
          <w:highlight w:val="none"/>
        </w:rPr>
      </w:pPr>
      <w:r>
        <w:rPr>
          <w:rFonts w:hint="eastAsia" w:ascii="宋体" w:hAnsi="宋体" w:cs="宋体"/>
          <w:sz w:val="24"/>
          <w:highlight w:val="none"/>
        </w:rPr>
        <w:t>具有可靠的安全措施，具有保护口令，防止越权修改程序。</w:t>
      </w:r>
    </w:p>
    <w:p w14:paraId="6B35D8B1">
      <w:pPr>
        <w:spacing w:line="440" w:lineRule="exact"/>
        <w:ind w:firstLine="480" w:firstLineChars="200"/>
        <w:rPr>
          <w:rFonts w:ascii="宋体" w:hAnsi="宋体" w:cs="宋体"/>
          <w:sz w:val="24"/>
          <w:highlight w:val="none"/>
        </w:rPr>
      </w:pPr>
      <w:r>
        <w:rPr>
          <w:rFonts w:hint="eastAsia" w:ascii="宋体" w:hAnsi="宋体" w:cs="宋体"/>
          <w:sz w:val="24"/>
          <w:highlight w:val="none"/>
        </w:rPr>
        <w:t>系统具有较强的自检功能和故障自恢复功能，能够承受运行中的各种干扰。</w:t>
      </w:r>
    </w:p>
    <w:p w14:paraId="3A0362E6">
      <w:pPr>
        <w:spacing w:line="440" w:lineRule="exact"/>
        <w:ind w:firstLine="482" w:firstLineChars="200"/>
        <w:rPr>
          <w:rFonts w:ascii="宋体" w:hAnsi="宋体" w:cs="宋体"/>
          <w:b/>
          <w:sz w:val="24"/>
          <w:highlight w:val="none"/>
        </w:rPr>
      </w:pPr>
      <w:r>
        <w:rPr>
          <w:rFonts w:hint="eastAsia" w:ascii="宋体" w:hAnsi="宋体" w:cs="宋体"/>
          <w:b/>
          <w:sz w:val="24"/>
          <w:highlight w:val="none"/>
        </w:rPr>
        <w:t>11.4 PLC网络要求</w:t>
      </w:r>
    </w:p>
    <w:p w14:paraId="4AF65987">
      <w:pPr>
        <w:spacing w:line="440" w:lineRule="exact"/>
        <w:ind w:firstLine="480" w:firstLineChars="200"/>
        <w:rPr>
          <w:rFonts w:ascii="宋体" w:hAnsi="宋体" w:cs="宋体"/>
          <w:sz w:val="24"/>
          <w:highlight w:val="none"/>
        </w:rPr>
      </w:pPr>
      <w:r>
        <w:rPr>
          <w:rFonts w:hint="eastAsia" w:ascii="宋体" w:hAnsi="宋体" w:cs="宋体"/>
          <w:sz w:val="24"/>
          <w:highlight w:val="none"/>
        </w:rPr>
        <w:t>（1）PLC控制层网络采用100Mbps工业以太网络，该网络应具有以下功能：</w:t>
      </w:r>
    </w:p>
    <w:p w14:paraId="332348BB">
      <w:pPr>
        <w:spacing w:line="440" w:lineRule="exact"/>
        <w:ind w:firstLine="480" w:firstLineChars="200"/>
        <w:rPr>
          <w:rFonts w:ascii="宋体" w:hAnsi="宋体" w:cs="宋体"/>
          <w:sz w:val="24"/>
          <w:highlight w:val="none"/>
        </w:rPr>
      </w:pPr>
      <w:r>
        <w:rPr>
          <w:rFonts w:hint="eastAsia" w:ascii="宋体" w:hAnsi="宋体" w:cs="宋体"/>
          <w:sz w:val="24"/>
          <w:highlight w:val="none"/>
        </w:rPr>
        <w:t>100Mbps通讯速率：即对每个具有IP 地址的设备，均有100Mbps的通讯速率；</w:t>
      </w:r>
    </w:p>
    <w:p w14:paraId="5F5AD8BA">
      <w:pPr>
        <w:spacing w:line="440" w:lineRule="exact"/>
        <w:ind w:firstLine="480" w:firstLineChars="200"/>
        <w:rPr>
          <w:rFonts w:ascii="宋体" w:hAnsi="宋体" w:cs="宋体"/>
          <w:sz w:val="24"/>
          <w:highlight w:val="none"/>
        </w:rPr>
      </w:pPr>
      <w:r>
        <w:rPr>
          <w:rFonts w:hint="eastAsia" w:ascii="宋体" w:hAnsi="宋体" w:cs="宋体"/>
          <w:sz w:val="24"/>
          <w:highlight w:val="none"/>
        </w:rPr>
        <w:t>信息传输是全双工方式，收发同时进行；</w:t>
      </w:r>
    </w:p>
    <w:p w14:paraId="4F749E4F">
      <w:pPr>
        <w:spacing w:line="440" w:lineRule="exact"/>
        <w:ind w:firstLine="480" w:firstLineChars="200"/>
        <w:rPr>
          <w:rFonts w:ascii="宋体" w:hAnsi="宋体" w:cs="宋体"/>
          <w:sz w:val="24"/>
          <w:highlight w:val="none"/>
        </w:rPr>
      </w:pPr>
      <w:r>
        <w:rPr>
          <w:rFonts w:hint="eastAsia" w:ascii="宋体" w:hAnsi="宋体" w:cs="宋体"/>
          <w:sz w:val="24"/>
          <w:highlight w:val="none"/>
        </w:rPr>
        <w:t>工业级的以太网，具有高可靠性，高安全性；</w:t>
      </w:r>
    </w:p>
    <w:p w14:paraId="0F5BB63A">
      <w:pPr>
        <w:spacing w:line="440" w:lineRule="exact"/>
        <w:ind w:firstLine="480" w:firstLineChars="200"/>
        <w:rPr>
          <w:rFonts w:ascii="宋体" w:hAnsi="宋体" w:cs="宋体"/>
          <w:sz w:val="24"/>
          <w:highlight w:val="none"/>
        </w:rPr>
      </w:pPr>
      <w:r>
        <w:rPr>
          <w:rFonts w:hint="eastAsia" w:ascii="宋体" w:hAnsi="宋体" w:cs="宋体"/>
          <w:sz w:val="24"/>
          <w:highlight w:val="none"/>
        </w:rPr>
        <w:t>应具有功能齐全网络管理功能，报警功能，历史记录，分析等功能，网络运行稳定可靠；</w:t>
      </w:r>
    </w:p>
    <w:p w14:paraId="786F94DD">
      <w:pPr>
        <w:spacing w:line="440" w:lineRule="exact"/>
        <w:ind w:firstLine="480" w:firstLineChars="200"/>
        <w:rPr>
          <w:rFonts w:ascii="宋体" w:hAnsi="宋体" w:cs="宋体"/>
          <w:sz w:val="24"/>
          <w:highlight w:val="none"/>
        </w:rPr>
      </w:pPr>
      <w:r>
        <w:rPr>
          <w:rFonts w:hint="eastAsia" w:ascii="宋体" w:hAnsi="宋体" w:cs="宋体"/>
          <w:sz w:val="24"/>
          <w:highlight w:val="none"/>
        </w:rPr>
        <w:t>网络的运行软件易升级；</w:t>
      </w:r>
    </w:p>
    <w:p w14:paraId="41E7E610">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网络兼容性强，凡遵循TCP/IP 协议的设备都可入网，网络易于扩展； </w:t>
      </w:r>
    </w:p>
    <w:p w14:paraId="4D68842D">
      <w:pPr>
        <w:spacing w:line="440" w:lineRule="exact"/>
        <w:ind w:firstLine="480" w:firstLineChars="200"/>
        <w:rPr>
          <w:rFonts w:ascii="宋体" w:hAnsi="宋体" w:cs="宋体"/>
          <w:sz w:val="24"/>
          <w:highlight w:val="none"/>
        </w:rPr>
      </w:pPr>
      <w:r>
        <w:rPr>
          <w:rFonts w:hint="eastAsia" w:ascii="宋体" w:hAnsi="宋体" w:cs="宋体"/>
          <w:sz w:val="24"/>
          <w:highlight w:val="none"/>
        </w:rPr>
        <w:t>（2）PLC现场层网络采用Modbus/Profibus等现场总线，与智能电量表、温度巡检仪等设备通讯，实时采集水泵机组全电量参数、电机绕组温度、轴承温度等参数，同时供上位机储存、显示。</w:t>
      </w:r>
    </w:p>
    <w:p w14:paraId="61FCFAF2">
      <w:pPr>
        <w:spacing w:line="440" w:lineRule="exact"/>
        <w:ind w:firstLine="482" w:firstLineChars="200"/>
        <w:rPr>
          <w:rFonts w:ascii="宋体" w:hAnsi="宋体" w:cs="宋体"/>
          <w:b/>
          <w:sz w:val="24"/>
          <w:highlight w:val="none"/>
        </w:rPr>
      </w:pPr>
      <w:r>
        <w:rPr>
          <w:rFonts w:hint="eastAsia" w:ascii="宋体" w:hAnsi="宋体" w:cs="宋体"/>
          <w:b/>
          <w:sz w:val="24"/>
          <w:highlight w:val="none"/>
        </w:rPr>
        <w:t>12、电动调节型蝶阀</w:t>
      </w:r>
    </w:p>
    <w:p w14:paraId="3DE2636F">
      <w:pPr>
        <w:spacing w:line="440" w:lineRule="exact"/>
        <w:ind w:firstLine="480" w:firstLineChars="200"/>
        <w:rPr>
          <w:rFonts w:ascii="宋体" w:hAnsi="宋体" w:cs="宋体"/>
          <w:sz w:val="24"/>
          <w:highlight w:val="none"/>
        </w:rPr>
      </w:pPr>
      <w:r>
        <w:rPr>
          <w:rFonts w:hint="eastAsia" w:ascii="宋体" w:hAnsi="宋体" w:cs="宋体"/>
          <w:sz w:val="24"/>
          <w:highlight w:val="none"/>
        </w:rPr>
        <w:t>12.1、蝶阀本体应符合《4、手动蝶阀》对阀门的各项要求</w:t>
      </w:r>
    </w:p>
    <w:p w14:paraId="4149D43E">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12.2、电动执行机构的要求 </w:t>
      </w:r>
    </w:p>
    <w:p w14:paraId="438B532C">
      <w:pPr>
        <w:spacing w:line="440" w:lineRule="exact"/>
        <w:ind w:firstLine="480" w:firstLineChars="200"/>
        <w:rPr>
          <w:rFonts w:ascii="宋体" w:hAnsi="宋体" w:cs="宋体"/>
          <w:sz w:val="24"/>
          <w:highlight w:val="none"/>
        </w:rPr>
      </w:pPr>
      <w:r>
        <w:rPr>
          <w:rFonts w:hint="eastAsia" w:ascii="宋体" w:hAnsi="宋体" w:cs="宋体"/>
          <w:sz w:val="24"/>
          <w:highlight w:val="none"/>
        </w:rPr>
        <w:t>（1）电动执行机构结构形式智能一体化产品，工作方式为开关型。</w:t>
      </w:r>
    </w:p>
    <w:p w14:paraId="4C4C596A">
      <w:pPr>
        <w:spacing w:line="440" w:lineRule="exact"/>
        <w:ind w:firstLine="480" w:firstLineChars="200"/>
        <w:rPr>
          <w:rFonts w:ascii="宋体" w:hAnsi="宋体" w:cs="宋体"/>
          <w:sz w:val="24"/>
          <w:highlight w:val="none"/>
        </w:rPr>
      </w:pPr>
      <w:r>
        <w:rPr>
          <w:rFonts w:hint="eastAsia" w:ascii="宋体" w:hAnsi="宋体" w:cs="宋体"/>
          <w:sz w:val="24"/>
          <w:highlight w:val="none"/>
        </w:rPr>
        <w:t>（2）电动执行机构支持遥控操作，中文菜单。</w:t>
      </w:r>
    </w:p>
    <w:p w14:paraId="0858A16C">
      <w:pPr>
        <w:spacing w:line="440" w:lineRule="exact"/>
        <w:ind w:firstLine="480" w:firstLineChars="200"/>
        <w:rPr>
          <w:rFonts w:ascii="宋体" w:hAnsi="宋体" w:cs="宋体"/>
          <w:sz w:val="24"/>
          <w:highlight w:val="none"/>
        </w:rPr>
      </w:pPr>
      <w:r>
        <w:rPr>
          <w:rFonts w:hint="eastAsia" w:ascii="宋体" w:hAnsi="宋体" w:cs="宋体"/>
          <w:sz w:val="24"/>
          <w:highlight w:val="none"/>
        </w:rPr>
        <w:t>（3）电动执行机构具有相序检测和调整功能，可防止因接线错误而损坏阀门。</w:t>
      </w:r>
    </w:p>
    <w:p w14:paraId="4657DB52">
      <w:pPr>
        <w:spacing w:line="440" w:lineRule="exact"/>
        <w:ind w:firstLine="480" w:firstLineChars="200"/>
        <w:rPr>
          <w:rFonts w:ascii="宋体" w:hAnsi="宋体" w:cs="宋体"/>
          <w:sz w:val="24"/>
          <w:highlight w:val="none"/>
        </w:rPr>
      </w:pPr>
      <w:r>
        <w:rPr>
          <w:rFonts w:hint="eastAsia" w:ascii="宋体" w:hAnsi="宋体" w:cs="宋体"/>
          <w:sz w:val="24"/>
          <w:highlight w:val="none"/>
        </w:rPr>
        <w:t>（4）电动执行机构带有实时时钟功能，能够存储执行机构事件信息及发生事件的时间；</w:t>
      </w:r>
    </w:p>
    <w:p w14:paraId="1F4DD5A4">
      <w:pPr>
        <w:spacing w:line="440" w:lineRule="exact"/>
        <w:ind w:firstLine="480" w:firstLineChars="200"/>
        <w:rPr>
          <w:rFonts w:ascii="宋体" w:hAnsi="宋体" w:cs="宋体"/>
          <w:sz w:val="24"/>
          <w:highlight w:val="none"/>
        </w:rPr>
      </w:pPr>
      <w:r>
        <w:rPr>
          <w:rFonts w:hint="eastAsia" w:ascii="宋体" w:hAnsi="宋体" w:cs="宋体"/>
          <w:sz w:val="24"/>
          <w:highlight w:val="none"/>
        </w:rPr>
        <w:t>（5）电动执行机构具备自动自检测和诊断功能。</w:t>
      </w:r>
    </w:p>
    <w:p w14:paraId="43D93CC0">
      <w:pPr>
        <w:spacing w:line="440" w:lineRule="exact"/>
        <w:ind w:firstLine="480" w:firstLineChars="200"/>
        <w:rPr>
          <w:rFonts w:ascii="宋体" w:hAnsi="宋体" w:cs="宋体"/>
          <w:sz w:val="24"/>
          <w:highlight w:val="none"/>
        </w:rPr>
      </w:pPr>
      <w:r>
        <w:rPr>
          <w:rFonts w:hint="eastAsia" w:ascii="宋体" w:hAnsi="宋体" w:cs="宋体"/>
          <w:sz w:val="24"/>
          <w:highlight w:val="none"/>
        </w:rPr>
        <w:t>（6）电动执行机构达到IP68防护等级。</w:t>
      </w:r>
    </w:p>
    <w:p w14:paraId="277AF1F3">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（7）电动执行机构本体配置手轮和就地/远方切换开关。手轮的布置有利于现场人员的调试与维护。在电动操作脱开时，无论电机是转动或是静止状态，都能安全的切换到手轮操作位置。 </w:t>
      </w:r>
    </w:p>
    <w:p w14:paraId="5D36C8F3">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（8）在最大不平衡压力下和规定行程时间内，电动执行机构能在开启或关闭方向上良好地操作阀门（启动、加速、运行和停止）。 </w:t>
      </w:r>
    </w:p>
    <w:p w14:paraId="32D34AFB">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（9）电动执行机构配置的三相交流异步电动机具有良好的伺服特性，即具有高的启动转矩倍数，低的启动电流倍数和小的转动惯量，并具有电机的过热保护和断相保护功能。 </w:t>
      </w:r>
    </w:p>
    <w:p w14:paraId="5BAB9744">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（10）电动执行机构其传动部件有足够的刚度和强度，操作机构全行程操作平稳无卡涩、无跳动现象，调整精度高，动作准确。 </w:t>
      </w:r>
    </w:p>
    <w:p w14:paraId="767EAAC3">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（11）电动执行机构开度限位装置可靠，保证无过开过关现象，开度标志明显，开关无空程，并保证开度指示与阀板开度所显示的位置一致。 </w:t>
      </w:r>
    </w:p>
    <w:p w14:paraId="4831E707">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（12）电动执行机构具有结构简单、性能可靠的双向力矩保护装置，确保电动阀门的关闭严密和保护。 </w:t>
      </w:r>
    </w:p>
    <w:p w14:paraId="00C9DD07">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（13）电动执行机构在失去电源或信号时，能保持在失电或失信号前的原位不动，并具有供报警用的输出接点。执行机构过力矩时，应自动切断电机电源，并发出过力矩报警信号。 </w:t>
      </w:r>
    </w:p>
    <w:p w14:paraId="280B086D">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（14）工作环境条件 </w:t>
      </w:r>
    </w:p>
    <w:p w14:paraId="079B7EB6">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环境温度： 电动执行机构：常温 </w:t>
      </w:r>
    </w:p>
    <w:p w14:paraId="36A38E07">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相对湿度： 电动执行机构：＜95％ </w:t>
      </w:r>
    </w:p>
    <w:p w14:paraId="521A7C18">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（15）电源频率：50Hz±1％ </w:t>
      </w:r>
    </w:p>
    <w:p w14:paraId="47CD5961">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电源电压：三相三线：380V±10％ </w:t>
      </w:r>
    </w:p>
    <w:p w14:paraId="025E1A6F">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（16）电动执行机构主要技术指标： </w:t>
      </w:r>
    </w:p>
    <w:p w14:paraId="49BAF97E">
      <w:pPr>
        <w:spacing w:line="440" w:lineRule="exact"/>
        <w:ind w:firstLine="480" w:firstLineChars="200"/>
        <w:rPr>
          <w:rFonts w:ascii="宋体" w:hAnsi="宋体" w:cs="宋体"/>
          <w:sz w:val="24"/>
          <w:highlight w:val="none"/>
        </w:rPr>
      </w:pPr>
      <w:r>
        <w:rPr>
          <w:rFonts w:hint="eastAsia" w:ascii="宋体" w:hAnsi="宋体" w:cs="宋体"/>
          <w:sz w:val="24"/>
          <w:highlight w:val="none"/>
        </w:rPr>
        <w:t xml:space="preserve">基本误差：≤±1.5％ 2回差：≤±1％ </w:t>
      </w:r>
    </w:p>
    <w:p w14:paraId="762ADC43">
      <w:pPr>
        <w:spacing w:line="440" w:lineRule="exact"/>
        <w:ind w:firstLine="480" w:firstLineChars="200"/>
        <w:rPr>
          <w:rFonts w:ascii="宋体" w:hAnsi="宋体" w:cs="宋体"/>
          <w:sz w:val="24"/>
          <w:highlight w:val="none"/>
        </w:rPr>
      </w:pPr>
      <w:r>
        <w:rPr>
          <w:rFonts w:hint="eastAsia" w:ascii="宋体" w:hAnsi="宋体" w:cs="宋体"/>
          <w:sz w:val="24"/>
          <w:highlight w:val="none"/>
        </w:rPr>
        <w:t>全行程时间：≤25s±10％；≤40s±10％</w:t>
      </w:r>
    </w:p>
    <w:p w14:paraId="3BBB7841">
      <w:pPr>
        <w:spacing w:line="440" w:lineRule="exact"/>
        <w:ind w:firstLine="480" w:firstLineChars="200"/>
        <w:rPr>
          <w:rFonts w:ascii="宋体" w:hAnsi="宋体" w:cs="宋体"/>
          <w:sz w:val="24"/>
          <w:highlight w:val="none"/>
        </w:rPr>
      </w:pPr>
      <w:r>
        <w:rPr>
          <w:rFonts w:hint="eastAsia" w:ascii="宋体" w:hAnsi="宋体" w:cs="宋体"/>
          <w:sz w:val="24"/>
          <w:highlight w:val="none"/>
        </w:rPr>
        <w:t>（17）外观</w:t>
      </w:r>
    </w:p>
    <w:p w14:paraId="78D8033E">
      <w:pPr>
        <w:adjustRightInd w:val="0"/>
        <w:snapToGrid w:val="0"/>
        <w:spacing w:line="440" w:lineRule="exact"/>
        <w:ind w:firstLine="480" w:firstLineChars="200"/>
        <w:rPr>
          <w:rFonts w:ascii="宋体" w:hAnsi="宋体" w:cs="宋体"/>
          <w:b/>
          <w:color w:val="000000"/>
          <w:sz w:val="24"/>
          <w:highlight w:val="none"/>
        </w:rPr>
      </w:pPr>
      <w:r>
        <w:rPr>
          <w:rFonts w:hint="eastAsia" w:ascii="宋体" w:hAnsi="宋体" w:cs="宋体"/>
          <w:sz w:val="24"/>
          <w:highlight w:val="none"/>
        </w:rPr>
        <w:t>金属表面涂镀层、面板及铭牌均光滑平整、紧固件牢靠，可动部件灵活可靠。</w:t>
      </w:r>
    </w:p>
    <w:p w14:paraId="5D563F06">
      <w:pPr>
        <w:adjustRightInd w:val="0"/>
        <w:snapToGrid w:val="0"/>
        <w:spacing w:line="440" w:lineRule="exact"/>
        <w:ind w:firstLine="482" w:firstLineChars="200"/>
        <w:rPr>
          <w:rFonts w:ascii="宋体" w:hAnsi="宋体" w:cs="宋体"/>
          <w:b/>
          <w:color w:val="000000"/>
          <w:sz w:val="24"/>
          <w:highlight w:val="none"/>
        </w:rPr>
      </w:pPr>
    </w:p>
    <w:p w14:paraId="0A02BA91">
      <w:pPr>
        <w:adjustRightInd w:val="0"/>
        <w:snapToGrid w:val="0"/>
        <w:spacing w:line="440" w:lineRule="exact"/>
        <w:ind w:firstLine="482" w:firstLineChars="200"/>
        <w:rPr>
          <w:rFonts w:ascii="宋体" w:hAnsi="宋体" w:cs="宋体"/>
          <w:b/>
          <w:color w:val="000000"/>
          <w:sz w:val="24"/>
          <w:highlight w:val="none"/>
          <w:lang w:val="zh-CN"/>
        </w:rPr>
      </w:pPr>
      <w:r>
        <w:rPr>
          <w:rFonts w:hint="eastAsia" w:ascii="宋体" w:hAnsi="宋体" w:cs="宋体"/>
          <w:b/>
          <w:color w:val="000000"/>
          <w:sz w:val="24"/>
          <w:highlight w:val="none"/>
        </w:rPr>
        <w:t>三、质量保证和售后服务要求</w:t>
      </w:r>
    </w:p>
    <w:p w14:paraId="2D69EF04">
      <w:pPr>
        <w:adjustRightInd w:val="0"/>
        <w:snapToGrid w:val="0"/>
        <w:spacing w:line="440" w:lineRule="exact"/>
        <w:ind w:firstLine="482" w:firstLineChars="200"/>
        <w:rPr>
          <w:rFonts w:ascii="宋体" w:hAnsi="宋体" w:cs="宋体"/>
          <w:sz w:val="24"/>
          <w:highlight w:val="none"/>
        </w:rPr>
      </w:pPr>
      <w:r>
        <w:rPr>
          <w:rFonts w:hint="eastAsia" w:ascii="宋体" w:hAnsi="宋体" w:cs="宋体"/>
          <w:b/>
          <w:bCs/>
          <w:color w:val="000000"/>
          <w:sz w:val="24"/>
          <w:highlight w:val="none"/>
        </w:rPr>
        <w:t>▲</w:t>
      </w:r>
      <w:r>
        <w:rPr>
          <w:rFonts w:hint="eastAsia" w:ascii="宋体" w:hAnsi="宋体" w:cs="宋体"/>
          <w:sz w:val="24"/>
          <w:highlight w:val="none"/>
          <w:lang w:val="zh-CN"/>
        </w:rPr>
        <w:t>质保期：</w:t>
      </w:r>
      <w:r>
        <w:rPr>
          <w:rFonts w:hint="eastAsia" w:ascii="宋体" w:hAnsi="宋体" w:cs="宋体"/>
          <w:bCs/>
          <w:sz w:val="24"/>
          <w:highlight w:val="none"/>
        </w:rPr>
        <w:t>不少于2年（自最终验收合格之日开始计算，</w:t>
      </w:r>
      <w:r>
        <w:rPr>
          <w:rFonts w:hint="eastAsia" w:ascii="宋体" w:hAnsi="宋体" w:cs="宋体"/>
          <w:sz w:val="24"/>
          <w:highlight w:val="none"/>
        </w:rPr>
        <w:t>投标人可提供更优惠的质保期）。</w:t>
      </w:r>
    </w:p>
    <w:p w14:paraId="24D537A2">
      <w:pPr>
        <w:pStyle w:val="278"/>
        <w:widowControl w:val="0"/>
        <w:adjustRightInd w:val="0"/>
        <w:spacing w:afterLines="0" w:line="440" w:lineRule="exact"/>
        <w:ind w:firstLine="480"/>
        <w:rPr>
          <w:rFonts w:ascii="宋体" w:hAnsi="宋体" w:cs="宋体"/>
          <w:color w:val="000000"/>
          <w:szCs w:val="24"/>
          <w:highlight w:val="none"/>
        </w:rPr>
      </w:pPr>
      <w:r>
        <w:rPr>
          <w:rFonts w:hint="eastAsia" w:ascii="宋体" w:hAnsi="宋体" w:cs="宋体"/>
          <w:color w:val="000000"/>
          <w:szCs w:val="24"/>
          <w:highlight w:val="none"/>
        </w:rPr>
        <w:t>（一）中标人应按招标文件规定的货物性能、技术要求、质量标准向招标人提供未经使用的全新产品。</w:t>
      </w:r>
    </w:p>
    <w:p w14:paraId="20EE1FEA">
      <w:pPr>
        <w:adjustRightInd w:val="0"/>
        <w:snapToGrid w:val="0"/>
        <w:spacing w:line="440" w:lineRule="exact"/>
        <w:ind w:firstLine="480" w:firstLineChars="200"/>
        <w:rPr>
          <w:rFonts w:ascii="宋体" w:hAnsi="宋体" w:cs="宋体"/>
          <w:color w:val="000000"/>
          <w:kern w:val="0"/>
          <w:sz w:val="24"/>
          <w:highlight w:val="none"/>
        </w:rPr>
      </w:pPr>
      <w:r>
        <w:rPr>
          <w:rFonts w:hint="eastAsia" w:ascii="宋体" w:hAnsi="宋体" w:cs="宋体"/>
          <w:color w:val="000000"/>
          <w:sz w:val="24"/>
          <w:highlight w:val="none"/>
        </w:rPr>
        <w:t xml:space="preserve">（二）质保期内免费维护和维修，在质保期内非人为因素出现的质量问题，须按国家有关规定和要求（如无国家规定和要求的，按承诺和厂方“三包”规定）立即进行免费维修、免费更换有缺陷的零部件、直至免费更换新货物。 </w:t>
      </w:r>
    </w:p>
    <w:p w14:paraId="7026157A">
      <w:pPr>
        <w:tabs>
          <w:tab w:val="left" w:pos="540"/>
        </w:tabs>
        <w:autoSpaceDE w:val="0"/>
        <w:autoSpaceDN w:val="0"/>
        <w:adjustRightInd w:val="0"/>
        <w:snapToGrid w:val="0"/>
        <w:spacing w:line="44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三）中标人必须有可靠的售后服务保障，包括但不限于在台州附近有固定的维修服务点，能提供正常的技术、备品备件服务。当发生故障时，中标人在接到采购单位通知后，临海及附近地区4小时内，外地8小时内派人赴现场处理设备质量问题。24小时内不能修复的，则无偿提供备机或备用零件供采购单位使用。在质保期内，接到故障报修，中标人应全天候回应，</w:t>
      </w:r>
      <w:r>
        <w:rPr>
          <w:rFonts w:hint="eastAsia" w:ascii="宋体" w:hAnsi="宋体" w:cs="宋体"/>
          <w:color w:val="000000"/>
          <w:kern w:val="0"/>
          <w:sz w:val="24"/>
          <w:highlight w:val="none"/>
        </w:rPr>
        <w:t>保证立即响应，24小时内赶到现场为用户排除故障。</w:t>
      </w:r>
      <w:r>
        <w:rPr>
          <w:rFonts w:hint="eastAsia" w:ascii="宋体" w:hAnsi="宋体" w:cs="宋体"/>
          <w:color w:val="000000"/>
          <w:sz w:val="24"/>
          <w:highlight w:val="none"/>
        </w:rPr>
        <w:t>故障排除后应出具书面故障诊断报告备案。如不能修复应提供备品，以保证整个系统的正常运行，中标人有其它服务承诺的，一并履行。</w:t>
      </w:r>
    </w:p>
    <w:p w14:paraId="61164A58">
      <w:pPr>
        <w:tabs>
          <w:tab w:val="left" w:pos="540"/>
        </w:tabs>
        <w:autoSpaceDE w:val="0"/>
        <w:autoSpaceDN w:val="0"/>
        <w:adjustRightInd w:val="0"/>
        <w:snapToGrid w:val="0"/>
        <w:spacing w:line="440" w:lineRule="exact"/>
        <w:ind w:firstLine="480" w:firstLineChars="200"/>
        <w:rPr>
          <w:rFonts w:ascii="宋体" w:hAnsi="宋体" w:cs="宋体"/>
          <w:sz w:val="24"/>
          <w:highlight w:val="none"/>
        </w:rPr>
      </w:pPr>
      <w:r>
        <w:rPr>
          <w:rFonts w:hint="eastAsia" w:ascii="宋体" w:hAnsi="宋体" w:cs="宋体"/>
          <w:color w:val="000000"/>
          <w:sz w:val="24"/>
          <w:highlight w:val="none"/>
        </w:rPr>
        <w:t>（四）在质保期内，如设备出现反复维修超过3次的，必须更换相应零部件，安装（更换）的任何零配件，必须是货物制造商原产的或是经招标人认可的。</w:t>
      </w:r>
    </w:p>
    <w:p w14:paraId="607597BB">
      <w:pPr>
        <w:pStyle w:val="278"/>
        <w:widowControl w:val="0"/>
        <w:adjustRightInd w:val="0"/>
        <w:spacing w:afterLines="0" w:line="440" w:lineRule="exact"/>
        <w:ind w:firstLine="482"/>
        <w:rPr>
          <w:rFonts w:ascii="宋体" w:hAnsi="宋体" w:cs="宋体"/>
          <w:b/>
          <w:color w:val="000000"/>
          <w:szCs w:val="24"/>
          <w:highlight w:val="none"/>
        </w:rPr>
      </w:pPr>
      <w:r>
        <w:rPr>
          <w:rFonts w:hint="eastAsia" w:ascii="宋体" w:hAnsi="宋体" w:cs="宋体"/>
          <w:b/>
          <w:color w:val="000000"/>
          <w:szCs w:val="24"/>
          <w:highlight w:val="none"/>
        </w:rPr>
        <w:t>六、检验和维修货物及工具</w:t>
      </w:r>
    </w:p>
    <w:p w14:paraId="3226298C">
      <w:pPr>
        <w:pStyle w:val="278"/>
        <w:widowControl w:val="0"/>
        <w:adjustRightInd w:val="0"/>
        <w:spacing w:afterLines="0" w:line="440" w:lineRule="exact"/>
        <w:ind w:firstLine="480"/>
        <w:rPr>
          <w:rFonts w:ascii="宋体" w:hAnsi="宋体" w:cs="宋体"/>
          <w:color w:val="000000"/>
          <w:szCs w:val="24"/>
          <w:highlight w:val="none"/>
        </w:rPr>
      </w:pPr>
      <w:r>
        <w:rPr>
          <w:rFonts w:hint="eastAsia" w:ascii="宋体" w:hAnsi="宋体" w:cs="宋体"/>
          <w:color w:val="000000"/>
          <w:szCs w:val="24"/>
          <w:highlight w:val="none"/>
        </w:rPr>
        <w:t>（一）须免费提供足够的常用检修货物。推荐的检修货物须在投标文件中注明。这些货物及工具不能在安装时使用。</w:t>
      </w:r>
    </w:p>
    <w:p w14:paraId="04BC6B1E">
      <w:pPr>
        <w:pStyle w:val="278"/>
        <w:widowControl w:val="0"/>
        <w:adjustRightInd w:val="0"/>
        <w:spacing w:afterLines="0" w:line="440" w:lineRule="exact"/>
        <w:ind w:firstLine="480"/>
        <w:rPr>
          <w:rFonts w:ascii="宋体" w:hAnsi="宋体" w:cs="宋体"/>
          <w:color w:val="000000"/>
          <w:szCs w:val="24"/>
          <w:highlight w:val="none"/>
        </w:rPr>
      </w:pPr>
      <w:r>
        <w:rPr>
          <w:rFonts w:hint="eastAsia" w:ascii="宋体" w:hAnsi="宋体" w:cs="宋体"/>
          <w:color w:val="000000"/>
          <w:szCs w:val="24"/>
          <w:highlight w:val="none"/>
        </w:rPr>
        <w:t>（二）所有测试需要的附件、零部件和中文操作维修手册应与检修货物一并免费提供。</w:t>
      </w:r>
    </w:p>
    <w:p w14:paraId="2D6353EA">
      <w:pPr>
        <w:adjustRightInd w:val="0"/>
        <w:snapToGrid w:val="0"/>
        <w:spacing w:line="440" w:lineRule="exact"/>
        <w:ind w:firstLine="482" w:firstLineChars="200"/>
        <w:rPr>
          <w:rFonts w:ascii="宋体" w:hAnsi="宋体" w:cs="宋体"/>
          <w:b/>
          <w:bCs/>
          <w:color w:val="000000"/>
          <w:sz w:val="24"/>
          <w:highlight w:val="none"/>
        </w:rPr>
      </w:pPr>
      <w:r>
        <w:rPr>
          <w:rFonts w:hint="eastAsia" w:ascii="宋体" w:hAnsi="宋体" w:cs="宋体"/>
          <w:b/>
          <w:bCs/>
          <w:color w:val="000000"/>
          <w:sz w:val="24"/>
          <w:highlight w:val="none"/>
        </w:rPr>
        <w:t>七、其他要求</w:t>
      </w:r>
    </w:p>
    <w:p w14:paraId="3CA93D4E">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1、所有产品和器件均应符合有关国家的标准及相关规定要求。</w:t>
      </w:r>
    </w:p>
    <w:p w14:paraId="6B4FF88C">
      <w:pPr>
        <w:adjustRightInd w:val="0"/>
        <w:snapToGrid w:val="0"/>
        <w:spacing w:line="440" w:lineRule="exact"/>
        <w:ind w:firstLine="480" w:firstLineChars="200"/>
        <w:rPr>
          <w:rFonts w:hint="default" w:ascii="宋体" w:hAnsi="宋体" w:eastAsia="宋体" w:cs="宋体"/>
          <w:sz w:val="24"/>
          <w:highlight w:val="none"/>
          <w:lang w:val="en-US" w:eastAsia="zh-CN"/>
        </w:rPr>
        <w:sectPr>
          <w:footerReference r:id="rId7" w:type="default"/>
          <w:pgSz w:w="11906" w:h="16838"/>
          <w:pgMar w:top="1474" w:right="1709" w:bottom="875" w:left="1797" w:header="851" w:footer="851" w:gutter="0"/>
          <w:pgNumType w:start="1"/>
          <w:cols w:space="720" w:num="1"/>
        </w:sectPr>
      </w:pPr>
      <w:r>
        <w:rPr>
          <w:rFonts w:hint="eastAsia" w:ascii="宋体" w:hAnsi="宋体" w:cs="宋体"/>
          <w:sz w:val="24"/>
          <w:highlight w:val="none"/>
        </w:rPr>
        <w:t>2、</w:t>
      </w:r>
      <w:r>
        <w:rPr>
          <w:rFonts w:hint="eastAsia" w:ascii="宋体" w:hAnsi="宋体" w:cs="宋体"/>
          <w:sz w:val="24"/>
          <w:highlight w:val="none"/>
          <w:lang w:val="en-US" w:eastAsia="zh-CN"/>
        </w:rPr>
        <w:t>中标结果发布前，招标人有权进入中标候选人的制造现场进行核实，如发现现场与中标人投标文件不对应，招标人有权选取符合要求的中标候选人为本项目中标人。</w:t>
      </w:r>
    </w:p>
    <w:p w14:paraId="39544B31">
      <w:pPr>
        <w:snapToGrid w:val="0"/>
        <w:spacing w:line="440" w:lineRule="exact"/>
        <w:ind w:firstLine="354" w:firstLineChars="147"/>
        <w:jc w:val="center"/>
        <w:outlineLvl w:val="0"/>
        <w:rPr>
          <w:rFonts w:ascii="宋体" w:hAnsi="宋体" w:cs="宋体"/>
          <w:b/>
          <w:sz w:val="24"/>
          <w:highlight w:val="none"/>
        </w:rPr>
      </w:pPr>
      <w:bookmarkStart w:id="24" w:name="_Toc7557"/>
      <w:bookmarkStart w:id="25" w:name="_Toc6028"/>
      <w:r>
        <w:rPr>
          <w:rFonts w:hint="eastAsia" w:ascii="宋体" w:hAnsi="宋体" w:cs="宋体"/>
          <w:b/>
          <w:sz w:val="24"/>
          <w:highlight w:val="none"/>
        </w:rPr>
        <w:t>第三章  投标人须知</w:t>
      </w:r>
      <w:bookmarkEnd w:id="9"/>
      <w:bookmarkEnd w:id="24"/>
      <w:bookmarkEnd w:id="25"/>
    </w:p>
    <w:p w14:paraId="268541B1">
      <w:pPr>
        <w:snapToGrid w:val="0"/>
        <w:spacing w:line="440" w:lineRule="exact"/>
        <w:jc w:val="center"/>
        <w:rPr>
          <w:rFonts w:ascii="宋体" w:hAnsi="宋体" w:cs="宋体"/>
          <w:b/>
          <w:sz w:val="24"/>
          <w:highlight w:val="none"/>
        </w:rPr>
      </w:pPr>
      <w:r>
        <w:rPr>
          <w:rFonts w:hint="eastAsia" w:ascii="宋体" w:hAnsi="宋体" w:cs="宋体"/>
          <w:b/>
          <w:sz w:val="24"/>
          <w:highlight w:val="none"/>
        </w:rPr>
        <w:t>前附表</w:t>
      </w:r>
    </w:p>
    <w:tbl>
      <w:tblPr>
        <w:tblStyle w:val="52"/>
        <w:tblW w:w="10023" w:type="dxa"/>
        <w:tblInd w:w="-5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7"/>
        <w:gridCol w:w="9286"/>
      </w:tblGrid>
      <w:tr w14:paraId="2A3AFC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37" w:type="dxa"/>
            <w:tcBorders>
              <w:top w:val="single" w:color="auto" w:sz="4" w:space="0"/>
              <w:left w:val="single" w:color="auto" w:sz="4" w:space="0"/>
              <w:bottom w:val="single" w:color="auto" w:sz="4" w:space="0"/>
              <w:right w:val="single" w:color="auto" w:sz="4" w:space="0"/>
            </w:tcBorders>
            <w:vAlign w:val="center"/>
          </w:tcPr>
          <w:p w14:paraId="3E826DE2">
            <w:pPr>
              <w:snapToGrid w:val="0"/>
              <w:spacing w:line="440" w:lineRule="exact"/>
              <w:jc w:val="center"/>
              <w:rPr>
                <w:rFonts w:ascii="宋体" w:hAnsi="宋体" w:cs="宋体"/>
                <w:b/>
                <w:sz w:val="24"/>
                <w:highlight w:val="none"/>
              </w:rPr>
            </w:pPr>
            <w:r>
              <w:rPr>
                <w:rFonts w:hint="eastAsia" w:ascii="宋体" w:hAnsi="宋体" w:cs="宋体"/>
                <w:b/>
                <w:sz w:val="24"/>
                <w:highlight w:val="none"/>
              </w:rPr>
              <w:t>序号</w:t>
            </w:r>
          </w:p>
        </w:tc>
        <w:tc>
          <w:tcPr>
            <w:tcW w:w="9286" w:type="dxa"/>
            <w:tcBorders>
              <w:top w:val="single" w:color="auto" w:sz="4" w:space="0"/>
              <w:left w:val="single" w:color="auto" w:sz="4" w:space="0"/>
              <w:bottom w:val="single" w:color="auto" w:sz="4" w:space="0"/>
              <w:right w:val="single" w:color="auto" w:sz="4" w:space="0"/>
            </w:tcBorders>
            <w:vAlign w:val="center"/>
          </w:tcPr>
          <w:p w14:paraId="2242BD8A">
            <w:pPr>
              <w:snapToGrid w:val="0"/>
              <w:spacing w:line="440" w:lineRule="exact"/>
              <w:jc w:val="center"/>
              <w:rPr>
                <w:rFonts w:ascii="宋体" w:hAnsi="宋体" w:cs="宋体"/>
                <w:b/>
                <w:sz w:val="24"/>
                <w:highlight w:val="none"/>
              </w:rPr>
            </w:pPr>
            <w:r>
              <w:rPr>
                <w:rFonts w:hint="eastAsia" w:ascii="宋体" w:hAnsi="宋体" w:cs="宋体"/>
                <w:b/>
                <w:sz w:val="24"/>
                <w:highlight w:val="none"/>
              </w:rPr>
              <w:t>内容、要求</w:t>
            </w:r>
          </w:p>
        </w:tc>
      </w:tr>
      <w:tr w14:paraId="2BB5A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737" w:type="dxa"/>
            <w:tcBorders>
              <w:top w:val="single" w:color="auto" w:sz="4" w:space="0"/>
              <w:left w:val="single" w:color="auto" w:sz="4" w:space="0"/>
              <w:bottom w:val="single" w:color="auto" w:sz="4" w:space="0"/>
              <w:right w:val="single" w:color="auto" w:sz="4" w:space="0"/>
            </w:tcBorders>
            <w:vAlign w:val="center"/>
          </w:tcPr>
          <w:p w14:paraId="3AD16A40">
            <w:pPr>
              <w:snapToGrid w:val="0"/>
              <w:spacing w:line="440" w:lineRule="exact"/>
              <w:jc w:val="center"/>
              <w:rPr>
                <w:rFonts w:ascii="宋体" w:hAnsi="宋体" w:cs="宋体"/>
                <w:sz w:val="24"/>
                <w:highlight w:val="none"/>
              </w:rPr>
            </w:pPr>
            <w:r>
              <w:rPr>
                <w:rFonts w:hint="eastAsia" w:ascii="宋体" w:hAnsi="宋体" w:cs="宋体"/>
                <w:sz w:val="24"/>
                <w:highlight w:val="none"/>
              </w:rPr>
              <w:t>1</w:t>
            </w:r>
          </w:p>
        </w:tc>
        <w:tc>
          <w:tcPr>
            <w:tcW w:w="9286" w:type="dxa"/>
            <w:tcBorders>
              <w:top w:val="single" w:color="auto" w:sz="4" w:space="0"/>
              <w:left w:val="single" w:color="auto" w:sz="4" w:space="0"/>
              <w:bottom w:val="single" w:color="auto" w:sz="4" w:space="0"/>
              <w:right w:val="single" w:color="auto" w:sz="4" w:space="0"/>
            </w:tcBorders>
            <w:vAlign w:val="center"/>
          </w:tcPr>
          <w:p w14:paraId="3EC0D889">
            <w:pPr>
              <w:pStyle w:val="47"/>
              <w:snapToGrid w:val="0"/>
              <w:spacing w:before="0" w:beforeAutospacing="0" w:after="0" w:afterAutospacing="0" w:line="440" w:lineRule="exact"/>
              <w:rPr>
                <w:rFonts w:cs="宋体"/>
                <w:kern w:val="2"/>
                <w:highlight w:val="none"/>
              </w:rPr>
            </w:pPr>
            <w:r>
              <w:rPr>
                <w:rFonts w:hint="eastAsia" w:cs="宋体"/>
                <w:kern w:val="2"/>
                <w:highlight w:val="none"/>
              </w:rPr>
              <w:t>项目名称：临海市供水有限公司为民水厂增产扩能项目</w:t>
            </w:r>
          </w:p>
        </w:tc>
      </w:tr>
      <w:tr w14:paraId="1BC5FF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37" w:type="dxa"/>
            <w:tcBorders>
              <w:top w:val="single" w:color="auto" w:sz="4" w:space="0"/>
              <w:left w:val="single" w:color="auto" w:sz="4" w:space="0"/>
              <w:bottom w:val="single" w:color="auto" w:sz="4" w:space="0"/>
              <w:right w:val="single" w:color="auto" w:sz="4" w:space="0"/>
            </w:tcBorders>
            <w:vAlign w:val="center"/>
          </w:tcPr>
          <w:p w14:paraId="00D4252C">
            <w:pPr>
              <w:snapToGrid w:val="0"/>
              <w:spacing w:line="440" w:lineRule="exact"/>
              <w:jc w:val="center"/>
              <w:rPr>
                <w:rFonts w:ascii="宋体" w:hAnsi="宋体" w:cs="宋体"/>
                <w:sz w:val="24"/>
                <w:highlight w:val="none"/>
              </w:rPr>
            </w:pPr>
            <w:r>
              <w:rPr>
                <w:rFonts w:hint="eastAsia" w:ascii="宋体" w:hAnsi="宋体" w:cs="宋体"/>
                <w:sz w:val="24"/>
                <w:highlight w:val="none"/>
              </w:rPr>
              <w:t>2</w:t>
            </w:r>
          </w:p>
        </w:tc>
        <w:tc>
          <w:tcPr>
            <w:tcW w:w="9286" w:type="dxa"/>
            <w:tcBorders>
              <w:top w:val="single" w:color="auto" w:sz="4" w:space="0"/>
              <w:left w:val="single" w:color="auto" w:sz="4" w:space="0"/>
              <w:bottom w:val="single" w:color="auto" w:sz="4" w:space="0"/>
              <w:right w:val="single" w:color="auto" w:sz="4" w:space="0"/>
            </w:tcBorders>
            <w:vAlign w:val="center"/>
          </w:tcPr>
          <w:p w14:paraId="2A07F6BB">
            <w:pPr>
              <w:snapToGrid w:val="0"/>
              <w:spacing w:line="440" w:lineRule="exact"/>
              <w:rPr>
                <w:rFonts w:ascii="宋体" w:hAnsi="宋体" w:cs="宋体"/>
                <w:sz w:val="24"/>
                <w:highlight w:val="none"/>
              </w:rPr>
            </w:pPr>
            <w:r>
              <w:rPr>
                <w:rFonts w:hint="eastAsia" w:ascii="宋体" w:hAnsi="宋体" w:cs="宋体"/>
                <w:sz w:val="24"/>
                <w:highlight w:val="none"/>
              </w:rPr>
              <w:t>采购内容及数量：详见“第二章 招标需求”</w:t>
            </w:r>
          </w:p>
        </w:tc>
      </w:tr>
      <w:tr w14:paraId="1999F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37" w:type="dxa"/>
            <w:tcBorders>
              <w:top w:val="single" w:color="auto" w:sz="4" w:space="0"/>
              <w:left w:val="single" w:color="auto" w:sz="4" w:space="0"/>
              <w:bottom w:val="single" w:color="auto" w:sz="4" w:space="0"/>
              <w:right w:val="single" w:color="auto" w:sz="4" w:space="0"/>
            </w:tcBorders>
            <w:vAlign w:val="center"/>
          </w:tcPr>
          <w:p w14:paraId="4890D3F5">
            <w:pPr>
              <w:snapToGrid w:val="0"/>
              <w:spacing w:line="440" w:lineRule="exact"/>
              <w:jc w:val="center"/>
              <w:rPr>
                <w:rFonts w:ascii="宋体" w:hAnsi="宋体" w:cs="宋体"/>
                <w:sz w:val="24"/>
                <w:highlight w:val="none"/>
              </w:rPr>
            </w:pPr>
            <w:r>
              <w:rPr>
                <w:rFonts w:hint="eastAsia" w:ascii="宋体" w:hAnsi="宋体" w:cs="宋体"/>
                <w:sz w:val="24"/>
                <w:highlight w:val="none"/>
              </w:rPr>
              <w:t>3</w:t>
            </w:r>
          </w:p>
        </w:tc>
        <w:tc>
          <w:tcPr>
            <w:tcW w:w="9286" w:type="dxa"/>
            <w:tcBorders>
              <w:top w:val="single" w:color="auto" w:sz="4" w:space="0"/>
              <w:left w:val="single" w:color="auto" w:sz="4" w:space="0"/>
              <w:bottom w:val="single" w:color="auto" w:sz="4" w:space="0"/>
              <w:right w:val="single" w:color="auto" w:sz="4" w:space="0"/>
            </w:tcBorders>
            <w:vAlign w:val="center"/>
          </w:tcPr>
          <w:p w14:paraId="5E2BA47F">
            <w:pPr>
              <w:snapToGrid w:val="0"/>
              <w:spacing w:line="440" w:lineRule="exact"/>
              <w:rPr>
                <w:rFonts w:ascii="宋体" w:hAnsi="宋体" w:cs="宋体"/>
                <w:b/>
                <w:bCs/>
                <w:sz w:val="24"/>
                <w:highlight w:val="none"/>
              </w:rPr>
            </w:pPr>
            <w:r>
              <w:rPr>
                <w:rFonts w:hint="eastAsia" w:ascii="宋体" w:hAnsi="宋体" w:cs="宋体"/>
                <w:sz w:val="24"/>
                <w:highlight w:val="none"/>
              </w:rPr>
              <w:t>投标报价及费用：1、本项目投标应以人民币报价；2、不论投标结果如何，投标人均应自行承担所有与投标有关的全部费用；</w:t>
            </w:r>
          </w:p>
        </w:tc>
      </w:tr>
      <w:tr w14:paraId="369674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14679CE9">
            <w:pPr>
              <w:snapToGrid w:val="0"/>
              <w:spacing w:line="440" w:lineRule="exact"/>
              <w:jc w:val="center"/>
              <w:rPr>
                <w:rFonts w:ascii="宋体" w:hAnsi="宋体" w:cs="宋体"/>
                <w:sz w:val="24"/>
                <w:highlight w:val="none"/>
              </w:rPr>
            </w:pPr>
            <w:r>
              <w:rPr>
                <w:rFonts w:hint="eastAsia" w:ascii="宋体" w:hAnsi="宋体" w:cs="宋体"/>
                <w:sz w:val="24"/>
                <w:highlight w:val="none"/>
              </w:rPr>
              <w:t>4</w:t>
            </w:r>
          </w:p>
        </w:tc>
        <w:tc>
          <w:tcPr>
            <w:tcW w:w="9286" w:type="dxa"/>
            <w:tcBorders>
              <w:top w:val="single" w:color="auto" w:sz="4" w:space="0"/>
              <w:left w:val="single" w:color="auto" w:sz="4" w:space="0"/>
              <w:bottom w:val="single" w:color="auto" w:sz="4" w:space="0"/>
              <w:right w:val="single" w:color="auto" w:sz="4" w:space="0"/>
            </w:tcBorders>
            <w:vAlign w:val="center"/>
          </w:tcPr>
          <w:p w14:paraId="1AA4B834">
            <w:pPr>
              <w:snapToGrid w:val="0"/>
              <w:spacing w:line="440" w:lineRule="exact"/>
              <w:rPr>
                <w:rFonts w:ascii="宋体" w:hAnsi="宋体" w:cs="宋体"/>
                <w:sz w:val="24"/>
                <w:highlight w:val="none"/>
              </w:rPr>
            </w:pPr>
            <w:r>
              <w:rPr>
                <w:rFonts w:hint="eastAsia" w:ascii="宋体" w:hAnsi="宋体" w:cs="宋体"/>
                <w:b/>
                <w:bCs/>
                <w:sz w:val="24"/>
                <w:highlight w:val="none"/>
              </w:rPr>
              <w:t>现场踏勘</w:t>
            </w:r>
            <w:r>
              <w:rPr>
                <w:rFonts w:hint="eastAsia" w:ascii="宋体" w:hAnsi="宋体" w:cs="宋体"/>
                <w:sz w:val="24"/>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80022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780A3707">
            <w:pPr>
              <w:snapToGrid w:val="0"/>
              <w:spacing w:line="440" w:lineRule="exact"/>
              <w:jc w:val="center"/>
              <w:rPr>
                <w:rFonts w:ascii="宋体" w:hAnsi="宋体" w:cs="宋体"/>
                <w:sz w:val="24"/>
                <w:highlight w:val="none"/>
              </w:rPr>
            </w:pPr>
            <w:r>
              <w:rPr>
                <w:rFonts w:hint="eastAsia" w:ascii="宋体" w:hAnsi="宋体" w:cs="宋体"/>
                <w:sz w:val="24"/>
                <w:highlight w:val="none"/>
              </w:rPr>
              <w:t>5</w:t>
            </w:r>
          </w:p>
        </w:tc>
        <w:tc>
          <w:tcPr>
            <w:tcW w:w="9286" w:type="dxa"/>
            <w:tcBorders>
              <w:top w:val="single" w:color="auto" w:sz="4" w:space="0"/>
              <w:left w:val="single" w:color="auto" w:sz="4" w:space="0"/>
              <w:bottom w:val="single" w:color="auto" w:sz="4" w:space="0"/>
              <w:right w:val="single" w:color="auto" w:sz="4" w:space="0"/>
            </w:tcBorders>
            <w:vAlign w:val="center"/>
          </w:tcPr>
          <w:p w14:paraId="0126EBB7">
            <w:pPr>
              <w:snapToGrid w:val="0"/>
              <w:spacing w:line="440" w:lineRule="exact"/>
              <w:rPr>
                <w:rFonts w:ascii="宋体" w:hAnsi="宋体" w:cs="宋体"/>
                <w:b/>
                <w:sz w:val="24"/>
                <w:highlight w:val="none"/>
              </w:rPr>
            </w:pPr>
            <w:r>
              <w:rPr>
                <w:rFonts w:hint="eastAsia" w:ascii="宋体" w:hAnsi="宋体" w:cs="宋体"/>
                <w:b/>
                <w:sz w:val="24"/>
                <w:highlight w:val="none"/>
              </w:rPr>
              <w:t>质疑与澄清</w:t>
            </w:r>
            <w:r>
              <w:rPr>
                <w:rFonts w:hint="eastAsia" w:ascii="宋体" w:hAnsi="宋体" w:cs="宋体"/>
                <w:sz w:val="24"/>
                <w:highlight w:val="none"/>
              </w:rPr>
              <w:t>：</w:t>
            </w:r>
            <w:r>
              <w:rPr>
                <w:rFonts w:hint="eastAsia" w:ascii="宋体" w:hAnsi="宋体" w:cs="宋体"/>
                <w:b/>
                <w:sz w:val="24"/>
                <w:highlight w:val="none"/>
              </w:rPr>
              <w:t>潜在投标人已依法获取其可质疑的采购文件的，可以（参照采购质疑函范本）向招标人就该文件提出质疑。对采购文件提出质疑的，应当在获取采购文件或者采购文件公告期限届满之日（公告期限届满后获取采购文件的，以公告期限届满之日为准）起</w:t>
            </w:r>
            <w:r>
              <w:rPr>
                <w:rFonts w:hint="eastAsia" w:ascii="宋体" w:hAnsi="宋体" w:cs="宋体"/>
                <w:b/>
                <w:sz w:val="24"/>
                <w:highlight w:val="none"/>
                <w:u w:val="single"/>
              </w:rPr>
              <w:t xml:space="preserve"> 7  </w:t>
            </w:r>
            <w:r>
              <w:rPr>
                <w:rFonts w:hint="eastAsia" w:ascii="宋体" w:hAnsi="宋体" w:cs="宋体"/>
                <w:b/>
                <w:sz w:val="24"/>
                <w:highlight w:val="none"/>
              </w:rPr>
              <w:t>个工作日内以书面形式提出，否则被质疑人可不予接受。投标人在法定质疑期内应一次性提出针对同一采购程序环节的质疑。</w:t>
            </w:r>
            <w:r>
              <w:rPr>
                <w:rFonts w:hint="eastAsia" w:ascii="宋体" w:hAnsi="宋体" w:cs="宋体"/>
                <w:sz w:val="24"/>
                <w:highlight w:val="none"/>
              </w:rPr>
              <w:t>招标人对已发出的招标文件进行必要的澄清、答复、修改和补充将以更正公告的形式，通过采购公告发布的网站予以发布。</w:t>
            </w:r>
            <w:r>
              <w:rPr>
                <w:rFonts w:hint="eastAsia" w:ascii="宋体" w:hAnsi="宋体" w:cs="宋体"/>
                <w:b/>
                <w:sz w:val="24"/>
                <w:highlight w:val="none"/>
              </w:rPr>
              <w:t xml:space="preserve"> </w:t>
            </w:r>
          </w:p>
        </w:tc>
      </w:tr>
      <w:tr w14:paraId="588B9E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7180FCC4">
            <w:pPr>
              <w:snapToGrid w:val="0"/>
              <w:spacing w:line="440" w:lineRule="exact"/>
              <w:jc w:val="center"/>
              <w:rPr>
                <w:rFonts w:ascii="宋体" w:hAnsi="宋体" w:cs="宋体"/>
                <w:sz w:val="24"/>
                <w:highlight w:val="none"/>
              </w:rPr>
            </w:pPr>
            <w:r>
              <w:rPr>
                <w:rFonts w:hint="eastAsia" w:ascii="宋体" w:hAnsi="宋体" w:cs="宋体"/>
                <w:sz w:val="24"/>
                <w:highlight w:val="none"/>
              </w:rPr>
              <w:t>6</w:t>
            </w:r>
          </w:p>
        </w:tc>
        <w:tc>
          <w:tcPr>
            <w:tcW w:w="9286" w:type="dxa"/>
            <w:tcBorders>
              <w:top w:val="single" w:color="auto" w:sz="4" w:space="0"/>
              <w:left w:val="single" w:color="auto" w:sz="4" w:space="0"/>
              <w:bottom w:val="single" w:color="auto" w:sz="4" w:space="0"/>
              <w:right w:val="single" w:color="auto" w:sz="4" w:space="0"/>
            </w:tcBorders>
            <w:vAlign w:val="center"/>
          </w:tcPr>
          <w:p w14:paraId="4831EFEB">
            <w:pPr>
              <w:snapToGrid w:val="0"/>
              <w:spacing w:line="440" w:lineRule="exact"/>
              <w:rPr>
                <w:rFonts w:ascii="宋体" w:hAnsi="宋体" w:cs="宋体"/>
                <w:sz w:val="24"/>
                <w:highlight w:val="none"/>
              </w:rPr>
            </w:pPr>
            <w:r>
              <w:rPr>
                <w:rFonts w:hint="eastAsia" w:ascii="宋体" w:hAnsi="宋体" w:cs="宋体"/>
                <w:sz w:val="24"/>
                <w:highlight w:val="none"/>
              </w:rPr>
              <w:t>投标截止时间、开标时间及地点：详见“第一章  投标邀请”</w:t>
            </w:r>
          </w:p>
        </w:tc>
      </w:tr>
      <w:tr w14:paraId="7085D9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4D754B1F">
            <w:pPr>
              <w:snapToGrid w:val="0"/>
              <w:spacing w:line="440" w:lineRule="exact"/>
              <w:jc w:val="center"/>
              <w:rPr>
                <w:rFonts w:ascii="宋体" w:hAnsi="宋体" w:cs="宋体"/>
                <w:sz w:val="24"/>
                <w:highlight w:val="none"/>
              </w:rPr>
            </w:pPr>
            <w:r>
              <w:rPr>
                <w:rFonts w:hint="eastAsia" w:ascii="宋体" w:hAnsi="宋体" w:cs="宋体"/>
                <w:sz w:val="24"/>
                <w:highlight w:val="none"/>
              </w:rPr>
              <w:t>7</w:t>
            </w:r>
          </w:p>
        </w:tc>
        <w:tc>
          <w:tcPr>
            <w:tcW w:w="9286" w:type="dxa"/>
            <w:tcBorders>
              <w:top w:val="single" w:color="auto" w:sz="4" w:space="0"/>
              <w:left w:val="single" w:color="auto" w:sz="4" w:space="0"/>
              <w:bottom w:val="single" w:color="auto" w:sz="4" w:space="0"/>
              <w:right w:val="single" w:color="auto" w:sz="4" w:space="0"/>
            </w:tcBorders>
            <w:vAlign w:val="center"/>
          </w:tcPr>
          <w:p w14:paraId="0AF588F9">
            <w:pPr>
              <w:autoSpaceDE w:val="0"/>
              <w:autoSpaceDN w:val="0"/>
              <w:snapToGrid w:val="0"/>
              <w:spacing w:line="440" w:lineRule="exact"/>
              <w:rPr>
                <w:rFonts w:ascii="宋体" w:hAnsi="宋体" w:cs="宋体"/>
                <w:sz w:val="24"/>
                <w:highlight w:val="none"/>
              </w:rPr>
            </w:pPr>
            <w:r>
              <w:rPr>
                <w:rFonts w:hint="eastAsia" w:ascii="宋体" w:hAnsi="宋体" w:cs="宋体"/>
                <w:sz w:val="24"/>
                <w:highlight w:val="none"/>
              </w:rPr>
              <w:t>评标办法</w:t>
            </w:r>
            <w:r>
              <w:rPr>
                <w:rFonts w:hint="eastAsia" w:ascii="宋体" w:hAnsi="宋体" w:cs="宋体"/>
                <w:b/>
                <w:sz w:val="24"/>
                <w:highlight w:val="none"/>
              </w:rPr>
              <w:t>：</w:t>
            </w:r>
            <w:r>
              <w:rPr>
                <w:rFonts w:hint="eastAsia" w:ascii="宋体" w:hAnsi="宋体" w:cs="宋体"/>
                <w:sz w:val="24"/>
                <w:highlight w:val="none"/>
              </w:rPr>
              <w:t>综合评分法</w:t>
            </w:r>
          </w:p>
        </w:tc>
      </w:tr>
      <w:tr w14:paraId="1DD50E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37" w:type="dxa"/>
            <w:tcBorders>
              <w:top w:val="single" w:color="auto" w:sz="4" w:space="0"/>
              <w:left w:val="single" w:color="auto" w:sz="4" w:space="0"/>
              <w:bottom w:val="single" w:color="auto" w:sz="4" w:space="0"/>
              <w:right w:val="single" w:color="auto" w:sz="4" w:space="0"/>
            </w:tcBorders>
            <w:vAlign w:val="center"/>
          </w:tcPr>
          <w:p w14:paraId="4C81CED5">
            <w:pPr>
              <w:snapToGrid w:val="0"/>
              <w:spacing w:line="440" w:lineRule="exact"/>
              <w:jc w:val="center"/>
              <w:rPr>
                <w:rFonts w:ascii="宋体" w:hAnsi="宋体" w:cs="宋体"/>
                <w:sz w:val="24"/>
                <w:highlight w:val="none"/>
              </w:rPr>
            </w:pPr>
            <w:r>
              <w:rPr>
                <w:rFonts w:hint="eastAsia" w:ascii="宋体" w:hAnsi="宋体" w:cs="宋体"/>
                <w:sz w:val="24"/>
                <w:highlight w:val="none"/>
              </w:rPr>
              <w:t>8</w:t>
            </w:r>
          </w:p>
        </w:tc>
        <w:tc>
          <w:tcPr>
            <w:tcW w:w="9286" w:type="dxa"/>
            <w:tcBorders>
              <w:top w:val="single" w:color="auto" w:sz="4" w:space="0"/>
              <w:left w:val="single" w:color="auto" w:sz="4" w:space="0"/>
              <w:bottom w:val="single" w:color="auto" w:sz="4" w:space="0"/>
              <w:right w:val="single" w:color="auto" w:sz="4" w:space="0"/>
            </w:tcBorders>
            <w:vAlign w:val="center"/>
          </w:tcPr>
          <w:p w14:paraId="1EE5D851">
            <w:pPr>
              <w:autoSpaceDE w:val="0"/>
              <w:autoSpaceDN w:val="0"/>
              <w:snapToGrid w:val="0"/>
              <w:spacing w:line="440" w:lineRule="exact"/>
              <w:rPr>
                <w:rFonts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投标有效期：自投标截止日起</w:t>
            </w:r>
            <w:r>
              <w:rPr>
                <w:rFonts w:hint="eastAsia" w:ascii="宋体" w:hAnsi="宋体" w:cs="宋体"/>
                <w:sz w:val="24"/>
                <w:highlight w:val="none"/>
                <w:u w:val="single"/>
              </w:rPr>
              <w:t xml:space="preserve"> 90 </w:t>
            </w:r>
            <w:r>
              <w:rPr>
                <w:rFonts w:hint="eastAsia" w:ascii="宋体" w:hAnsi="宋体" w:cs="宋体"/>
                <w:sz w:val="24"/>
                <w:highlight w:val="none"/>
              </w:rPr>
              <w:t>天投标文件应保持有效。</w:t>
            </w:r>
          </w:p>
        </w:tc>
      </w:tr>
      <w:tr w14:paraId="7F2D47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7" w:type="dxa"/>
            <w:tcBorders>
              <w:top w:val="single" w:color="auto" w:sz="4" w:space="0"/>
              <w:left w:val="single" w:color="auto" w:sz="4" w:space="0"/>
              <w:bottom w:val="single" w:color="auto" w:sz="4" w:space="0"/>
              <w:right w:val="single" w:color="auto" w:sz="4" w:space="0"/>
            </w:tcBorders>
            <w:vAlign w:val="center"/>
          </w:tcPr>
          <w:p w14:paraId="4E973F2D">
            <w:pPr>
              <w:snapToGrid w:val="0"/>
              <w:spacing w:line="440" w:lineRule="exact"/>
              <w:jc w:val="center"/>
              <w:rPr>
                <w:rFonts w:ascii="宋体" w:hAnsi="宋体" w:cs="宋体"/>
                <w:sz w:val="24"/>
                <w:highlight w:val="none"/>
              </w:rPr>
            </w:pPr>
            <w:r>
              <w:rPr>
                <w:rFonts w:hint="eastAsia" w:ascii="宋体" w:hAnsi="宋体" w:cs="宋体"/>
                <w:sz w:val="24"/>
                <w:highlight w:val="none"/>
              </w:rPr>
              <w:t>9</w:t>
            </w:r>
          </w:p>
        </w:tc>
        <w:tc>
          <w:tcPr>
            <w:tcW w:w="9286" w:type="dxa"/>
            <w:tcBorders>
              <w:top w:val="single" w:color="auto" w:sz="4" w:space="0"/>
              <w:left w:val="single" w:color="auto" w:sz="4" w:space="0"/>
              <w:bottom w:val="single" w:color="auto" w:sz="4" w:space="0"/>
              <w:right w:val="single" w:color="auto" w:sz="4" w:space="0"/>
            </w:tcBorders>
            <w:vAlign w:val="center"/>
          </w:tcPr>
          <w:p w14:paraId="00445AAB">
            <w:pPr>
              <w:autoSpaceDE w:val="0"/>
              <w:autoSpaceDN w:val="0"/>
              <w:snapToGrid w:val="0"/>
              <w:spacing w:line="440" w:lineRule="exact"/>
              <w:rPr>
                <w:rFonts w:ascii="宋体" w:hAnsi="宋体" w:cs="宋体"/>
                <w:b/>
                <w:sz w:val="24"/>
                <w:highlight w:val="none"/>
                <w:u w:val="single"/>
              </w:rPr>
            </w:pPr>
            <w:r>
              <w:rPr>
                <w:rFonts w:hint="eastAsia" w:ascii="宋体" w:hAnsi="宋体" w:cs="宋体"/>
                <w:b/>
                <w:sz w:val="24"/>
                <w:highlight w:val="none"/>
                <w:u w:val="single"/>
              </w:rPr>
              <w:t>实质性条款：带▲是实质性条款，投标人不得负偏离或内容缺失，否则为无效标。</w:t>
            </w:r>
          </w:p>
        </w:tc>
      </w:tr>
      <w:tr w14:paraId="75BF35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7" w:type="dxa"/>
            <w:tcBorders>
              <w:top w:val="single" w:color="auto" w:sz="4" w:space="0"/>
              <w:left w:val="single" w:color="auto" w:sz="4" w:space="0"/>
              <w:bottom w:val="single" w:color="auto" w:sz="4" w:space="0"/>
              <w:right w:val="single" w:color="auto" w:sz="4" w:space="0"/>
            </w:tcBorders>
            <w:vAlign w:val="center"/>
          </w:tcPr>
          <w:p w14:paraId="7EA7DC78">
            <w:pPr>
              <w:snapToGrid w:val="0"/>
              <w:spacing w:line="440" w:lineRule="exact"/>
              <w:jc w:val="center"/>
              <w:rPr>
                <w:rFonts w:ascii="宋体" w:hAnsi="宋体" w:cs="宋体"/>
                <w:sz w:val="24"/>
                <w:highlight w:val="none"/>
              </w:rPr>
            </w:pPr>
            <w:r>
              <w:rPr>
                <w:rFonts w:hint="eastAsia" w:ascii="宋体" w:hAnsi="宋体" w:cs="宋体"/>
                <w:sz w:val="24"/>
                <w:highlight w:val="none"/>
              </w:rPr>
              <w:t>10</w:t>
            </w:r>
          </w:p>
        </w:tc>
        <w:tc>
          <w:tcPr>
            <w:tcW w:w="9286" w:type="dxa"/>
            <w:tcBorders>
              <w:top w:val="single" w:color="auto" w:sz="4" w:space="0"/>
              <w:left w:val="single" w:color="auto" w:sz="4" w:space="0"/>
              <w:bottom w:val="single" w:color="auto" w:sz="4" w:space="0"/>
              <w:right w:val="single" w:color="auto" w:sz="4" w:space="0"/>
            </w:tcBorders>
            <w:vAlign w:val="center"/>
          </w:tcPr>
          <w:p w14:paraId="4A023531">
            <w:pPr>
              <w:autoSpaceDE w:val="0"/>
              <w:autoSpaceDN w:val="0"/>
              <w:snapToGrid w:val="0"/>
              <w:spacing w:line="440" w:lineRule="exact"/>
              <w:rPr>
                <w:rFonts w:ascii="宋体" w:hAnsi="宋体" w:cs="宋体"/>
                <w:sz w:val="24"/>
                <w:highlight w:val="none"/>
              </w:rPr>
            </w:pPr>
            <w:r>
              <w:rPr>
                <w:rFonts w:hint="eastAsia" w:ascii="宋体" w:hAnsi="宋体" w:cs="宋体"/>
                <w:sz w:val="24"/>
                <w:highlight w:val="none"/>
              </w:rPr>
              <w:t>中标公告及中标通知书：评标结束后7个工作日内，中标公告发布于采购公告发布的网站。（</w:t>
            </w:r>
            <w:r>
              <w:rPr>
                <w:rFonts w:hint="eastAsia" w:ascii="宋体" w:hAnsi="宋体" w:cs="宋体"/>
                <w:kern w:val="0"/>
                <w:sz w:val="24"/>
                <w:highlight w:val="none"/>
              </w:rPr>
              <w:t>临海市限额以下公共资源交易区域平台</w:t>
            </w:r>
            <w:r>
              <w:rPr>
                <w:rFonts w:hint="eastAsia" w:ascii="宋体" w:hAnsi="宋体" w:cs="宋体"/>
                <w:sz w:val="24"/>
                <w:highlight w:val="none"/>
              </w:rPr>
              <w:t>）。</w:t>
            </w:r>
          </w:p>
        </w:tc>
      </w:tr>
      <w:tr w14:paraId="0D5AE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7" w:type="dxa"/>
            <w:tcBorders>
              <w:top w:val="single" w:color="auto" w:sz="4" w:space="0"/>
              <w:left w:val="single" w:color="auto" w:sz="4" w:space="0"/>
              <w:bottom w:val="single" w:color="auto" w:sz="4" w:space="0"/>
              <w:right w:val="single" w:color="auto" w:sz="4" w:space="0"/>
            </w:tcBorders>
            <w:vAlign w:val="center"/>
          </w:tcPr>
          <w:p w14:paraId="717B59CA">
            <w:pPr>
              <w:snapToGrid w:val="0"/>
              <w:spacing w:line="440" w:lineRule="exact"/>
              <w:jc w:val="center"/>
              <w:rPr>
                <w:rFonts w:ascii="宋体" w:hAnsi="宋体" w:cs="宋体"/>
                <w:sz w:val="24"/>
                <w:highlight w:val="none"/>
              </w:rPr>
            </w:pPr>
            <w:r>
              <w:rPr>
                <w:rFonts w:hint="eastAsia" w:ascii="宋体" w:hAnsi="宋体" w:cs="宋体"/>
                <w:sz w:val="24"/>
                <w:highlight w:val="none"/>
              </w:rPr>
              <w:t>11</w:t>
            </w:r>
          </w:p>
        </w:tc>
        <w:tc>
          <w:tcPr>
            <w:tcW w:w="9286" w:type="dxa"/>
            <w:tcBorders>
              <w:top w:val="single" w:color="auto" w:sz="4" w:space="0"/>
              <w:left w:val="single" w:color="auto" w:sz="4" w:space="0"/>
              <w:bottom w:val="single" w:color="auto" w:sz="4" w:space="0"/>
              <w:right w:val="single" w:color="auto" w:sz="4" w:space="0"/>
            </w:tcBorders>
            <w:vAlign w:val="center"/>
          </w:tcPr>
          <w:p w14:paraId="22F76E89">
            <w:pPr>
              <w:autoSpaceDE w:val="0"/>
              <w:autoSpaceDN w:val="0"/>
              <w:snapToGrid w:val="0"/>
              <w:spacing w:line="440" w:lineRule="exact"/>
              <w:rPr>
                <w:rFonts w:ascii="宋体" w:hAnsi="宋体" w:cs="宋体"/>
                <w:sz w:val="24"/>
                <w:highlight w:val="none"/>
              </w:rPr>
            </w:pPr>
            <w:r>
              <w:rPr>
                <w:rFonts w:hint="eastAsia" w:ascii="宋体" w:hAnsi="宋体" w:cs="宋体"/>
                <w:sz w:val="24"/>
                <w:highlight w:val="none"/>
              </w:rPr>
              <w:t>签订合同时间：中标通知书发出后30日内。</w:t>
            </w:r>
          </w:p>
        </w:tc>
      </w:tr>
      <w:tr w14:paraId="67A563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737" w:type="dxa"/>
            <w:tcBorders>
              <w:top w:val="single" w:color="auto" w:sz="4" w:space="0"/>
              <w:left w:val="single" w:color="auto" w:sz="4" w:space="0"/>
              <w:bottom w:val="single" w:color="auto" w:sz="4" w:space="0"/>
              <w:right w:val="single" w:color="auto" w:sz="4" w:space="0"/>
            </w:tcBorders>
            <w:vAlign w:val="center"/>
          </w:tcPr>
          <w:p w14:paraId="3E57B207">
            <w:pPr>
              <w:snapToGrid w:val="0"/>
              <w:spacing w:line="440" w:lineRule="exact"/>
              <w:jc w:val="center"/>
              <w:rPr>
                <w:rFonts w:ascii="宋体" w:hAnsi="宋体" w:cs="宋体"/>
                <w:sz w:val="24"/>
                <w:highlight w:val="none"/>
              </w:rPr>
            </w:pPr>
            <w:r>
              <w:rPr>
                <w:rFonts w:hint="eastAsia" w:ascii="宋体" w:hAnsi="宋体" w:cs="宋体"/>
                <w:sz w:val="24"/>
                <w:highlight w:val="none"/>
              </w:rPr>
              <w:t>12</w:t>
            </w:r>
          </w:p>
        </w:tc>
        <w:tc>
          <w:tcPr>
            <w:tcW w:w="9286" w:type="dxa"/>
            <w:tcBorders>
              <w:top w:val="single" w:color="auto" w:sz="4" w:space="0"/>
              <w:left w:val="single" w:color="auto" w:sz="4" w:space="0"/>
              <w:bottom w:val="single" w:color="auto" w:sz="4" w:space="0"/>
              <w:right w:val="single" w:color="auto" w:sz="4" w:space="0"/>
            </w:tcBorders>
            <w:vAlign w:val="center"/>
          </w:tcPr>
          <w:p w14:paraId="529945B0">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w:t>
            </w:r>
            <w:r>
              <w:rPr>
                <w:rFonts w:hint="eastAsia" w:ascii="宋体" w:hAnsi="宋体" w:cs="宋体"/>
                <w:b/>
                <w:bCs/>
                <w:kern w:val="2"/>
                <w:sz w:val="24"/>
                <w:highlight w:val="none"/>
              </w:rPr>
              <w:t>付款方式：</w:t>
            </w:r>
            <w:r>
              <w:rPr>
                <w:rFonts w:hint="eastAsia" w:ascii="宋体" w:hAnsi="宋体" w:cs="宋体"/>
                <w:b/>
                <w:bCs/>
                <w:kern w:val="2"/>
                <w:sz w:val="24"/>
                <w:highlight w:val="none"/>
              </w:rPr>
              <w:br w:type="textWrapping"/>
            </w:r>
            <w:r>
              <w:rPr>
                <w:rFonts w:hint="eastAsia" w:ascii="宋体" w:hAnsi="宋体" w:cs="宋体"/>
                <w:b/>
                <w:bCs/>
                <w:kern w:val="2"/>
                <w:sz w:val="24"/>
                <w:highlight w:val="none"/>
              </w:rPr>
              <w:t>合同签订后支付合同金额40%的预付款，安装、调试完成后支付至合同金额的70%，经甲方最终验收合格后付至结算价的100%。招标人支付完成最后结算付款前，中标人提供质量保证金保函，保函形式为银行保函、保险机构保证保险保单或融资担保公司保函中任选一种，保证金额为：5%的结算价款。中标人应向招标人提供有效的</w:t>
            </w:r>
            <w:r>
              <w:rPr>
                <w:rFonts w:hint="eastAsia" w:ascii="宋体" w:hAnsi="宋体" w:cs="宋体"/>
                <w:b/>
                <w:bCs/>
                <w:kern w:val="2"/>
                <w:sz w:val="24"/>
                <w:highlight w:val="none"/>
                <w:lang w:val="en-US" w:eastAsia="zh-CN"/>
              </w:rPr>
              <w:t>增值税普通</w:t>
            </w:r>
            <w:r>
              <w:rPr>
                <w:rFonts w:hint="eastAsia" w:ascii="宋体" w:hAnsi="宋体" w:cs="宋体"/>
                <w:b/>
                <w:bCs/>
                <w:kern w:val="2"/>
                <w:sz w:val="24"/>
                <w:highlight w:val="none"/>
              </w:rPr>
              <w:t>发票，否则招标人有权不予付款。</w:t>
            </w:r>
          </w:p>
        </w:tc>
      </w:tr>
      <w:tr w14:paraId="003A1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37" w:type="dxa"/>
            <w:tcBorders>
              <w:top w:val="single" w:color="auto" w:sz="4" w:space="0"/>
              <w:left w:val="single" w:color="auto" w:sz="4" w:space="0"/>
              <w:bottom w:val="single" w:color="auto" w:sz="4" w:space="0"/>
              <w:right w:val="single" w:color="auto" w:sz="4" w:space="0"/>
            </w:tcBorders>
            <w:vAlign w:val="center"/>
          </w:tcPr>
          <w:p w14:paraId="09F28D91">
            <w:pPr>
              <w:snapToGrid w:val="0"/>
              <w:spacing w:line="440" w:lineRule="exact"/>
              <w:jc w:val="center"/>
              <w:rPr>
                <w:rFonts w:ascii="宋体" w:hAnsi="宋体" w:cs="宋体"/>
                <w:sz w:val="24"/>
                <w:highlight w:val="none"/>
              </w:rPr>
            </w:pPr>
            <w:r>
              <w:rPr>
                <w:rFonts w:hint="eastAsia" w:ascii="宋体" w:hAnsi="宋体" w:cs="宋体"/>
                <w:sz w:val="24"/>
                <w:highlight w:val="none"/>
              </w:rPr>
              <w:t>13</w:t>
            </w:r>
          </w:p>
        </w:tc>
        <w:tc>
          <w:tcPr>
            <w:tcW w:w="9286" w:type="dxa"/>
            <w:tcBorders>
              <w:top w:val="single" w:color="auto" w:sz="4" w:space="0"/>
              <w:left w:val="single" w:color="auto" w:sz="4" w:space="0"/>
              <w:bottom w:val="single" w:color="auto" w:sz="4" w:space="0"/>
              <w:right w:val="single" w:color="auto" w:sz="4" w:space="0"/>
            </w:tcBorders>
            <w:vAlign w:val="center"/>
          </w:tcPr>
          <w:p w14:paraId="5C873F43">
            <w:pPr>
              <w:snapToGrid w:val="0"/>
              <w:spacing w:line="440" w:lineRule="exact"/>
              <w:rPr>
                <w:rFonts w:ascii="宋体" w:hAnsi="宋体" w:cs="宋体"/>
                <w:b/>
                <w:bCs/>
                <w:sz w:val="24"/>
                <w:highlight w:val="none"/>
              </w:rPr>
            </w:pPr>
            <w:r>
              <w:rPr>
                <w:rFonts w:hint="eastAsia" w:ascii="宋体" w:hAnsi="宋体" w:cs="宋体"/>
                <w:b/>
                <w:bCs/>
                <w:sz w:val="24"/>
                <w:highlight w:val="none"/>
              </w:rPr>
              <w:t>履约保证金的收取及退还：</w:t>
            </w:r>
            <w:r>
              <w:rPr>
                <w:rFonts w:hint="eastAsia" w:ascii="宋体" w:hAnsi="宋体" w:cs="宋体"/>
                <w:sz w:val="24"/>
                <w:highlight w:val="none"/>
              </w:rPr>
              <w:t>按中标价的1%收取，领取中标通知书前缴纳至临海市产权交易所有限公司中心账户。验收合格后凭《临海市采购验收单》在系统中向临海市产权交易所有限公司退还。</w:t>
            </w:r>
          </w:p>
          <w:p w14:paraId="762D8317">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履约保证金形式：现金（电汇或银行汇票形式）或银行保函或保险机构保证保险保单或融资担保公司保函。。</w:t>
            </w:r>
          </w:p>
          <w:p w14:paraId="6D6D6995">
            <w:pPr>
              <w:pStyle w:val="2"/>
              <w:spacing w:after="80" w:line="440" w:lineRule="exact"/>
              <w:jc w:val="left"/>
              <w:rPr>
                <w:rFonts w:ascii="宋体" w:hAnsi="宋体" w:cs="宋体"/>
                <w:sz w:val="24"/>
                <w:highlight w:val="none"/>
              </w:rPr>
            </w:pPr>
            <w:r>
              <w:rPr>
                <w:rFonts w:hint="eastAsia" w:ascii="宋体" w:hAnsi="宋体" w:cs="宋体"/>
                <w:sz w:val="24"/>
                <w:highlight w:val="none"/>
              </w:rPr>
              <w:t>若采用现金：领取中标通知书前缴纳至临海市产权交易所有限公司中心账户。验收合格后凭《临海市采购验收单》在系统中向临海市产权交易所有限公司退还。</w:t>
            </w:r>
          </w:p>
          <w:p w14:paraId="7C6D0EFF">
            <w:pPr>
              <w:pStyle w:val="2"/>
              <w:spacing w:after="80" w:line="440" w:lineRule="exact"/>
              <w:jc w:val="left"/>
              <w:rPr>
                <w:rFonts w:ascii="宋体" w:hAnsi="宋体" w:cs="宋体"/>
                <w:sz w:val="24"/>
                <w:highlight w:val="none"/>
              </w:rPr>
            </w:pPr>
            <w:r>
              <w:rPr>
                <w:rFonts w:hint="eastAsia" w:ascii="宋体" w:hAnsi="宋体" w:cs="宋体"/>
                <w:sz w:val="24"/>
                <w:highlight w:val="none"/>
              </w:rPr>
              <w:t>开户名：临海市产权交易所有限公司</w:t>
            </w:r>
          </w:p>
          <w:p w14:paraId="72CA831A">
            <w:pPr>
              <w:pStyle w:val="2"/>
              <w:spacing w:after="80" w:line="440" w:lineRule="exact"/>
              <w:jc w:val="left"/>
              <w:rPr>
                <w:rFonts w:ascii="宋体" w:hAnsi="宋体" w:cs="宋体"/>
                <w:sz w:val="24"/>
                <w:highlight w:val="none"/>
              </w:rPr>
            </w:pPr>
            <w:r>
              <w:rPr>
                <w:rFonts w:hint="eastAsia" w:ascii="宋体" w:hAnsi="宋体" w:cs="宋体"/>
                <w:sz w:val="24"/>
                <w:highlight w:val="none"/>
              </w:rPr>
              <w:t>开户行：浙江临海农村商业银行股份有限公司科技支行；</w:t>
            </w:r>
          </w:p>
          <w:p w14:paraId="17010FEB">
            <w:pPr>
              <w:pStyle w:val="2"/>
              <w:spacing w:after="80" w:line="440" w:lineRule="exact"/>
              <w:jc w:val="left"/>
              <w:rPr>
                <w:rFonts w:ascii="宋体" w:hAnsi="宋体" w:cs="宋体"/>
                <w:sz w:val="24"/>
                <w:highlight w:val="none"/>
              </w:rPr>
            </w:pPr>
            <w:r>
              <w:rPr>
                <w:rFonts w:hint="eastAsia" w:ascii="宋体" w:hAnsi="宋体" w:cs="宋体"/>
                <w:sz w:val="24"/>
                <w:highlight w:val="none"/>
              </w:rPr>
              <w:t>履约保证金账号：201000105503123000002</w:t>
            </w:r>
          </w:p>
          <w:p w14:paraId="015C3DAD">
            <w:pPr>
              <w:pStyle w:val="2"/>
              <w:spacing w:after="80" w:line="440" w:lineRule="exact"/>
              <w:jc w:val="left"/>
              <w:rPr>
                <w:rFonts w:ascii="宋体" w:hAnsi="宋体" w:cs="宋体"/>
                <w:sz w:val="24"/>
                <w:highlight w:val="none"/>
              </w:rPr>
            </w:pPr>
            <w:r>
              <w:rPr>
                <w:rFonts w:hint="eastAsia" w:ascii="宋体" w:hAnsi="宋体" w:cs="宋体"/>
                <w:sz w:val="24"/>
                <w:highlight w:val="none"/>
              </w:rPr>
              <w:t>临海市产权交易所有限公司财务咨询电话：0576-85407100。</w:t>
            </w:r>
          </w:p>
          <w:p w14:paraId="5A594B1D">
            <w:pPr>
              <w:pStyle w:val="2"/>
              <w:spacing w:after="80" w:line="440" w:lineRule="exact"/>
              <w:jc w:val="left"/>
              <w:rPr>
                <w:rFonts w:ascii="宋体" w:hAnsi="宋体" w:cs="宋体"/>
                <w:sz w:val="24"/>
                <w:highlight w:val="none"/>
              </w:rPr>
            </w:pPr>
            <w:r>
              <w:rPr>
                <w:rFonts w:hint="eastAsia" w:ascii="宋体" w:hAnsi="宋体" w:cs="宋体"/>
                <w:sz w:val="24"/>
                <w:highlight w:val="none"/>
              </w:rPr>
              <w:t>若采用银行保函，出具保函的银行级别：国有或股份制商业银行县（区、市）级及以上银行。</w:t>
            </w:r>
          </w:p>
          <w:p w14:paraId="4845F37B">
            <w:pPr>
              <w:pStyle w:val="2"/>
              <w:spacing w:after="80" w:line="440" w:lineRule="exact"/>
              <w:jc w:val="left"/>
              <w:rPr>
                <w:rFonts w:ascii="宋体" w:hAnsi="宋体" w:cs="宋体"/>
                <w:sz w:val="24"/>
                <w:highlight w:val="none"/>
              </w:rPr>
            </w:pPr>
            <w:r>
              <w:rPr>
                <w:rFonts w:hint="eastAsia" w:ascii="宋体" w:hAnsi="宋体" w:cs="宋体"/>
                <w:sz w:val="24"/>
                <w:highlight w:val="none"/>
              </w:rPr>
              <w:t>若采用保险机构保证保险保单，出具保单的保险公司级别：县（区、市）级及以上国有或股份制保险公司。</w:t>
            </w:r>
          </w:p>
          <w:p w14:paraId="7B23C4CD">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若采用融资担保公司保函，出具保函的融资担保公司级别：县（区、市）级及以上国有或股份制融资担保公司。</w:t>
            </w:r>
          </w:p>
        </w:tc>
      </w:tr>
      <w:tr w14:paraId="0EAAD4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3DB51414">
            <w:pPr>
              <w:snapToGrid w:val="0"/>
              <w:spacing w:line="440" w:lineRule="exact"/>
              <w:jc w:val="center"/>
              <w:rPr>
                <w:rFonts w:ascii="宋体" w:hAnsi="宋体" w:cs="宋体"/>
                <w:sz w:val="24"/>
                <w:highlight w:val="none"/>
              </w:rPr>
            </w:pPr>
            <w:r>
              <w:rPr>
                <w:rFonts w:hint="eastAsia" w:ascii="宋体" w:hAnsi="宋体" w:cs="宋体"/>
                <w:sz w:val="24"/>
                <w:highlight w:val="none"/>
              </w:rPr>
              <w:t>16</w:t>
            </w:r>
          </w:p>
        </w:tc>
        <w:tc>
          <w:tcPr>
            <w:tcW w:w="9286" w:type="dxa"/>
            <w:tcBorders>
              <w:top w:val="single" w:color="auto" w:sz="4" w:space="0"/>
              <w:left w:val="single" w:color="auto" w:sz="4" w:space="0"/>
              <w:bottom w:val="single" w:color="auto" w:sz="4" w:space="0"/>
              <w:right w:val="single" w:color="auto" w:sz="4" w:space="0"/>
            </w:tcBorders>
            <w:vAlign w:val="center"/>
          </w:tcPr>
          <w:p w14:paraId="7137267F">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电子投标文件的上传：</w:t>
            </w:r>
          </w:p>
          <w:p w14:paraId="0910B02C">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（1）电子投标文件可在投标截止时间前上传，未在投标截止时间前上传的投标文件视为无效标。</w:t>
            </w:r>
          </w:p>
          <w:p w14:paraId="33B253E5">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（2）上传加密的电子投标文件，后缀名为（.投标文件）（本项目无需提供纸质投标文件，只要求上传电子投标文件正本一份）</w:t>
            </w:r>
          </w:p>
          <w:p w14:paraId="70AAC6D2">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CA咨询电话：400-0571-337，投标工具咨询电话：15267291759</w:t>
            </w:r>
          </w:p>
          <w:p w14:paraId="61817473">
            <w:pPr>
              <w:snapToGrid w:val="0"/>
              <w:spacing w:line="440" w:lineRule="exact"/>
              <w:rPr>
                <w:rFonts w:ascii="宋体" w:hAnsi="宋体" w:cs="宋体"/>
                <w:sz w:val="24"/>
                <w:highlight w:val="none"/>
              </w:rPr>
            </w:pPr>
            <w:r>
              <w:rPr>
                <w:rFonts w:hint="eastAsia" w:ascii="宋体" w:hAnsi="宋体" w:cs="宋体"/>
                <w:sz w:val="24"/>
                <w:highlight w:val="none"/>
              </w:rPr>
              <w:t>说明：</w:t>
            </w:r>
            <w:r>
              <w:rPr>
                <w:rFonts w:hint="eastAsia" w:ascii="宋体" w:hAnsi="宋体" w:cs="宋体"/>
                <w:kern w:val="0"/>
                <w:sz w:val="24"/>
                <w:highlight w:val="none"/>
              </w:rPr>
              <w:t>开标时间到达后，在开启解密时间60分钟内（具体时间以不见面开标大厅</w:t>
            </w:r>
            <w:bookmarkStart w:id="26" w:name="_Hlk59625364"/>
            <w:r>
              <w:rPr>
                <w:rFonts w:hint="eastAsia" w:ascii="宋体" w:hAnsi="宋体" w:cs="宋体"/>
                <w:kern w:val="0"/>
                <w:sz w:val="24"/>
                <w:highlight w:val="none"/>
              </w:rPr>
              <w:t>中显示的</w:t>
            </w:r>
            <w:bookmarkEnd w:id="26"/>
            <w:r>
              <w:rPr>
                <w:rFonts w:hint="eastAsia" w:ascii="宋体" w:hAnsi="宋体" w:cs="宋体"/>
                <w:kern w:val="0"/>
                <w:sz w:val="24"/>
                <w:highlight w:val="none"/>
              </w:rPr>
              <w:t>解密截止时间为准），投标人须登录临海市限额以下公共资源交易区域平台-不见面开标大厅，找到所参与的项目进行解密投标文件，</w:t>
            </w:r>
            <w:bookmarkStart w:id="27" w:name="_Hlk59625972"/>
            <w:r>
              <w:rPr>
                <w:rFonts w:hint="eastAsia" w:ascii="宋体" w:hAnsi="宋体" w:cs="宋体"/>
                <w:kern w:val="0"/>
                <w:sz w:val="24"/>
                <w:highlight w:val="none"/>
              </w:rPr>
              <w:t xml:space="preserve">投标人未按时解密或解密失败的，其投标文件为无效标。 </w:t>
            </w:r>
            <w:bookmarkEnd w:id="27"/>
          </w:p>
        </w:tc>
      </w:tr>
      <w:tr w14:paraId="647A18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4" w:hRule="atLeast"/>
        </w:trPr>
        <w:tc>
          <w:tcPr>
            <w:tcW w:w="737" w:type="dxa"/>
            <w:tcBorders>
              <w:top w:val="single" w:color="auto" w:sz="4" w:space="0"/>
              <w:left w:val="single" w:color="auto" w:sz="4" w:space="0"/>
              <w:bottom w:val="single" w:color="auto" w:sz="4" w:space="0"/>
              <w:right w:val="single" w:color="auto" w:sz="4" w:space="0"/>
            </w:tcBorders>
            <w:vAlign w:val="center"/>
          </w:tcPr>
          <w:p w14:paraId="16823255">
            <w:pPr>
              <w:snapToGrid w:val="0"/>
              <w:spacing w:line="440" w:lineRule="exact"/>
              <w:jc w:val="center"/>
              <w:rPr>
                <w:rFonts w:ascii="宋体" w:hAnsi="宋体" w:cs="宋体"/>
                <w:sz w:val="24"/>
                <w:highlight w:val="none"/>
              </w:rPr>
            </w:pPr>
            <w:r>
              <w:rPr>
                <w:rFonts w:hint="eastAsia" w:ascii="宋体" w:hAnsi="宋体" w:cs="宋体"/>
                <w:sz w:val="24"/>
                <w:highlight w:val="none"/>
              </w:rPr>
              <w:t>17</w:t>
            </w:r>
          </w:p>
        </w:tc>
        <w:tc>
          <w:tcPr>
            <w:tcW w:w="9286" w:type="dxa"/>
            <w:tcBorders>
              <w:top w:val="single" w:color="auto" w:sz="4" w:space="0"/>
              <w:left w:val="single" w:color="auto" w:sz="4" w:space="0"/>
              <w:bottom w:val="single" w:color="auto" w:sz="4" w:space="0"/>
              <w:right w:val="single" w:color="auto" w:sz="4" w:space="0"/>
            </w:tcBorders>
            <w:vAlign w:val="center"/>
          </w:tcPr>
          <w:p w14:paraId="747BA643">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投标人平台使用费：</w:t>
            </w:r>
          </w:p>
          <w:p w14:paraId="49315212">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项目金额50万元以下收费100元，50万元以上收费150元。</w:t>
            </w:r>
          </w:p>
          <w:p w14:paraId="39B10C70">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开户名：临海市产权交易所有限公司</w:t>
            </w:r>
          </w:p>
          <w:p w14:paraId="3FB08445">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开户行：浙江临海农村商业银行股份有限公司科技支行；</w:t>
            </w:r>
          </w:p>
          <w:p w14:paraId="6BAE69BB">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平台使用费账号：201000105503123000003</w:t>
            </w:r>
          </w:p>
          <w:p w14:paraId="603DD360">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临海市产权交易所有限公司财务咨询电话：0576-85407100。</w:t>
            </w:r>
          </w:p>
          <w:p w14:paraId="12452F90">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注意：请提前缴纳相关费用，以防影响正常投标。</w:t>
            </w:r>
          </w:p>
        </w:tc>
      </w:tr>
      <w:tr w14:paraId="40D40C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37" w:type="dxa"/>
            <w:tcBorders>
              <w:top w:val="single" w:color="auto" w:sz="4" w:space="0"/>
              <w:left w:val="single" w:color="auto" w:sz="4" w:space="0"/>
              <w:bottom w:val="single" w:color="auto" w:sz="4" w:space="0"/>
              <w:right w:val="single" w:color="auto" w:sz="4" w:space="0"/>
            </w:tcBorders>
            <w:vAlign w:val="center"/>
          </w:tcPr>
          <w:p w14:paraId="2A5DC9AE">
            <w:pPr>
              <w:snapToGrid w:val="0"/>
              <w:spacing w:line="440" w:lineRule="exact"/>
              <w:jc w:val="center"/>
              <w:rPr>
                <w:rFonts w:ascii="宋体" w:hAnsi="宋体" w:cs="宋体"/>
                <w:sz w:val="24"/>
                <w:highlight w:val="none"/>
              </w:rPr>
            </w:pPr>
            <w:r>
              <w:rPr>
                <w:rFonts w:hint="eastAsia" w:ascii="宋体" w:hAnsi="宋体" w:cs="宋体"/>
                <w:sz w:val="24"/>
                <w:highlight w:val="none"/>
              </w:rPr>
              <w:t>18</w:t>
            </w:r>
          </w:p>
        </w:tc>
        <w:tc>
          <w:tcPr>
            <w:tcW w:w="9286" w:type="dxa"/>
            <w:tcBorders>
              <w:top w:val="single" w:color="auto" w:sz="4" w:space="0"/>
              <w:left w:val="single" w:color="auto" w:sz="4" w:space="0"/>
              <w:bottom w:val="single" w:color="auto" w:sz="4" w:space="0"/>
              <w:right w:val="single" w:color="auto" w:sz="4" w:space="0"/>
            </w:tcBorders>
            <w:vAlign w:val="center"/>
          </w:tcPr>
          <w:p w14:paraId="69128D99">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电子发票申请方式：</w:t>
            </w:r>
          </w:p>
          <w:p w14:paraId="53D5FAB4">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3D8620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7D5465C2">
            <w:pPr>
              <w:snapToGrid w:val="0"/>
              <w:spacing w:line="440" w:lineRule="exact"/>
              <w:jc w:val="center"/>
              <w:rPr>
                <w:rFonts w:ascii="宋体" w:hAnsi="宋体" w:cs="宋体"/>
                <w:sz w:val="24"/>
                <w:highlight w:val="none"/>
              </w:rPr>
            </w:pPr>
            <w:r>
              <w:rPr>
                <w:rFonts w:hint="eastAsia" w:ascii="宋体" w:hAnsi="宋体" w:cs="宋体"/>
                <w:sz w:val="24"/>
                <w:highlight w:val="none"/>
              </w:rPr>
              <w:t>19</w:t>
            </w:r>
          </w:p>
        </w:tc>
        <w:tc>
          <w:tcPr>
            <w:tcW w:w="9286" w:type="dxa"/>
            <w:tcBorders>
              <w:top w:val="single" w:color="auto" w:sz="4" w:space="0"/>
              <w:left w:val="single" w:color="auto" w:sz="4" w:space="0"/>
              <w:bottom w:val="single" w:color="auto" w:sz="4" w:space="0"/>
              <w:right w:val="single" w:color="auto" w:sz="4" w:space="0"/>
            </w:tcBorders>
            <w:vAlign w:val="center"/>
          </w:tcPr>
          <w:p w14:paraId="46D633E9">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特别事项：</w:t>
            </w:r>
          </w:p>
          <w:p w14:paraId="4816D618">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7745B0B">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6B52A8E">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66CCDAD3">
            <w:pPr>
              <w:pStyle w:val="2"/>
              <w:snapToGrid w:val="0"/>
              <w:spacing w:after="80" w:line="440" w:lineRule="exact"/>
              <w:jc w:val="left"/>
              <w:rPr>
                <w:rFonts w:ascii="宋体" w:hAnsi="宋体" w:cs="宋体"/>
                <w:sz w:val="24"/>
                <w:highlight w:val="none"/>
              </w:rPr>
            </w:pPr>
            <w:r>
              <w:rPr>
                <w:rFonts w:hint="eastAsia" w:ascii="宋体" w:hAnsi="宋体" w:cs="宋体"/>
                <w:sz w:val="24"/>
                <w:highlight w:val="none"/>
              </w:rPr>
              <w:t>软件技术支持电话：15267291759（同微信）。</w:t>
            </w:r>
          </w:p>
        </w:tc>
      </w:tr>
      <w:tr w14:paraId="45C7A7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7" w:type="dxa"/>
            <w:tcBorders>
              <w:top w:val="single" w:color="auto" w:sz="4" w:space="0"/>
              <w:left w:val="single" w:color="auto" w:sz="4" w:space="0"/>
              <w:bottom w:val="single" w:color="auto" w:sz="4" w:space="0"/>
              <w:right w:val="single" w:color="auto" w:sz="4" w:space="0"/>
            </w:tcBorders>
            <w:vAlign w:val="center"/>
          </w:tcPr>
          <w:p w14:paraId="5580D774">
            <w:pPr>
              <w:snapToGrid w:val="0"/>
              <w:spacing w:line="440" w:lineRule="exact"/>
              <w:jc w:val="center"/>
              <w:rPr>
                <w:rFonts w:ascii="宋体" w:hAnsi="宋体" w:cs="宋体"/>
                <w:sz w:val="24"/>
                <w:highlight w:val="none"/>
              </w:rPr>
            </w:pPr>
            <w:r>
              <w:rPr>
                <w:rFonts w:hint="eastAsia" w:ascii="宋体" w:hAnsi="宋体" w:cs="宋体"/>
                <w:sz w:val="24"/>
                <w:highlight w:val="none"/>
              </w:rPr>
              <w:t>20</w:t>
            </w:r>
          </w:p>
        </w:tc>
        <w:tc>
          <w:tcPr>
            <w:tcW w:w="9286" w:type="dxa"/>
            <w:tcBorders>
              <w:top w:val="single" w:color="auto" w:sz="4" w:space="0"/>
              <w:left w:val="single" w:color="auto" w:sz="4" w:space="0"/>
              <w:bottom w:val="single" w:color="auto" w:sz="4" w:space="0"/>
              <w:right w:val="single" w:color="auto" w:sz="4" w:space="0"/>
            </w:tcBorders>
            <w:vAlign w:val="center"/>
          </w:tcPr>
          <w:p w14:paraId="20045E09">
            <w:pPr>
              <w:autoSpaceDE w:val="0"/>
              <w:autoSpaceDN w:val="0"/>
              <w:snapToGrid w:val="0"/>
              <w:spacing w:line="440" w:lineRule="exact"/>
              <w:rPr>
                <w:rFonts w:ascii="宋体" w:hAnsi="宋体" w:cs="宋体"/>
                <w:sz w:val="24"/>
                <w:highlight w:val="none"/>
              </w:rPr>
            </w:pPr>
            <w:r>
              <w:rPr>
                <w:rFonts w:hint="eastAsia" w:ascii="宋体" w:hAnsi="宋体" w:cs="宋体"/>
                <w:sz w:val="24"/>
                <w:highlight w:val="none"/>
              </w:rPr>
              <w:t>解释：本招标文件的解释权属于招标人。</w:t>
            </w:r>
          </w:p>
        </w:tc>
      </w:tr>
    </w:tbl>
    <w:p w14:paraId="70D8D1DA">
      <w:pPr>
        <w:pStyle w:val="30"/>
        <w:adjustRightInd w:val="0"/>
        <w:snapToGrid w:val="0"/>
        <w:spacing w:beforeLines="0" w:afterLines="0" w:line="440" w:lineRule="exact"/>
        <w:ind w:firstLine="482" w:firstLineChars="200"/>
        <w:rPr>
          <w:rFonts w:hAnsi="宋体" w:cs="宋体"/>
          <w:b/>
          <w:highlight w:val="none"/>
        </w:rPr>
      </w:pPr>
    </w:p>
    <w:p w14:paraId="2CB2DAC9">
      <w:pPr>
        <w:pStyle w:val="30"/>
        <w:adjustRightInd w:val="0"/>
        <w:snapToGrid w:val="0"/>
        <w:spacing w:beforeLines="0" w:afterLines="0" w:line="440" w:lineRule="exact"/>
        <w:ind w:firstLine="482" w:firstLineChars="200"/>
        <w:rPr>
          <w:rFonts w:hAnsi="宋体" w:cs="宋体"/>
          <w:b/>
          <w:highlight w:val="none"/>
        </w:rPr>
        <w:sectPr>
          <w:pgSz w:w="11906" w:h="16838"/>
          <w:pgMar w:top="1440" w:right="1800" w:bottom="1440" w:left="1800" w:header="851" w:footer="992" w:gutter="0"/>
          <w:cols w:space="425" w:num="1"/>
          <w:docGrid w:type="lines" w:linePitch="312" w:charSpace="0"/>
        </w:sectPr>
      </w:pPr>
    </w:p>
    <w:p w14:paraId="7350AB5E">
      <w:pPr>
        <w:pStyle w:val="30"/>
        <w:adjustRightInd w:val="0"/>
        <w:snapToGrid w:val="0"/>
        <w:spacing w:beforeLines="0" w:afterLines="0" w:line="440" w:lineRule="exact"/>
        <w:ind w:firstLine="482" w:firstLineChars="200"/>
        <w:rPr>
          <w:rFonts w:hAnsi="宋体" w:cs="宋体"/>
          <w:b/>
          <w:highlight w:val="none"/>
        </w:rPr>
      </w:pPr>
      <w:r>
        <w:rPr>
          <w:rFonts w:hint="eastAsia" w:hAnsi="宋体" w:cs="宋体"/>
          <w:b/>
          <w:highlight w:val="none"/>
        </w:rPr>
        <w:t>一 、总  则</w:t>
      </w:r>
    </w:p>
    <w:p w14:paraId="5BB61A4B">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（一）适用范围</w:t>
      </w:r>
    </w:p>
    <w:p w14:paraId="19A606E5">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本招标文件适用于本项目的招标、投标、评标、定标、验收、合同履约、付款等行为。</w:t>
      </w:r>
    </w:p>
    <w:p w14:paraId="03F3082C">
      <w:pPr>
        <w:adjustRightInd w:val="0"/>
        <w:snapToGrid w:val="0"/>
        <w:spacing w:line="440" w:lineRule="exact"/>
        <w:ind w:firstLine="354" w:firstLineChars="147"/>
        <w:jc w:val="left"/>
        <w:rPr>
          <w:rFonts w:ascii="宋体" w:hAnsi="宋体" w:cs="宋体"/>
          <w:b/>
          <w:sz w:val="24"/>
          <w:highlight w:val="none"/>
        </w:rPr>
      </w:pPr>
      <w:r>
        <w:rPr>
          <w:rFonts w:hint="eastAsia" w:ascii="宋体" w:hAnsi="宋体" w:cs="宋体"/>
          <w:b/>
          <w:sz w:val="24"/>
          <w:highlight w:val="none"/>
        </w:rPr>
        <w:t>（二）定义</w:t>
      </w:r>
    </w:p>
    <w:p w14:paraId="22FDFAD0">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1.“招标人”系指组织本次招标的招标人临海市供水有限公司。</w:t>
      </w:r>
    </w:p>
    <w:p w14:paraId="2D2EBF59">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2.“投标人”系指向招标人提交投标文件的单位。</w:t>
      </w:r>
    </w:p>
    <w:p w14:paraId="0FC7A254">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3.“产品”系指供方按招标文件规定，须向招标人提供的一切设备、保险、税金、备品备件、工具、手册及其它有关技术资料和材料。</w:t>
      </w:r>
    </w:p>
    <w:p w14:paraId="644032FB">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4.“服务”系指招标文件规定投标人须承担的安装、调试、技术协助、校准、培训、技术指导以及其他类似的义务。</w:t>
      </w:r>
    </w:p>
    <w:p w14:paraId="04739371">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5.“项目”系指投标人按招标文件规定向招标人提供的产品和服务。</w:t>
      </w:r>
    </w:p>
    <w:p w14:paraId="585BE114">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6.“书面形式”包括信函、传真、电报等。</w:t>
      </w:r>
    </w:p>
    <w:p w14:paraId="518358BB">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7.“▲”系指实质性要求条款。</w:t>
      </w:r>
    </w:p>
    <w:p w14:paraId="0932E553">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（三）招标方式</w:t>
      </w:r>
    </w:p>
    <w:p w14:paraId="4852C181">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本次招标采用公开招标方式进行。</w:t>
      </w:r>
    </w:p>
    <w:p w14:paraId="2ABB7952">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（四）投标委托</w:t>
      </w:r>
    </w:p>
    <w:p w14:paraId="11269FAC">
      <w:pPr>
        <w:pStyle w:val="22"/>
        <w:adjustRightInd w:val="0"/>
        <w:snapToGrid w:val="0"/>
        <w:spacing w:line="440" w:lineRule="exact"/>
        <w:ind w:firstLine="464" w:firstLineChars="200"/>
        <w:jc w:val="left"/>
        <w:rPr>
          <w:rFonts w:hAnsi="宋体" w:cs="宋体"/>
          <w:sz w:val="24"/>
          <w:szCs w:val="24"/>
          <w:highlight w:val="none"/>
        </w:rPr>
      </w:pPr>
      <w:r>
        <w:rPr>
          <w:rFonts w:hint="eastAsia" w:hAnsi="宋体" w:cs="宋体"/>
          <w:sz w:val="24"/>
          <w:szCs w:val="24"/>
          <w:highlight w:val="none"/>
        </w:rPr>
        <w:t>投标人代表须携带有效身份证件。如投标人代表不是法定代表人，须有法定代表人出具的授权委托书，格式见第六章。</w:t>
      </w:r>
    </w:p>
    <w:p w14:paraId="5BDE4419">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（五）投标费用及结算</w:t>
      </w:r>
    </w:p>
    <w:p w14:paraId="48AAB364">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1）不论投标结果如何，投标人均应自行承担所有与投标有关的全部费用。</w:t>
      </w:r>
    </w:p>
    <w:p w14:paraId="6C951E40">
      <w:pPr>
        <w:adjustRightInd w:val="0"/>
        <w:snapToGrid w:val="0"/>
        <w:spacing w:line="440" w:lineRule="exact"/>
        <w:ind w:firstLine="480" w:firstLineChars="200"/>
        <w:rPr>
          <w:rFonts w:ascii="宋体" w:hAnsi="宋体" w:cs="宋体"/>
          <w:b/>
          <w:sz w:val="24"/>
          <w:highlight w:val="none"/>
          <w:u w:val="single"/>
        </w:rPr>
      </w:pPr>
      <w:r>
        <w:rPr>
          <w:rFonts w:hint="eastAsia" w:ascii="宋体" w:hAnsi="宋体" w:cs="宋体"/>
          <w:sz w:val="24"/>
          <w:highlight w:val="none"/>
        </w:rPr>
        <w:t>2）除业主要求或设计变更要求外不签署任何增加费用的联系单，</w:t>
      </w:r>
      <w:r>
        <w:rPr>
          <w:rFonts w:hint="eastAsia" w:ascii="宋体" w:hAnsi="宋体" w:cs="宋体"/>
          <w:bCs/>
          <w:sz w:val="24"/>
          <w:highlight w:val="none"/>
        </w:rPr>
        <w:t>工程量清单外而要完成本项目所必需的设备、物料、服务等各</w:t>
      </w:r>
      <w:r>
        <w:rPr>
          <w:rFonts w:hint="eastAsia" w:ascii="宋体" w:hAnsi="宋体" w:cs="宋体"/>
          <w:sz w:val="24"/>
          <w:highlight w:val="none"/>
        </w:rPr>
        <w:t>投标人请自行考虑并计入投标总报价，中标后不予调整。投标时工程量按照招标文件中提供的工程量进行投标报价，结算时按实结算。</w:t>
      </w:r>
    </w:p>
    <w:p w14:paraId="2648074C">
      <w:pPr>
        <w:adjustRightInd w:val="0"/>
        <w:snapToGrid w:val="0"/>
        <w:spacing w:line="440" w:lineRule="exact"/>
        <w:ind w:firstLine="472" w:firstLineChars="196"/>
        <w:rPr>
          <w:rFonts w:ascii="宋体" w:hAnsi="宋体" w:cs="宋体"/>
          <w:b/>
          <w:kern w:val="0"/>
          <w:sz w:val="24"/>
          <w:highlight w:val="none"/>
        </w:rPr>
      </w:pPr>
      <w:r>
        <w:rPr>
          <w:rFonts w:hint="eastAsia" w:ascii="宋体" w:hAnsi="宋体" w:cs="宋体"/>
          <w:b/>
          <w:sz w:val="24"/>
          <w:highlight w:val="none"/>
        </w:rPr>
        <w:t>（六）</w:t>
      </w:r>
      <w:r>
        <w:rPr>
          <w:rFonts w:hint="eastAsia" w:ascii="宋体" w:hAnsi="宋体" w:cs="宋体"/>
          <w:b/>
          <w:kern w:val="0"/>
          <w:sz w:val="24"/>
          <w:highlight w:val="none"/>
        </w:rPr>
        <w:t>转包与分包</w:t>
      </w:r>
    </w:p>
    <w:p w14:paraId="1BAA47C5">
      <w:pPr>
        <w:adjustRightInd w:val="0"/>
        <w:snapToGrid w:val="0"/>
        <w:spacing w:line="440" w:lineRule="exact"/>
        <w:ind w:firstLine="720" w:firstLineChars="300"/>
        <w:rPr>
          <w:rFonts w:ascii="宋体" w:hAnsi="宋体" w:cs="宋体"/>
          <w:kern w:val="0"/>
          <w:sz w:val="24"/>
          <w:highlight w:val="none"/>
        </w:rPr>
      </w:pPr>
      <w:r>
        <w:rPr>
          <w:rFonts w:hint="eastAsia" w:ascii="宋体" w:hAnsi="宋体" w:cs="宋体"/>
          <w:kern w:val="0"/>
          <w:sz w:val="24"/>
          <w:highlight w:val="none"/>
        </w:rPr>
        <w:t>本项目不允许转包与违法分包。</w:t>
      </w:r>
    </w:p>
    <w:p w14:paraId="0D45C497">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（七）特别说明</w:t>
      </w:r>
    </w:p>
    <w:p w14:paraId="71D9F428">
      <w:pPr>
        <w:widowControl/>
        <w:adjustRightInd w:val="0"/>
        <w:snapToGrid w:val="0"/>
        <w:spacing w:line="440" w:lineRule="exact"/>
        <w:ind w:firstLine="482" w:firstLineChars="200"/>
        <w:jc w:val="left"/>
        <w:rPr>
          <w:rFonts w:ascii="宋体" w:hAnsi="宋体" w:cs="宋体"/>
          <w:kern w:val="0"/>
          <w:sz w:val="24"/>
          <w:highlight w:val="none"/>
        </w:rPr>
      </w:pPr>
      <w:r>
        <w:rPr>
          <w:rFonts w:hint="eastAsia" w:ascii="宋体" w:hAnsi="宋体" w:cs="宋体"/>
          <w:b/>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kern w:val="0"/>
          <w:sz w:val="24"/>
          <w:highlight w:val="none"/>
        </w:rPr>
        <w:t xml:space="preserve">  </w:t>
      </w:r>
    </w:p>
    <w:p w14:paraId="7438CEE7">
      <w:pPr>
        <w:widowControl/>
        <w:adjustRightInd w:val="0"/>
        <w:snapToGrid w:val="0"/>
        <w:spacing w:line="44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使用综合评分法的采购项目，提供的核心产品为相同品牌或相同产品制造商产品且通过资格审查、符合性审查的不同投标人参加同一合同项下投标的，按一家投标人计算，评审后得分最高的投标人获得中标人推荐资格；评审得分相同的，由招标人或者招标人委托评标委员会按照招标文件规定的方式确定一个投标人获得中标人推荐资格，招标文件未规定的采取随机抽取方式确定，其他同品牌</w:t>
      </w:r>
      <w:r>
        <w:rPr>
          <w:rFonts w:hint="eastAsia" w:ascii="宋体" w:hAnsi="宋体" w:cs="宋体"/>
          <w:kern w:val="0"/>
          <w:sz w:val="24"/>
          <w:highlight w:val="none"/>
          <w:lang w:val="en-US" w:eastAsia="zh-CN"/>
        </w:rPr>
        <w:t>或使用同个产品制造商的</w:t>
      </w:r>
      <w:r>
        <w:rPr>
          <w:rFonts w:hint="eastAsia" w:ascii="宋体" w:hAnsi="宋体" w:cs="宋体"/>
          <w:kern w:val="0"/>
          <w:sz w:val="24"/>
          <w:highlight w:val="none"/>
        </w:rPr>
        <w:t>投标人不作为中标候选人。</w:t>
      </w:r>
    </w:p>
    <w:p w14:paraId="2D57EA07">
      <w:pPr>
        <w:pStyle w:val="30"/>
        <w:adjustRightInd w:val="0"/>
        <w:snapToGrid w:val="0"/>
        <w:spacing w:beforeLines="0" w:afterLines="0" w:line="440" w:lineRule="exact"/>
        <w:ind w:firstLine="360" w:firstLineChars="150"/>
        <w:rPr>
          <w:rFonts w:hAnsi="宋体" w:cs="宋体"/>
          <w:highlight w:val="none"/>
        </w:rPr>
      </w:pPr>
      <w:r>
        <w:rPr>
          <w:rFonts w:hint="eastAsia" w:hAnsi="宋体" w:cs="宋体"/>
          <w:highlight w:val="none"/>
        </w:rPr>
        <w:t>2.投标人投标所使用的资格、信誉、荣誉、业绩必须为本法人所拥有。投标人投标所使用的采购项目实施人员须为本法人员工。</w:t>
      </w:r>
    </w:p>
    <w:p w14:paraId="7FAF3376">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3.投标人应仔细阅读招标文件的所有内容，按照招标文件的要求提交投标文件，并对所提供的全部资料的真实性承担法律责任。</w:t>
      </w:r>
    </w:p>
    <w:p w14:paraId="1446CAEB">
      <w:pPr>
        <w:pStyle w:val="30"/>
        <w:adjustRightInd w:val="0"/>
        <w:snapToGrid w:val="0"/>
        <w:spacing w:beforeLines="0" w:afterLines="0" w:line="440" w:lineRule="exact"/>
        <w:ind w:firstLine="480" w:firstLineChars="200"/>
        <w:rPr>
          <w:rFonts w:hAnsi="宋体" w:cs="宋体"/>
          <w:b/>
          <w:highlight w:val="none"/>
        </w:rPr>
      </w:pPr>
      <w:r>
        <w:rPr>
          <w:rFonts w:hint="eastAsia" w:hAnsi="宋体" w:cs="宋体"/>
          <w:highlight w:val="none"/>
        </w:rPr>
        <w:t>4.投标人在投标活动中提供任何虚假材料,其投标无效。中标后发现的,中标人须依照《中华人民共和国消费者权益保护法》第49条之规定双倍赔偿招标人，且民事赔偿并不免除违法投标人的行政与刑事责任。</w:t>
      </w:r>
    </w:p>
    <w:p w14:paraId="73D9400C">
      <w:pPr>
        <w:pStyle w:val="30"/>
        <w:adjustRightInd w:val="0"/>
        <w:snapToGrid w:val="0"/>
        <w:spacing w:beforeLines="0" w:afterLines="0" w:line="440" w:lineRule="exact"/>
        <w:ind w:firstLine="472" w:firstLineChars="196"/>
        <w:rPr>
          <w:rFonts w:hAnsi="宋体" w:cs="宋体"/>
          <w:b/>
          <w:bCs/>
          <w:highlight w:val="none"/>
        </w:rPr>
      </w:pPr>
      <w:r>
        <w:rPr>
          <w:rFonts w:hint="eastAsia" w:hAnsi="宋体" w:cs="宋体"/>
          <w:b/>
          <w:bCs/>
          <w:highlight w:val="none"/>
        </w:rPr>
        <w:t>（八）质疑</w:t>
      </w:r>
    </w:p>
    <w:p w14:paraId="067CD65B">
      <w:pPr>
        <w:widowControl/>
        <w:adjustRightInd w:val="0"/>
        <w:snapToGrid w:val="0"/>
        <w:spacing w:line="44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1.投标人认为招标文件、采购过程和中标结果使自己的权益受到损害的，以在线形式一次性向招标人或代理机构提出质疑：</w:t>
      </w:r>
    </w:p>
    <w:p w14:paraId="671166DB">
      <w:pPr>
        <w:widowControl/>
        <w:adjustRightInd w:val="0"/>
        <w:snapToGrid w:val="0"/>
        <w:spacing w:line="44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（1）投标人认为招标文件的内容损害其权益的，应当自获取之日起（获取截止日之后收到招标文件的，以获取截止日为准）</w:t>
      </w:r>
      <w:r>
        <w:rPr>
          <w:rFonts w:hint="eastAsia" w:ascii="宋体" w:hAnsi="宋体" w:cs="宋体"/>
          <w:b/>
          <w:kern w:val="0"/>
          <w:sz w:val="24"/>
          <w:highlight w:val="none"/>
          <w:u w:val="single"/>
        </w:rPr>
        <w:t xml:space="preserve"> 7 </w:t>
      </w:r>
      <w:r>
        <w:rPr>
          <w:rFonts w:hint="eastAsia" w:ascii="宋体" w:hAnsi="宋体" w:cs="宋体"/>
          <w:kern w:val="0"/>
          <w:sz w:val="24"/>
          <w:highlight w:val="none"/>
        </w:rPr>
        <w:t>个工作日内提出质疑；</w:t>
      </w:r>
    </w:p>
    <w:p w14:paraId="0C1254D5">
      <w:pPr>
        <w:widowControl/>
        <w:adjustRightInd w:val="0"/>
        <w:snapToGrid w:val="0"/>
        <w:spacing w:line="44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（2）投标人对采购过程提出质疑的，应当在各采购程序环节结束之日起</w:t>
      </w:r>
      <w:r>
        <w:rPr>
          <w:rFonts w:hint="eastAsia" w:ascii="宋体" w:hAnsi="宋体" w:cs="宋体"/>
          <w:b/>
          <w:kern w:val="0"/>
          <w:sz w:val="24"/>
          <w:highlight w:val="none"/>
          <w:u w:val="single"/>
        </w:rPr>
        <w:t xml:space="preserve"> 3 </w:t>
      </w:r>
      <w:r>
        <w:rPr>
          <w:rFonts w:hint="eastAsia" w:ascii="宋体" w:hAnsi="宋体" w:cs="宋体"/>
          <w:kern w:val="0"/>
          <w:sz w:val="24"/>
          <w:highlight w:val="none"/>
        </w:rPr>
        <w:t>个工作日内提出质疑；</w:t>
      </w:r>
    </w:p>
    <w:p w14:paraId="076E513D">
      <w:pPr>
        <w:widowControl/>
        <w:adjustRightInd w:val="0"/>
        <w:snapToGrid w:val="0"/>
        <w:spacing w:line="44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（3）投标人对成交结果提出质疑的，</w:t>
      </w:r>
      <w:r>
        <w:rPr>
          <w:rFonts w:hint="eastAsia" w:ascii="宋体" w:hAnsi="宋体" w:cs="宋体"/>
          <w:b/>
          <w:kern w:val="0"/>
          <w:sz w:val="24"/>
          <w:highlight w:val="none"/>
        </w:rPr>
        <w:t>应当在成交结果公告之日起</w:t>
      </w:r>
      <w:r>
        <w:rPr>
          <w:rFonts w:hint="eastAsia" w:ascii="宋体" w:hAnsi="宋体" w:cs="宋体"/>
          <w:b/>
          <w:kern w:val="0"/>
          <w:sz w:val="24"/>
          <w:highlight w:val="none"/>
          <w:u w:val="single"/>
        </w:rPr>
        <w:t xml:space="preserve"> 3 </w:t>
      </w:r>
      <w:r>
        <w:rPr>
          <w:rFonts w:hint="eastAsia" w:ascii="宋体" w:hAnsi="宋体" w:cs="宋体"/>
          <w:kern w:val="0"/>
          <w:sz w:val="24"/>
          <w:highlight w:val="none"/>
        </w:rPr>
        <w:t>个工作日内提出质疑；</w:t>
      </w:r>
    </w:p>
    <w:p w14:paraId="2F294AFD">
      <w:pPr>
        <w:widowControl/>
        <w:adjustRightInd w:val="0"/>
        <w:snapToGrid w:val="0"/>
        <w:spacing w:line="44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2.招标人或代理机构在收到投标人的在线质疑后</w:t>
      </w:r>
      <w:r>
        <w:rPr>
          <w:rFonts w:hint="eastAsia" w:ascii="宋体" w:hAnsi="宋体" w:cs="宋体"/>
          <w:b/>
          <w:kern w:val="0"/>
          <w:sz w:val="24"/>
          <w:highlight w:val="none"/>
          <w:u w:val="single"/>
        </w:rPr>
        <w:t xml:space="preserve"> 5 </w:t>
      </w:r>
      <w:r>
        <w:rPr>
          <w:rFonts w:hint="eastAsia" w:ascii="宋体" w:hAnsi="宋体" w:cs="宋体"/>
          <w:kern w:val="0"/>
          <w:sz w:val="24"/>
          <w:highlight w:val="none"/>
        </w:rPr>
        <w:t>个工作日内作出答复，并以在线形式回复质疑投标人和其他有关投标人，但答复内容不涉及商业秘密。</w:t>
      </w:r>
    </w:p>
    <w:p w14:paraId="214B2BB7">
      <w:pPr>
        <w:widowControl/>
        <w:adjustRightInd w:val="0"/>
        <w:snapToGrid w:val="0"/>
        <w:spacing w:line="44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74DB327">
      <w:pPr>
        <w:widowControl/>
        <w:adjustRightInd w:val="0"/>
        <w:snapToGrid w:val="0"/>
        <w:spacing w:line="44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（九）投诉</w:t>
      </w:r>
    </w:p>
    <w:p w14:paraId="4D19742F">
      <w:pPr>
        <w:pStyle w:val="30"/>
        <w:adjustRightInd w:val="0"/>
        <w:snapToGrid w:val="0"/>
        <w:spacing w:beforeLines="0" w:afterLines="0" w:line="440" w:lineRule="exact"/>
        <w:ind w:firstLine="472" w:firstLineChars="196"/>
        <w:rPr>
          <w:rFonts w:hAnsi="宋体" w:cs="宋体"/>
          <w:b/>
          <w:highlight w:val="none"/>
        </w:rPr>
      </w:pPr>
      <w:r>
        <w:rPr>
          <w:rFonts w:hint="eastAsia" w:hAnsi="宋体" w:cs="宋体"/>
          <w:b/>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1156EDF7">
      <w:pPr>
        <w:pStyle w:val="30"/>
        <w:adjustRightInd w:val="0"/>
        <w:snapToGrid w:val="0"/>
        <w:spacing w:beforeLines="0" w:afterLines="0" w:line="440" w:lineRule="exact"/>
        <w:ind w:firstLine="472" w:firstLineChars="196"/>
        <w:rPr>
          <w:rFonts w:hAnsi="宋体" w:cs="宋体"/>
          <w:b/>
          <w:highlight w:val="none"/>
        </w:rPr>
      </w:pPr>
      <w:r>
        <w:rPr>
          <w:rFonts w:hint="eastAsia" w:hAnsi="宋体" w:cs="宋体"/>
          <w:b/>
          <w:highlight w:val="none"/>
        </w:rPr>
        <w:t>二、招标文件</w:t>
      </w:r>
    </w:p>
    <w:p w14:paraId="272FF7D6">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（一）招标文件的构成</w:t>
      </w:r>
    </w:p>
    <w:p w14:paraId="5122A7C3">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1.投标邀请</w:t>
      </w:r>
    </w:p>
    <w:p w14:paraId="0B43F42A">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2.招标需求</w:t>
      </w:r>
    </w:p>
    <w:p w14:paraId="738D1913">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3.投标人须知</w:t>
      </w:r>
    </w:p>
    <w:p w14:paraId="58F715DC">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4.评标办法及标准</w:t>
      </w:r>
    </w:p>
    <w:p w14:paraId="66AB2E5D">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5.合同主要条款</w:t>
      </w:r>
    </w:p>
    <w:p w14:paraId="1A5241BA">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6.投标文件格式</w:t>
      </w:r>
    </w:p>
    <w:p w14:paraId="02CB1BA3">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7.本项目招标文件的澄清、答复、修改、补充的内容（如有）</w:t>
      </w:r>
    </w:p>
    <w:p w14:paraId="5BC66FFB">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（二）投标人的风险</w:t>
      </w:r>
    </w:p>
    <w:p w14:paraId="7776D795">
      <w:pPr>
        <w:pStyle w:val="42"/>
        <w:adjustRightInd w:val="0"/>
        <w:spacing w:line="440" w:lineRule="exact"/>
        <w:rPr>
          <w:rFonts w:ascii="宋体" w:eastAsia="宋体" w:cs="宋体"/>
          <w:color w:val="auto"/>
          <w:highlight w:val="none"/>
        </w:rPr>
      </w:pPr>
      <w:r>
        <w:rPr>
          <w:rFonts w:hint="eastAsia" w:ascii="宋体" w:eastAsia="宋体" w:cs="宋体"/>
          <w:color w:val="auto"/>
          <w:highlight w:val="none"/>
        </w:rPr>
        <w:t>投标人没有按照招标文件要求提供全部资料，或者投标人没有对招标文件在各方面作出实质性响应是投标人的风险，并可能导致其投标被拒绝。</w:t>
      </w:r>
    </w:p>
    <w:p w14:paraId="01183510">
      <w:pPr>
        <w:pStyle w:val="14"/>
        <w:widowControl w:val="0"/>
        <w:tabs>
          <w:tab w:val="left" w:pos="420"/>
        </w:tabs>
        <w:adjustRightInd w:val="0"/>
        <w:snapToGrid w:val="0"/>
        <w:spacing w:afterLines="0" w:line="440" w:lineRule="exact"/>
        <w:ind w:left="0" w:firstLine="472" w:firstLineChars="196"/>
        <w:rPr>
          <w:rFonts w:ascii="宋体" w:hAnsi="宋体" w:cs="宋体"/>
          <w:b/>
          <w:szCs w:val="24"/>
          <w:highlight w:val="none"/>
        </w:rPr>
      </w:pPr>
      <w:r>
        <w:rPr>
          <w:rFonts w:hint="eastAsia" w:ascii="宋体" w:hAnsi="宋体" w:cs="宋体"/>
          <w:b/>
          <w:szCs w:val="24"/>
          <w:highlight w:val="none"/>
        </w:rPr>
        <w:t xml:space="preserve">（三）招标文件的澄清与修改 </w:t>
      </w:r>
    </w:p>
    <w:p w14:paraId="05ADB715">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1.</w:t>
      </w:r>
      <w:r>
        <w:rPr>
          <w:rFonts w:hint="eastAsia" w:hAnsi="宋体" w:cs="宋体"/>
          <w:bCs/>
          <w:highlight w:val="none"/>
        </w:rPr>
        <w:t>投标人应认真阅读本招标文件，发现其中有误或有不合理要求的，投标人必须在前附表规定的时间前以书面形式要求招标人澄清</w:t>
      </w:r>
      <w:r>
        <w:rPr>
          <w:rFonts w:hint="eastAsia" w:hAnsi="宋体" w:cs="宋体"/>
          <w:highlight w:val="none"/>
        </w:rPr>
        <w:t>。招标人对已发出的招标文件进行必要澄清、答复、修改或补充的，应当在招标文件要求提交投标文件截止时间前，以采购公告发布的网站予以发布。</w:t>
      </w:r>
    </w:p>
    <w:p w14:paraId="0847DB96">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2.招标文件澄清、答复、修改、补充的内容为招标文件的组成部分。当招标文件与招标文件的答复、澄清、修改、补充通知就同一内容的表述不一致时，以最后发出的公告为准。</w:t>
      </w:r>
    </w:p>
    <w:p w14:paraId="292D861F">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3.招标文件的澄清、答复、修改或补充都应该通过招标人以法定形式发布，招标人没有通过招标人，不得擅自澄清、答复、修改或补充招标文件。</w:t>
      </w:r>
    </w:p>
    <w:p w14:paraId="67582E25">
      <w:pPr>
        <w:pStyle w:val="30"/>
        <w:adjustRightInd w:val="0"/>
        <w:snapToGrid w:val="0"/>
        <w:spacing w:beforeLines="0" w:afterLines="0" w:line="440" w:lineRule="exact"/>
        <w:ind w:firstLine="472" w:firstLineChars="196"/>
        <w:rPr>
          <w:rFonts w:hAnsi="宋体" w:cs="宋体"/>
          <w:b/>
          <w:highlight w:val="none"/>
        </w:rPr>
      </w:pPr>
      <w:r>
        <w:rPr>
          <w:rFonts w:hint="eastAsia" w:hAnsi="宋体" w:cs="宋体"/>
          <w:b/>
          <w:highlight w:val="none"/>
        </w:rPr>
        <w:t>三、投标文件的编制</w:t>
      </w:r>
    </w:p>
    <w:p w14:paraId="2B82699D">
      <w:pPr>
        <w:adjustRightInd w:val="0"/>
        <w:snapToGrid w:val="0"/>
        <w:spacing w:line="440" w:lineRule="exact"/>
        <w:ind w:firstLine="470" w:firstLineChars="196"/>
        <w:jc w:val="left"/>
        <w:rPr>
          <w:rFonts w:ascii="宋体" w:hAnsi="宋体" w:cs="宋体"/>
          <w:bCs/>
          <w:sz w:val="24"/>
          <w:highlight w:val="none"/>
        </w:rPr>
      </w:pPr>
      <w:r>
        <w:rPr>
          <w:rFonts w:hint="eastAsia" w:ascii="宋体" w:hAnsi="宋体" w:cs="宋体"/>
          <w:bCs/>
          <w:sz w:val="24"/>
          <w:highlight w:val="none"/>
        </w:rPr>
        <w:t>本项目实行电子投标，投标人应准备电子投标文件，本项目线下无需提供任何备份投标文件。电子投标文件，按及本招标文件要求编制。</w:t>
      </w:r>
    </w:p>
    <w:p w14:paraId="41E9800D">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（一）投标文件的组成</w:t>
      </w:r>
    </w:p>
    <w:p w14:paraId="5DDC14FD">
      <w:pPr>
        <w:adjustRightInd w:val="0"/>
        <w:snapToGrid w:val="0"/>
        <w:spacing w:line="440" w:lineRule="exact"/>
        <w:ind w:firstLine="482" w:firstLineChars="200"/>
        <w:jc w:val="left"/>
        <w:rPr>
          <w:rFonts w:ascii="宋体" w:hAnsi="宋体" w:cs="宋体"/>
          <w:sz w:val="24"/>
          <w:highlight w:val="none"/>
        </w:rPr>
      </w:pPr>
      <w:r>
        <w:rPr>
          <w:rFonts w:hint="eastAsia" w:ascii="宋体" w:hAnsi="宋体" w:cs="宋体"/>
          <w:b/>
          <w:sz w:val="24"/>
          <w:highlight w:val="none"/>
        </w:rPr>
        <w:t>投标文件由资格响应文件、商务技术文件、报价文件三部份组成。</w:t>
      </w:r>
      <w:r>
        <w:rPr>
          <w:rFonts w:hint="eastAsia" w:ascii="宋体" w:hAnsi="宋体" w:cs="宋体"/>
          <w:sz w:val="24"/>
          <w:highlight w:val="none"/>
        </w:rPr>
        <w:t>相关格式见附件，其余格式自拟。</w:t>
      </w:r>
    </w:p>
    <w:p w14:paraId="539A4032">
      <w:pPr>
        <w:adjustRightInd w:val="0"/>
        <w:snapToGrid w:val="0"/>
        <w:spacing w:line="440" w:lineRule="exact"/>
        <w:ind w:firstLine="482" w:firstLineChars="200"/>
        <w:jc w:val="left"/>
        <w:rPr>
          <w:rFonts w:ascii="宋体" w:hAnsi="宋体" w:cs="宋体"/>
          <w:b/>
          <w:sz w:val="24"/>
          <w:highlight w:val="none"/>
        </w:rPr>
      </w:pPr>
      <w:bookmarkStart w:id="28" w:name="_Hlk72672250"/>
      <w:r>
        <w:rPr>
          <w:rFonts w:hint="eastAsia" w:ascii="宋体" w:hAnsi="宋体" w:cs="宋体"/>
          <w:b/>
          <w:sz w:val="24"/>
          <w:highlight w:val="none"/>
        </w:rPr>
        <w:t>1.资格响应文件</w:t>
      </w:r>
    </w:p>
    <w:bookmarkEnd w:id="28"/>
    <w:p w14:paraId="5DE84415">
      <w:pPr>
        <w:adjustRightInd w:val="0"/>
        <w:snapToGrid w:val="0"/>
        <w:spacing w:line="440" w:lineRule="exact"/>
        <w:ind w:firstLine="480" w:firstLineChars="200"/>
        <w:jc w:val="left"/>
        <w:rPr>
          <w:rFonts w:ascii="宋体" w:hAnsi="宋体" w:cs="宋体"/>
          <w:bCs/>
          <w:sz w:val="24"/>
          <w:highlight w:val="none"/>
        </w:rPr>
      </w:pPr>
      <w:bookmarkStart w:id="29" w:name="_Hlk69365455"/>
      <w:r>
        <w:rPr>
          <w:rFonts w:hint="eastAsia" w:ascii="宋体" w:hAnsi="宋体" w:cs="宋体"/>
          <w:bCs/>
          <w:sz w:val="24"/>
          <w:highlight w:val="none"/>
        </w:rPr>
        <w:t>（1）营业执照</w:t>
      </w:r>
      <w:r>
        <w:rPr>
          <w:rFonts w:hint="eastAsia" w:ascii="宋体" w:hAnsi="宋体" w:cs="宋体"/>
          <w:b/>
          <w:sz w:val="24"/>
          <w:highlight w:val="none"/>
        </w:rPr>
        <w:t>（推荐使用电子营业执照）</w:t>
      </w:r>
      <w:r>
        <w:rPr>
          <w:rFonts w:hint="eastAsia" w:ascii="宋体" w:hAnsi="宋体" w:cs="宋体"/>
          <w:bCs/>
          <w:sz w:val="24"/>
          <w:highlight w:val="none"/>
        </w:rPr>
        <w:t>或事业法人登记证或其他工商等登记证明材料原件扫描件或复印件；</w:t>
      </w:r>
    </w:p>
    <w:p w14:paraId="7D3D1F37">
      <w:pPr>
        <w:adjustRightInd w:val="0"/>
        <w:snapToGrid w:val="0"/>
        <w:spacing w:line="440" w:lineRule="exact"/>
        <w:ind w:firstLine="480" w:firstLineChars="200"/>
        <w:jc w:val="left"/>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2</w:t>
      </w:r>
      <w:r>
        <w:rPr>
          <w:rFonts w:hint="eastAsia" w:ascii="宋体" w:hAnsi="宋体" w:cs="宋体"/>
          <w:bCs/>
          <w:sz w:val="24"/>
          <w:highlight w:val="none"/>
        </w:rPr>
        <w:t>）业绩证明文件；</w:t>
      </w:r>
    </w:p>
    <w:p w14:paraId="4794A975">
      <w:pPr>
        <w:adjustRightInd w:val="0"/>
        <w:snapToGrid w:val="0"/>
        <w:spacing w:line="440" w:lineRule="exact"/>
        <w:ind w:firstLine="480" w:firstLineChars="200"/>
        <w:jc w:val="left"/>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3</w:t>
      </w:r>
      <w:r>
        <w:rPr>
          <w:rFonts w:hint="eastAsia" w:ascii="宋体" w:hAnsi="宋体" w:cs="宋体"/>
          <w:bCs/>
          <w:sz w:val="24"/>
          <w:highlight w:val="none"/>
        </w:rPr>
        <w:t>）没有重大违法记录的承诺函</w:t>
      </w:r>
      <w:r>
        <w:rPr>
          <w:rFonts w:hint="eastAsia" w:ascii="宋体" w:hAnsi="宋体" w:cs="宋体"/>
          <w:b/>
          <w:sz w:val="24"/>
          <w:highlight w:val="none"/>
        </w:rPr>
        <w:t>（请投标人在资格响应文件中勿遗漏该表格）</w:t>
      </w:r>
      <w:r>
        <w:rPr>
          <w:rFonts w:hint="eastAsia" w:ascii="宋体" w:hAnsi="宋体" w:cs="宋体"/>
          <w:bCs/>
          <w:sz w:val="24"/>
          <w:highlight w:val="none"/>
        </w:rPr>
        <w:t>；</w:t>
      </w:r>
    </w:p>
    <w:bookmarkEnd w:id="29"/>
    <w:p w14:paraId="7C1FDB96">
      <w:pPr>
        <w:adjustRightInd w:val="0"/>
        <w:snapToGrid w:val="0"/>
        <w:spacing w:line="440" w:lineRule="exact"/>
        <w:ind w:firstLine="482" w:firstLineChars="200"/>
        <w:jc w:val="left"/>
        <w:rPr>
          <w:rFonts w:ascii="宋体" w:hAnsi="宋体" w:cs="宋体"/>
          <w:sz w:val="24"/>
          <w:highlight w:val="none"/>
        </w:rPr>
      </w:pPr>
      <w:bookmarkStart w:id="30" w:name="_Hlk72672204"/>
      <w:r>
        <w:rPr>
          <w:rFonts w:hint="eastAsia" w:ascii="宋体" w:hAnsi="宋体" w:cs="宋体"/>
          <w:b/>
          <w:sz w:val="24"/>
          <w:highlight w:val="none"/>
        </w:rPr>
        <w:t>2.</w:t>
      </w:r>
      <w:bookmarkEnd w:id="30"/>
      <w:bookmarkStart w:id="31" w:name="_Hlk534200662"/>
      <w:r>
        <w:rPr>
          <w:rFonts w:hint="eastAsia" w:ascii="宋体" w:hAnsi="宋体" w:cs="宋体"/>
          <w:b/>
          <w:sz w:val="24"/>
          <w:highlight w:val="none"/>
        </w:rPr>
        <w:t>商务</w:t>
      </w:r>
      <w:r>
        <w:rPr>
          <w:rFonts w:hint="eastAsia" w:ascii="宋体" w:hAnsi="宋体" w:cs="宋体"/>
          <w:b/>
          <w:bCs/>
          <w:sz w:val="24"/>
          <w:highlight w:val="none"/>
        </w:rPr>
        <w:t>技术</w:t>
      </w:r>
      <w:r>
        <w:rPr>
          <w:rFonts w:hint="eastAsia" w:ascii="宋体" w:hAnsi="宋体" w:cs="宋体"/>
          <w:b/>
          <w:sz w:val="24"/>
          <w:highlight w:val="none"/>
        </w:rPr>
        <w:t>文件</w:t>
      </w:r>
      <w:bookmarkEnd w:id="31"/>
    </w:p>
    <w:p w14:paraId="2E221D75">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（1）投标函；</w:t>
      </w:r>
    </w:p>
    <w:p w14:paraId="63E79C40">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（2）</w:t>
      </w:r>
      <w:bookmarkStart w:id="32" w:name="_Hlk534200539"/>
      <w:r>
        <w:rPr>
          <w:rFonts w:hint="eastAsia" w:ascii="宋体" w:hAnsi="宋体" w:cs="宋体"/>
          <w:sz w:val="24"/>
          <w:highlight w:val="none"/>
        </w:rPr>
        <w:t>法定代表人授权委托书</w:t>
      </w:r>
      <w:bookmarkEnd w:id="32"/>
      <w:r>
        <w:rPr>
          <w:rFonts w:hint="eastAsia" w:ascii="宋体" w:hAnsi="宋体" w:cs="宋体"/>
          <w:sz w:val="24"/>
          <w:highlight w:val="none"/>
        </w:rPr>
        <w:t>；</w:t>
      </w:r>
    </w:p>
    <w:p w14:paraId="530C33A1">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（3）投标人按照评分标准要求提供的相应资料；</w:t>
      </w:r>
    </w:p>
    <w:p w14:paraId="2FD64EA6">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（4）采购货物清单表（均不含报价）；</w:t>
      </w:r>
    </w:p>
    <w:p w14:paraId="7867518F">
      <w:pPr>
        <w:snapToGrid w:val="0"/>
        <w:spacing w:line="420" w:lineRule="exact"/>
        <w:ind w:firstLine="480" w:firstLineChars="200"/>
        <w:jc w:val="left"/>
        <w:rPr>
          <w:rFonts w:ascii="宋体" w:hAnsi="宋体" w:cs="宋体"/>
          <w:sz w:val="24"/>
          <w:highlight w:val="none"/>
        </w:rPr>
      </w:pPr>
      <w:r>
        <w:rPr>
          <w:rFonts w:hint="eastAsia" w:ascii="宋体" w:cs="宋体"/>
          <w:sz w:val="24"/>
          <w:highlight w:val="none"/>
        </w:rPr>
        <w:t>（5）</w:t>
      </w:r>
      <w:r>
        <w:rPr>
          <w:rFonts w:hint="eastAsia" w:ascii="宋体" w:hAnsi="宋体" w:cs="宋体"/>
          <w:sz w:val="24"/>
          <w:highlight w:val="none"/>
        </w:rPr>
        <w:t>项目负责人简历表；</w:t>
      </w:r>
    </w:p>
    <w:p w14:paraId="20C9E054">
      <w:pPr>
        <w:snapToGrid w:val="0"/>
        <w:spacing w:line="420" w:lineRule="exact"/>
        <w:ind w:firstLine="480" w:firstLineChars="200"/>
        <w:jc w:val="left"/>
        <w:rPr>
          <w:highlight w:val="none"/>
        </w:rPr>
      </w:pPr>
      <w:r>
        <w:rPr>
          <w:rFonts w:hint="eastAsia" w:ascii="宋体" w:hAnsi="宋体" w:cs="宋体"/>
          <w:sz w:val="24"/>
          <w:highlight w:val="none"/>
        </w:rPr>
        <w:t>（6）项目实施人员一览表；</w:t>
      </w:r>
    </w:p>
    <w:p w14:paraId="32F579DD">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（7）售后服务网点情况表；</w:t>
      </w:r>
    </w:p>
    <w:p w14:paraId="2E44497D">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（8）商务技术响应表；</w:t>
      </w:r>
    </w:p>
    <w:p w14:paraId="57B396FD">
      <w:pPr>
        <w:adjustRightInd w:val="0"/>
        <w:snapToGrid w:val="0"/>
        <w:spacing w:line="440" w:lineRule="exact"/>
        <w:ind w:firstLine="480" w:firstLineChars="200"/>
        <w:jc w:val="left"/>
        <w:rPr>
          <w:rFonts w:ascii="宋体" w:hAnsi="宋体" w:cs="宋体"/>
          <w:b/>
          <w:bCs/>
          <w:sz w:val="24"/>
          <w:highlight w:val="none"/>
        </w:rPr>
      </w:pPr>
      <w:r>
        <w:rPr>
          <w:rFonts w:hint="eastAsia" w:ascii="宋体" w:hAnsi="宋体" w:cs="宋体"/>
          <w:sz w:val="24"/>
          <w:highlight w:val="none"/>
        </w:rPr>
        <w:t>（9）投标人认为需要提供的其他资料。</w:t>
      </w:r>
    </w:p>
    <w:p w14:paraId="009864AA">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3.报价文件</w:t>
      </w:r>
    </w:p>
    <w:p w14:paraId="5E0BE567">
      <w:pPr>
        <w:pStyle w:val="31"/>
        <w:adjustRightInd w:val="0"/>
        <w:snapToGrid w:val="0"/>
        <w:spacing w:line="440" w:lineRule="exact"/>
        <w:ind w:left="0" w:leftChars="0"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（1）开标一览表；</w:t>
      </w:r>
      <w:bookmarkStart w:id="33" w:name="_Hlk534190502"/>
    </w:p>
    <w:p w14:paraId="62EE7738">
      <w:pPr>
        <w:spacing w:line="440" w:lineRule="exact"/>
        <w:ind w:firstLine="480" w:firstLineChars="200"/>
        <w:rPr>
          <w:rFonts w:ascii="宋体" w:hAnsi="宋体" w:cs="宋体"/>
          <w:sz w:val="24"/>
          <w:highlight w:val="none"/>
        </w:rPr>
      </w:pPr>
      <w:r>
        <w:rPr>
          <w:rFonts w:hint="eastAsia" w:ascii="宋体" w:hAnsi="宋体" w:cs="宋体"/>
          <w:sz w:val="24"/>
          <w:highlight w:val="none"/>
        </w:rPr>
        <w:t>（2）报价明细表；</w:t>
      </w:r>
    </w:p>
    <w:bookmarkEnd w:id="33"/>
    <w:p w14:paraId="3B592F45">
      <w:pPr>
        <w:adjustRightInd w:val="0"/>
        <w:snapToGrid w:val="0"/>
        <w:spacing w:line="440" w:lineRule="exact"/>
        <w:ind w:firstLine="236" w:firstLineChars="98"/>
        <w:jc w:val="left"/>
        <w:rPr>
          <w:rFonts w:ascii="宋体" w:hAnsi="宋体" w:cs="宋体"/>
          <w:b/>
          <w:spacing w:val="-4"/>
          <w:sz w:val="24"/>
          <w:highlight w:val="none"/>
        </w:rPr>
      </w:pPr>
      <w:r>
        <w:rPr>
          <w:rFonts w:hint="eastAsia" w:ascii="宋体" w:hAnsi="宋体" w:cs="宋体"/>
          <w:b/>
          <w:sz w:val="24"/>
          <w:highlight w:val="none"/>
        </w:rPr>
        <w:t>（二）</w:t>
      </w:r>
      <w:r>
        <w:rPr>
          <w:rFonts w:hint="eastAsia" w:ascii="宋体" w:hAnsi="宋体" w:cs="宋体"/>
          <w:b/>
          <w:spacing w:val="-4"/>
          <w:sz w:val="24"/>
          <w:highlight w:val="none"/>
        </w:rPr>
        <w:t>采购项目评分索引表(该表格仅为方便评标之用，不涉及无效标条款，表格放置在商务技术文件目录的前页，以方便评委进行评审，格式见第四章)</w:t>
      </w:r>
    </w:p>
    <w:p w14:paraId="2A477BF2">
      <w:pPr>
        <w:adjustRightInd w:val="0"/>
        <w:snapToGrid w:val="0"/>
        <w:spacing w:line="440" w:lineRule="exact"/>
        <w:ind w:firstLine="361" w:firstLineChars="150"/>
        <w:jc w:val="left"/>
        <w:rPr>
          <w:rFonts w:ascii="宋体" w:hAnsi="宋体" w:cs="宋体"/>
          <w:b/>
          <w:sz w:val="24"/>
          <w:highlight w:val="none"/>
        </w:rPr>
      </w:pPr>
      <w:r>
        <w:rPr>
          <w:rFonts w:hint="eastAsia" w:ascii="宋体" w:hAnsi="宋体" w:cs="宋体"/>
          <w:b/>
          <w:sz w:val="24"/>
          <w:highlight w:val="none"/>
        </w:rPr>
        <w:t>（三）投标文件的语言及计量</w:t>
      </w:r>
    </w:p>
    <w:p w14:paraId="2B116E58">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3F8C2309">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2.投标计量单位，招标文件已有明确规定的，使用招标文件规定的计量单位；招标文件没有规定的，应采用中华人民共和国法定计量单位（货币单位：人民币元），否则视同未响应。</w:t>
      </w:r>
    </w:p>
    <w:p w14:paraId="59D5B1DA">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（四）投标报价</w:t>
      </w:r>
    </w:p>
    <w:p w14:paraId="698220A8">
      <w:pPr>
        <w:pStyle w:val="30"/>
        <w:adjustRightInd w:val="0"/>
        <w:snapToGrid w:val="0"/>
        <w:spacing w:beforeLines="0" w:afterLines="0" w:line="440" w:lineRule="exact"/>
        <w:ind w:firstLine="480" w:firstLineChars="200"/>
        <w:jc w:val="left"/>
        <w:rPr>
          <w:rFonts w:hAnsi="宋体" w:cs="宋体"/>
          <w:highlight w:val="none"/>
        </w:rPr>
      </w:pPr>
      <w:r>
        <w:rPr>
          <w:rFonts w:hint="eastAsia" w:hAnsi="宋体" w:cs="宋体"/>
          <w:highlight w:val="none"/>
        </w:rPr>
        <w:t>1.投标报价应按招标文件中相关附表格式填写。</w:t>
      </w:r>
    </w:p>
    <w:p w14:paraId="0B88241D">
      <w:pPr>
        <w:pStyle w:val="30"/>
        <w:adjustRightInd w:val="0"/>
        <w:snapToGrid w:val="0"/>
        <w:spacing w:beforeLines="0" w:afterLines="0" w:line="440" w:lineRule="exact"/>
        <w:ind w:firstLine="480" w:firstLineChars="200"/>
        <w:jc w:val="left"/>
        <w:rPr>
          <w:rFonts w:hAnsi="宋体" w:cs="宋体"/>
          <w:highlight w:val="none"/>
        </w:rPr>
      </w:pPr>
      <w:r>
        <w:rPr>
          <w:rFonts w:hint="eastAsia" w:hAnsi="宋体" w:cs="宋体"/>
          <w:highlight w:val="none"/>
        </w:rPr>
        <w:t>2.投标报价是履行合同的最终价格，应包含人工、材料、辅料、设备、运输、装卸、安装、机械、二次搬运、产品保护、水电费、上位机开发费用（</w:t>
      </w:r>
      <w:r>
        <w:rPr>
          <w:rFonts w:hint="eastAsia" w:hAnsi="宋体" w:cs="宋体"/>
          <w:highlight w:val="none"/>
          <w:lang w:eastAsia="zh-CN"/>
        </w:rPr>
        <w:t>含上位机画面、数据库、报表等</w:t>
      </w:r>
      <w:r>
        <w:rPr>
          <w:rFonts w:hint="eastAsia" w:hAnsi="宋体" w:cs="宋体"/>
          <w:highlight w:val="none"/>
        </w:rPr>
        <w:t>）、调试、措施费、综合管理、售后服务、保险、规费、利润、税金、风险费及其他工程费等一切费用。</w:t>
      </w:r>
    </w:p>
    <w:p w14:paraId="33D80CDD">
      <w:pPr>
        <w:tabs>
          <w:tab w:val="left" w:pos="525"/>
        </w:tabs>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▲3.投标文件只允许有一个报价，有选择的或有条件的报价将不予接受。</w:t>
      </w:r>
    </w:p>
    <w:p w14:paraId="2B29621F">
      <w:pPr>
        <w:pStyle w:val="14"/>
        <w:widowControl w:val="0"/>
        <w:tabs>
          <w:tab w:val="left" w:pos="420"/>
        </w:tabs>
        <w:adjustRightInd w:val="0"/>
        <w:snapToGrid w:val="0"/>
        <w:spacing w:afterLines="0" w:line="440" w:lineRule="exact"/>
        <w:ind w:left="0" w:firstLine="472" w:firstLineChars="196"/>
        <w:rPr>
          <w:rFonts w:ascii="宋体" w:hAnsi="宋体" w:cs="宋体"/>
          <w:b/>
          <w:szCs w:val="24"/>
          <w:highlight w:val="none"/>
        </w:rPr>
      </w:pPr>
      <w:r>
        <w:rPr>
          <w:rFonts w:hint="eastAsia" w:ascii="宋体" w:hAnsi="宋体" w:cs="宋体"/>
          <w:b/>
          <w:szCs w:val="24"/>
          <w:highlight w:val="none"/>
        </w:rPr>
        <w:t>（五）投标有效期</w:t>
      </w:r>
    </w:p>
    <w:p w14:paraId="0D85B774">
      <w:pPr>
        <w:pStyle w:val="14"/>
        <w:widowControl w:val="0"/>
        <w:tabs>
          <w:tab w:val="left" w:pos="420"/>
        </w:tabs>
        <w:adjustRightInd w:val="0"/>
        <w:snapToGrid w:val="0"/>
        <w:spacing w:afterLines="0" w:line="440" w:lineRule="exact"/>
        <w:ind w:left="0" w:firstLine="360" w:firstLineChars="150"/>
        <w:rPr>
          <w:rFonts w:ascii="宋体" w:hAnsi="宋体" w:cs="宋体"/>
          <w:szCs w:val="24"/>
          <w:highlight w:val="none"/>
        </w:rPr>
      </w:pPr>
      <w:r>
        <w:rPr>
          <w:rFonts w:hint="eastAsia" w:ascii="宋体" w:hAnsi="宋体" w:cs="宋体"/>
          <w:szCs w:val="24"/>
          <w:highlight w:val="none"/>
        </w:rPr>
        <w:t>▲1.自投标截止日起</w:t>
      </w:r>
      <w:r>
        <w:rPr>
          <w:rFonts w:hint="eastAsia" w:ascii="宋体" w:hAnsi="宋体" w:cs="宋体"/>
          <w:szCs w:val="24"/>
          <w:highlight w:val="none"/>
          <w:u w:val="single"/>
        </w:rPr>
        <w:t xml:space="preserve">  90  </w:t>
      </w:r>
      <w:r>
        <w:rPr>
          <w:rFonts w:hint="eastAsia" w:ascii="宋体" w:hAnsi="宋体" w:cs="宋体"/>
          <w:szCs w:val="24"/>
          <w:highlight w:val="none"/>
        </w:rPr>
        <w:t>天投标文件应保持有效。</w:t>
      </w:r>
    </w:p>
    <w:p w14:paraId="1E23F60C">
      <w:pPr>
        <w:pStyle w:val="14"/>
        <w:widowControl w:val="0"/>
        <w:tabs>
          <w:tab w:val="left" w:pos="420"/>
        </w:tabs>
        <w:adjustRightInd w:val="0"/>
        <w:snapToGrid w:val="0"/>
        <w:spacing w:afterLines="0" w:line="440" w:lineRule="exact"/>
        <w:ind w:left="0" w:firstLine="480" w:firstLineChars="200"/>
        <w:rPr>
          <w:rFonts w:ascii="宋体" w:hAnsi="宋体" w:cs="宋体"/>
          <w:szCs w:val="24"/>
          <w:highlight w:val="none"/>
        </w:rPr>
      </w:pPr>
      <w:r>
        <w:rPr>
          <w:rFonts w:hint="eastAsia" w:ascii="宋体" w:hAnsi="宋体" w:cs="宋体"/>
          <w:szCs w:val="24"/>
          <w:highlight w:val="none"/>
        </w:rPr>
        <w:t>2.在特殊情况下，招标人可与投标人协商延长投标文件的有效期，这种要求和答复均以书面形式进行。</w:t>
      </w:r>
    </w:p>
    <w:p w14:paraId="462D9210">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 xml:space="preserve">3.投标人可拒绝接受延期要求，同意延长有效期的投标人不能修改投标文件内容。 </w:t>
      </w:r>
    </w:p>
    <w:p w14:paraId="66594F8A">
      <w:pPr>
        <w:adjustRightInd w:val="0"/>
        <w:snapToGrid w:val="0"/>
        <w:spacing w:line="440" w:lineRule="exact"/>
        <w:ind w:firstLine="480" w:firstLineChars="200"/>
        <w:jc w:val="left"/>
        <w:rPr>
          <w:rFonts w:ascii="宋体" w:hAnsi="宋体" w:cs="宋体"/>
          <w:b/>
          <w:sz w:val="24"/>
          <w:highlight w:val="none"/>
        </w:rPr>
      </w:pPr>
      <w:r>
        <w:rPr>
          <w:rFonts w:hint="eastAsia" w:ascii="宋体" w:hAnsi="宋体" w:cs="宋体"/>
          <w:sz w:val="24"/>
          <w:highlight w:val="none"/>
        </w:rPr>
        <w:t>4.中标人的投标文件自开标之日起至合同履行完毕止均应保持有效。</w:t>
      </w:r>
    </w:p>
    <w:p w14:paraId="4171670D">
      <w:pPr>
        <w:adjustRightInd w:val="0"/>
        <w:snapToGrid w:val="0"/>
        <w:spacing w:line="440" w:lineRule="exact"/>
        <w:ind w:firstLine="472" w:firstLineChars="196"/>
        <w:jc w:val="left"/>
        <w:rPr>
          <w:rFonts w:ascii="宋体" w:hAnsi="宋体" w:cs="宋体"/>
          <w:b/>
          <w:bCs/>
          <w:sz w:val="24"/>
          <w:highlight w:val="none"/>
        </w:rPr>
      </w:pPr>
      <w:r>
        <w:rPr>
          <w:rFonts w:hint="eastAsia" w:ascii="宋体" w:hAnsi="宋体" w:cs="宋体"/>
          <w:b/>
          <w:bCs/>
          <w:sz w:val="24"/>
          <w:highlight w:val="none"/>
        </w:rPr>
        <w:t>5.投标人有下列情形之一的，按有关规定进行处罚：</w:t>
      </w:r>
    </w:p>
    <w:p w14:paraId="6BE719A6">
      <w:pPr>
        <w:adjustRightInd w:val="0"/>
        <w:snapToGrid w:val="0"/>
        <w:spacing w:line="440" w:lineRule="exact"/>
        <w:ind w:firstLine="470" w:firstLineChars="196"/>
        <w:jc w:val="left"/>
        <w:rPr>
          <w:rFonts w:ascii="宋体" w:hAnsi="宋体" w:cs="宋体"/>
          <w:sz w:val="24"/>
          <w:highlight w:val="none"/>
        </w:rPr>
      </w:pPr>
      <w:r>
        <w:rPr>
          <w:rFonts w:hint="eastAsia" w:ascii="宋体" w:hAnsi="宋体" w:cs="宋体"/>
          <w:sz w:val="24"/>
          <w:highlight w:val="none"/>
        </w:rPr>
        <w:t>（1）投标人在投标有效期内撤回投标文件的；</w:t>
      </w:r>
    </w:p>
    <w:p w14:paraId="01CADE8D">
      <w:pPr>
        <w:adjustRightInd w:val="0"/>
        <w:snapToGrid w:val="0"/>
        <w:spacing w:line="440" w:lineRule="exact"/>
        <w:ind w:firstLine="470" w:firstLineChars="196"/>
        <w:jc w:val="left"/>
        <w:rPr>
          <w:rFonts w:ascii="宋体" w:hAnsi="宋体" w:cs="宋体"/>
          <w:sz w:val="24"/>
          <w:highlight w:val="none"/>
        </w:rPr>
      </w:pPr>
      <w:r>
        <w:rPr>
          <w:rFonts w:hint="eastAsia" w:ascii="宋体" w:hAnsi="宋体" w:cs="宋体"/>
          <w:sz w:val="24"/>
          <w:highlight w:val="none"/>
        </w:rPr>
        <w:t>（2）未按规定提交履约保证金的；</w:t>
      </w:r>
    </w:p>
    <w:p w14:paraId="21F6C53E">
      <w:pPr>
        <w:adjustRightInd w:val="0"/>
        <w:snapToGrid w:val="0"/>
        <w:spacing w:line="440" w:lineRule="exact"/>
        <w:ind w:firstLine="470" w:firstLineChars="196"/>
        <w:jc w:val="left"/>
        <w:rPr>
          <w:rFonts w:ascii="宋体" w:hAnsi="宋体" w:cs="宋体"/>
          <w:sz w:val="24"/>
          <w:highlight w:val="none"/>
        </w:rPr>
      </w:pPr>
      <w:r>
        <w:rPr>
          <w:rFonts w:hint="eastAsia" w:ascii="宋体" w:hAnsi="宋体" w:cs="宋体"/>
          <w:sz w:val="24"/>
          <w:highlight w:val="none"/>
        </w:rPr>
        <w:t>（3）投标人在投标过程中弄虚作假，提供虚假材料的；</w:t>
      </w:r>
    </w:p>
    <w:p w14:paraId="61CC4374">
      <w:pPr>
        <w:adjustRightInd w:val="0"/>
        <w:snapToGrid w:val="0"/>
        <w:spacing w:line="440" w:lineRule="exact"/>
        <w:ind w:firstLine="470" w:firstLineChars="196"/>
        <w:rPr>
          <w:rFonts w:ascii="宋体" w:hAnsi="宋体" w:cs="宋体"/>
          <w:sz w:val="24"/>
          <w:highlight w:val="none"/>
        </w:rPr>
      </w:pPr>
      <w:r>
        <w:rPr>
          <w:rFonts w:hint="eastAsia" w:ascii="宋体" w:hAnsi="宋体" w:cs="宋体"/>
          <w:sz w:val="24"/>
          <w:highlight w:val="none"/>
        </w:rPr>
        <w:t>（4）中标人无正当理由不与招标人签订合同的；</w:t>
      </w:r>
    </w:p>
    <w:p w14:paraId="205F10DD">
      <w:pPr>
        <w:adjustRightInd w:val="0"/>
        <w:snapToGrid w:val="0"/>
        <w:spacing w:line="440" w:lineRule="exact"/>
        <w:ind w:firstLine="470" w:firstLineChars="196"/>
        <w:rPr>
          <w:rFonts w:ascii="宋体" w:hAnsi="宋体" w:cs="宋体"/>
          <w:sz w:val="24"/>
          <w:highlight w:val="none"/>
        </w:rPr>
      </w:pPr>
      <w:r>
        <w:rPr>
          <w:rFonts w:hint="eastAsia" w:ascii="宋体" w:hAnsi="宋体" w:cs="宋体"/>
          <w:sz w:val="24"/>
          <w:highlight w:val="none"/>
        </w:rPr>
        <w:t>（5）</w:t>
      </w:r>
      <w:r>
        <w:rPr>
          <w:rFonts w:hint="eastAsia" w:ascii="宋体" w:hAnsi="宋体" w:cs="宋体"/>
          <w:bCs/>
          <w:sz w:val="24"/>
          <w:highlight w:val="none"/>
        </w:rPr>
        <w:t>将中标项目转让给他人或者在投标文件中未说明且未经招标人同意，将中标项目分包给他人的；</w:t>
      </w:r>
    </w:p>
    <w:p w14:paraId="78728E74">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（6）拒绝履行合同义务的；</w:t>
      </w:r>
    </w:p>
    <w:p w14:paraId="326AC64C">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（7）其他严重扰乱招投标程序的。</w:t>
      </w:r>
    </w:p>
    <w:p w14:paraId="2F4AA355">
      <w:pPr>
        <w:adjustRightInd w:val="0"/>
        <w:snapToGrid w:val="0"/>
        <w:spacing w:line="440" w:lineRule="exact"/>
        <w:ind w:firstLine="472" w:firstLineChars="196"/>
        <w:jc w:val="left"/>
        <w:rPr>
          <w:rFonts w:ascii="宋体" w:hAnsi="宋体" w:cs="宋体"/>
          <w:b/>
          <w:sz w:val="24"/>
          <w:highlight w:val="none"/>
        </w:rPr>
      </w:pPr>
      <w:r>
        <w:rPr>
          <w:rFonts w:hint="eastAsia" w:ascii="宋体" w:hAnsi="宋体" w:cs="宋体"/>
          <w:b/>
          <w:sz w:val="24"/>
          <w:highlight w:val="none"/>
        </w:rPr>
        <w:t>（六）投标文件的签署</w:t>
      </w:r>
    </w:p>
    <w:p w14:paraId="26F81356">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1.投标人应按本招标文件规定的格式和顺序编制投标文件并标注页码，投标文件内容不完整、编排混乱而导致投标文件被误读、漏读或者查找不到相关内容的，投标人责任自负。</w:t>
      </w:r>
    </w:p>
    <w:p w14:paraId="05668B76">
      <w:pPr>
        <w:adjustRightInd w:val="0"/>
        <w:snapToGrid w:val="0"/>
        <w:spacing w:line="440" w:lineRule="exact"/>
        <w:ind w:firstLine="470" w:firstLineChars="196"/>
        <w:jc w:val="left"/>
        <w:rPr>
          <w:rFonts w:ascii="宋体" w:hAnsi="宋体" w:cs="宋体"/>
          <w:sz w:val="24"/>
          <w:highlight w:val="none"/>
        </w:rPr>
      </w:pPr>
      <w:r>
        <w:rPr>
          <w:rFonts w:hint="eastAsia" w:ascii="宋体" w:hAnsi="宋体" w:cs="宋体"/>
          <w:sz w:val="24"/>
          <w:highlight w:val="none"/>
        </w:rPr>
        <w:t>2.</w:t>
      </w:r>
      <w:r>
        <w:rPr>
          <w:rFonts w:hint="eastAsia" w:ascii="宋体" w:hAnsi="宋体" w:cs="宋体"/>
          <w:b/>
          <w:sz w:val="24"/>
          <w:highlight w:val="none"/>
        </w:rPr>
        <w:t>电子投标文件中公章采用CA签章</w:t>
      </w:r>
      <w:r>
        <w:rPr>
          <w:rFonts w:hint="eastAsia" w:ascii="宋体" w:hAnsi="宋体" w:cs="宋体"/>
          <w:bCs/>
          <w:sz w:val="24"/>
          <w:highlight w:val="none"/>
        </w:rPr>
        <w:t>，</w:t>
      </w:r>
      <w:r>
        <w:rPr>
          <w:rFonts w:hint="eastAsia" w:ascii="宋体" w:hAnsi="宋体" w:cs="宋体"/>
          <w:b/>
          <w:sz w:val="24"/>
          <w:highlight w:val="none"/>
        </w:rPr>
        <w:t>并根据本招标文件规定的格式和顺序编制电子投标文件，</w:t>
      </w:r>
      <w:r>
        <w:rPr>
          <w:rFonts w:hint="eastAsia" w:ascii="宋体" w:hAnsi="宋体" w:cs="宋体"/>
          <w:bCs/>
          <w:sz w:val="24"/>
          <w:highlight w:val="none"/>
        </w:rPr>
        <w:t>电子投标文件如内容不完整、编排混乱导致投标文件被误读、漏读，或者在按采购文件规定的部位查找不到相关内容的，由投标人自行承担。</w:t>
      </w:r>
    </w:p>
    <w:p w14:paraId="316EA5A6">
      <w:pPr>
        <w:adjustRightInd w:val="0"/>
        <w:snapToGrid w:val="0"/>
        <w:spacing w:line="440" w:lineRule="exact"/>
        <w:ind w:firstLine="480" w:firstLineChars="200"/>
        <w:jc w:val="left"/>
        <w:rPr>
          <w:rFonts w:ascii="宋体" w:hAnsi="宋体" w:cs="宋体"/>
          <w:sz w:val="24"/>
          <w:highlight w:val="none"/>
        </w:rPr>
      </w:pPr>
      <w:r>
        <w:rPr>
          <w:rFonts w:hint="eastAsia" w:ascii="宋体" w:hAnsi="宋体" w:cs="宋体"/>
          <w:sz w:val="24"/>
          <w:highlight w:val="none"/>
        </w:rPr>
        <w:t>3.投标文件不得涂改，若有修改错漏处，须加盖单位公章或者法定代表人或授权委托人签字或盖章。投标文件因字迹潦草或表达不清所引起的后果由投标人负责。</w:t>
      </w:r>
    </w:p>
    <w:p w14:paraId="68C3EE38">
      <w:pPr>
        <w:adjustRightInd w:val="0"/>
        <w:snapToGrid w:val="0"/>
        <w:spacing w:line="440" w:lineRule="exact"/>
        <w:ind w:firstLine="472" w:firstLineChars="196"/>
        <w:rPr>
          <w:rFonts w:ascii="宋体" w:hAnsi="宋体" w:cs="宋体"/>
          <w:b/>
          <w:sz w:val="24"/>
          <w:highlight w:val="none"/>
        </w:rPr>
      </w:pPr>
      <w:r>
        <w:rPr>
          <w:rFonts w:hint="eastAsia" w:ascii="宋体" w:hAnsi="宋体" w:cs="宋体"/>
          <w:b/>
          <w:sz w:val="24"/>
          <w:highlight w:val="none"/>
        </w:rPr>
        <w:t>（七）投标无效的情形</w:t>
      </w:r>
    </w:p>
    <w:p w14:paraId="4B5695E6">
      <w:pPr>
        <w:adjustRightInd w:val="0"/>
        <w:snapToGrid w:val="0"/>
        <w:spacing w:line="440" w:lineRule="exact"/>
        <w:ind w:firstLine="480" w:firstLineChars="200"/>
        <w:rPr>
          <w:rFonts w:ascii="宋体" w:hAnsi="宋体" w:cs="宋体"/>
          <w:bCs/>
          <w:sz w:val="24"/>
          <w:highlight w:val="none"/>
        </w:rPr>
      </w:pPr>
      <w:r>
        <w:rPr>
          <w:rFonts w:hint="eastAsia" w:ascii="宋体" w:hAnsi="宋体" w:cs="宋体"/>
          <w:bCs/>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D76925F">
      <w:pPr>
        <w:adjustRightInd w:val="0"/>
        <w:snapToGrid w:val="0"/>
        <w:spacing w:line="440" w:lineRule="exact"/>
        <w:ind w:firstLine="457" w:firstLineChars="196"/>
        <w:rPr>
          <w:rFonts w:ascii="宋体" w:hAnsi="宋体" w:cs="宋体"/>
          <w:b/>
          <w:bCs/>
          <w:spacing w:val="-4"/>
          <w:sz w:val="24"/>
          <w:highlight w:val="none"/>
        </w:rPr>
      </w:pPr>
      <w:bookmarkStart w:id="34" w:name="_Hlk59462445"/>
      <w:r>
        <w:rPr>
          <w:rFonts w:hint="eastAsia" w:ascii="宋体" w:hAnsi="宋体" w:cs="宋体"/>
          <w:b/>
          <w:bCs/>
          <w:spacing w:val="-4"/>
          <w:sz w:val="24"/>
          <w:highlight w:val="none"/>
        </w:rPr>
        <w:t>1.</w:t>
      </w:r>
      <w:bookmarkStart w:id="35" w:name="_Hlk534294335"/>
      <w:r>
        <w:rPr>
          <w:rFonts w:hint="eastAsia" w:ascii="宋体" w:hAnsi="宋体" w:cs="宋体"/>
          <w:b/>
          <w:bCs/>
          <w:spacing w:val="-4"/>
          <w:sz w:val="24"/>
          <w:highlight w:val="none"/>
        </w:rPr>
        <w:t>在符合性审查和商务技术评审时，如发现下列情形之一的，投标文件将被视为无效：</w:t>
      </w:r>
    </w:p>
    <w:bookmarkEnd w:id="35"/>
    <w:p w14:paraId="70074278">
      <w:pPr>
        <w:adjustRightInd w:val="0"/>
        <w:snapToGrid w:val="0"/>
        <w:spacing w:line="440" w:lineRule="exact"/>
        <w:ind w:firstLine="470" w:firstLineChars="196"/>
        <w:rPr>
          <w:rFonts w:ascii="宋体" w:hAnsi="宋体" w:cs="宋体"/>
          <w:sz w:val="24"/>
          <w:highlight w:val="none"/>
        </w:rPr>
      </w:pPr>
      <w:r>
        <w:rPr>
          <w:rFonts w:hint="eastAsia" w:ascii="宋体" w:hAnsi="宋体" w:cs="宋体"/>
          <w:sz w:val="24"/>
          <w:highlight w:val="none"/>
        </w:rPr>
        <w:t>（1）资格响应文件未提供齐全的或者资格响应文件存在过期的或者不符合招标文件标明的资格要求的；</w:t>
      </w:r>
    </w:p>
    <w:p w14:paraId="16EC3989">
      <w:pPr>
        <w:adjustRightInd w:val="0"/>
        <w:snapToGrid w:val="0"/>
        <w:spacing w:line="440" w:lineRule="exact"/>
        <w:ind w:firstLine="470" w:firstLineChars="196"/>
        <w:rPr>
          <w:rFonts w:ascii="宋体" w:hAnsi="宋体" w:cs="宋体"/>
          <w:bCs/>
          <w:kern w:val="0"/>
          <w:sz w:val="24"/>
          <w:highlight w:val="none"/>
        </w:rPr>
      </w:pPr>
      <w:r>
        <w:rPr>
          <w:rFonts w:hint="eastAsia" w:ascii="宋体" w:hAnsi="宋体" w:cs="宋体"/>
          <w:sz w:val="24"/>
          <w:highlight w:val="none"/>
        </w:rPr>
        <w:t>（2）</w:t>
      </w:r>
      <w:r>
        <w:rPr>
          <w:rFonts w:hint="eastAsia" w:ascii="宋体" w:hAnsi="宋体" w:cs="宋体"/>
          <w:bCs/>
          <w:sz w:val="24"/>
          <w:highlight w:val="none"/>
        </w:rPr>
        <w:t>电子投标文件</w:t>
      </w:r>
      <w:r>
        <w:rPr>
          <w:rFonts w:hint="eastAsia" w:ascii="宋体" w:hAnsi="宋体" w:cs="宋体"/>
          <w:b/>
          <w:bCs/>
          <w:kern w:val="0"/>
          <w:sz w:val="24"/>
          <w:highlight w:val="none"/>
          <w:u w:val="single"/>
        </w:rPr>
        <w:t>在指定页面无法定代表人盖章或签字、未在指定页面盖公章、在指定页面无被授权人签字（打字无效）、</w:t>
      </w:r>
      <w:r>
        <w:rPr>
          <w:rFonts w:hint="eastAsia" w:ascii="宋体" w:hAnsi="宋体" w:cs="宋体"/>
          <w:b/>
          <w:bCs/>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0B044B23">
      <w:pPr>
        <w:pStyle w:val="22"/>
        <w:adjustRightInd w:val="0"/>
        <w:snapToGrid w:val="0"/>
        <w:spacing w:line="440" w:lineRule="exact"/>
        <w:ind w:firstLine="454" w:firstLineChars="196"/>
        <w:rPr>
          <w:rFonts w:hAnsi="宋体" w:cs="宋体"/>
          <w:b/>
          <w:bCs/>
          <w:sz w:val="24"/>
          <w:szCs w:val="24"/>
          <w:highlight w:val="none"/>
        </w:rPr>
      </w:pPr>
      <w:r>
        <w:rPr>
          <w:rFonts w:hint="eastAsia" w:hAnsi="宋体" w:cs="宋体"/>
          <w:sz w:val="24"/>
          <w:szCs w:val="24"/>
          <w:highlight w:val="none"/>
        </w:rPr>
        <w:t>（3）多项主要服务响应或者主要设备功能响应不满足招标文件要求或缺项的，</w:t>
      </w:r>
      <w:r>
        <w:rPr>
          <w:rFonts w:hint="eastAsia" w:hAnsi="宋体" w:cs="宋体"/>
          <w:b/>
          <w:bCs/>
          <w:sz w:val="24"/>
          <w:szCs w:val="24"/>
          <w:highlight w:val="none"/>
        </w:rPr>
        <w:t>主要设备尺寸严重不满足招标文件要求的。</w:t>
      </w:r>
    </w:p>
    <w:p w14:paraId="06F46CA2">
      <w:pPr>
        <w:pStyle w:val="22"/>
        <w:adjustRightInd w:val="0"/>
        <w:snapToGrid w:val="0"/>
        <w:spacing w:line="440" w:lineRule="exact"/>
        <w:ind w:firstLine="454" w:firstLineChars="196"/>
        <w:rPr>
          <w:rFonts w:hAnsi="宋体" w:cs="宋体"/>
          <w:sz w:val="24"/>
          <w:szCs w:val="24"/>
          <w:highlight w:val="none"/>
        </w:rPr>
      </w:pPr>
      <w:r>
        <w:rPr>
          <w:rFonts w:hint="eastAsia" w:hAnsi="宋体" w:cs="宋体"/>
          <w:sz w:val="24"/>
          <w:szCs w:val="24"/>
          <w:highlight w:val="none"/>
        </w:rPr>
        <w:t>（4）</w:t>
      </w:r>
      <w:r>
        <w:rPr>
          <w:rFonts w:hint="eastAsia" w:hAnsi="宋体" w:cs="宋体"/>
          <w:snapToGrid w:val="0"/>
          <w:sz w:val="24"/>
          <w:szCs w:val="24"/>
          <w:highlight w:val="none"/>
        </w:rPr>
        <w:t>与</w:t>
      </w:r>
      <w:r>
        <w:rPr>
          <w:rFonts w:hint="eastAsia" w:hAnsi="宋体" w:cs="宋体"/>
          <w:sz w:val="24"/>
          <w:szCs w:val="24"/>
          <w:highlight w:val="none"/>
        </w:rPr>
        <w:t>招标文件中标“▲”的技术指标、主要功能参数、服务响应发生实质性负偏离</w:t>
      </w:r>
      <w:r>
        <w:rPr>
          <w:rFonts w:hint="eastAsia" w:hAnsi="宋体" w:cs="宋体"/>
          <w:snapToGrid w:val="0"/>
          <w:sz w:val="24"/>
          <w:szCs w:val="24"/>
          <w:highlight w:val="none"/>
        </w:rPr>
        <w:t>或内容缺失</w:t>
      </w:r>
      <w:r>
        <w:rPr>
          <w:rFonts w:hint="eastAsia" w:hAnsi="宋体" w:cs="宋体"/>
          <w:sz w:val="24"/>
          <w:szCs w:val="24"/>
          <w:highlight w:val="none"/>
        </w:rPr>
        <w:t>的；</w:t>
      </w:r>
    </w:p>
    <w:p w14:paraId="4A9EBCE4">
      <w:pPr>
        <w:pStyle w:val="22"/>
        <w:adjustRightInd w:val="0"/>
        <w:snapToGrid w:val="0"/>
        <w:spacing w:line="440" w:lineRule="exact"/>
        <w:ind w:firstLine="454" w:firstLineChars="196"/>
        <w:rPr>
          <w:rFonts w:hAnsi="宋体" w:cs="宋体"/>
          <w:sz w:val="24"/>
          <w:szCs w:val="24"/>
          <w:highlight w:val="none"/>
        </w:rPr>
      </w:pPr>
      <w:r>
        <w:rPr>
          <w:rFonts w:hint="eastAsia" w:hAnsi="宋体" w:cs="宋体"/>
          <w:sz w:val="24"/>
          <w:szCs w:val="24"/>
          <w:highlight w:val="none"/>
        </w:rPr>
        <w:t>（5）未如实提供投标货物的技术参数，或者投标文件标明的响应或偏离存在虚假的；</w:t>
      </w:r>
    </w:p>
    <w:p w14:paraId="108FDC24">
      <w:pPr>
        <w:pStyle w:val="22"/>
        <w:adjustRightInd w:val="0"/>
        <w:snapToGrid w:val="0"/>
        <w:spacing w:line="440" w:lineRule="exact"/>
        <w:ind w:firstLine="454" w:firstLineChars="196"/>
        <w:rPr>
          <w:rFonts w:hAnsi="宋体" w:cs="宋体"/>
          <w:snapToGrid w:val="0"/>
          <w:sz w:val="24"/>
          <w:szCs w:val="24"/>
          <w:highlight w:val="none"/>
        </w:rPr>
      </w:pPr>
      <w:r>
        <w:rPr>
          <w:rFonts w:hint="eastAsia" w:hAnsi="宋体" w:cs="宋体"/>
          <w:sz w:val="24"/>
          <w:szCs w:val="24"/>
          <w:highlight w:val="none"/>
        </w:rPr>
        <w:t>（6）投标有效期、工期（供货期、交货时间、服务期）、保修期（质保期）、付款方式等商务条款不能满足招标文件要求或缺失的</w:t>
      </w:r>
      <w:r>
        <w:rPr>
          <w:rFonts w:hint="eastAsia" w:hAnsi="宋体" w:cs="宋体"/>
          <w:snapToGrid w:val="0"/>
          <w:sz w:val="24"/>
          <w:szCs w:val="24"/>
          <w:highlight w:val="none"/>
        </w:rPr>
        <w:t>；</w:t>
      </w:r>
    </w:p>
    <w:bookmarkEnd w:id="34"/>
    <w:p w14:paraId="68E63C49">
      <w:pPr>
        <w:pStyle w:val="22"/>
        <w:adjustRightInd w:val="0"/>
        <w:snapToGrid w:val="0"/>
        <w:spacing w:line="440" w:lineRule="exact"/>
        <w:ind w:firstLine="454" w:firstLineChars="196"/>
        <w:rPr>
          <w:rFonts w:hAnsi="宋体" w:cs="宋体"/>
          <w:snapToGrid w:val="0"/>
          <w:sz w:val="24"/>
          <w:szCs w:val="24"/>
          <w:highlight w:val="none"/>
        </w:rPr>
      </w:pPr>
      <w:r>
        <w:rPr>
          <w:rFonts w:hint="eastAsia" w:hAnsi="宋体" w:cs="宋体"/>
          <w:sz w:val="24"/>
          <w:szCs w:val="24"/>
          <w:highlight w:val="none"/>
        </w:rPr>
        <w:t>（7）</w:t>
      </w:r>
      <w:r>
        <w:rPr>
          <w:rFonts w:hint="eastAsia" w:hAnsi="宋体" w:cs="宋体"/>
          <w:snapToGrid w:val="0"/>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6AA69E92">
      <w:pPr>
        <w:pStyle w:val="22"/>
        <w:adjustRightInd w:val="0"/>
        <w:snapToGrid w:val="0"/>
        <w:spacing w:line="440" w:lineRule="exact"/>
        <w:ind w:firstLine="454" w:firstLineChars="196"/>
        <w:rPr>
          <w:rFonts w:hAnsi="宋体" w:cs="宋体"/>
          <w:sz w:val="24"/>
          <w:szCs w:val="24"/>
          <w:highlight w:val="none"/>
        </w:rPr>
      </w:pPr>
      <w:r>
        <w:rPr>
          <w:rFonts w:hint="eastAsia" w:hAnsi="宋体" w:cs="宋体"/>
          <w:sz w:val="24"/>
          <w:szCs w:val="24"/>
          <w:highlight w:val="none"/>
        </w:rPr>
        <w:t>（8）投标文件有招标方不能接受的附加条件的；</w:t>
      </w:r>
    </w:p>
    <w:p w14:paraId="3C757BEB">
      <w:pPr>
        <w:pStyle w:val="22"/>
        <w:adjustRightInd w:val="0"/>
        <w:snapToGrid w:val="0"/>
        <w:spacing w:line="440" w:lineRule="exact"/>
        <w:ind w:firstLine="464" w:firstLineChars="200"/>
        <w:rPr>
          <w:rFonts w:hAnsi="宋体" w:cs="宋体"/>
          <w:sz w:val="24"/>
          <w:szCs w:val="24"/>
          <w:highlight w:val="none"/>
        </w:rPr>
      </w:pPr>
      <w:r>
        <w:rPr>
          <w:rFonts w:hint="eastAsia" w:hAnsi="宋体" w:cs="宋体"/>
          <w:sz w:val="24"/>
          <w:szCs w:val="24"/>
          <w:highlight w:val="none"/>
        </w:rPr>
        <w:t>（9）商务技术文件中出现投标总报价的；</w:t>
      </w:r>
    </w:p>
    <w:p w14:paraId="3761D514">
      <w:pPr>
        <w:pStyle w:val="22"/>
        <w:adjustRightInd w:val="0"/>
        <w:snapToGrid w:val="0"/>
        <w:spacing w:line="440" w:lineRule="exact"/>
        <w:ind w:firstLine="454" w:firstLineChars="196"/>
        <w:rPr>
          <w:rFonts w:hAnsi="宋体" w:cs="宋体"/>
          <w:sz w:val="24"/>
          <w:szCs w:val="24"/>
          <w:highlight w:val="none"/>
        </w:rPr>
      </w:pPr>
      <w:r>
        <w:rPr>
          <w:rFonts w:hint="eastAsia" w:hAnsi="宋体" w:cs="宋体"/>
          <w:sz w:val="24"/>
          <w:szCs w:val="24"/>
          <w:highlight w:val="none"/>
        </w:rPr>
        <w:t>（10）不同投标人的投标文件,由同一台电脑编制。</w:t>
      </w:r>
    </w:p>
    <w:p w14:paraId="0EA4B962">
      <w:pPr>
        <w:pStyle w:val="22"/>
        <w:adjustRightInd w:val="0"/>
        <w:snapToGrid w:val="0"/>
        <w:spacing w:line="440" w:lineRule="exact"/>
        <w:ind w:firstLine="457" w:firstLineChars="196"/>
        <w:rPr>
          <w:rFonts w:hAnsi="宋体" w:cs="宋体"/>
          <w:b/>
          <w:bCs/>
          <w:sz w:val="24"/>
          <w:szCs w:val="24"/>
          <w:highlight w:val="none"/>
        </w:rPr>
      </w:pPr>
      <w:r>
        <w:rPr>
          <w:rFonts w:hint="eastAsia" w:hAnsi="宋体" w:cs="宋体"/>
          <w:b/>
          <w:bCs/>
          <w:sz w:val="24"/>
          <w:szCs w:val="24"/>
          <w:highlight w:val="none"/>
        </w:rPr>
        <w:t>2.在报价评审时，如发现下列情形之一的，投标文件将被视为无效：</w:t>
      </w:r>
    </w:p>
    <w:p w14:paraId="74F5917D">
      <w:pPr>
        <w:pStyle w:val="22"/>
        <w:adjustRightInd w:val="0"/>
        <w:snapToGrid w:val="0"/>
        <w:spacing w:line="440" w:lineRule="exact"/>
        <w:ind w:firstLine="454" w:firstLineChars="196"/>
        <w:rPr>
          <w:rFonts w:hAnsi="宋体" w:cs="宋体"/>
          <w:sz w:val="24"/>
          <w:szCs w:val="24"/>
          <w:highlight w:val="none"/>
        </w:rPr>
      </w:pPr>
      <w:r>
        <w:rPr>
          <w:rFonts w:hint="eastAsia" w:hAnsi="宋体" w:cs="宋体"/>
          <w:sz w:val="24"/>
          <w:szCs w:val="24"/>
          <w:highlight w:val="none"/>
        </w:rPr>
        <w:t>（1）未采用人民币报价或者未按照招标文件标明的币种报价的；</w:t>
      </w:r>
    </w:p>
    <w:p w14:paraId="6B4D35DF">
      <w:pPr>
        <w:pStyle w:val="22"/>
        <w:adjustRightInd w:val="0"/>
        <w:snapToGrid w:val="0"/>
        <w:spacing w:line="440" w:lineRule="exact"/>
        <w:ind w:firstLine="454" w:firstLineChars="196"/>
        <w:rPr>
          <w:rFonts w:hAnsi="宋体" w:cs="宋体"/>
          <w:sz w:val="24"/>
          <w:szCs w:val="24"/>
          <w:highlight w:val="none"/>
        </w:rPr>
      </w:pPr>
      <w:r>
        <w:rPr>
          <w:rFonts w:hint="eastAsia" w:hAnsi="宋体" w:cs="宋体"/>
          <w:sz w:val="24"/>
          <w:szCs w:val="24"/>
          <w:highlight w:val="none"/>
        </w:rPr>
        <w:t>（2）投标报价具有选择性，或者开标价格与投标文件承诺的优惠（折扣）价格不一致的；</w:t>
      </w:r>
    </w:p>
    <w:p w14:paraId="6D9E7FA1">
      <w:pPr>
        <w:pStyle w:val="22"/>
        <w:adjustRightInd w:val="0"/>
        <w:snapToGrid w:val="0"/>
        <w:spacing w:line="440" w:lineRule="exact"/>
        <w:ind w:firstLine="457" w:firstLineChars="196"/>
        <w:rPr>
          <w:rFonts w:hAnsi="宋体" w:cs="宋体"/>
          <w:b/>
          <w:bCs/>
          <w:sz w:val="24"/>
          <w:szCs w:val="24"/>
          <w:highlight w:val="none"/>
        </w:rPr>
      </w:pPr>
      <w:r>
        <w:rPr>
          <w:rFonts w:hint="eastAsia" w:hAnsi="宋体" w:cs="宋体"/>
          <w:b/>
          <w:bCs/>
          <w:sz w:val="24"/>
          <w:szCs w:val="24"/>
          <w:highlight w:val="none"/>
        </w:rPr>
        <w:t>（3）报价超过招标文件中规定的预算金额或者最高限价的；</w:t>
      </w:r>
    </w:p>
    <w:p w14:paraId="7444AC4C">
      <w:pPr>
        <w:pStyle w:val="22"/>
        <w:adjustRightInd w:val="0"/>
        <w:snapToGrid w:val="0"/>
        <w:spacing w:line="440" w:lineRule="exact"/>
        <w:ind w:firstLine="457" w:firstLineChars="196"/>
        <w:rPr>
          <w:rFonts w:hAnsi="宋体" w:cs="宋体"/>
          <w:b/>
          <w:bCs/>
          <w:sz w:val="24"/>
          <w:szCs w:val="24"/>
          <w:highlight w:val="none"/>
        </w:rPr>
      </w:pPr>
      <w:r>
        <w:rPr>
          <w:rFonts w:hint="eastAsia" w:hAnsi="宋体" w:cs="宋体"/>
          <w:b/>
          <w:bCs/>
          <w:sz w:val="24"/>
          <w:szCs w:val="24"/>
          <w:highlight w:val="none"/>
        </w:rPr>
        <w:t>（4）未填写投标报价的。</w:t>
      </w:r>
    </w:p>
    <w:p w14:paraId="2DC0C52B">
      <w:pPr>
        <w:pStyle w:val="22"/>
        <w:adjustRightInd w:val="0"/>
        <w:snapToGrid w:val="0"/>
        <w:spacing w:line="440" w:lineRule="exact"/>
        <w:ind w:firstLine="457" w:firstLineChars="196"/>
        <w:rPr>
          <w:rFonts w:hAnsi="宋体" w:cs="宋体"/>
          <w:b/>
          <w:sz w:val="24"/>
          <w:szCs w:val="24"/>
          <w:highlight w:val="none"/>
        </w:rPr>
      </w:pPr>
      <w:r>
        <w:rPr>
          <w:rFonts w:hint="eastAsia" w:hAnsi="宋体" w:cs="宋体"/>
          <w:b/>
          <w:sz w:val="24"/>
          <w:szCs w:val="24"/>
          <w:highlight w:val="none"/>
        </w:rPr>
        <w:t>3.被拒绝的投标文件为无效。</w:t>
      </w:r>
    </w:p>
    <w:p w14:paraId="063BB6CF">
      <w:pPr>
        <w:adjustRightInd w:val="0"/>
        <w:snapToGrid w:val="0"/>
        <w:spacing w:line="440" w:lineRule="exact"/>
        <w:ind w:firstLine="354" w:firstLineChars="147"/>
        <w:rPr>
          <w:rFonts w:ascii="宋体" w:hAnsi="宋体" w:cs="宋体"/>
          <w:b/>
          <w:sz w:val="24"/>
          <w:highlight w:val="none"/>
          <w:u w:val="single"/>
        </w:rPr>
      </w:pPr>
      <w:r>
        <w:rPr>
          <w:rFonts w:hint="eastAsia" w:ascii="宋体" w:hAnsi="宋体" w:cs="宋体"/>
          <w:b/>
          <w:sz w:val="24"/>
          <w:highlight w:val="none"/>
        </w:rPr>
        <w:t>（八）在招标采购中，出现下列情形之一的，应予废标</w:t>
      </w:r>
    </w:p>
    <w:p w14:paraId="2F7EB982">
      <w:pPr>
        <w:autoSpaceDE w:val="0"/>
        <w:autoSpaceDN w:val="0"/>
        <w:adjustRightInd w:val="0"/>
        <w:snapToGrid w:val="0"/>
        <w:spacing w:line="440" w:lineRule="exact"/>
        <w:ind w:firstLine="480" w:firstLineChars="200"/>
        <w:textAlignment w:val="bottom"/>
        <w:rPr>
          <w:rFonts w:ascii="宋体" w:hAnsi="宋体" w:cs="宋体"/>
          <w:sz w:val="24"/>
          <w:highlight w:val="none"/>
        </w:rPr>
      </w:pPr>
      <w:r>
        <w:rPr>
          <w:rFonts w:hint="eastAsia" w:ascii="宋体" w:hAnsi="宋体" w:cs="宋体"/>
          <w:sz w:val="24"/>
          <w:highlight w:val="none"/>
        </w:rPr>
        <w:t>1、出现影响采购公正的违法、违规行为的；</w:t>
      </w:r>
    </w:p>
    <w:p w14:paraId="743EC184">
      <w:pPr>
        <w:autoSpaceDE w:val="0"/>
        <w:autoSpaceDN w:val="0"/>
        <w:adjustRightInd w:val="0"/>
        <w:snapToGrid w:val="0"/>
        <w:spacing w:line="440" w:lineRule="exact"/>
        <w:ind w:firstLine="480" w:firstLineChars="200"/>
        <w:textAlignment w:val="bottom"/>
        <w:rPr>
          <w:rFonts w:ascii="宋体" w:hAnsi="宋体" w:cs="宋体"/>
          <w:sz w:val="24"/>
          <w:highlight w:val="none"/>
        </w:rPr>
      </w:pPr>
      <w:r>
        <w:rPr>
          <w:rFonts w:hint="eastAsia" w:ascii="宋体" w:hAnsi="宋体" w:cs="宋体"/>
          <w:sz w:val="24"/>
          <w:highlight w:val="none"/>
        </w:rPr>
        <w:t>2、因重大变故，采购任务取消的；</w:t>
      </w:r>
    </w:p>
    <w:p w14:paraId="16DA6D11">
      <w:pPr>
        <w:autoSpaceDE w:val="0"/>
        <w:autoSpaceDN w:val="0"/>
        <w:adjustRightInd w:val="0"/>
        <w:snapToGrid w:val="0"/>
        <w:spacing w:line="440" w:lineRule="exact"/>
        <w:ind w:firstLine="480" w:firstLineChars="200"/>
        <w:textAlignment w:val="bottom"/>
        <w:rPr>
          <w:rFonts w:ascii="宋体" w:hAnsi="宋体" w:cs="宋体"/>
          <w:sz w:val="24"/>
          <w:highlight w:val="none"/>
        </w:rPr>
      </w:pPr>
      <w:r>
        <w:rPr>
          <w:rFonts w:hint="eastAsia" w:ascii="宋体" w:hAnsi="宋体" w:cs="宋体"/>
          <w:sz w:val="24"/>
          <w:highlight w:val="none"/>
        </w:rPr>
        <w:t>3、投标人的报价均超过了采购预算价，招标人不能支付的。</w:t>
      </w:r>
    </w:p>
    <w:p w14:paraId="48A3A50C">
      <w:pPr>
        <w:autoSpaceDE w:val="0"/>
        <w:autoSpaceDN w:val="0"/>
        <w:adjustRightInd w:val="0"/>
        <w:snapToGrid w:val="0"/>
        <w:spacing w:line="440" w:lineRule="exact"/>
        <w:ind w:firstLine="480" w:firstLineChars="200"/>
        <w:textAlignment w:val="bottom"/>
        <w:rPr>
          <w:rFonts w:ascii="宋体" w:hAnsi="宋体" w:cs="宋体"/>
          <w:sz w:val="24"/>
          <w:highlight w:val="none"/>
        </w:rPr>
      </w:pPr>
      <w:r>
        <w:rPr>
          <w:rFonts w:hint="eastAsia" w:ascii="宋体" w:hAnsi="宋体" w:cs="宋体"/>
          <w:sz w:val="24"/>
          <w:highlight w:val="none"/>
        </w:rPr>
        <w:t>4.其他法律法规规定应予以废标的情形。</w:t>
      </w:r>
    </w:p>
    <w:p w14:paraId="4F1CE25A">
      <w:pPr>
        <w:pStyle w:val="22"/>
        <w:adjustRightInd w:val="0"/>
        <w:snapToGrid w:val="0"/>
        <w:spacing w:line="440" w:lineRule="exact"/>
        <w:ind w:firstLine="256" w:firstLineChars="110"/>
        <w:rPr>
          <w:rFonts w:hAnsi="宋体" w:cs="宋体"/>
          <w:b/>
          <w:snapToGrid w:val="0"/>
          <w:sz w:val="24"/>
          <w:szCs w:val="24"/>
          <w:highlight w:val="none"/>
        </w:rPr>
      </w:pPr>
      <w:r>
        <w:rPr>
          <w:rFonts w:hint="eastAsia" w:hAnsi="宋体" w:cs="宋体"/>
          <w:b/>
          <w:sz w:val="24"/>
          <w:szCs w:val="24"/>
          <w:highlight w:val="none"/>
        </w:rPr>
        <w:t>四、开标</w:t>
      </w:r>
    </w:p>
    <w:p w14:paraId="4C3CB46D">
      <w:pPr>
        <w:pStyle w:val="30"/>
        <w:adjustRightInd w:val="0"/>
        <w:snapToGrid w:val="0"/>
        <w:spacing w:beforeLines="0" w:afterLines="0" w:line="440" w:lineRule="exact"/>
        <w:ind w:firstLine="241" w:firstLineChars="100"/>
        <w:rPr>
          <w:rFonts w:hAnsi="宋体" w:cs="宋体"/>
          <w:b/>
          <w:highlight w:val="none"/>
        </w:rPr>
      </w:pPr>
      <w:r>
        <w:rPr>
          <w:rFonts w:hint="eastAsia" w:hAnsi="宋体" w:cs="宋体"/>
          <w:b/>
          <w:highlight w:val="none"/>
        </w:rPr>
        <w:t>（一）开标准备</w:t>
      </w:r>
    </w:p>
    <w:p w14:paraId="600F6E10">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36CF375">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采购过程中出现以下情形，导致电子交易平台无法正常运行，或者无法保证电子交易的公平、公正和安全时，代理机构可中止电子交易活动：</w:t>
      </w:r>
    </w:p>
    <w:p w14:paraId="64BB167A">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 xml:space="preserve">（1）电子交易平台发生故障、停电而无法登录访问的； </w:t>
      </w:r>
    </w:p>
    <w:p w14:paraId="2C0BF6F5">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（2）电子交易平台应用或数据库出现错误，不能进行正常操作的；</w:t>
      </w:r>
    </w:p>
    <w:p w14:paraId="06B6C125">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（3）电子交易平台发现严重安全漏洞，有潜在泄密危险的；</w:t>
      </w:r>
    </w:p>
    <w:p w14:paraId="082AF9AA">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 xml:space="preserve">（4）病毒发作导致不能进行正常操作的； </w:t>
      </w:r>
    </w:p>
    <w:p w14:paraId="6E587588">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（5）其他无法保证电子交易的公平、公正和安全的情况。</w:t>
      </w:r>
    </w:p>
    <w:p w14:paraId="5F78936B">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出现前款规定情形，不影响采购公平、公正性的，代理机构可以待上述情形消除后继续组织电子交易活动，影响或可能影响采购公平、公正性的，应当重新采购。</w:t>
      </w:r>
    </w:p>
    <w:p w14:paraId="654512A4">
      <w:pPr>
        <w:pStyle w:val="30"/>
        <w:adjustRightInd w:val="0"/>
        <w:snapToGrid w:val="0"/>
        <w:spacing w:beforeLines="0" w:afterLines="0" w:line="440" w:lineRule="exact"/>
        <w:ind w:firstLine="472" w:firstLineChars="196"/>
        <w:rPr>
          <w:rFonts w:hAnsi="宋体" w:cs="宋体"/>
          <w:bCs/>
          <w:highlight w:val="none"/>
        </w:rPr>
      </w:pPr>
      <w:r>
        <w:rPr>
          <w:rFonts w:hint="eastAsia" w:hAnsi="宋体" w:cs="宋体"/>
          <w:b/>
          <w:highlight w:val="none"/>
        </w:rPr>
        <w:t xml:space="preserve">（二）开标程序    </w:t>
      </w:r>
    </w:p>
    <w:p w14:paraId="593A9A30">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1.开标会由招标人主持，</w:t>
      </w:r>
      <w:bookmarkStart w:id="36" w:name="_Hlk59694585"/>
      <w:r>
        <w:rPr>
          <w:rFonts w:hint="eastAsia" w:hAnsi="宋体" w:cs="宋体"/>
          <w:b/>
          <w:bCs/>
          <w:highlight w:val="none"/>
          <w:u w:val="single"/>
        </w:rPr>
        <w:t>并通过临海市限额以下公共资源交易区域平台--每日直播平台进行现场直播，各投标人请准时在线参加。</w:t>
      </w:r>
      <w:bookmarkStart w:id="37" w:name="_Hlk59690176"/>
      <w:r>
        <w:rPr>
          <w:rFonts w:hint="eastAsia" w:hAnsi="宋体" w:cs="宋体"/>
          <w:b/>
          <w:bCs/>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36"/>
      <w:r>
        <w:rPr>
          <w:rFonts w:hint="eastAsia" w:hAnsi="宋体" w:cs="宋体"/>
          <w:b/>
          <w:bCs/>
          <w:highlight w:val="none"/>
          <w:u w:val="single"/>
        </w:rPr>
        <w:t>；</w:t>
      </w:r>
    </w:p>
    <w:bookmarkEnd w:id="37"/>
    <w:p w14:paraId="1EFF5252">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2. 招标人点击临海市限额以下公共资源交易区域平台-不见面开标大厅--【开始解密】按钮，</w:t>
      </w:r>
      <w:bookmarkStart w:id="38" w:name="_Hlk59625783"/>
      <w:r>
        <w:rPr>
          <w:rFonts w:hint="eastAsia" w:hAnsi="宋体" w:cs="宋体"/>
          <w:highlight w:val="none"/>
        </w:rPr>
        <w:t>由投标人按招标文件规定的时间及</w:t>
      </w:r>
      <w:bookmarkStart w:id="39" w:name="_Hlk59626264"/>
      <w:r>
        <w:rPr>
          <w:rFonts w:hint="eastAsia" w:hAnsi="宋体" w:cs="宋体"/>
          <w:highlight w:val="none"/>
        </w:rPr>
        <w:t>平台</w:t>
      </w:r>
      <w:bookmarkEnd w:id="39"/>
      <w:r>
        <w:rPr>
          <w:rFonts w:hint="eastAsia" w:hAnsi="宋体" w:cs="宋体"/>
          <w:highlight w:val="none"/>
        </w:rPr>
        <w:t>显示的时间内自行进行投标文件解密。</w:t>
      </w:r>
      <w:bookmarkEnd w:id="38"/>
      <w:r>
        <w:rPr>
          <w:rFonts w:hint="eastAsia" w:hAnsi="宋体" w:cs="宋体"/>
          <w:highlight w:val="none"/>
        </w:rPr>
        <w:t>投标文件的制作和解密应使用同一个数字证书，否则将可能解密失败。解密过程中如因CA数字证书等问题而无法解密的，请马上致电服务热线400-0571-337寻求解决。</w:t>
      </w:r>
      <w:bookmarkStart w:id="40" w:name="_Hlk59805375"/>
      <w:r>
        <w:rPr>
          <w:rFonts w:hint="eastAsia" w:hAnsi="宋体" w:cs="宋体"/>
          <w:highlight w:val="none"/>
        </w:rPr>
        <w:t>投标人未按时解密或解密失败的，其投标文件为无效标。</w:t>
      </w:r>
      <w:bookmarkEnd w:id="40"/>
    </w:p>
    <w:p w14:paraId="2F986550">
      <w:pPr>
        <w:pStyle w:val="30"/>
        <w:adjustRightInd w:val="0"/>
        <w:snapToGrid w:val="0"/>
        <w:spacing w:beforeLines="0" w:afterLines="0" w:line="440" w:lineRule="exact"/>
        <w:rPr>
          <w:rFonts w:hAnsi="宋体" w:cs="宋体"/>
          <w:b/>
          <w:bCs/>
          <w:highlight w:val="none"/>
          <w:u w:val="single"/>
        </w:rPr>
      </w:pPr>
      <w:r>
        <w:rPr>
          <w:rFonts w:hint="eastAsia" w:hAnsi="宋体" w:cs="宋体"/>
          <w:b/>
          <w:bCs/>
          <w:highlight w:val="none"/>
          <w:u w:val="single"/>
        </w:rPr>
        <w:t>该项目投标人数量及各投标人投标文件是否完成解密以平台显示内容为准。</w:t>
      </w:r>
    </w:p>
    <w:p w14:paraId="0A8C1F53">
      <w:pPr>
        <w:pStyle w:val="30"/>
        <w:adjustRightInd w:val="0"/>
        <w:snapToGrid w:val="0"/>
        <w:spacing w:beforeLines="0" w:afterLines="0" w:line="440" w:lineRule="exact"/>
        <w:ind w:firstLine="480" w:firstLineChars="200"/>
        <w:rPr>
          <w:rFonts w:hAnsi="宋体" w:cs="宋体"/>
          <w:b/>
          <w:bCs/>
          <w:highlight w:val="none"/>
          <w:u w:val="single"/>
        </w:rPr>
      </w:pPr>
      <w:r>
        <w:rPr>
          <w:rFonts w:hint="eastAsia" w:hAnsi="宋体" w:cs="宋体"/>
          <w:highlight w:val="none"/>
        </w:rPr>
        <w:t>3.解密结束后，主持人介绍参加开标会的人员名单，告知应当回避的情形,提请有关人员回避；</w:t>
      </w:r>
    </w:p>
    <w:p w14:paraId="0C786F5F">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4.代理机构点击【</w:t>
      </w:r>
      <w:bookmarkStart w:id="41" w:name="_Hlk59371589"/>
      <w:r>
        <w:rPr>
          <w:rFonts w:hint="eastAsia" w:hAnsi="宋体" w:cs="宋体"/>
          <w:highlight w:val="none"/>
        </w:rPr>
        <w:t>开启标书信息</w:t>
      </w:r>
      <w:bookmarkEnd w:id="41"/>
      <w:r>
        <w:rPr>
          <w:rFonts w:hint="eastAsia" w:hAnsi="宋体" w:cs="宋体"/>
          <w:highlight w:val="none"/>
        </w:rPr>
        <w:t>】，开启标书成功后进入评标流程；</w:t>
      </w:r>
    </w:p>
    <w:p w14:paraId="5E8C3CF2">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5.</w:t>
      </w:r>
      <w:bookmarkStart w:id="42" w:name="_Hlk59392570"/>
      <w:r>
        <w:rPr>
          <w:rFonts w:hint="eastAsia" w:hAnsi="宋体" w:cs="宋体"/>
          <w:highlight w:val="none"/>
        </w:rPr>
        <w:t>资格及商务技术文件</w:t>
      </w:r>
      <w:bookmarkEnd w:id="42"/>
      <w:r>
        <w:rPr>
          <w:rFonts w:hint="eastAsia" w:hAnsi="宋体" w:cs="宋体"/>
          <w:highlight w:val="none"/>
        </w:rPr>
        <w:t>评审；</w:t>
      </w:r>
    </w:p>
    <w:p w14:paraId="03AB9E0B">
      <w:pPr>
        <w:pStyle w:val="30"/>
        <w:adjustRightInd w:val="0"/>
        <w:snapToGrid w:val="0"/>
        <w:spacing w:beforeLines="0" w:afterLines="0" w:line="440" w:lineRule="exact"/>
        <w:ind w:firstLine="480" w:firstLineChars="200"/>
        <w:rPr>
          <w:rFonts w:hAnsi="宋体" w:cs="宋体"/>
          <w:b/>
          <w:bCs/>
          <w:highlight w:val="none"/>
        </w:rPr>
      </w:pPr>
      <w:r>
        <w:rPr>
          <w:rFonts w:hint="eastAsia" w:hAnsi="宋体" w:cs="宋体"/>
          <w:highlight w:val="none"/>
        </w:rPr>
        <w:t>6.由主持人公布资格及商务技术文件无效的投标人名单、投标无效的原因及其他有效投标的评分汇总分</w:t>
      </w:r>
      <w:r>
        <w:rPr>
          <w:rFonts w:hint="eastAsia" w:hAnsi="宋体" w:cs="宋体"/>
          <w:b/>
          <w:bCs/>
          <w:highlight w:val="none"/>
        </w:rPr>
        <w:t>；</w:t>
      </w:r>
    </w:p>
    <w:p w14:paraId="65FC28F6">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7.开启报价响应文件：代理机构成功开启报价响应文件后，方可查看各投标人报价情况。</w:t>
      </w:r>
      <w:r>
        <w:rPr>
          <w:rFonts w:hint="eastAsia" w:hAnsi="宋体" w:cs="宋体"/>
          <w:b/>
          <w:bCs/>
          <w:highlight w:val="none"/>
          <w:u w:val="single"/>
        </w:rPr>
        <w:t>代理机构在线公布开标一览表有关内容，投标人应在5分钟内在线签字确认（不予确认或超时确认的应说明原因，否则视为无异议）；</w:t>
      </w:r>
    </w:p>
    <w:p w14:paraId="7FC9A280">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8.报价文件评审；</w:t>
      </w:r>
    </w:p>
    <w:p w14:paraId="16CC0E2A">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9．由主持人公布报价文件无效的投标人名单、投标无效的原因，宣布综合</w:t>
      </w:r>
      <w:bookmarkStart w:id="43" w:name="_Hlk59371720"/>
      <w:r>
        <w:rPr>
          <w:rFonts w:hint="eastAsia" w:hAnsi="宋体" w:cs="宋体"/>
          <w:highlight w:val="none"/>
        </w:rPr>
        <w:t>得分结果</w:t>
      </w:r>
      <w:bookmarkEnd w:id="43"/>
      <w:r>
        <w:rPr>
          <w:rFonts w:hint="eastAsia" w:hAnsi="宋体" w:cs="宋体"/>
          <w:highlight w:val="none"/>
        </w:rPr>
        <w:t>及中标候选人名单。</w:t>
      </w:r>
      <w:r>
        <w:rPr>
          <w:rFonts w:hint="eastAsia" w:hAnsi="宋体" w:cs="宋体"/>
          <w:b/>
          <w:bCs/>
          <w:highlight w:val="none"/>
          <w:u w:val="single"/>
        </w:rPr>
        <w:t>投标人可通过</w:t>
      </w:r>
      <w:bookmarkStart w:id="44" w:name="_Hlk59626287"/>
      <w:r>
        <w:rPr>
          <w:rFonts w:hint="eastAsia" w:hAnsi="宋体" w:cs="宋体"/>
          <w:b/>
          <w:bCs/>
          <w:highlight w:val="none"/>
          <w:u w:val="single"/>
        </w:rPr>
        <w:t>临海市限额以下公共资源交易区域平台</w:t>
      </w:r>
      <w:bookmarkEnd w:id="44"/>
      <w:r>
        <w:rPr>
          <w:rFonts w:hint="eastAsia" w:hAnsi="宋体" w:cs="宋体"/>
          <w:b/>
          <w:bCs/>
          <w:highlight w:val="none"/>
          <w:u w:val="single"/>
        </w:rPr>
        <w:t>-每日直播平台查看评审结果，请各投标人注意收看；</w:t>
      </w:r>
    </w:p>
    <w:p w14:paraId="7FB1B2A6">
      <w:pPr>
        <w:pStyle w:val="30"/>
        <w:adjustRightInd w:val="0"/>
        <w:snapToGrid w:val="0"/>
        <w:spacing w:beforeLines="0" w:afterLines="0" w:line="440" w:lineRule="exact"/>
        <w:ind w:left="479" w:leftChars="228"/>
        <w:rPr>
          <w:rFonts w:hAnsi="宋体" w:cs="宋体"/>
          <w:highlight w:val="none"/>
        </w:rPr>
      </w:pPr>
      <w:r>
        <w:rPr>
          <w:rFonts w:hint="eastAsia" w:hAnsi="宋体" w:cs="宋体"/>
          <w:highlight w:val="none"/>
        </w:rPr>
        <w:t>10．开标会议结束。</w:t>
      </w:r>
    </w:p>
    <w:p w14:paraId="1C2E047C">
      <w:pPr>
        <w:pStyle w:val="30"/>
        <w:adjustRightInd w:val="0"/>
        <w:snapToGrid w:val="0"/>
        <w:spacing w:beforeLines="0" w:afterLines="0" w:line="440" w:lineRule="exact"/>
        <w:ind w:left="241" w:hanging="241" w:hangingChars="100"/>
        <w:rPr>
          <w:rFonts w:hAnsi="宋体" w:cs="宋体"/>
          <w:highlight w:val="none"/>
        </w:rPr>
      </w:pPr>
      <w:r>
        <w:rPr>
          <w:rFonts w:hint="eastAsia" w:hAnsi="宋体" w:cs="宋体"/>
          <w:b/>
          <w:highlight w:val="none"/>
        </w:rPr>
        <w:t>五、评标</w:t>
      </w:r>
    </w:p>
    <w:p w14:paraId="79351C11">
      <w:pPr>
        <w:pStyle w:val="30"/>
        <w:adjustRightInd w:val="0"/>
        <w:snapToGrid w:val="0"/>
        <w:spacing w:beforeLines="0" w:afterLines="0" w:line="440" w:lineRule="exact"/>
        <w:ind w:left="241" w:hanging="241" w:hangingChars="100"/>
        <w:rPr>
          <w:rFonts w:hAnsi="宋体" w:cs="宋体"/>
          <w:highlight w:val="none"/>
        </w:rPr>
      </w:pPr>
      <w:r>
        <w:rPr>
          <w:rFonts w:hint="eastAsia" w:hAnsi="宋体" w:cs="宋体"/>
          <w:b/>
          <w:highlight w:val="none"/>
        </w:rPr>
        <w:t>（一）组建评标委员会</w:t>
      </w:r>
    </w:p>
    <w:p w14:paraId="028C924B">
      <w:pPr>
        <w:pStyle w:val="30"/>
        <w:adjustRightInd w:val="0"/>
        <w:snapToGrid w:val="0"/>
        <w:spacing w:beforeLines="0" w:afterLines="0" w:line="440" w:lineRule="exact"/>
        <w:ind w:firstLine="472" w:firstLineChars="196"/>
        <w:rPr>
          <w:rFonts w:hAnsi="宋体" w:cs="宋体"/>
          <w:b/>
          <w:highlight w:val="none"/>
        </w:rPr>
      </w:pPr>
      <w:r>
        <w:rPr>
          <w:rFonts w:hint="eastAsia" w:hAnsi="宋体" w:cs="宋体"/>
          <w:b/>
          <w:highlight w:val="none"/>
        </w:rPr>
        <w:t>（1）本项目评标委员会由招标人依法组建。</w:t>
      </w:r>
    </w:p>
    <w:p w14:paraId="7C4E0F06">
      <w:pPr>
        <w:pStyle w:val="30"/>
        <w:adjustRightInd w:val="0"/>
        <w:snapToGrid w:val="0"/>
        <w:spacing w:beforeLines="0" w:afterLines="0" w:line="440" w:lineRule="exact"/>
        <w:ind w:firstLine="472" w:firstLineChars="196"/>
        <w:rPr>
          <w:rFonts w:hAnsi="宋体" w:cs="宋体"/>
          <w:b/>
          <w:highlight w:val="none"/>
        </w:rPr>
      </w:pPr>
      <w:r>
        <w:rPr>
          <w:rFonts w:hint="eastAsia" w:hAnsi="宋体" w:cs="宋体"/>
          <w:b/>
          <w:highlight w:val="none"/>
        </w:rPr>
        <w:t>（2）评标委员会成员与参与投标的投标人有下列情形之一的，应当回避：</w:t>
      </w:r>
    </w:p>
    <w:p w14:paraId="5F2ABB93">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①参加采购活动前3年内与投标人存在劳动关系；</w:t>
      </w:r>
    </w:p>
    <w:p w14:paraId="2D3EEF19">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②参加采购活动前3年内担任投标人的董事、监事；</w:t>
      </w:r>
    </w:p>
    <w:p w14:paraId="52A1BA31">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③参加采购活动前3年内是投标人的控股股东或者实际控制人；</w:t>
      </w:r>
    </w:p>
    <w:p w14:paraId="51D5CED5">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④与投标人的法定代表人或者负责人有夫妻、直系血亲、三代以内旁系血亲或者近姻亲关系；</w:t>
      </w:r>
    </w:p>
    <w:p w14:paraId="36BF89D7">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⑤与投标人有其他可能影响采购活动公平、公正进行的关系。</w:t>
      </w:r>
    </w:p>
    <w:p w14:paraId="6E787CE0">
      <w:pPr>
        <w:pStyle w:val="30"/>
        <w:adjustRightInd w:val="0"/>
        <w:snapToGrid w:val="0"/>
        <w:spacing w:beforeLines="0" w:afterLines="0" w:line="440" w:lineRule="exact"/>
        <w:ind w:firstLine="472" w:firstLineChars="196"/>
        <w:rPr>
          <w:rFonts w:hAnsi="宋体" w:cs="宋体"/>
          <w:b/>
          <w:highlight w:val="none"/>
        </w:rPr>
      </w:pPr>
      <w:r>
        <w:rPr>
          <w:rFonts w:hint="eastAsia" w:hAnsi="宋体" w:cs="宋体"/>
          <w:b/>
          <w:highlight w:val="none"/>
        </w:rPr>
        <w:t>（3）评标委员会负责具体评标事务，并独立履行下列职责：</w:t>
      </w:r>
    </w:p>
    <w:p w14:paraId="76B36600">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1.审查、评价投标文件是否符合招标文件的商务、技术等实质性要求；</w:t>
      </w:r>
    </w:p>
    <w:p w14:paraId="22F7BB9C">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2.要求投标人对投标文件有关事项作出澄清或者说明；</w:t>
      </w:r>
    </w:p>
    <w:p w14:paraId="22ED8E8C">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3.对投标文件进行比较和评价；</w:t>
      </w:r>
    </w:p>
    <w:p w14:paraId="63CEB0AD">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4.确定中标候选人名单，以及根据招标人委托直接确定中标人；</w:t>
      </w:r>
    </w:p>
    <w:p w14:paraId="3D25DE10">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5.向招标人、代理机构或者有关部门报告评标中发现的违法行为；</w:t>
      </w:r>
    </w:p>
    <w:p w14:paraId="5D6887E6">
      <w:pPr>
        <w:pStyle w:val="30"/>
        <w:adjustRightInd w:val="0"/>
        <w:snapToGrid w:val="0"/>
        <w:spacing w:beforeLines="0" w:afterLines="0" w:line="440" w:lineRule="exact"/>
        <w:ind w:firstLine="470" w:firstLineChars="196"/>
        <w:rPr>
          <w:rFonts w:hAnsi="宋体" w:cs="宋体"/>
          <w:bCs/>
          <w:highlight w:val="none"/>
        </w:rPr>
      </w:pPr>
      <w:r>
        <w:rPr>
          <w:rFonts w:hint="eastAsia" w:hAnsi="宋体" w:cs="宋体"/>
          <w:bCs/>
          <w:highlight w:val="none"/>
        </w:rPr>
        <w:t>6.法律法规规定的其他职责。</w:t>
      </w:r>
    </w:p>
    <w:p w14:paraId="2C46645E">
      <w:pPr>
        <w:pStyle w:val="30"/>
        <w:adjustRightInd w:val="0"/>
        <w:snapToGrid w:val="0"/>
        <w:spacing w:beforeLines="0" w:afterLines="0" w:line="440" w:lineRule="exact"/>
        <w:ind w:firstLine="482" w:firstLineChars="200"/>
        <w:rPr>
          <w:rFonts w:hAnsi="宋体" w:cs="宋体"/>
          <w:highlight w:val="none"/>
        </w:rPr>
      </w:pPr>
      <w:r>
        <w:rPr>
          <w:rFonts w:hint="eastAsia" w:hAnsi="宋体" w:cs="宋体"/>
          <w:b/>
          <w:highlight w:val="none"/>
        </w:rPr>
        <w:t>（二）评标的方式</w:t>
      </w:r>
    </w:p>
    <w:p w14:paraId="29DC9031">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本项目采用不公开方式评标，评标的依据为招标文件和投标文件，本项目采用电子评审方法。</w:t>
      </w:r>
    </w:p>
    <w:p w14:paraId="10FB4490">
      <w:pPr>
        <w:pStyle w:val="30"/>
        <w:adjustRightInd w:val="0"/>
        <w:snapToGrid w:val="0"/>
        <w:spacing w:beforeLines="0" w:afterLines="0" w:line="440" w:lineRule="exact"/>
        <w:ind w:firstLine="482" w:firstLineChars="200"/>
        <w:rPr>
          <w:rFonts w:hAnsi="宋体" w:cs="宋体"/>
          <w:b/>
          <w:highlight w:val="none"/>
        </w:rPr>
      </w:pPr>
      <w:r>
        <w:rPr>
          <w:rFonts w:hint="eastAsia" w:hAnsi="宋体" w:cs="宋体"/>
          <w:b/>
          <w:highlight w:val="none"/>
        </w:rPr>
        <w:t>（三）</w:t>
      </w:r>
      <w:r>
        <w:rPr>
          <w:rFonts w:hint="eastAsia" w:hAnsi="宋体" w:cs="宋体"/>
          <w:b/>
          <w:bCs/>
          <w:highlight w:val="none"/>
        </w:rPr>
        <w:t>评标程序</w:t>
      </w:r>
    </w:p>
    <w:p w14:paraId="00510911">
      <w:pPr>
        <w:adjustRightInd w:val="0"/>
        <w:snapToGrid w:val="0"/>
        <w:spacing w:line="440" w:lineRule="exact"/>
        <w:ind w:firstLine="472" w:firstLineChars="196"/>
        <w:rPr>
          <w:rFonts w:ascii="宋体" w:hAnsi="宋体" w:cs="宋体"/>
          <w:b/>
          <w:bCs/>
          <w:sz w:val="24"/>
          <w:highlight w:val="none"/>
        </w:rPr>
      </w:pPr>
      <w:r>
        <w:rPr>
          <w:rFonts w:hint="eastAsia" w:ascii="宋体" w:hAnsi="宋体" w:cs="宋体"/>
          <w:b/>
          <w:bCs/>
          <w:sz w:val="24"/>
          <w:highlight w:val="none"/>
        </w:rPr>
        <w:t>1.资格审查</w:t>
      </w:r>
    </w:p>
    <w:p w14:paraId="2668AC50">
      <w:pPr>
        <w:adjustRightInd w:val="0"/>
        <w:snapToGrid w:val="0"/>
        <w:spacing w:line="440" w:lineRule="exact"/>
        <w:ind w:firstLine="470" w:firstLineChars="196"/>
        <w:rPr>
          <w:rFonts w:ascii="宋体" w:hAnsi="宋体" w:cs="宋体"/>
          <w:b/>
          <w:bCs/>
          <w:sz w:val="24"/>
          <w:highlight w:val="none"/>
        </w:rPr>
      </w:pPr>
      <w:r>
        <w:rPr>
          <w:rFonts w:hint="eastAsia" w:ascii="宋体" w:hAnsi="宋体" w:cs="宋体"/>
          <w:sz w:val="24"/>
          <w:highlight w:val="none"/>
        </w:rPr>
        <w:t>采购项目开标结束后，招标人或者代理机构应当依法对投标人的资格进行审查，对审查发现无效的进行必要的询标，结束后公布无效投标的投标人名单、投标无效的原因。</w:t>
      </w:r>
    </w:p>
    <w:p w14:paraId="59383C14">
      <w:pPr>
        <w:adjustRightInd w:val="0"/>
        <w:snapToGrid w:val="0"/>
        <w:spacing w:line="440" w:lineRule="exact"/>
        <w:ind w:firstLine="472" w:firstLineChars="196"/>
        <w:rPr>
          <w:rFonts w:ascii="宋体" w:hAnsi="宋体" w:cs="宋体"/>
          <w:b/>
          <w:bCs/>
          <w:sz w:val="24"/>
          <w:highlight w:val="none"/>
        </w:rPr>
      </w:pPr>
      <w:r>
        <w:rPr>
          <w:rFonts w:hint="eastAsia" w:ascii="宋体" w:hAnsi="宋体" w:cs="宋体"/>
          <w:b/>
          <w:bCs/>
          <w:sz w:val="24"/>
          <w:highlight w:val="none"/>
        </w:rPr>
        <w:t>2.符合性审查</w:t>
      </w:r>
    </w:p>
    <w:p w14:paraId="2A714838">
      <w:pPr>
        <w:adjustRightInd w:val="0"/>
        <w:snapToGrid w:val="0"/>
        <w:spacing w:line="440" w:lineRule="exact"/>
        <w:ind w:firstLine="470" w:firstLineChars="196"/>
        <w:rPr>
          <w:rFonts w:ascii="宋体" w:hAnsi="宋体" w:cs="宋体"/>
          <w:sz w:val="24"/>
          <w:highlight w:val="none"/>
        </w:rPr>
      </w:pPr>
      <w:r>
        <w:rPr>
          <w:rFonts w:hint="eastAsia" w:ascii="宋体" w:hAnsi="宋体" w:cs="宋体"/>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A5C60BD">
      <w:pPr>
        <w:adjustRightInd w:val="0"/>
        <w:snapToGrid w:val="0"/>
        <w:spacing w:line="440" w:lineRule="exact"/>
        <w:ind w:firstLine="241" w:firstLineChars="100"/>
        <w:rPr>
          <w:rFonts w:ascii="宋体" w:hAnsi="宋体" w:cs="宋体"/>
          <w:b/>
          <w:sz w:val="24"/>
          <w:highlight w:val="none"/>
        </w:rPr>
      </w:pPr>
      <w:r>
        <w:rPr>
          <w:rFonts w:hint="eastAsia" w:ascii="宋体" w:hAnsi="宋体" w:cs="宋体"/>
          <w:b/>
          <w:sz w:val="24"/>
          <w:highlight w:val="none"/>
        </w:rPr>
        <w:t>（四）澄清问题的形式</w:t>
      </w:r>
    </w:p>
    <w:p w14:paraId="45AA16B8">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对投标文件中含义不明确、同类问题表述不一致或者有明显文字和计算错误的内容，评标委员会可要求投标人作出必要的</w:t>
      </w:r>
      <w:bookmarkStart w:id="45" w:name="_Hlk59372079"/>
      <w:r>
        <w:rPr>
          <w:rFonts w:hint="eastAsia" w:hAnsi="宋体" w:cs="宋体"/>
          <w:highlight w:val="none"/>
        </w:rPr>
        <w:t>澄清、说明</w:t>
      </w:r>
      <w:bookmarkEnd w:id="45"/>
      <w:r>
        <w:rPr>
          <w:rFonts w:hint="eastAsia" w:hAnsi="宋体" w:cs="宋体"/>
          <w:highlight w:val="none"/>
        </w:rPr>
        <w:t>或者补正。评标委员会的澄清内容及投标人的澄清、说明或者补正均通过</w:t>
      </w:r>
      <w:bookmarkStart w:id="46" w:name="_Hlk59371846"/>
      <w:r>
        <w:rPr>
          <w:rFonts w:hint="eastAsia" w:hAnsi="宋体" w:cs="宋体"/>
          <w:highlight w:val="none"/>
        </w:rPr>
        <w:t>电子交易平台交换数据电文。</w:t>
      </w:r>
      <w:bookmarkEnd w:id="46"/>
      <w:bookmarkStart w:id="47" w:name="_Hlk59700505"/>
      <w:r>
        <w:rPr>
          <w:rFonts w:hint="eastAsia" w:hAnsi="宋体" w:cs="宋体"/>
          <w:highlight w:val="none"/>
        </w:rPr>
        <w:t>同时代理机构也将通过临海市限额以下公共资源交易区域平台--每日直播平台</w:t>
      </w:r>
      <w:bookmarkStart w:id="48" w:name="_Hlk59371920"/>
      <w:r>
        <w:rPr>
          <w:rFonts w:hint="eastAsia" w:hAnsi="宋体" w:cs="宋体"/>
          <w:highlight w:val="none"/>
        </w:rPr>
        <w:t>进行问题澄清。</w:t>
      </w:r>
      <w:bookmarkEnd w:id="47"/>
    </w:p>
    <w:bookmarkEnd w:id="48"/>
    <w:p w14:paraId="1C82E8A0">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评标委员会发出澄清内容后，投标人应当在代理机构及平台上</w:t>
      </w:r>
      <w:r>
        <w:rPr>
          <w:rFonts w:hint="eastAsia" w:ascii="宋体" w:hAnsi="宋体" w:cs="宋体"/>
          <w:b/>
          <w:bCs/>
          <w:sz w:val="24"/>
          <w:highlight w:val="none"/>
          <w:u w:val="single"/>
        </w:rPr>
        <w:t>规定的时间内（30分钟，具体时间以临海市限额以下公共资源交易区域平台系统上显示的时间为准）</w:t>
      </w:r>
      <w:r>
        <w:rPr>
          <w:rFonts w:hint="eastAsia" w:ascii="宋体" w:hAnsi="宋体" w:cs="宋体"/>
          <w:b/>
          <w:bCs/>
          <w:sz w:val="24"/>
          <w:highlight w:val="none"/>
        </w:rPr>
        <w:t>，</w:t>
      </w:r>
      <w:r>
        <w:rPr>
          <w:rFonts w:hint="eastAsia" w:ascii="宋体" w:hAnsi="宋体" w:cs="宋体"/>
          <w:sz w:val="24"/>
          <w:highlight w:val="none"/>
        </w:rPr>
        <w:t>提交澄清说明或补正，否则视为投标人放弃答复，并自行承担因此而产生的不利后果。澄清、说明或者补正不得超出投标文件的范围或者改变投标文件的实质性内容。</w:t>
      </w:r>
    </w:p>
    <w:p w14:paraId="541B0712">
      <w:pPr>
        <w:adjustRightInd w:val="0"/>
        <w:snapToGrid w:val="0"/>
        <w:spacing w:line="440" w:lineRule="exact"/>
        <w:ind w:firstLine="241" w:firstLineChars="100"/>
        <w:rPr>
          <w:rFonts w:ascii="宋体" w:hAnsi="宋体" w:cs="宋体"/>
          <w:b/>
          <w:sz w:val="24"/>
          <w:highlight w:val="none"/>
        </w:rPr>
      </w:pPr>
      <w:r>
        <w:rPr>
          <w:rFonts w:hint="eastAsia" w:ascii="宋体" w:hAnsi="宋体" w:cs="宋体"/>
          <w:b/>
          <w:sz w:val="24"/>
          <w:highlight w:val="none"/>
        </w:rPr>
        <w:t>（五）错误修正</w:t>
      </w:r>
    </w:p>
    <w:p w14:paraId="718D1EFB">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投标文件报价出现前后不一致的，按照下列规定修正：</w:t>
      </w:r>
    </w:p>
    <w:p w14:paraId="5A30F8F3">
      <w:pPr>
        <w:numPr>
          <w:ilvl w:val="0"/>
          <w:numId w:val="7"/>
        </w:num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投标文件中开标一览表（报价表）内容与投标文件中相应内容不一致的，以开标一览表（报价表）为准；</w:t>
      </w:r>
    </w:p>
    <w:p w14:paraId="6EA80EC4">
      <w:pPr>
        <w:numPr>
          <w:ilvl w:val="0"/>
          <w:numId w:val="7"/>
        </w:num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大写金额和小写金额不一致的，以大写金额为准；</w:t>
      </w:r>
    </w:p>
    <w:p w14:paraId="0368566A">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（三）单价金额小数点或者百分比有明显错位的，以开标一览表的总价为准，并修改单价；</w:t>
      </w:r>
    </w:p>
    <w:p w14:paraId="070E6C1F">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（四）总价金额与按单价汇总金额不一致的，以单价金额计算结果为准；</w:t>
      </w:r>
    </w:p>
    <w:p w14:paraId="4EED5F07">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（五）对不同文字文本投标文件的解释发生异议的，以中文文本为准。</w:t>
      </w:r>
    </w:p>
    <w:p w14:paraId="0022FDD0">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61E56A2">
      <w:pPr>
        <w:pStyle w:val="30"/>
        <w:tabs>
          <w:tab w:val="left" w:pos="630"/>
        </w:tabs>
        <w:adjustRightInd w:val="0"/>
        <w:snapToGrid w:val="0"/>
        <w:spacing w:beforeLines="0" w:afterLines="0" w:line="440" w:lineRule="exact"/>
        <w:ind w:firstLine="241" w:firstLineChars="100"/>
        <w:rPr>
          <w:rFonts w:hAnsi="宋体" w:cs="宋体"/>
          <w:b/>
          <w:highlight w:val="none"/>
        </w:rPr>
      </w:pPr>
      <w:r>
        <w:rPr>
          <w:rFonts w:hint="eastAsia" w:hAnsi="宋体" w:cs="宋体"/>
          <w:b/>
          <w:highlight w:val="none"/>
        </w:rPr>
        <w:t>（六）评标原则和评标办法</w:t>
      </w:r>
    </w:p>
    <w:p w14:paraId="13EE1FBE">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B011219">
      <w:pPr>
        <w:pStyle w:val="30"/>
        <w:adjustRightInd w:val="0"/>
        <w:snapToGrid w:val="0"/>
        <w:spacing w:beforeLines="0" w:afterLines="0" w:line="440" w:lineRule="exact"/>
        <w:ind w:firstLine="480" w:firstLineChars="200"/>
        <w:rPr>
          <w:rFonts w:hAnsi="宋体" w:cs="宋体"/>
          <w:highlight w:val="none"/>
        </w:rPr>
      </w:pPr>
      <w:r>
        <w:rPr>
          <w:rFonts w:hint="eastAsia" w:hAnsi="宋体" w:cs="宋体"/>
          <w:highlight w:val="none"/>
        </w:rPr>
        <w:t>2.评标办法。本项目评标办法是</w:t>
      </w:r>
      <w:r>
        <w:rPr>
          <w:rFonts w:hint="eastAsia" w:hAnsi="宋体" w:cs="宋体"/>
          <w:b/>
          <w:highlight w:val="none"/>
          <w:u w:val="single"/>
        </w:rPr>
        <w:t>综合评分法</w:t>
      </w:r>
      <w:r>
        <w:rPr>
          <w:rFonts w:hint="eastAsia" w:hAnsi="宋体" w:cs="宋体"/>
          <w:highlight w:val="none"/>
        </w:rPr>
        <w:t>，具体评标内容及评分标准等详见《第四章：评标办法及评分标准》。</w:t>
      </w:r>
    </w:p>
    <w:p w14:paraId="0686EE34">
      <w:pPr>
        <w:adjustRightInd w:val="0"/>
        <w:snapToGrid w:val="0"/>
        <w:spacing w:line="440" w:lineRule="exact"/>
        <w:ind w:firstLine="482" w:firstLineChars="200"/>
        <w:rPr>
          <w:rFonts w:ascii="宋体" w:hAnsi="宋体" w:cs="宋体"/>
          <w:b/>
          <w:sz w:val="24"/>
          <w:highlight w:val="none"/>
        </w:rPr>
      </w:pPr>
      <w:r>
        <w:rPr>
          <w:rFonts w:hint="eastAsia" w:ascii="宋体" w:hAnsi="宋体" w:cs="宋体"/>
          <w:b/>
          <w:sz w:val="24"/>
          <w:highlight w:val="none"/>
        </w:rPr>
        <w:t>六、定标</w:t>
      </w:r>
    </w:p>
    <w:p w14:paraId="6DC69B6E">
      <w:pPr>
        <w:adjustRightInd w:val="0"/>
        <w:snapToGrid w:val="0"/>
        <w:spacing w:line="440" w:lineRule="exact"/>
        <w:ind w:firstLine="482" w:firstLineChars="200"/>
        <w:rPr>
          <w:rFonts w:ascii="宋体" w:hAnsi="宋体" w:cs="宋体"/>
          <w:b/>
          <w:sz w:val="24"/>
          <w:highlight w:val="none"/>
        </w:rPr>
      </w:pPr>
      <w:r>
        <w:rPr>
          <w:rFonts w:hint="eastAsia" w:ascii="宋体" w:hAnsi="宋体" w:cs="宋体"/>
          <w:b/>
          <w:sz w:val="24"/>
          <w:highlight w:val="none"/>
        </w:rPr>
        <w:t>（一）确定中标人</w:t>
      </w:r>
    </w:p>
    <w:p w14:paraId="639BBE45">
      <w:pPr>
        <w:adjustRightInd w:val="0"/>
        <w:snapToGrid w:val="0"/>
        <w:spacing w:line="440" w:lineRule="exact"/>
        <w:ind w:firstLine="480" w:firstLineChars="200"/>
        <w:rPr>
          <w:rFonts w:ascii="宋体" w:hAnsi="宋体" w:cs="宋体"/>
          <w:b/>
          <w:bCs/>
          <w:sz w:val="24"/>
          <w:highlight w:val="none"/>
        </w:rPr>
      </w:pPr>
      <w:r>
        <w:rPr>
          <w:rFonts w:hint="eastAsia" w:ascii="宋体" w:hAnsi="宋体" w:cs="宋体"/>
          <w:bCs/>
          <w:sz w:val="24"/>
          <w:highlight w:val="none"/>
        </w:rPr>
        <w:t>1.招标人在评标结束后2</w:t>
      </w:r>
      <w:r>
        <w:rPr>
          <w:rFonts w:hint="eastAsia" w:ascii="宋体" w:hAnsi="宋体" w:cs="宋体"/>
          <w:sz w:val="24"/>
          <w:highlight w:val="none"/>
        </w:rPr>
        <w:t>个工作日内将评标报告交招标人确认</w:t>
      </w:r>
      <w:r>
        <w:rPr>
          <w:rFonts w:hint="eastAsia" w:ascii="宋体" w:hAnsi="宋体" w:cs="宋体"/>
          <w:b/>
          <w:bCs/>
          <w:sz w:val="24"/>
          <w:highlight w:val="none"/>
        </w:rPr>
        <w:t>，</w:t>
      </w:r>
      <w:r>
        <w:rPr>
          <w:rFonts w:hint="eastAsia" w:ascii="宋体" w:hAnsi="宋体" w:cs="宋体"/>
          <w:sz w:val="24"/>
          <w:highlight w:val="none"/>
        </w:rPr>
        <w:t>招标人应在收到评标报告后5个工作日内对评标结果进行确认。如有投标人对评标结果提出质疑的，招标人可在质疑处理完毕后确定中标人。</w:t>
      </w:r>
    </w:p>
    <w:p w14:paraId="5026A684">
      <w:pPr>
        <w:adjustRightInd w:val="0"/>
        <w:snapToGrid w:val="0"/>
        <w:spacing w:line="440" w:lineRule="exact"/>
        <w:ind w:firstLine="480" w:firstLineChars="200"/>
        <w:rPr>
          <w:rFonts w:ascii="宋体" w:hAnsi="宋体" w:cs="宋体"/>
          <w:b/>
          <w:bCs/>
          <w:sz w:val="24"/>
          <w:highlight w:val="none"/>
          <w:u w:val="single"/>
        </w:rPr>
      </w:pPr>
      <w:r>
        <w:rPr>
          <w:rFonts w:hint="eastAsia" w:ascii="宋体" w:hAnsi="宋体" w:cs="宋体"/>
          <w:sz w:val="24"/>
          <w:highlight w:val="none"/>
        </w:rPr>
        <w:t>2.招标人依法确定中标人后2个工作日内，招标人以书面形式发出《中标通知书》,并同时在采购公告发布的网站上发布成交结果公告。</w:t>
      </w:r>
      <w:r>
        <w:rPr>
          <w:rFonts w:hint="eastAsia" w:ascii="宋体" w:hAnsi="宋体" w:cs="宋体"/>
          <w:b/>
          <w:bCs/>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22A2373">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3.定标中，应坚持第一中标候选人为首选中标人，但出现其它原因的，招标人可以确定排名第二的候选人为中标人，</w:t>
      </w:r>
      <w:r>
        <w:rPr>
          <w:rFonts w:hint="eastAsia" w:ascii="宋体" w:hAnsi="宋体" w:cs="宋体"/>
          <w:b/>
          <w:sz w:val="24"/>
          <w:highlight w:val="none"/>
        </w:rPr>
        <w:t>或重新组织招标。</w:t>
      </w:r>
      <w:bookmarkStart w:id="49" w:name="_Hlk59369379"/>
      <w:r>
        <w:rPr>
          <w:rFonts w:hint="eastAsia" w:ascii="宋体" w:hAnsi="宋体" w:cs="宋体"/>
          <w:sz w:val="24"/>
          <w:highlight w:val="none"/>
        </w:rPr>
        <w:t xml:space="preserve"> </w:t>
      </w:r>
    </w:p>
    <w:p w14:paraId="310A2972">
      <w:pPr>
        <w:adjustRightInd w:val="0"/>
        <w:snapToGrid w:val="0"/>
        <w:spacing w:line="440" w:lineRule="exact"/>
        <w:ind w:firstLine="482" w:firstLineChars="200"/>
        <w:rPr>
          <w:rFonts w:ascii="宋体" w:hAnsi="宋体" w:cs="宋体"/>
          <w:b/>
          <w:sz w:val="24"/>
          <w:highlight w:val="none"/>
        </w:rPr>
      </w:pPr>
      <w:r>
        <w:rPr>
          <w:rFonts w:hint="eastAsia" w:ascii="宋体" w:hAnsi="宋体" w:cs="宋体"/>
          <w:b/>
          <w:sz w:val="24"/>
          <w:highlight w:val="none"/>
        </w:rPr>
        <w:t>4.</w:t>
      </w:r>
      <w:r>
        <w:rPr>
          <w:rFonts w:hint="eastAsia" w:ascii="宋体" w:hAnsi="宋体" w:cs="宋体"/>
          <w:sz w:val="24"/>
          <w:highlight w:val="none"/>
        </w:rPr>
        <w:t xml:space="preserve"> </w:t>
      </w:r>
      <w:r>
        <w:rPr>
          <w:rFonts w:hint="eastAsia" w:ascii="宋体" w:hAnsi="宋体" w:cs="宋体"/>
          <w:b/>
          <w:sz w:val="24"/>
          <w:highlight w:val="none"/>
        </w:rPr>
        <w:t>本项目为非政府采购项目，如中标通知书发出后，中标人放弃中标项目的，参照《政府采购法》第四十六条之规定，应当依法承担法律责任。</w:t>
      </w:r>
    </w:p>
    <w:p w14:paraId="7C4801B0">
      <w:pPr>
        <w:adjustRightInd w:val="0"/>
        <w:snapToGrid w:val="0"/>
        <w:spacing w:line="440" w:lineRule="exact"/>
        <w:rPr>
          <w:rFonts w:ascii="宋体" w:hAnsi="宋体" w:cs="宋体"/>
          <w:b/>
          <w:sz w:val="24"/>
          <w:highlight w:val="none"/>
        </w:rPr>
      </w:pPr>
      <w:r>
        <w:rPr>
          <w:rFonts w:hint="eastAsia" w:ascii="宋体" w:hAnsi="宋体" w:cs="宋体"/>
          <w:b/>
          <w:sz w:val="24"/>
          <w:highlight w:val="none"/>
        </w:rPr>
        <w:t>本采购文件明确：如给招标人造成损失的，弃标</w:t>
      </w:r>
      <w:r>
        <w:rPr>
          <w:rFonts w:hint="eastAsia" w:ascii="宋体" w:hAnsi="宋体" w:cs="宋体"/>
          <w:b/>
          <w:sz w:val="24"/>
          <w:highlight w:val="none"/>
          <w:lang w:val="en-US" w:eastAsia="zh-CN"/>
        </w:rPr>
        <w:t>投标人</w:t>
      </w:r>
      <w:r>
        <w:rPr>
          <w:rFonts w:hint="eastAsia" w:ascii="宋体" w:hAnsi="宋体" w:cs="宋体"/>
          <w:b/>
          <w:sz w:val="24"/>
          <w:highlight w:val="none"/>
        </w:rPr>
        <w:t>依法应当承担赔偿责任，包括重新采购所需的费用、顺延第二名可能产生的差价等。招标人可以采取不予退还弃标</w:t>
      </w:r>
      <w:r>
        <w:rPr>
          <w:rFonts w:hint="eastAsia" w:ascii="宋体" w:hAnsi="宋体" w:cs="宋体"/>
          <w:b/>
          <w:sz w:val="24"/>
          <w:highlight w:val="none"/>
          <w:lang w:val="en-US" w:eastAsia="zh-CN"/>
        </w:rPr>
        <w:t>投标人</w:t>
      </w:r>
      <w:r>
        <w:rPr>
          <w:rFonts w:hint="eastAsia" w:ascii="宋体" w:hAnsi="宋体" w:cs="宋体"/>
          <w:b/>
          <w:sz w:val="24"/>
          <w:highlight w:val="none"/>
        </w:rPr>
        <w:t>的履约保证金等方式，若上述不足以赔偿损失的，招标人可以要求弃标</w:t>
      </w:r>
      <w:r>
        <w:rPr>
          <w:rFonts w:hint="eastAsia" w:ascii="宋体" w:hAnsi="宋体" w:cs="宋体"/>
          <w:b/>
          <w:sz w:val="24"/>
          <w:highlight w:val="none"/>
          <w:lang w:val="en-US" w:eastAsia="zh-CN"/>
        </w:rPr>
        <w:t>投标人</w:t>
      </w:r>
      <w:r>
        <w:rPr>
          <w:rFonts w:hint="eastAsia" w:ascii="宋体" w:hAnsi="宋体" w:cs="宋体"/>
          <w:b/>
          <w:sz w:val="24"/>
          <w:highlight w:val="none"/>
        </w:rPr>
        <w:t>赔偿实际损失。若协商不成的，招标人可以通过法院诉讼的方式追偿。</w:t>
      </w:r>
    </w:p>
    <w:p w14:paraId="4370DCD2">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b/>
          <w:bCs/>
          <w:sz w:val="24"/>
          <w:highlight w:val="none"/>
          <w:u w:val="single"/>
        </w:rPr>
        <w:t>为营造更优质的营商环境，</w:t>
      </w:r>
      <w:bookmarkStart w:id="50" w:name="_Hlk59708763"/>
      <w:r>
        <w:rPr>
          <w:rFonts w:hint="eastAsia" w:ascii="宋体" w:hAnsi="宋体" w:cs="宋体"/>
          <w:b/>
          <w:bCs/>
          <w:sz w:val="24"/>
          <w:highlight w:val="none"/>
          <w:u w:val="single"/>
        </w:rPr>
        <w:t>中标人可选择代理机构以邮寄方式向其寄达《中标通知书》（邮寄地址、收件人等信息请在“投标函”中详细写明，邮费可到付）。</w:t>
      </w:r>
      <w:bookmarkEnd w:id="50"/>
      <w:bookmarkStart w:id="51" w:name="_Hlk59708451"/>
      <w:r>
        <w:rPr>
          <w:rFonts w:hint="eastAsia" w:ascii="宋体" w:hAnsi="宋体" w:cs="宋体"/>
          <w:b/>
          <w:bCs/>
          <w:sz w:val="24"/>
          <w:highlight w:val="none"/>
          <w:u w:val="single"/>
        </w:rPr>
        <w:t>同时中标人应在中标后</w:t>
      </w:r>
      <w:bookmarkStart w:id="52" w:name="_Hlk59521069"/>
      <w:r>
        <w:rPr>
          <w:rFonts w:hint="eastAsia" w:ascii="宋体" w:hAnsi="宋体" w:cs="宋体"/>
          <w:b/>
          <w:bCs/>
          <w:sz w:val="24"/>
          <w:highlight w:val="none"/>
          <w:u w:val="single"/>
        </w:rPr>
        <w:t>以邮寄</w:t>
      </w:r>
      <w:bookmarkEnd w:id="52"/>
      <w:r>
        <w:rPr>
          <w:rFonts w:hint="eastAsia" w:ascii="宋体" w:hAnsi="宋体" w:cs="宋体"/>
          <w:b/>
          <w:bCs/>
          <w:sz w:val="24"/>
          <w:highlight w:val="none"/>
          <w:u w:val="single"/>
        </w:rPr>
        <w:t>或其他方式向代理机构提供5套与电子版投标文件相同的胶装版本投标文件。</w:t>
      </w:r>
      <w:bookmarkEnd w:id="49"/>
      <w:bookmarkEnd w:id="51"/>
    </w:p>
    <w:p w14:paraId="0459F480">
      <w:pPr>
        <w:adjustRightInd w:val="0"/>
        <w:snapToGrid w:val="0"/>
        <w:spacing w:line="440" w:lineRule="exact"/>
        <w:ind w:firstLine="482" w:firstLineChars="200"/>
        <w:rPr>
          <w:rFonts w:ascii="宋体" w:hAnsi="宋体" w:cs="宋体"/>
          <w:b/>
          <w:sz w:val="24"/>
          <w:highlight w:val="none"/>
        </w:rPr>
      </w:pPr>
      <w:r>
        <w:rPr>
          <w:rFonts w:hint="eastAsia" w:ascii="宋体" w:hAnsi="宋体" w:cs="宋体"/>
          <w:b/>
          <w:sz w:val="24"/>
          <w:highlight w:val="none"/>
        </w:rPr>
        <w:t>七、合同授予</w:t>
      </w:r>
    </w:p>
    <w:p w14:paraId="06B95D8C">
      <w:pPr>
        <w:adjustRightInd w:val="0"/>
        <w:snapToGrid w:val="0"/>
        <w:spacing w:line="440" w:lineRule="exact"/>
        <w:ind w:firstLine="472" w:firstLineChars="196"/>
        <w:rPr>
          <w:rFonts w:ascii="宋体" w:hAnsi="宋体" w:cs="宋体"/>
          <w:b/>
          <w:bCs/>
          <w:sz w:val="24"/>
          <w:highlight w:val="none"/>
        </w:rPr>
      </w:pPr>
      <w:r>
        <w:rPr>
          <w:rFonts w:hint="eastAsia" w:ascii="宋体" w:hAnsi="宋体" w:cs="宋体"/>
          <w:b/>
          <w:bCs/>
          <w:sz w:val="24"/>
          <w:highlight w:val="none"/>
        </w:rPr>
        <w:t>（一）签订合同</w:t>
      </w:r>
    </w:p>
    <w:p w14:paraId="24CE9201">
      <w:pPr>
        <w:adjustRightInd w:val="0"/>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1.招标人与中标</w:t>
      </w:r>
      <w:r>
        <w:rPr>
          <w:rFonts w:hint="eastAsia" w:ascii="宋体" w:hAnsi="宋体" w:cs="宋体"/>
          <w:b/>
          <w:sz w:val="24"/>
          <w:highlight w:val="none"/>
        </w:rPr>
        <w:t>人应当在《中标通知书》发出之日起30日内签订采购合同，</w:t>
      </w:r>
      <w:r>
        <w:rPr>
          <w:rFonts w:hint="eastAsia" w:ascii="宋体" w:hAnsi="宋体" w:cs="宋体"/>
          <w:sz w:val="24"/>
          <w:highlight w:val="none"/>
        </w:rPr>
        <w:t>并且在同一时间送至代理机构见证盖章（合同一式六份，招标人与中标人各执二份，</w:t>
      </w:r>
      <w:bookmarkStart w:id="53" w:name="_Hlk59626706"/>
      <w:r>
        <w:rPr>
          <w:rFonts w:hint="eastAsia" w:ascii="宋体" w:hAnsi="宋体" w:cs="宋体"/>
          <w:sz w:val="24"/>
          <w:highlight w:val="none"/>
        </w:rPr>
        <w:t>代理机构</w:t>
      </w:r>
      <w:bookmarkEnd w:id="53"/>
      <w:r>
        <w:rPr>
          <w:rFonts w:hint="eastAsia" w:ascii="宋体" w:hAnsi="宋体" w:cs="宋体"/>
          <w:sz w:val="24"/>
          <w:highlight w:val="none"/>
        </w:rPr>
        <w:t>留存二份），招标人对合同内容进行审查，如发现与采购结果和投标承诺内容不一致的，予以纠正。</w:t>
      </w:r>
      <w:r>
        <w:rPr>
          <w:rFonts w:hint="eastAsia" w:ascii="宋体" w:hAnsi="宋体" w:cs="宋体"/>
          <w:b/>
          <w:bCs/>
          <w:sz w:val="24"/>
          <w:highlight w:val="none"/>
          <w:u w:val="single"/>
        </w:rPr>
        <w:t>为营造更优质的营商环境，</w:t>
      </w:r>
      <w:bookmarkStart w:id="54" w:name="_Hlk59627623"/>
      <w:r>
        <w:rPr>
          <w:rFonts w:hint="eastAsia" w:ascii="宋体" w:hAnsi="宋体" w:cs="宋体"/>
          <w:b/>
          <w:bCs/>
          <w:sz w:val="24"/>
          <w:highlight w:val="none"/>
          <w:u w:val="single"/>
        </w:rPr>
        <w:t>中标人可选择代理机构以邮寄方式向其寄达</w:t>
      </w:r>
      <w:bookmarkStart w:id="55" w:name="_Hlk59708805"/>
      <w:r>
        <w:rPr>
          <w:rFonts w:hint="eastAsia" w:ascii="宋体" w:hAnsi="宋体" w:cs="宋体"/>
          <w:b/>
          <w:bCs/>
          <w:sz w:val="24"/>
          <w:highlight w:val="none"/>
          <w:u w:val="single"/>
        </w:rPr>
        <w:t>《采购合同》</w:t>
      </w:r>
      <w:bookmarkEnd w:id="55"/>
      <w:r>
        <w:rPr>
          <w:rFonts w:hint="eastAsia" w:ascii="宋体" w:hAnsi="宋体" w:cs="宋体"/>
          <w:b/>
          <w:bCs/>
          <w:sz w:val="24"/>
          <w:highlight w:val="none"/>
          <w:u w:val="single"/>
        </w:rPr>
        <w:t>。</w:t>
      </w:r>
    </w:p>
    <w:bookmarkEnd w:id="54"/>
    <w:p w14:paraId="6848F56E">
      <w:pPr>
        <w:adjustRightInd w:val="0"/>
        <w:snapToGrid w:val="0"/>
        <w:spacing w:line="440" w:lineRule="exact"/>
        <w:ind w:firstLine="480" w:firstLineChars="200"/>
        <w:rPr>
          <w:rFonts w:ascii="宋体" w:hAnsi="宋体" w:cs="宋体"/>
          <w:bCs/>
          <w:sz w:val="24"/>
          <w:highlight w:val="none"/>
        </w:rPr>
      </w:pPr>
      <w:r>
        <w:rPr>
          <w:rFonts w:hint="eastAsia" w:ascii="宋体" w:hAnsi="宋体" w:cs="宋体"/>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highlight w:val="none"/>
        </w:rPr>
        <w:t>以重新开展采购活动。拒绝签订采购合同的成交人不得参加对该项目重新开展的采购活动。</w:t>
      </w:r>
    </w:p>
    <w:p w14:paraId="2AF02054">
      <w:pPr>
        <w:adjustRightInd w:val="0"/>
        <w:snapToGrid w:val="0"/>
        <w:spacing w:line="440" w:lineRule="exact"/>
        <w:ind w:firstLine="482" w:firstLineChars="200"/>
        <w:rPr>
          <w:rFonts w:ascii="宋体" w:hAnsi="宋体" w:cs="宋体"/>
          <w:b/>
          <w:sz w:val="24"/>
          <w:highlight w:val="none"/>
        </w:rPr>
      </w:pPr>
      <w:r>
        <w:rPr>
          <w:rFonts w:hint="eastAsia" w:ascii="宋体" w:hAnsi="宋体" w:cs="宋体"/>
          <w:b/>
          <w:sz w:val="24"/>
          <w:highlight w:val="none"/>
        </w:rPr>
        <w:t>（二）履约保证金</w:t>
      </w:r>
    </w:p>
    <w:p w14:paraId="5F1E0182">
      <w:pPr>
        <w:adjustRightInd w:val="0"/>
        <w:snapToGrid w:val="0"/>
        <w:spacing w:line="440" w:lineRule="exact"/>
        <w:ind w:firstLine="480" w:firstLineChars="200"/>
        <w:rPr>
          <w:rFonts w:ascii="宋体" w:hAnsi="宋体" w:cs="宋体"/>
          <w:b/>
          <w:sz w:val="24"/>
          <w:highlight w:val="none"/>
        </w:rPr>
      </w:pPr>
      <w:r>
        <w:rPr>
          <w:rFonts w:hint="eastAsia" w:ascii="宋体" w:hAnsi="宋体" w:cs="宋体"/>
          <w:sz w:val="24"/>
          <w:highlight w:val="none"/>
        </w:rPr>
        <w:t>签订合同后，如中标人不按双方合同约定履约，则其履约保证金将予以扣罚，履约保证金不足以赔偿损失的，按实际损失赔偿。</w:t>
      </w:r>
      <w:r>
        <w:rPr>
          <w:rFonts w:hint="eastAsia" w:ascii="宋体" w:hAnsi="宋体" w:cs="宋体"/>
          <w:sz w:val="24"/>
          <w:highlight w:val="none"/>
        </w:rPr>
        <w:br w:type="textWrapping"/>
      </w:r>
      <w:bookmarkStart w:id="56" w:name="_Toc466534750"/>
    </w:p>
    <w:p w14:paraId="534FFC15">
      <w:pPr>
        <w:spacing w:before="156" w:beforeLines="50" w:after="156" w:afterLines="50" w:line="440" w:lineRule="exact"/>
        <w:jc w:val="center"/>
        <w:outlineLvl w:val="0"/>
        <w:rPr>
          <w:rFonts w:ascii="宋体" w:hAnsi="宋体" w:cs="宋体"/>
          <w:b/>
          <w:sz w:val="24"/>
          <w:highlight w:val="none"/>
        </w:rPr>
      </w:pPr>
      <w:r>
        <w:rPr>
          <w:rFonts w:hint="eastAsia" w:ascii="宋体" w:hAnsi="宋体" w:cs="宋体"/>
          <w:b/>
          <w:sz w:val="24"/>
          <w:highlight w:val="none"/>
        </w:rPr>
        <w:br w:type="page"/>
      </w:r>
    </w:p>
    <w:p w14:paraId="439A0CFD">
      <w:pPr>
        <w:spacing w:before="156" w:beforeLines="50" w:after="156" w:afterLines="50" w:line="440" w:lineRule="exact"/>
        <w:jc w:val="center"/>
        <w:outlineLvl w:val="0"/>
        <w:rPr>
          <w:rFonts w:ascii="宋体" w:hAnsi="宋体" w:cs="宋体"/>
          <w:b/>
          <w:sz w:val="24"/>
          <w:highlight w:val="none"/>
        </w:rPr>
      </w:pPr>
      <w:bookmarkStart w:id="57" w:name="_Toc5591"/>
      <w:bookmarkStart w:id="58" w:name="_Toc16180"/>
      <w:bookmarkStart w:id="59" w:name="_Toc10393"/>
      <w:r>
        <w:rPr>
          <w:rFonts w:hint="eastAsia" w:ascii="宋体" w:hAnsi="宋体" w:cs="宋体"/>
          <w:b/>
          <w:sz w:val="24"/>
          <w:highlight w:val="none"/>
        </w:rPr>
        <w:t>第四章  评标办法及评分标准</w:t>
      </w:r>
      <w:bookmarkEnd w:id="56"/>
      <w:bookmarkEnd w:id="57"/>
      <w:bookmarkEnd w:id="58"/>
      <w:bookmarkEnd w:id="59"/>
    </w:p>
    <w:p w14:paraId="6FE870E4">
      <w:pPr>
        <w:spacing w:before="156" w:beforeLines="50" w:after="156" w:afterLines="50" w:line="440" w:lineRule="exact"/>
        <w:ind w:firstLine="420"/>
        <w:rPr>
          <w:rFonts w:ascii="宋体" w:hAnsi="宋体" w:cs="宋体"/>
          <w:bCs/>
          <w:sz w:val="24"/>
          <w:highlight w:val="none"/>
        </w:rPr>
      </w:pPr>
      <w:r>
        <w:rPr>
          <w:rFonts w:hint="eastAsia" w:ascii="宋体" w:hAnsi="宋体" w:cs="宋体"/>
          <w:bCs/>
          <w:sz w:val="24"/>
          <w:highlight w:val="none"/>
        </w:rPr>
        <w:t>为公正、公平、科学地选择中标人，根据相关规定，并结合本项目的实际，制定本办法。</w:t>
      </w:r>
    </w:p>
    <w:p w14:paraId="78F92CD7">
      <w:pPr>
        <w:spacing w:before="156" w:beforeLines="50" w:after="156" w:afterLines="50" w:line="440" w:lineRule="exact"/>
        <w:ind w:firstLine="472" w:firstLineChars="196"/>
        <w:rPr>
          <w:rFonts w:ascii="宋体" w:hAnsi="宋体" w:cs="宋体"/>
          <w:b/>
          <w:sz w:val="24"/>
          <w:highlight w:val="none"/>
        </w:rPr>
      </w:pPr>
      <w:r>
        <w:rPr>
          <w:rFonts w:hint="eastAsia" w:ascii="宋体" w:hAnsi="宋体" w:cs="宋体"/>
          <w:b/>
          <w:sz w:val="24"/>
          <w:highlight w:val="none"/>
        </w:rPr>
        <w:t>一、总则</w:t>
      </w:r>
    </w:p>
    <w:p w14:paraId="4FD48816">
      <w:pPr>
        <w:spacing w:before="156" w:beforeLines="50" w:after="156" w:afterLines="50" w:line="440" w:lineRule="exact"/>
        <w:ind w:firstLine="480" w:firstLineChars="200"/>
        <w:rPr>
          <w:rFonts w:ascii="宋体" w:hAnsi="宋体" w:cs="宋体"/>
          <w:sz w:val="24"/>
          <w:highlight w:val="none"/>
        </w:rPr>
      </w:pPr>
      <w:r>
        <w:rPr>
          <w:rFonts w:hint="eastAsia" w:ascii="宋体" w:hAnsi="宋体" w:cs="宋体"/>
          <w:sz w:val="24"/>
          <w:highlight w:val="none"/>
        </w:rPr>
        <w:t>评标采用综合评分法，总分为100分，其中</w:t>
      </w:r>
      <w:r>
        <w:rPr>
          <w:rFonts w:hint="eastAsia" w:ascii="宋体" w:hAnsi="宋体" w:cs="宋体"/>
          <w:b/>
          <w:bCs/>
          <w:sz w:val="24"/>
          <w:highlight w:val="none"/>
        </w:rPr>
        <w:t>价格分30分、商务技术分70分</w:t>
      </w:r>
      <w:r>
        <w:rPr>
          <w:rFonts w:hint="eastAsia" w:ascii="宋体" w:hAnsi="宋体" w:cs="宋体"/>
          <w:sz w:val="24"/>
          <w:highlight w:val="none"/>
        </w:rPr>
        <w:t>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5D7A2929">
      <w:pPr>
        <w:spacing w:before="156" w:beforeLines="50" w:after="156" w:afterLines="50" w:line="440" w:lineRule="exact"/>
        <w:ind w:firstLine="480" w:firstLineChars="200"/>
        <w:rPr>
          <w:rFonts w:ascii="宋体" w:hAnsi="宋体" w:cs="宋体"/>
          <w:sz w:val="24"/>
          <w:highlight w:val="none"/>
        </w:rPr>
      </w:pPr>
      <w:r>
        <w:rPr>
          <w:rFonts w:hint="eastAsia" w:ascii="宋体" w:hAnsi="宋体" w:cs="宋体"/>
          <w:sz w:val="24"/>
          <w:highlight w:val="none"/>
        </w:rPr>
        <w:t>投标人评标综合得分=价格分+商务技术分</w:t>
      </w:r>
    </w:p>
    <w:p w14:paraId="7915D109">
      <w:pPr>
        <w:spacing w:before="156" w:beforeLines="50" w:after="156" w:afterLines="50" w:line="440" w:lineRule="exact"/>
        <w:ind w:firstLine="482" w:firstLineChars="200"/>
        <w:rPr>
          <w:rFonts w:ascii="宋体" w:hAnsi="宋体" w:cs="宋体"/>
          <w:b/>
          <w:sz w:val="24"/>
          <w:highlight w:val="none"/>
        </w:rPr>
      </w:pPr>
      <w:r>
        <w:rPr>
          <w:rFonts w:hint="eastAsia" w:ascii="宋体" w:hAnsi="宋体" w:cs="宋体"/>
          <w:b/>
          <w:sz w:val="24"/>
          <w:highlight w:val="none"/>
        </w:rPr>
        <w:t>二、评标内容及标准</w:t>
      </w:r>
    </w:p>
    <w:p w14:paraId="049EB387">
      <w:pPr>
        <w:pStyle w:val="22"/>
        <w:spacing w:before="156" w:beforeLines="50" w:after="156" w:afterLines="50" w:line="440" w:lineRule="exact"/>
        <w:ind w:firstLine="466" w:firstLineChars="200"/>
        <w:rPr>
          <w:rFonts w:hAnsi="宋体" w:cs="宋体"/>
          <w:b/>
          <w:bCs/>
          <w:sz w:val="24"/>
          <w:szCs w:val="24"/>
          <w:highlight w:val="none"/>
        </w:rPr>
      </w:pPr>
      <w:r>
        <w:rPr>
          <w:rFonts w:hint="eastAsia" w:hAnsi="宋体" w:cs="宋体"/>
          <w:b/>
          <w:sz w:val="24"/>
          <w:szCs w:val="24"/>
          <w:highlight w:val="none"/>
        </w:rPr>
        <w:t>（一）</w:t>
      </w:r>
      <w:r>
        <w:rPr>
          <w:rFonts w:hint="eastAsia" w:hAnsi="宋体" w:cs="宋体"/>
          <w:b/>
          <w:bCs/>
          <w:sz w:val="24"/>
          <w:szCs w:val="24"/>
          <w:highlight w:val="none"/>
        </w:rPr>
        <w:t>价格分（30</w:t>
      </w:r>
      <w:r>
        <w:rPr>
          <w:rFonts w:hint="eastAsia" w:hAnsi="宋体" w:cs="宋体"/>
          <w:b/>
          <w:spacing w:val="0"/>
          <w:sz w:val="24"/>
          <w:szCs w:val="24"/>
          <w:highlight w:val="none"/>
        </w:rPr>
        <w:t>分</w:t>
      </w:r>
      <w:r>
        <w:rPr>
          <w:rFonts w:hint="eastAsia" w:hAnsi="宋体" w:cs="宋体"/>
          <w:b/>
          <w:bCs/>
          <w:sz w:val="24"/>
          <w:szCs w:val="24"/>
          <w:highlight w:val="none"/>
        </w:rPr>
        <w:t>）</w:t>
      </w:r>
    </w:p>
    <w:p w14:paraId="14A79E93">
      <w:pPr>
        <w:spacing w:before="156" w:beforeLines="50" w:after="156" w:afterLines="50" w:line="440" w:lineRule="exact"/>
        <w:ind w:firstLine="480" w:firstLineChars="200"/>
        <w:rPr>
          <w:rFonts w:ascii="宋体" w:hAnsi="宋体" w:cs="宋体"/>
          <w:sz w:val="24"/>
          <w:highlight w:val="none"/>
        </w:rPr>
      </w:pPr>
      <w:r>
        <w:rPr>
          <w:rFonts w:hint="eastAsia" w:ascii="宋体" w:hAnsi="宋体" w:cs="宋体"/>
          <w:sz w:val="24"/>
          <w:highlight w:val="none"/>
        </w:rPr>
        <w:t>1.价格分采用低价优先法计算，即满足招标文件要求且投标价格最低的投标报价为评标基准价，其他投标人的价格分按照下列公式计算：</w:t>
      </w:r>
    </w:p>
    <w:p w14:paraId="66998514">
      <w:pPr>
        <w:spacing w:before="156" w:beforeLines="50" w:after="156" w:afterLines="50" w:line="440" w:lineRule="exact"/>
        <w:ind w:firstLine="480" w:firstLineChars="200"/>
        <w:rPr>
          <w:rFonts w:ascii="宋体" w:hAnsi="宋体" w:cs="宋体"/>
          <w:sz w:val="24"/>
          <w:highlight w:val="none"/>
        </w:rPr>
      </w:pPr>
      <w:r>
        <w:rPr>
          <w:rFonts w:hint="eastAsia" w:ascii="宋体" w:hAnsi="宋体" w:cs="宋体"/>
          <w:sz w:val="24"/>
          <w:highlight w:val="none"/>
        </w:rPr>
        <w:t>价格分=（评标基准价/投标报价）×30%×100</w:t>
      </w:r>
    </w:p>
    <w:p w14:paraId="4E9675E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本项目参照执行《政府采购货物和服务招标投标管理办法》（财政部令第87号）第六十条和《关于推动解决政府采购异常低价问题的通知》财库〔2026〕2号文件之规定：评审中出现下列情形之一的，评审委员会应当启动异常低价投标（响应）审查程序：</w:t>
      </w:r>
    </w:p>
    <w:p w14:paraId="5A2612BC">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（1）投标（响应）报价低于全部通过符合性审查</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投标（响应）报价平均值50%的，即投标（响应）报价&lt;全部通过符合性审查</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投标（响应）报价平均值×50%；</w:t>
      </w:r>
    </w:p>
    <w:p w14:paraId="2F7953F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（2）投标（响应）报价低于通过符合性审查的次低报价</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投标（响应）报价50%的，即投标（响应）报价&lt;通过符合性审查的次低报价</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投标（响应）报价×50%；</w:t>
      </w:r>
    </w:p>
    <w:p w14:paraId="6E310F76">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（3）投标（响应）报价低于采购项目最高限价45%的，即投标（响应）报价&lt;采购项目最高限价×45%；</w:t>
      </w:r>
    </w:p>
    <w:p w14:paraId="3FD68C2C">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（4）评审委员会基于专业判断，认为</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报价过低，有可能影响产品质量或者不能诚信履约的其他情形。</w:t>
      </w:r>
    </w:p>
    <w:p w14:paraId="366E008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评审委员会启动异常低价投标（响应）审查后，属于前述第1项至第4项情形的，应当要求相关</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的购置发票、购销合同等资料，购置发票、购销合同中的明细清单须包括本次主要采购设备，如一份购置发票、购销合同中不能完全包括上述主要采购设备的，可以提供多份购置发票、购销合同来完全包括上述主要采购设备的。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2024年度年终奖，提供银行工资流水佐证）、个人及企业须缴纳的四险一金、物料费、维保期间费用、其他费用、税金、培训、服务、合同包含的所有风险责任等各项费用及不可预见费等所需的全部费用】。给予相关</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的合理时间一般不少于30分钟。其中，属于第3项情形，</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已随投标（响应）文件一并提交相关书面说明及必要的证明材料的，在评审现场可不再重复提交。</w:t>
      </w:r>
    </w:p>
    <w:p w14:paraId="120734D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cs="宋体"/>
          <w:b/>
          <w:bCs/>
          <w:spacing w:val="-4"/>
          <w:kern w:val="0"/>
          <w:sz w:val="24"/>
          <w:highlight w:val="none"/>
          <w:u w:val="single"/>
        </w:rPr>
      </w:pPr>
      <w:r>
        <w:rPr>
          <w:rFonts w:hint="eastAsia" w:hAnsi="宋体" w:cs="宋体"/>
          <w:b/>
          <w:bCs/>
          <w:sz w:val="24"/>
          <w:szCs w:val="24"/>
          <w:highlight w:val="none"/>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不能提供书面说明、证明材料，或者提供的书面说明、证明材料不能证明其报价合理性的，评审委员会应当将其作为无效投标（响应）处理。</w:t>
      </w:r>
    </w:p>
    <w:p w14:paraId="500F8E0C">
      <w:pPr>
        <w:spacing w:before="156" w:beforeLines="50" w:after="156" w:afterLines="50" w:line="440" w:lineRule="exact"/>
        <w:rPr>
          <w:rFonts w:ascii="宋体" w:hAnsi="宋体" w:cs="宋体"/>
          <w:b/>
          <w:sz w:val="24"/>
          <w:highlight w:val="none"/>
        </w:rPr>
      </w:pPr>
      <w:r>
        <w:rPr>
          <w:rFonts w:hint="eastAsia" w:ascii="宋体" w:hAnsi="宋体" w:cs="宋体"/>
          <w:b/>
          <w:bCs/>
          <w:sz w:val="24"/>
          <w:highlight w:val="none"/>
        </w:rPr>
        <w:t>（二）商务</w:t>
      </w:r>
      <w:r>
        <w:rPr>
          <w:rFonts w:hint="eastAsia" w:ascii="宋体" w:hAnsi="宋体" w:cs="宋体"/>
          <w:b/>
          <w:sz w:val="24"/>
          <w:highlight w:val="none"/>
        </w:rPr>
        <w:t>技术分（70分）</w:t>
      </w:r>
    </w:p>
    <w:p w14:paraId="5AFAD982">
      <w:pPr>
        <w:spacing w:line="440" w:lineRule="exact"/>
        <w:ind w:firstLine="480" w:firstLineChars="200"/>
        <w:rPr>
          <w:rFonts w:ascii="宋体" w:hAnsi="宋体" w:cs="宋体"/>
          <w:b/>
          <w:bCs/>
          <w:sz w:val="24"/>
          <w:highlight w:val="none"/>
        </w:rPr>
      </w:pPr>
      <w:r>
        <w:rPr>
          <w:rFonts w:hint="eastAsia" w:ascii="宋体" w:hAnsi="宋体" w:cs="宋体"/>
          <w:sz w:val="24"/>
          <w:highlight w:val="none"/>
          <w:lang w:val="zh-CN"/>
        </w:rPr>
        <w:t>评标委员会对通过符合性审查的投标人的投标技术参数或方案充分审核后，进行综合评定独立打分。</w:t>
      </w:r>
    </w:p>
    <w:tbl>
      <w:tblPr>
        <w:tblStyle w:val="52"/>
        <w:tblW w:w="9089" w:type="dxa"/>
        <w:tblInd w:w="-10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10"/>
        <w:gridCol w:w="1731"/>
        <w:gridCol w:w="6113"/>
        <w:gridCol w:w="735"/>
      </w:tblGrid>
      <w:tr w14:paraId="1AC826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56" w:hRule="atLeast"/>
        </w:trPr>
        <w:tc>
          <w:tcPr>
            <w:tcW w:w="8354" w:type="dxa"/>
            <w:gridSpan w:val="3"/>
            <w:vAlign w:val="center"/>
          </w:tcPr>
          <w:p w14:paraId="3E2B2645">
            <w:pPr>
              <w:spacing w:line="440" w:lineRule="exact"/>
              <w:jc w:val="center"/>
              <w:rPr>
                <w:rFonts w:ascii="宋体" w:hAnsi="宋体" w:cs="宋体"/>
                <w:color w:val="000000"/>
                <w:sz w:val="24"/>
                <w:highlight w:val="none"/>
              </w:rPr>
            </w:pPr>
            <w:r>
              <w:rPr>
                <w:rFonts w:hint="eastAsia" w:ascii="宋体" w:hAnsi="宋体" w:cs="宋体"/>
                <w:color w:val="000000"/>
                <w:sz w:val="24"/>
                <w:highlight w:val="none"/>
              </w:rPr>
              <w:t>分值及评分标准</w:t>
            </w:r>
          </w:p>
        </w:tc>
        <w:tc>
          <w:tcPr>
            <w:tcW w:w="735" w:type="dxa"/>
            <w:vAlign w:val="center"/>
          </w:tcPr>
          <w:p w14:paraId="68AE315A">
            <w:pPr>
              <w:spacing w:line="440" w:lineRule="exact"/>
              <w:jc w:val="center"/>
              <w:rPr>
                <w:rFonts w:ascii="宋体" w:hAnsi="宋体" w:cs="宋体"/>
                <w:color w:val="000000"/>
                <w:sz w:val="24"/>
                <w:highlight w:val="none"/>
              </w:rPr>
            </w:pPr>
            <w:r>
              <w:rPr>
                <w:rFonts w:hint="eastAsia" w:ascii="宋体" w:hAnsi="宋体" w:cs="宋体"/>
                <w:b/>
                <w:color w:val="000000"/>
                <w:sz w:val="24"/>
                <w:highlight w:val="none"/>
              </w:rPr>
              <w:t>分值</w:t>
            </w:r>
          </w:p>
        </w:tc>
      </w:tr>
      <w:tr w14:paraId="319B08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56" w:hRule="atLeast"/>
        </w:trPr>
        <w:tc>
          <w:tcPr>
            <w:tcW w:w="510" w:type="dxa"/>
            <w:tcBorders>
              <w:right w:val="single" w:color="auto" w:sz="4" w:space="0"/>
            </w:tcBorders>
            <w:shd w:val="clear" w:color="auto" w:fill="auto"/>
            <w:vAlign w:val="center"/>
          </w:tcPr>
          <w:p w14:paraId="75965078">
            <w:pPr>
              <w:spacing w:line="440" w:lineRule="exact"/>
              <w:jc w:val="center"/>
              <w:rPr>
                <w:rFonts w:ascii="宋体" w:hAnsi="宋体" w:cs="宋体"/>
                <w:sz w:val="24"/>
                <w:highlight w:val="none"/>
              </w:rPr>
            </w:pPr>
            <w:r>
              <w:rPr>
                <w:rFonts w:hint="eastAsia" w:ascii="宋体" w:hAnsi="宋体" w:cs="宋体"/>
                <w:sz w:val="24"/>
                <w:highlight w:val="none"/>
              </w:rPr>
              <w:t>1</w:t>
            </w:r>
          </w:p>
        </w:tc>
        <w:tc>
          <w:tcPr>
            <w:tcW w:w="1731" w:type="dxa"/>
            <w:tcBorders>
              <w:left w:val="single" w:color="auto" w:sz="4" w:space="0"/>
              <w:right w:val="single" w:color="auto" w:sz="4" w:space="0"/>
            </w:tcBorders>
            <w:shd w:val="clear" w:color="auto" w:fill="auto"/>
            <w:vAlign w:val="center"/>
          </w:tcPr>
          <w:p w14:paraId="703B26F5">
            <w:pPr>
              <w:spacing w:line="440" w:lineRule="exact"/>
              <w:rPr>
                <w:rFonts w:ascii="宋体" w:hAnsi="宋体" w:cs="宋体"/>
                <w:sz w:val="24"/>
                <w:highlight w:val="none"/>
              </w:rPr>
            </w:pPr>
            <w:r>
              <w:rPr>
                <w:rFonts w:hint="eastAsia" w:ascii="宋体" w:hAnsi="宋体" w:cs="宋体"/>
                <w:sz w:val="24"/>
                <w:highlight w:val="none"/>
              </w:rPr>
              <w:t>综合实力</w:t>
            </w:r>
          </w:p>
        </w:tc>
        <w:tc>
          <w:tcPr>
            <w:tcW w:w="6113" w:type="dxa"/>
            <w:tcBorders>
              <w:left w:val="single" w:color="auto" w:sz="4" w:space="0"/>
            </w:tcBorders>
            <w:vAlign w:val="center"/>
          </w:tcPr>
          <w:p w14:paraId="3CE8D915">
            <w:pPr>
              <w:spacing w:line="440" w:lineRule="exact"/>
              <w:jc w:val="left"/>
              <w:rPr>
                <w:rFonts w:ascii="宋体" w:hAnsi="宋体" w:cs="宋体"/>
                <w:color w:val="000000"/>
                <w:sz w:val="24"/>
                <w:highlight w:val="none"/>
              </w:rPr>
            </w:pPr>
            <w:r>
              <w:rPr>
                <w:rFonts w:hint="eastAsia" w:ascii="宋体" w:hAnsi="宋体" w:cs="宋体"/>
                <w:color w:val="000000"/>
                <w:sz w:val="24"/>
                <w:highlight w:val="none"/>
              </w:rPr>
              <w:t>根据</w:t>
            </w:r>
            <w:r>
              <w:rPr>
                <w:rFonts w:hint="eastAsia" w:ascii="宋体" w:hAnsi="宋体" w:cs="宋体"/>
                <w:color w:val="000000"/>
                <w:sz w:val="24"/>
                <w:highlight w:val="none"/>
                <w:lang w:val="en-US" w:eastAsia="zh-CN"/>
              </w:rPr>
              <w:t>一体化净水设备</w:t>
            </w:r>
            <w:r>
              <w:rPr>
                <w:rFonts w:hint="eastAsia" w:ascii="宋体" w:hAnsi="宋体" w:cs="宋体"/>
                <w:color w:val="000000"/>
                <w:sz w:val="24"/>
                <w:highlight w:val="none"/>
              </w:rPr>
              <w:t xml:space="preserve">产品制造商资质、奖项、荣誉、品牌市场占有率等情况进行打分。（0-5分） </w:t>
            </w:r>
          </w:p>
        </w:tc>
        <w:tc>
          <w:tcPr>
            <w:tcW w:w="735" w:type="dxa"/>
            <w:vAlign w:val="center"/>
          </w:tcPr>
          <w:p w14:paraId="077A3DE2">
            <w:pPr>
              <w:spacing w:line="440" w:lineRule="exact"/>
              <w:jc w:val="center"/>
              <w:rPr>
                <w:rFonts w:ascii="宋体" w:hAnsi="宋体" w:cs="宋体"/>
                <w:b/>
                <w:color w:val="000000"/>
                <w:sz w:val="24"/>
                <w:highlight w:val="none"/>
              </w:rPr>
            </w:pPr>
            <w:r>
              <w:rPr>
                <w:rFonts w:hint="eastAsia" w:ascii="宋体" w:hAnsi="宋体" w:cs="宋体"/>
                <w:bCs/>
                <w:color w:val="000000"/>
                <w:sz w:val="24"/>
                <w:highlight w:val="none"/>
              </w:rPr>
              <w:t>5</w:t>
            </w:r>
          </w:p>
        </w:tc>
      </w:tr>
      <w:tr w14:paraId="275340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56" w:hRule="atLeast"/>
        </w:trPr>
        <w:tc>
          <w:tcPr>
            <w:tcW w:w="510" w:type="dxa"/>
            <w:tcBorders>
              <w:right w:val="single" w:color="auto" w:sz="4" w:space="0"/>
            </w:tcBorders>
            <w:shd w:val="clear" w:color="auto" w:fill="auto"/>
            <w:vAlign w:val="center"/>
          </w:tcPr>
          <w:p w14:paraId="5C78E7DA">
            <w:pPr>
              <w:spacing w:line="440" w:lineRule="exact"/>
              <w:jc w:val="center"/>
              <w:rPr>
                <w:rFonts w:ascii="宋体" w:hAnsi="宋体" w:cs="宋体"/>
                <w:sz w:val="24"/>
                <w:highlight w:val="none"/>
              </w:rPr>
            </w:pPr>
            <w:r>
              <w:rPr>
                <w:rFonts w:hint="eastAsia" w:ascii="宋体" w:hAnsi="宋体" w:cs="宋体"/>
                <w:sz w:val="24"/>
                <w:highlight w:val="none"/>
              </w:rPr>
              <w:t>2</w:t>
            </w:r>
          </w:p>
        </w:tc>
        <w:tc>
          <w:tcPr>
            <w:tcW w:w="1731" w:type="dxa"/>
            <w:tcBorders>
              <w:left w:val="single" w:color="auto" w:sz="4" w:space="0"/>
              <w:right w:val="single" w:color="auto" w:sz="4" w:space="0"/>
            </w:tcBorders>
            <w:shd w:val="clear" w:color="auto" w:fill="auto"/>
            <w:vAlign w:val="center"/>
          </w:tcPr>
          <w:p w14:paraId="59678EA4">
            <w:pPr>
              <w:spacing w:line="440" w:lineRule="exact"/>
              <w:rPr>
                <w:rFonts w:ascii="宋体" w:hAnsi="宋体" w:cs="宋体"/>
                <w:sz w:val="24"/>
                <w:highlight w:val="none"/>
              </w:rPr>
            </w:pPr>
            <w:r>
              <w:rPr>
                <w:rFonts w:hint="eastAsia" w:ascii="宋体" w:hAnsi="宋体" w:cs="宋体"/>
                <w:sz w:val="24"/>
                <w:highlight w:val="none"/>
              </w:rPr>
              <w:t>体系认证</w:t>
            </w:r>
          </w:p>
        </w:tc>
        <w:tc>
          <w:tcPr>
            <w:tcW w:w="6113" w:type="dxa"/>
            <w:tcBorders>
              <w:left w:val="single" w:color="auto" w:sz="4" w:space="0"/>
            </w:tcBorders>
            <w:shd w:val="clear" w:color="auto" w:fill="auto"/>
            <w:vAlign w:val="center"/>
          </w:tcPr>
          <w:p w14:paraId="1255EAE3">
            <w:pPr>
              <w:spacing w:line="440" w:lineRule="exact"/>
              <w:rPr>
                <w:rFonts w:ascii="宋体" w:hAnsi="宋体" w:cs="宋体"/>
                <w:color w:val="000000"/>
                <w:sz w:val="24"/>
                <w:highlight w:val="none"/>
              </w:rPr>
            </w:pPr>
            <w:r>
              <w:rPr>
                <w:rFonts w:hint="eastAsia" w:ascii="宋体" w:hAnsi="宋体" w:cs="宋体"/>
                <w:color w:val="000000"/>
                <w:sz w:val="24"/>
                <w:highlight w:val="none"/>
              </w:rPr>
              <w:t>投标人具有质量管理体系认证、环境管理体系认证、职业健康安全管理体系认证证书的，每提供1个得1分，最高得3分。</w:t>
            </w:r>
          </w:p>
          <w:p w14:paraId="5FFBE243">
            <w:pPr>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注：</w:t>
            </w:r>
          </w:p>
          <w:p w14:paraId="04C4B631">
            <w:pPr>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1、上述所有证书必须真实、合规，在有效期内。</w:t>
            </w:r>
          </w:p>
          <w:p w14:paraId="54BE682C">
            <w:pPr>
              <w:spacing w:line="440" w:lineRule="exact"/>
              <w:rPr>
                <w:rFonts w:ascii="宋体" w:hAnsi="宋体" w:cs="宋体"/>
                <w:sz w:val="24"/>
                <w:highlight w:val="none"/>
              </w:rPr>
            </w:pPr>
            <w:r>
              <w:rPr>
                <w:rFonts w:hint="eastAsia" w:ascii="宋体" w:hAnsi="宋体" w:cs="宋体"/>
                <w:b/>
                <w:bCs/>
                <w:color w:val="000000"/>
                <w:sz w:val="24"/>
                <w:highlight w:val="none"/>
              </w:rPr>
              <w:t>2、投标文件中须提供清晰可辨的证书彩色扫描件，同时体系认证证书须提供全国认证认可信息公共服务平台证书查询截图，否则不得分</w:t>
            </w:r>
            <w:r>
              <w:rPr>
                <w:rFonts w:hint="eastAsia" w:ascii="宋体" w:hAnsi="宋体" w:cs="宋体"/>
                <w:b/>
                <w:bCs/>
                <w:sz w:val="24"/>
                <w:highlight w:val="none"/>
              </w:rPr>
              <w:t>。</w:t>
            </w:r>
          </w:p>
        </w:tc>
        <w:tc>
          <w:tcPr>
            <w:tcW w:w="735" w:type="dxa"/>
            <w:shd w:val="clear" w:color="auto" w:fill="auto"/>
            <w:vAlign w:val="center"/>
          </w:tcPr>
          <w:p w14:paraId="36971D17">
            <w:pPr>
              <w:spacing w:line="440" w:lineRule="exact"/>
              <w:jc w:val="center"/>
              <w:rPr>
                <w:rFonts w:ascii="宋体" w:hAnsi="宋体" w:cs="宋体"/>
                <w:color w:val="000000"/>
                <w:sz w:val="24"/>
                <w:highlight w:val="none"/>
              </w:rPr>
            </w:pPr>
            <w:r>
              <w:rPr>
                <w:rFonts w:hint="eastAsia" w:ascii="宋体" w:hAnsi="宋体" w:cs="宋体"/>
                <w:color w:val="000000"/>
                <w:sz w:val="24"/>
                <w:highlight w:val="none"/>
              </w:rPr>
              <w:t>3</w:t>
            </w:r>
          </w:p>
        </w:tc>
      </w:tr>
      <w:tr w14:paraId="32E22D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56" w:hRule="atLeast"/>
        </w:trPr>
        <w:tc>
          <w:tcPr>
            <w:tcW w:w="510" w:type="dxa"/>
            <w:tcBorders>
              <w:right w:val="single" w:color="auto" w:sz="4" w:space="0"/>
            </w:tcBorders>
            <w:shd w:val="clear" w:color="auto" w:fill="auto"/>
            <w:vAlign w:val="center"/>
          </w:tcPr>
          <w:p w14:paraId="3DB48183">
            <w:pPr>
              <w:spacing w:line="44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3</w:t>
            </w:r>
          </w:p>
        </w:tc>
        <w:tc>
          <w:tcPr>
            <w:tcW w:w="1731" w:type="dxa"/>
            <w:tcBorders>
              <w:left w:val="single" w:color="auto" w:sz="4" w:space="0"/>
              <w:right w:val="single" w:color="auto" w:sz="4" w:space="0"/>
            </w:tcBorders>
            <w:shd w:val="clear" w:color="auto" w:fill="auto"/>
            <w:vAlign w:val="center"/>
          </w:tcPr>
          <w:p w14:paraId="3C908BF0">
            <w:pPr>
              <w:spacing w:line="44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企业资质</w:t>
            </w:r>
          </w:p>
        </w:tc>
        <w:tc>
          <w:tcPr>
            <w:tcW w:w="6113" w:type="dxa"/>
            <w:tcBorders>
              <w:left w:val="single" w:color="auto" w:sz="4" w:space="0"/>
            </w:tcBorders>
            <w:shd w:val="clear" w:color="auto" w:fill="auto"/>
            <w:vAlign w:val="center"/>
          </w:tcPr>
          <w:p w14:paraId="538AA6A1">
            <w:pPr>
              <w:spacing w:line="440" w:lineRule="exact"/>
              <w:rPr>
                <w:rFonts w:hint="default" w:ascii="宋体" w:hAnsi="宋体" w:eastAsia="宋体" w:cs="宋体"/>
                <w:b/>
                <w:bCs/>
                <w:color w:val="000000"/>
                <w:sz w:val="24"/>
                <w:highlight w:val="none"/>
                <w:lang w:val="en-US" w:eastAsia="zh-CN"/>
              </w:rPr>
            </w:pPr>
            <w:r>
              <w:rPr>
                <w:rFonts w:hint="eastAsia" w:ascii="宋体" w:hAnsi="宋体" w:cs="宋体"/>
                <w:b w:val="0"/>
                <w:bCs w:val="0"/>
                <w:color w:val="000000"/>
                <w:sz w:val="24"/>
                <w:highlight w:val="none"/>
                <w:lang w:val="en-US" w:eastAsia="zh-CN"/>
              </w:rPr>
              <w:t>投标人具备</w:t>
            </w:r>
            <w:r>
              <w:rPr>
                <w:rFonts w:hint="eastAsia" w:ascii="宋体" w:hAnsi="宋体" w:cs="宋体"/>
                <w:b w:val="0"/>
                <w:bCs w:val="0"/>
                <w:color w:val="000000"/>
                <w:sz w:val="24"/>
                <w:highlight w:val="none"/>
              </w:rPr>
              <w:t>机电工程施工总承包</w:t>
            </w:r>
            <w:r>
              <w:rPr>
                <w:rFonts w:hint="eastAsia" w:ascii="宋体" w:hAnsi="宋体" w:cs="宋体"/>
                <w:b w:val="0"/>
                <w:bCs w:val="0"/>
                <w:color w:val="000000"/>
                <w:sz w:val="24"/>
                <w:highlight w:val="none"/>
                <w:lang w:val="en-US" w:eastAsia="zh-CN"/>
              </w:rPr>
              <w:t>一</w:t>
            </w:r>
            <w:r>
              <w:rPr>
                <w:rFonts w:hint="eastAsia" w:ascii="宋体" w:hAnsi="宋体" w:cs="宋体"/>
                <w:b w:val="0"/>
                <w:bCs w:val="0"/>
                <w:color w:val="000000"/>
                <w:sz w:val="24"/>
                <w:highlight w:val="none"/>
              </w:rPr>
              <w:t>级资质</w:t>
            </w:r>
            <w:r>
              <w:rPr>
                <w:rFonts w:hint="eastAsia" w:ascii="宋体" w:hAnsi="宋体" w:cs="宋体"/>
                <w:b w:val="0"/>
                <w:bCs w:val="0"/>
                <w:color w:val="000000"/>
                <w:sz w:val="24"/>
                <w:highlight w:val="none"/>
                <w:lang w:val="en-US" w:eastAsia="zh-CN"/>
              </w:rPr>
              <w:t>得3分，具备</w:t>
            </w:r>
            <w:r>
              <w:rPr>
                <w:rFonts w:hint="eastAsia" w:ascii="宋体" w:hAnsi="宋体" w:cs="宋体"/>
                <w:b w:val="0"/>
                <w:bCs w:val="0"/>
                <w:color w:val="000000"/>
                <w:sz w:val="24"/>
                <w:highlight w:val="none"/>
              </w:rPr>
              <w:t>机电工程施工总承包</w:t>
            </w:r>
            <w:r>
              <w:rPr>
                <w:rFonts w:hint="eastAsia" w:ascii="宋体" w:hAnsi="宋体" w:cs="宋体"/>
                <w:b w:val="0"/>
                <w:bCs w:val="0"/>
                <w:color w:val="000000"/>
                <w:sz w:val="24"/>
                <w:highlight w:val="none"/>
                <w:lang w:val="en-US" w:eastAsia="zh-CN"/>
              </w:rPr>
              <w:t>二</w:t>
            </w:r>
            <w:r>
              <w:rPr>
                <w:rFonts w:hint="eastAsia" w:ascii="宋体" w:hAnsi="宋体" w:cs="宋体"/>
                <w:b w:val="0"/>
                <w:bCs w:val="0"/>
                <w:color w:val="000000"/>
                <w:sz w:val="24"/>
                <w:highlight w:val="none"/>
              </w:rPr>
              <w:t>级资质</w:t>
            </w:r>
            <w:r>
              <w:rPr>
                <w:rFonts w:hint="eastAsia" w:ascii="宋体" w:hAnsi="宋体" w:cs="宋体"/>
                <w:b w:val="0"/>
                <w:bCs w:val="0"/>
                <w:color w:val="000000"/>
                <w:sz w:val="24"/>
                <w:highlight w:val="none"/>
                <w:lang w:val="en-US" w:eastAsia="zh-CN"/>
              </w:rPr>
              <w:t>得2分，具备</w:t>
            </w:r>
            <w:r>
              <w:rPr>
                <w:rFonts w:hint="eastAsia" w:ascii="宋体" w:hAnsi="宋体" w:cs="宋体"/>
                <w:b w:val="0"/>
                <w:bCs w:val="0"/>
                <w:color w:val="000000"/>
                <w:sz w:val="24"/>
                <w:highlight w:val="none"/>
              </w:rPr>
              <w:t>机电工程施工总承包三级资质</w:t>
            </w:r>
            <w:r>
              <w:rPr>
                <w:rFonts w:hint="eastAsia" w:ascii="宋体" w:hAnsi="宋体" w:cs="宋体"/>
                <w:b w:val="0"/>
                <w:bCs w:val="0"/>
                <w:color w:val="000000"/>
                <w:sz w:val="24"/>
                <w:highlight w:val="none"/>
                <w:lang w:val="en-US" w:eastAsia="zh-CN"/>
              </w:rPr>
              <w:t>得1分。</w:t>
            </w:r>
            <w:r>
              <w:rPr>
                <w:rFonts w:hint="eastAsia" w:ascii="宋体" w:hAnsi="宋体" w:cs="宋体"/>
                <w:b/>
                <w:bCs/>
                <w:color w:val="000000"/>
                <w:sz w:val="24"/>
                <w:highlight w:val="none"/>
                <w:lang w:val="en-US" w:eastAsia="zh-CN"/>
              </w:rPr>
              <w:br w:type="textWrapping"/>
            </w:r>
            <w:r>
              <w:rPr>
                <w:rFonts w:hint="eastAsia" w:ascii="宋体" w:hAnsi="宋体" w:cs="宋体"/>
                <w:b/>
                <w:bCs/>
                <w:color w:val="000000"/>
                <w:sz w:val="24"/>
                <w:highlight w:val="none"/>
                <w:lang w:val="en-US" w:eastAsia="zh-CN"/>
              </w:rPr>
              <w:t>注：投标文件中须提供有效期内的清晰可辨的资质证书彩色扫描件。</w:t>
            </w:r>
          </w:p>
        </w:tc>
        <w:tc>
          <w:tcPr>
            <w:tcW w:w="735" w:type="dxa"/>
            <w:shd w:val="clear" w:color="auto" w:fill="auto"/>
            <w:vAlign w:val="center"/>
          </w:tcPr>
          <w:p w14:paraId="4C706A75">
            <w:pPr>
              <w:spacing w:line="440" w:lineRule="exact"/>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w:t>
            </w:r>
          </w:p>
        </w:tc>
      </w:tr>
      <w:tr w14:paraId="593E3A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57" w:hRule="atLeast"/>
        </w:trPr>
        <w:tc>
          <w:tcPr>
            <w:tcW w:w="510" w:type="dxa"/>
            <w:vMerge w:val="restart"/>
            <w:tcBorders>
              <w:right w:val="single" w:color="auto" w:sz="4" w:space="0"/>
            </w:tcBorders>
            <w:shd w:val="clear" w:color="auto" w:fill="auto"/>
            <w:vAlign w:val="center"/>
          </w:tcPr>
          <w:p w14:paraId="13B5CD49">
            <w:pPr>
              <w:spacing w:line="44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4</w:t>
            </w:r>
          </w:p>
        </w:tc>
        <w:tc>
          <w:tcPr>
            <w:tcW w:w="1731" w:type="dxa"/>
            <w:vMerge w:val="restart"/>
            <w:tcBorders>
              <w:left w:val="single" w:color="auto" w:sz="4" w:space="0"/>
              <w:right w:val="single" w:color="auto" w:sz="4" w:space="0"/>
            </w:tcBorders>
            <w:shd w:val="clear" w:color="auto" w:fill="auto"/>
            <w:vAlign w:val="center"/>
          </w:tcPr>
          <w:p w14:paraId="2F633063">
            <w:pPr>
              <w:pStyle w:val="2"/>
              <w:spacing w:after="0" w:line="440" w:lineRule="exact"/>
              <w:jc w:val="center"/>
              <w:rPr>
                <w:rFonts w:ascii="宋体" w:hAnsi="宋体" w:cs="宋体"/>
                <w:kern w:val="2"/>
                <w:sz w:val="24"/>
                <w:highlight w:val="none"/>
              </w:rPr>
            </w:pPr>
            <w:r>
              <w:rPr>
                <w:rFonts w:hint="eastAsia" w:ascii="宋体" w:hAnsi="宋体" w:cs="宋体"/>
                <w:kern w:val="2"/>
                <w:sz w:val="24"/>
                <w:highlight w:val="none"/>
              </w:rPr>
              <w:t>技术研发能力</w:t>
            </w:r>
          </w:p>
        </w:tc>
        <w:tc>
          <w:tcPr>
            <w:tcW w:w="6113" w:type="dxa"/>
            <w:tcBorders>
              <w:left w:val="single" w:color="auto" w:sz="4" w:space="0"/>
            </w:tcBorders>
            <w:shd w:val="clear" w:color="auto" w:fill="auto"/>
            <w:vAlign w:val="center"/>
          </w:tcPr>
          <w:p w14:paraId="79F602B4">
            <w:pPr>
              <w:widowControl/>
              <w:spacing w:line="440" w:lineRule="exact"/>
              <w:rPr>
                <w:rFonts w:ascii="宋体" w:hAnsi="宋体" w:cs="宋体"/>
                <w:sz w:val="24"/>
                <w:highlight w:val="none"/>
              </w:rPr>
            </w:pPr>
            <w:bookmarkStart w:id="60" w:name="OLE_LINK2"/>
            <w:bookmarkStart w:id="61" w:name="OLE_LINK3"/>
            <w:r>
              <w:rPr>
                <w:rFonts w:hint="eastAsia" w:ascii="宋体" w:hAnsi="宋体" w:cs="宋体"/>
                <w:sz w:val="24"/>
                <w:highlight w:val="none"/>
              </w:rPr>
              <w:t>投标人或投标产品制造商针对净水设备及净水设备内部相关工艺设备（必须为水力混合</w:t>
            </w:r>
            <w:r>
              <w:rPr>
                <w:rFonts w:hint="eastAsia" w:ascii="宋体" w:hAnsi="宋体" w:cs="宋体"/>
                <w:sz w:val="24"/>
                <w:highlight w:val="none"/>
                <w:lang w:eastAsia="zh-CN"/>
              </w:rPr>
              <w:t>、</w:t>
            </w:r>
            <w:r>
              <w:rPr>
                <w:rFonts w:hint="eastAsia" w:ascii="宋体" w:hAnsi="宋体" w:cs="宋体"/>
                <w:sz w:val="24"/>
                <w:highlight w:val="none"/>
              </w:rPr>
              <w:t>网格絮凝</w:t>
            </w:r>
            <w:r>
              <w:rPr>
                <w:rFonts w:hint="eastAsia" w:ascii="宋体" w:hAnsi="宋体" w:cs="宋体"/>
                <w:sz w:val="24"/>
                <w:highlight w:val="none"/>
                <w:lang w:eastAsia="zh-CN"/>
              </w:rPr>
              <w:t>、</w:t>
            </w:r>
            <w:r>
              <w:rPr>
                <w:rFonts w:hint="eastAsia" w:ascii="宋体" w:hAnsi="宋体" w:cs="宋体"/>
                <w:sz w:val="24"/>
                <w:highlight w:val="none"/>
              </w:rPr>
              <w:t>斜管沉淀</w:t>
            </w:r>
            <w:r>
              <w:rPr>
                <w:rFonts w:hint="eastAsia" w:ascii="宋体" w:hAnsi="宋体" w:cs="宋体"/>
                <w:sz w:val="24"/>
                <w:highlight w:val="none"/>
                <w:lang w:eastAsia="zh-CN"/>
              </w:rPr>
              <w:t>、</w:t>
            </w:r>
            <w:r>
              <w:rPr>
                <w:rFonts w:hint="eastAsia" w:ascii="宋体" w:hAnsi="宋体" w:cs="宋体"/>
                <w:sz w:val="24"/>
                <w:highlight w:val="none"/>
              </w:rPr>
              <w:t>无阀滤池工艺）获得过国家知识产权局颁发的相关专利证书，每获得一个专利得1分，最高得3分。</w:t>
            </w:r>
            <w:bookmarkEnd w:id="60"/>
            <w:bookmarkEnd w:id="61"/>
            <w:r>
              <w:rPr>
                <w:rFonts w:hint="eastAsia" w:ascii="宋体" w:hAnsi="宋体" w:cs="宋体"/>
                <w:sz w:val="24"/>
                <w:highlight w:val="none"/>
              </w:rPr>
              <w:br w:type="textWrapping"/>
            </w:r>
            <w:r>
              <w:rPr>
                <w:rFonts w:hint="eastAsia" w:ascii="宋体" w:hAnsi="宋体" w:cs="宋体"/>
                <w:b/>
                <w:bCs/>
                <w:color w:val="000000"/>
                <w:sz w:val="24"/>
                <w:highlight w:val="none"/>
                <w:lang w:val="en-US" w:eastAsia="zh-CN"/>
              </w:rPr>
              <w:t>注：投标文件中须提供有效的清晰可辨的证书彩色扫描件。</w:t>
            </w:r>
          </w:p>
        </w:tc>
        <w:tc>
          <w:tcPr>
            <w:tcW w:w="735" w:type="dxa"/>
            <w:vMerge w:val="restart"/>
            <w:shd w:val="clear" w:color="auto" w:fill="auto"/>
            <w:vAlign w:val="center"/>
          </w:tcPr>
          <w:p w14:paraId="4F96B109">
            <w:pPr>
              <w:spacing w:line="440" w:lineRule="exact"/>
              <w:jc w:val="center"/>
              <w:rPr>
                <w:rFonts w:ascii="宋体" w:hAnsi="宋体" w:cs="宋体"/>
                <w:sz w:val="24"/>
                <w:highlight w:val="none"/>
              </w:rPr>
            </w:pPr>
            <w:r>
              <w:rPr>
                <w:rFonts w:hint="eastAsia" w:ascii="宋体" w:hAnsi="宋体" w:cs="宋体"/>
                <w:sz w:val="24"/>
                <w:highlight w:val="none"/>
              </w:rPr>
              <w:t>6</w:t>
            </w:r>
          </w:p>
        </w:tc>
      </w:tr>
      <w:tr w14:paraId="189218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56" w:hRule="atLeast"/>
        </w:trPr>
        <w:tc>
          <w:tcPr>
            <w:tcW w:w="510" w:type="dxa"/>
            <w:vMerge w:val="continue"/>
            <w:tcBorders>
              <w:right w:val="single" w:color="auto" w:sz="4" w:space="0"/>
            </w:tcBorders>
            <w:shd w:val="clear" w:color="auto" w:fill="auto"/>
            <w:vAlign w:val="center"/>
          </w:tcPr>
          <w:p w14:paraId="6C7716E2">
            <w:pPr>
              <w:spacing w:line="440" w:lineRule="exact"/>
              <w:jc w:val="center"/>
              <w:rPr>
                <w:rFonts w:ascii="宋体" w:hAnsi="宋体" w:cs="宋体"/>
                <w:color w:val="000000"/>
                <w:sz w:val="24"/>
                <w:highlight w:val="none"/>
              </w:rPr>
            </w:pPr>
          </w:p>
        </w:tc>
        <w:tc>
          <w:tcPr>
            <w:tcW w:w="1731" w:type="dxa"/>
            <w:vMerge w:val="continue"/>
            <w:tcBorders>
              <w:left w:val="single" w:color="auto" w:sz="4" w:space="0"/>
              <w:right w:val="single" w:color="auto" w:sz="4" w:space="0"/>
            </w:tcBorders>
            <w:shd w:val="clear" w:color="auto" w:fill="auto"/>
            <w:vAlign w:val="center"/>
          </w:tcPr>
          <w:p w14:paraId="6C516F72">
            <w:pPr>
              <w:pStyle w:val="2"/>
              <w:jc w:val="center"/>
              <w:rPr>
                <w:rFonts w:ascii="宋体" w:hAnsi="宋体" w:cs="宋体"/>
                <w:kern w:val="2"/>
                <w:sz w:val="24"/>
                <w:highlight w:val="none"/>
              </w:rPr>
            </w:pPr>
          </w:p>
        </w:tc>
        <w:tc>
          <w:tcPr>
            <w:tcW w:w="6113" w:type="dxa"/>
            <w:tcBorders>
              <w:left w:val="single" w:color="auto" w:sz="4" w:space="0"/>
            </w:tcBorders>
            <w:shd w:val="clear" w:color="auto" w:fill="auto"/>
            <w:vAlign w:val="center"/>
          </w:tcPr>
          <w:p w14:paraId="552D4B87">
            <w:pPr>
              <w:widowControl/>
              <w:spacing w:line="440" w:lineRule="exact"/>
              <w:rPr>
                <w:rFonts w:ascii="宋体" w:hAnsi="宋体" w:cs="宋体"/>
                <w:sz w:val="24"/>
                <w:highlight w:val="none"/>
              </w:rPr>
            </w:pPr>
            <w:bookmarkStart w:id="62" w:name="OLE_LINK4"/>
            <w:r>
              <w:rPr>
                <w:rFonts w:hint="eastAsia" w:ascii="宋体" w:hAnsi="宋体" w:cs="宋体"/>
                <w:sz w:val="24"/>
                <w:highlight w:val="none"/>
              </w:rPr>
              <w:t>投标人或投标产品制造商获得国家版权局颁发的水处理</w:t>
            </w:r>
            <w:r>
              <w:rPr>
                <w:rFonts w:hint="eastAsia" w:ascii="宋体" w:hAnsi="宋体" w:cs="宋体"/>
                <w:sz w:val="24"/>
                <w:highlight w:val="none"/>
                <w:lang w:val="en-US" w:eastAsia="zh-CN"/>
              </w:rPr>
              <w:t>工艺</w:t>
            </w:r>
            <w:r>
              <w:rPr>
                <w:rFonts w:hint="eastAsia" w:ascii="宋体" w:hAnsi="宋体" w:cs="宋体"/>
                <w:sz w:val="24"/>
                <w:highlight w:val="none"/>
              </w:rPr>
              <w:t>相关的系统软著</w:t>
            </w:r>
            <w:bookmarkEnd w:id="62"/>
            <w:r>
              <w:rPr>
                <w:rFonts w:hint="eastAsia" w:ascii="宋体" w:hAnsi="宋体" w:cs="宋体"/>
                <w:sz w:val="24"/>
                <w:highlight w:val="none"/>
              </w:rPr>
              <w:t>，每获得一个证书得1分，最高得3分。</w:t>
            </w:r>
            <w:r>
              <w:rPr>
                <w:rFonts w:hint="eastAsia" w:ascii="宋体" w:hAnsi="宋体" w:cs="宋体"/>
                <w:sz w:val="24"/>
                <w:highlight w:val="none"/>
              </w:rPr>
              <w:br w:type="textWrapping"/>
            </w:r>
            <w:r>
              <w:rPr>
                <w:rFonts w:hint="eastAsia" w:ascii="宋体" w:hAnsi="宋体" w:cs="宋体"/>
                <w:b/>
                <w:bCs/>
                <w:color w:val="000000"/>
                <w:sz w:val="24"/>
                <w:highlight w:val="none"/>
                <w:lang w:val="en-US" w:eastAsia="zh-CN"/>
              </w:rPr>
              <w:t>注：投标文件中须提供有效的清晰可辨的证书彩色扫描件。</w:t>
            </w:r>
          </w:p>
        </w:tc>
        <w:tc>
          <w:tcPr>
            <w:tcW w:w="735" w:type="dxa"/>
            <w:vMerge w:val="continue"/>
            <w:shd w:val="clear" w:color="auto" w:fill="auto"/>
            <w:vAlign w:val="center"/>
          </w:tcPr>
          <w:p w14:paraId="114FB68F">
            <w:pPr>
              <w:spacing w:line="440" w:lineRule="exact"/>
              <w:jc w:val="center"/>
              <w:rPr>
                <w:rFonts w:ascii="宋体" w:hAnsi="宋体" w:cs="宋体"/>
                <w:sz w:val="24"/>
                <w:highlight w:val="none"/>
              </w:rPr>
            </w:pPr>
          </w:p>
        </w:tc>
      </w:tr>
      <w:tr w14:paraId="5771CC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56" w:hRule="atLeast"/>
        </w:trPr>
        <w:tc>
          <w:tcPr>
            <w:tcW w:w="510" w:type="dxa"/>
            <w:tcBorders>
              <w:right w:val="single" w:color="auto" w:sz="4" w:space="0"/>
            </w:tcBorders>
            <w:shd w:val="clear" w:color="auto" w:fill="auto"/>
            <w:vAlign w:val="center"/>
          </w:tcPr>
          <w:p w14:paraId="0ECB8BD0">
            <w:pPr>
              <w:spacing w:line="440" w:lineRule="exact"/>
              <w:jc w:val="center"/>
              <w:rPr>
                <w:rFonts w:ascii="宋体" w:hAnsi="宋体" w:cs="宋体"/>
                <w:color w:val="000000"/>
                <w:sz w:val="24"/>
                <w:highlight w:val="none"/>
              </w:rPr>
            </w:pPr>
            <w:r>
              <w:rPr>
                <w:rFonts w:hint="eastAsia" w:ascii="宋体" w:hAnsi="宋体" w:cs="宋体"/>
                <w:color w:val="000000"/>
                <w:sz w:val="24"/>
                <w:highlight w:val="none"/>
              </w:rPr>
              <w:t>5</w:t>
            </w:r>
          </w:p>
        </w:tc>
        <w:tc>
          <w:tcPr>
            <w:tcW w:w="1731" w:type="dxa"/>
            <w:tcBorders>
              <w:left w:val="single" w:color="auto" w:sz="4" w:space="0"/>
              <w:right w:val="single" w:color="auto" w:sz="4" w:space="0"/>
            </w:tcBorders>
            <w:shd w:val="clear" w:color="auto" w:fill="auto"/>
            <w:vAlign w:val="center"/>
          </w:tcPr>
          <w:p w14:paraId="7C8A14F3">
            <w:pPr>
              <w:autoSpaceDE w:val="0"/>
              <w:autoSpaceDN w:val="0"/>
              <w:adjustRightInd w:val="0"/>
              <w:spacing w:line="440" w:lineRule="exact"/>
              <w:jc w:val="center"/>
              <w:rPr>
                <w:rFonts w:ascii="宋体" w:hAnsi="宋体" w:cs="宋体"/>
                <w:bCs/>
                <w:kern w:val="0"/>
                <w:sz w:val="24"/>
                <w:highlight w:val="none"/>
              </w:rPr>
            </w:pPr>
            <w:r>
              <w:rPr>
                <w:rFonts w:hint="eastAsia" w:ascii="宋体" w:hAnsi="宋体" w:cs="宋体"/>
                <w:bCs/>
                <w:kern w:val="0"/>
                <w:sz w:val="24"/>
                <w:highlight w:val="none"/>
              </w:rPr>
              <w:t>项目团队</w:t>
            </w:r>
          </w:p>
        </w:tc>
        <w:tc>
          <w:tcPr>
            <w:tcW w:w="6113" w:type="dxa"/>
            <w:tcBorders>
              <w:left w:val="single" w:color="auto" w:sz="4" w:space="0"/>
            </w:tcBorders>
            <w:shd w:val="clear" w:color="auto" w:fill="auto"/>
            <w:vAlign w:val="center"/>
          </w:tcPr>
          <w:p w14:paraId="538E85F9">
            <w:pPr>
              <w:autoSpaceDE w:val="0"/>
              <w:autoSpaceDN w:val="0"/>
              <w:adjustRightInd w:val="0"/>
              <w:spacing w:line="440" w:lineRule="exact"/>
              <w:jc w:val="left"/>
              <w:rPr>
                <w:rFonts w:ascii="宋体" w:hAnsi="宋体" w:cs="宋体"/>
                <w:bCs/>
                <w:kern w:val="0"/>
                <w:sz w:val="24"/>
                <w:highlight w:val="none"/>
              </w:rPr>
            </w:pPr>
            <w:r>
              <w:rPr>
                <w:rFonts w:hint="eastAsia" w:ascii="宋体" w:hAnsi="宋体" w:cs="宋体"/>
                <w:bCs/>
                <w:kern w:val="0"/>
                <w:sz w:val="24"/>
                <w:highlight w:val="none"/>
              </w:rPr>
              <w:t>1、项目负责人具有机电工程一级建造师注册证书的得2分；具有机电工程二级建造师注册证书的得1分；最高得2分；</w:t>
            </w:r>
          </w:p>
          <w:p w14:paraId="2341B9BB">
            <w:pPr>
              <w:autoSpaceDE w:val="0"/>
              <w:autoSpaceDN w:val="0"/>
              <w:adjustRightInd w:val="0"/>
              <w:spacing w:line="440" w:lineRule="exact"/>
              <w:jc w:val="left"/>
              <w:rPr>
                <w:rFonts w:ascii="宋体" w:hAnsi="宋体" w:cs="宋体"/>
                <w:bCs/>
                <w:kern w:val="0"/>
                <w:sz w:val="24"/>
                <w:highlight w:val="none"/>
              </w:rPr>
            </w:pPr>
            <w:r>
              <w:rPr>
                <w:rFonts w:hint="eastAsia" w:ascii="宋体" w:hAnsi="宋体" w:cs="宋体"/>
                <w:bCs/>
                <w:kern w:val="0"/>
                <w:sz w:val="24"/>
                <w:highlight w:val="none"/>
              </w:rPr>
              <w:t>2、项目团队人员（不包含项目负责人）具有自动化类、机电类、给排水</w:t>
            </w:r>
            <w:r>
              <w:rPr>
                <w:rFonts w:hint="eastAsia" w:ascii="宋体" w:hAnsi="宋体" w:cs="宋体"/>
                <w:bCs/>
                <w:kern w:val="0"/>
                <w:sz w:val="24"/>
                <w:highlight w:val="none"/>
                <w:lang w:eastAsia="zh-CN"/>
              </w:rPr>
              <w:t>、</w:t>
            </w:r>
            <w:r>
              <w:rPr>
                <w:rFonts w:hint="eastAsia" w:ascii="宋体" w:hAnsi="宋体" w:cs="宋体"/>
                <w:bCs/>
                <w:kern w:val="0"/>
                <w:sz w:val="24"/>
                <w:highlight w:val="none"/>
                <w:lang w:val="en-US" w:eastAsia="zh-CN"/>
              </w:rPr>
              <w:t>水处理</w:t>
            </w:r>
            <w:r>
              <w:rPr>
                <w:rFonts w:hint="eastAsia" w:ascii="宋体" w:hAnsi="宋体" w:cs="宋体"/>
                <w:bCs/>
                <w:kern w:val="0"/>
                <w:sz w:val="24"/>
                <w:highlight w:val="none"/>
              </w:rPr>
              <w:t>或环境工程等相关专业中级工程师证书得0.5分，高级工程师证书得1分，最高得4分。</w:t>
            </w:r>
          </w:p>
          <w:p w14:paraId="404E88BC">
            <w:pPr>
              <w:autoSpaceDE w:val="0"/>
              <w:autoSpaceDN w:val="0"/>
              <w:adjustRightInd w:val="0"/>
              <w:spacing w:line="440" w:lineRule="exact"/>
              <w:jc w:val="left"/>
              <w:rPr>
                <w:rFonts w:ascii="宋体" w:hAnsi="宋体" w:cs="宋体"/>
                <w:b/>
                <w:kern w:val="0"/>
                <w:sz w:val="24"/>
                <w:highlight w:val="none"/>
              </w:rPr>
            </w:pPr>
            <w:r>
              <w:rPr>
                <w:rFonts w:hint="eastAsia" w:ascii="宋体" w:hAnsi="宋体" w:cs="宋体"/>
                <w:b/>
                <w:kern w:val="0"/>
                <w:sz w:val="24"/>
                <w:highlight w:val="none"/>
              </w:rPr>
              <w:t>注：</w:t>
            </w:r>
          </w:p>
          <w:p w14:paraId="5E47929E">
            <w:pPr>
              <w:autoSpaceDE w:val="0"/>
              <w:autoSpaceDN w:val="0"/>
              <w:adjustRightInd w:val="0"/>
              <w:spacing w:line="440" w:lineRule="exact"/>
              <w:jc w:val="left"/>
              <w:rPr>
                <w:rFonts w:ascii="宋体" w:hAnsi="宋体" w:cs="宋体"/>
                <w:b/>
                <w:kern w:val="0"/>
                <w:sz w:val="24"/>
                <w:highlight w:val="none"/>
              </w:rPr>
            </w:pPr>
            <w:r>
              <w:rPr>
                <w:rFonts w:hint="eastAsia" w:ascii="宋体" w:hAnsi="宋体" w:cs="宋体"/>
                <w:b/>
                <w:kern w:val="0"/>
                <w:sz w:val="24"/>
                <w:highlight w:val="none"/>
              </w:rPr>
              <w:t>1、提供上述人员证书原件</w:t>
            </w:r>
            <w:r>
              <w:rPr>
                <w:rFonts w:hint="eastAsia" w:ascii="宋体" w:hAnsi="宋体" w:cs="宋体"/>
                <w:b/>
                <w:kern w:val="0"/>
                <w:sz w:val="24"/>
                <w:highlight w:val="none"/>
                <w:lang w:val="en-US" w:eastAsia="zh-CN"/>
              </w:rPr>
              <w:t>清晰扫描件</w:t>
            </w:r>
            <w:r>
              <w:rPr>
                <w:rFonts w:hint="eastAsia" w:ascii="宋体" w:hAnsi="宋体" w:cs="宋体"/>
                <w:b/>
                <w:kern w:val="0"/>
                <w:sz w:val="24"/>
                <w:highlight w:val="none"/>
              </w:rPr>
              <w:t>或官方打印件。</w:t>
            </w:r>
          </w:p>
          <w:p w14:paraId="460F4492">
            <w:pPr>
              <w:autoSpaceDE w:val="0"/>
              <w:autoSpaceDN w:val="0"/>
              <w:adjustRightInd w:val="0"/>
              <w:spacing w:line="440" w:lineRule="exact"/>
              <w:jc w:val="left"/>
              <w:rPr>
                <w:rFonts w:ascii="宋体" w:hAnsi="宋体" w:cs="宋体"/>
                <w:bCs/>
                <w:kern w:val="0"/>
                <w:sz w:val="24"/>
                <w:highlight w:val="none"/>
              </w:rPr>
            </w:pPr>
            <w:r>
              <w:rPr>
                <w:rFonts w:hint="eastAsia" w:ascii="宋体" w:hAnsi="宋体" w:cs="宋体"/>
                <w:b/>
                <w:kern w:val="0"/>
                <w:sz w:val="24"/>
                <w:highlight w:val="none"/>
              </w:rPr>
              <w:t>2、提供上述人员近3个月的社保缴纳证明。</w:t>
            </w:r>
          </w:p>
        </w:tc>
        <w:tc>
          <w:tcPr>
            <w:tcW w:w="735" w:type="dxa"/>
            <w:shd w:val="clear" w:color="auto" w:fill="auto"/>
            <w:vAlign w:val="center"/>
          </w:tcPr>
          <w:p w14:paraId="4C6CB46F">
            <w:pPr>
              <w:spacing w:line="440" w:lineRule="exact"/>
              <w:jc w:val="center"/>
              <w:rPr>
                <w:rFonts w:ascii="宋体" w:hAnsi="宋体" w:cs="宋体"/>
                <w:color w:val="000000"/>
                <w:sz w:val="24"/>
                <w:highlight w:val="none"/>
              </w:rPr>
            </w:pPr>
            <w:r>
              <w:rPr>
                <w:rFonts w:hint="eastAsia" w:ascii="宋体" w:hAnsi="宋体" w:cs="宋体"/>
                <w:color w:val="000000"/>
                <w:sz w:val="24"/>
                <w:highlight w:val="none"/>
              </w:rPr>
              <w:t>6</w:t>
            </w:r>
          </w:p>
        </w:tc>
      </w:tr>
      <w:tr w14:paraId="5415CB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510" w:type="dxa"/>
            <w:vAlign w:val="center"/>
          </w:tcPr>
          <w:p w14:paraId="12EB327F">
            <w:pPr>
              <w:spacing w:line="44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6</w:t>
            </w:r>
          </w:p>
        </w:tc>
        <w:tc>
          <w:tcPr>
            <w:tcW w:w="1731" w:type="dxa"/>
            <w:vAlign w:val="center"/>
          </w:tcPr>
          <w:p w14:paraId="713DDD2F">
            <w:pPr>
              <w:spacing w:line="440" w:lineRule="exact"/>
              <w:rPr>
                <w:rFonts w:ascii="宋体" w:hAnsi="宋体" w:cs="宋体"/>
                <w:sz w:val="24"/>
                <w:highlight w:val="none"/>
              </w:rPr>
            </w:pPr>
            <w:r>
              <w:rPr>
                <w:rFonts w:hint="eastAsia" w:ascii="宋体" w:hAnsi="宋体" w:cs="宋体"/>
                <w:sz w:val="24"/>
                <w:highlight w:val="none"/>
              </w:rPr>
              <w:t>制造生产能力</w:t>
            </w:r>
          </w:p>
        </w:tc>
        <w:tc>
          <w:tcPr>
            <w:tcW w:w="6113" w:type="dxa"/>
            <w:tcBorders>
              <w:bottom w:val="single" w:color="auto" w:sz="4" w:space="0"/>
            </w:tcBorders>
            <w:shd w:val="clear" w:color="auto" w:fill="auto"/>
            <w:vAlign w:val="center"/>
          </w:tcPr>
          <w:p w14:paraId="78703E57">
            <w:pPr>
              <w:pStyle w:val="51"/>
              <w:spacing w:line="440" w:lineRule="exact"/>
              <w:ind w:left="0" w:leftChars="0" w:firstLine="0"/>
              <w:rPr>
                <w:rFonts w:ascii="宋体" w:hAnsi="宋体" w:cs="宋体"/>
                <w:b/>
                <w:bCs/>
                <w:sz w:val="24"/>
                <w:szCs w:val="24"/>
                <w:highlight w:val="none"/>
              </w:rPr>
            </w:pPr>
            <w:r>
              <w:rPr>
                <w:rFonts w:hint="eastAsia" w:ascii="宋体" w:hAnsi="宋体" w:cs="宋体"/>
                <w:sz w:val="24"/>
                <w:szCs w:val="24"/>
                <w:highlight w:val="none"/>
              </w:rPr>
              <w:t>投标人或一体化净水设备产品制造商提供制造车间、主要生产加工设备等拟投入本项目的设备、工器具配置照片情况资料。（0-</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tc>
        <w:tc>
          <w:tcPr>
            <w:tcW w:w="735" w:type="dxa"/>
            <w:vAlign w:val="center"/>
          </w:tcPr>
          <w:p w14:paraId="5FA726CD">
            <w:pPr>
              <w:spacing w:line="44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6</w:t>
            </w:r>
          </w:p>
        </w:tc>
      </w:tr>
      <w:tr w14:paraId="3B5BED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510" w:type="dxa"/>
            <w:vAlign w:val="center"/>
          </w:tcPr>
          <w:p w14:paraId="74B401EE">
            <w:pPr>
              <w:spacing w:line="44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7</w:t>
            </w:r>
          </w:p>
        </w:tc>
        <w:tc>
          <w:tcPr>
            <w:tcW w:w="1731" w:type="dxa"/>
            <w:vAlign w:val="center"/>
          </w:tcPr>
          <w:p w14:paraId="271E8DFF">
            <w:pPr>
              <w:spacing w:line="440" w:lineRule="exact"/>
              <w:rPr>
                <w:rFonts w:ascii="宋体" w:hAnsi="宋体" w:cs="宋体"/>
                <w:sz w:val="24"/>
                <w:highlight w:val="none"/>
              </w:rPr>
            </w:pPr>
            <w:r>
              <w:rPr>
                <w:rFonts w:hint="eastAsia" w:ascii="宋体" w:hAnsi="宋体" w:cs="宋体"/>
                <w:bCs/>
                <w:kern w:val="0"/>
                <w:sz w:val="24"/>
                <w:highlight w:val="none"/>
              </w:rPr>
              <w:t>技术参数响应</w:t>
            </w:r>
          </w:p>
        </w:tc>
        <w:tc>
          <w:tcPr>
            <w:tcW w:w="6113" w:type="dxa"/>
            <w:tcBorders>
              <w:bottom w:val="single" w:color="auto" w:sz="4" w:space="0"/>
            </w:tcBorders>
            <w:shd w:val="clear" w:color="auto" w:fill="auto"/>
            <w:vAlign w:val="center"/>
          </w:tcPr>
          <w:p w14:paraId="1B179054">
            <w:pPr>
              <w:pStyle w:val="51"/>
              <w:spacing w:line="440" w:lineRule="exact"/>
              <w:ind w:left="0" w:leftChars="0" w:firstLine="0"/>
              <w:rPr>
                <w:rFonts w:ascii="宋体" w:hAnsi="宋体" w:cs="宋体"/>
                <w:sz w:val="24"/>
                <w:szCs w:val="24"/>
                <w:highlight w:val="none"/>
              </w:rPr>
            </w:pPr>
            <w:r>
              <w:rPr>
                <w:rFonts w:hint="eastAsia" w:ascii="宋体" w:hAnsi="宋体" w:cs="宋体"/>
                <w:sz w:val="24"/>
                <w:szCs w:val="24"/>
                <w:highlight w:val="none"/>
              </w:rPr>
              <w:t>根据所投净水设备的技术性能、功能以及对招标文件各项技术要求、配置清单的详细阐述进行打分。（0-15分）</w:t>
            </w:r>
          </w:p>
        </w:tc>
        <w:tc>
          <w:tcPr>
            <w:tcW w:w="735" w:type="dxa"/>
            <w:vAlign w:val="center"/>
          </w:tcPr>
          <w:p w14:paraId="5402EB29">
            <w:pPr>
              <w:spacing w:line="440" w:lineRule="exact"/>
              <w:jc w:val="center"/>
              <w:rPr>
                <w:rFonts w:ascii="宋体" w:hAnsi="宋体" w:cs="宋体"/>
                <w:color w:val="000000"/>
                <w:sz w:val="24"/>
                <w:highlight w:val="none"/>
              </w:rPr>
            </w:pPr>
            <w:r>
              <w:rPr>
                <w:rFonts w:hint="eastAsia" w:ascii="宋体" w:hAnsi="宋体" w:cs="宋体"/>
                <w:color w:val="000000"/>
                <w:sz w:val="24"/>
                <w:highlight w:val="none"/>
              </w:rPr>
              <w:t>15</w:t>
            </w:r>
          </w:p>
        </w:tc>
      </w:tr>
      <w:tr w14:paraId="0D3AF8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510" w:type="dxa"/>
            <w:vAlign w:val="center"/>
          </w:tcPr>
          <w:p w14:paraId="76C8D62E">
            <w:pPr>
              <w:spacing w:line="44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8</w:t>
            </w:r>
          </w:p>
        </w:tc>
        <w:tc>
          <w:tcPr>
            <w:tcW w:w="1731" w:type="dxa"/>
            <w:vAlign w:val="center"/>
          </w:tcPr>
          <w:p w14:paraId="08BB9CFA">
            <w:pPr>
              <w:spacing w:line="440" w:lineRule="exact"/>
              <w:rPr>
                <w:rFonts w:ascii="宋体" w:hAnsi="宋体" w:cs="宋体"/>
                <w:bCs/>
                <w:kern w:val="0"/>
                <w:sz w:val="24"/>
                <w:highlight w:val="none"/>
              </w:rPr>
            </w:pPr>
            <w:r>
              <w:rPr>
                <w:rFonts w:hint="eastAsia" w:ascii="宋体" w:hAnsi="宋体" w:cs="宋体"/>
                <w:bCs/>
                <w:kern w:val="0"/>
                <w:sz w:val="24"/>
                <w:highlight w:val="none"/>
              </w:rPr>
              <w:t>施工组织设计</w:t>
            </w:r>
          </w:p>
          <w:p w14:paraId="0AC6F0D6">
            <w:pPr>
              <w:spacing w:line="440" w:lineRule="exact"/>
              <w:rPr>
                <w:rFonts w:ascii="宋体" w:hAnsi="宋体" w:cs="宋体"/>
                <w:bCs/>
                <w:kern w:val="0"/>
                <w:sz w:val="24"/>
                <w:highlight w:val="none"/>
              </w:rPr>
            </w:pPr>
          </w:p>
        </w:tc>
        <w:tc>
          <w:tcPr>
            <w:tcW w:w="6113" w:type="dxa"/>
            <w:tcBorders>
              <w:bottom w:val="single" w:color="auto" w:sz="4" w:space="0"/>
            </w:tcBorders>
            <w:shd w:val="clear" w:color="auto" w:fill="auto"/>
            <w:vAlign w:val="center"/>
          </w:tcPr>
          <w:p w14:paraId="3392E418">
            <w:pPr>
              <w:pStyle w:val="51"/>
              <w:spacing w:line="440" w:lineRule="exact"/>
              <w:ind w:left="0" w:leftChars="0" w:firstLine="0"/>
              <w:rPr>
                <w:rFonts w:ascii="宋体" w:hAnsi="宋体" w:cs="宋体"/>
                <w:sz w:val="24"/>
                <w:szCs w:val="24"/>
                <w:highlight w:val="none"/>
              </w:rPr>
            </w:pPr>
            <w:r>
              <w:rPr>
                <w:rFonts w:hint="eastAsia" w:ascii="宋体" w:hAnsi="宋体" w:cs="宋体"/>
                <w:sz w:val="24"/>
                <w:szCs w:val="24"/>
                <w:highlight w:val="none"/>
              </w:rPr>
              <w:t>根据投标人的项目交货进度的合理性、工程进度安排合理性，施工组织科学合理性，安装调试及验收方案完善性，保障项目按进度进行。特别是针对本项目的重点难点阐述充分，并有相应的应对措施等进行打分。（0-10分）</w:t>
            </w:r>
          </w:p>
        </w:tc>
        <w:tc>
          <w:tcPr>
            <w:tcW w:w="735" w:type="dxa"/>
            <w:vAlign w:val="center"/>
          </w:tcPr>
          <w:p w14:paraId="17C07EEE">
            <w:pPr>
              <w:spacing w:line="440" w:lineRule="exact"/>
              <w:jc w:val="center"/>
              <w:rPr>
                <w:rFonts w:ascii="宋体" w:hAnsi="宋体" w:cs="宋体"/>
                <w:color w:val="000000"/>
                <w:sz w:val="24"/>
                <w:highlight w:val="none"/>
              </w:rPr>
            </w:pPr>
            <w:r>
              <w:rPr>
                <w:rFonts w:hint="eastAsia" w:ascii="宋体" w:hAnsi="宋体" w:cs="宋体"/>
                <w:color w:val="000000"/>
                <w:sz w:val="24"/>
                <w:highlight w:val="none"/>
              </w:rPr>
              <w:t>10</w:t>
            </w:r>
          </w:p>
        </w:tc>
      </w:tr>
      <w:tr w14:paraId="19F11C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510" w:type="dxa"/>
            <w:vAlign w:val="center"/>
          </w:tcPr>
          <w:p w14:paraId="4E58FE87">
            <w:pPr>
              <w:spacing w:line="44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9</w:t>
            </w:r>
          </w:p>
        </w:tc>
        <w:tc>
          <w:tcPr>
            <w:tcW w:w="1731" w:type="dxa"/>
            <w:vAlign w:val="center"/>
          </w:tcPr>
          <w:p w14:paraId="7969FE82">
            <w:pPr>
              <w:spacing w:line="440" w:lineRule="exact"/>
              <w:rPr>
                <w:rFonts w:ascii="宋体" w:hAnsi="宋体" w:cs="宋体"/>
                <w:bCs/>
                <w:kern w:val="0"/>
                <w:sz w:val="24"/>
                <w:highlight w:val="none"/>
              </w:rPr>
            </w:pPr>
            <w:r>
              <w:rPr>
                <w:rFonts w:hint="eastAsia" w:ascii="宋体" w:hAnsi="宋体" w:cs="宋体"/>
                <w:bCs/>
                <w:kern w:val="0"/>
                <w:sz w:val="24"/>
                <w:highlight w:val="none"/>
              </w:rPr>
              <w:t>对本项目要求的整体理解</w:t>
            </w:r>
          </w:p>
        </w:tc>
        <w:tc>
          <w:tcPr>
            <w:tcW w:w="6113" w:type="dxa"/>
            <w:tcBorders>
              <w:bottom w:val="single" w:color="auto" w:sz="4" w:space="0"/>
            </w:tcBorders>
            <w:shd w:val="clear" w:color="auto" w:fill="auto"/>
            <w:vAlign w:val="center"/>
          </w:tcPr>
          <w:p w14:paraId="077D3AC3">
            <w:pPr>
              <w:pStyle w:val="51"/>
              <w:spacing w:line="440" w:lineRule="exact"/>
              <w:ind w:left="0" w:leftChars="0" w:firstLine="0"/>
              <w:rPr>
                <w:rFonts w:ascii="宋体" w:hAnsi="宋体" w:cs="宋体"/>
                <w:sz w:val="24"/>
                <w:szCs w:val="24"/>
                <w:highlight w:val="none"/>
              </w:rPr>
            </w:pPr>
            <w:r>
              <w:rPr>
                <w:rFonts w:hint="eastAsia" w:ascii="宋体" w:hAnsi="宋体" w:cs="宋体"/>
                <w:sz w:val="24"/>
                <w:szCs w:val="24"/>
                <w:highlight w:val="none"/>
              </w:rPr>
              <w:t>水厂现状运行了解、分析情况、所投产品与项目现状设备衔接的匹配性进行打分。（0-5分）</w:t>
            </w:r>
          </w:p>
        </w:tc>
        <w:tc>
          <w:tcPr>
            <w:tcW w:w="735" w:type="dxa"/>
            <w:vAlign w:val="center"/>
          </w:tcPr>
          <w:p w14:paraId="44ECB971">
            <w:pPr>
              <w:spacing w:line="440" w:lineRule="exact"/>
              <w:jc w:val="center"/>
              <w:rPr>
                <w:rFonts w:ascii="宋体" w:hAnsi="宋体" w:cs="宋体"/>
                <w:color w:val="000000"/>
                <w:sz w:val="24"/>
                <w:highlight w:val="none"/>
              </w:rPr>
            </w:pPr>
            <w:r>
              <w:rPr>
                <w:rFonts w:hint="eastAsia" w:ascii="宋体" w:hAnsi="宋体" w:cs="宋体"/>
                <w:color w:val="000000"/>
                <w:sz w:val="24"/>
                <w:highlight w:val="none"/>
              </w:rPr>
              <w:t>5</w:t>
            </w:r>
          </w:p>
        </w:tc>
      </w:tr>
      <w:tr w14:paraId="69CCEC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510" w:type="dxa"/>
            <w:vAlign w:val="center"/>
          </w:tcPr>
          <w:p w14:paraId="725BBBEF">
            <w:pPr>
              <w:spacing w:line="44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0</w:t>
            </w:r>
          </w:p>
        </w:tc>
        <w:tc>
          <w:tcPr>
            <w:tcW w:w="1731" w:type="dxa"/>
            <w:vAlign w:val="center"/>
          </w:tcPr>
          <w:p w14:paraId="66F70B10">
            <w:pPr>
              <w:spacing w:line="440" w:lineRule="exact"/>
              <w:rPr>
                <w:rFonts w:ascii="宋体" w:hAnsi="宋体" w:cs="宋体"/>
                <w:bCs/>
                <w:kern w:val="0"/>
                <w:sz w:val="24"/>
                <w:highlight w:val="none"/>
              </w:rPr>
            </w:pPr>
            <w:r>
              <w:rPr>
                <w:rFonts w:hint="eastAsia" w:ascii="宋体" w:hAnsi="宋体" w:cs="宋体"/>
                <w:bCs/>
                <w:kern w:val="0"/>
                <w:sz w:val="24"/>
                <w:highlight w:val="none"/>
              </w:rPr>
              <w:t>合理化建议</w:t>
            </w:r>
          </w:p>
        </w:tc>
        <w:tc>
          <w:tcPr>
            <w:tcW w:w="6113" w:type="dxa"/>
            <w:tcBorders>
              <w:bottom w:val="single" w:color="auto" w:sz="4" w:space="0"/>
            </w:tcBorders>
            <w:shd w:val="clear" w:color="auto" w:fill="auto"/>
            <w:vAlign w:val="center"/>
          </w:tcPr>
          <w:p w14:paraId="0CE20ED7">
            <w:pPr>
              <w:pStyle w:val="51"/>
              <w:spacing w:line="440" w:lineRule="exact"/>
              <w:ind w:left="0" w:leftChars="0" w:firstLine="0"/>
              <w:rPr>
                <w:rFonts w:ascii="宋体" w:hAnsi="宋体" w:cs="宋体"/>
                <w:b/>
                <w:bCs/>
                <w:sz w:val="24"/>
                <w:szCs w:val="24"/>
                <w:highlight w:val="none"/>
              </w:rPr>
            </w:pPr>
            <w:r>
              <w:rPr>
                <w:rFonts w:hint="eastAsia" w:ascii="宋体" w:hAnsi="宋体" w:cs="宋体"/>
                <w:sz w:val="24"/>
                <w:szCs w:val="24"/>
                <w:highlight w:val="none"/>
              </w:rPr>
              <w:t>根据投标人针对本项目的特点所提建议的合理性进行打分。（0-3分）</w:t>
            </w:r>
          </w:p>
        </w:tc>
        <w:tc>
          <w:tcPr>
            <w:tcW w:w="735" w:type="dxa"/>
            <w:vAlign w:val="center"/>
          </w:tcPr>
          <w:p w14:paraId="7E8C9943">
            <w:pPr>
              <w:spacing w:line="440" w:lineRule="exact"/>
              <w:jc w:val="center"/>
              <w:rPr>
                <w:rFonts w:ascii="宋体" w:hAnsi="宋体" w:cs="宋体"/>
                <w:color w:val="000000"/>
                <w:sz w:val="24"/>
                <w:highlight w:val="none"/>
              </w:rPr>
            </w:pPr>
            <w:r>
              <w:rPr>
                <w:rFonts w:hint="eastAsia" w:ascii="宋体" w:hAnsi="宋体" w:cs="宋体"/>
                <w:color w:val="000000"/>
                <w:sz w:val="24"/>
                <w:highlight w:val="none"/>
              </w:rPr>
              <w:t>3</w:t>
            </w:r>
          </w:p>
        </w:tc>
      </w:tr>
      <w:tr w14:paraId="629B98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50" w:hRule="atLeast"/>
        </w:trPr>
        <w:tc>
          <w:tcPr>
            <w:tcW w:w="510" w:type="dxa"/>
            <w:vMerge w:val="restart"/>
            <w:vAlign w:val="center"/>
          </w:tcPr>
          <w:p w14:paraId="6F863CCB">
            <w:pPr>
              <w:spacing w:line="440" w:lineRule="exact"/>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1</w:t>
            </w:r>
          </w:p>
        </w:tc>
        <w:tc>
          <w:tcPr>
            <w:tcW w:w="1731" w:type="dxa"/>
            <w:vMerge w:val="restart"/>
            <w:vAlign w:val="center"/>
          </w:tcPr>
          <w:p w14:paraId="6276D45E">
            <w:pPr>
              <w:widowControl/>
              <w:spacing w:line="440" w:lineRule="exact"/>
              <w:jc w:val="left"/>
              <w:rPr>
                <w:rFonts w:ascii="宋体" w:hAnsi="宋体" w:cs="宋体"/>
                <w:sz w:val="24"/>
                <w:highlight w:val="none"/>
              </w:rPr>
            </w:pPr>
            <w:r>
              <w:rPr>
                <w:rFonts w:hint="eastAsia" w:ascii="宋体" w:hAnsi="宋体" w:cs="宋体"/>
                <w:sz w:val="24"/>
                <w:highlight w:val="none"/>
              </w:rPr>
              <w:t>售后服务</w:t>
            </w:r>
          </w:p>
        </w:tc>
        <w:tc>
          <w:tcPr>
            <w:tcW w:w="6113" w:type="dxa"/>
            <w:vAlign w:val="center"/>
          </w:tcPr>
          <w:p w14:paraId="0ACEB850">
            <w:pPr>
              <w:spacing w:line="440" w:lineRule="exact"/>
              <w:jc w:val="left"/>
              <w:rPr>
                <w:rFonts w:ascii="宋体" w:hAnsi="宋体" w:cs="宋体"/>
                <w:color w:val="000000"/>
                <w:sz w:val="24"/>
                <w:highlight w:val="none"/>
              </w:rPr>
            </w:pPr>
            <w:r>
              <w:rPr>
                <w:rFonts w:hint="eastAsia" w:ascii="宋体" w:hAnsi="宋体" w:cs="宋体"/>
                <w:color w:val="000000"/>
                <w:sz w:val="24"/>
                <w:highlight w:val="none"/>
              </w:rPr>
              <w:t>产品免费质保期：按招标文件要求提供质保的该项不得分，每增加1年得1分，最多得3分。</w:t>
            </w:r>
          </w:p>
        </w:tc>
        <w:tc>
          <w:tcPr>
            <w:tcW w:w="735" w:type="dxa"/>
            <w:vAlign w:val="center"/>
          </w:tcPr>
          <w:p w14:paraId="2257A6EB">
            <w:pPr>
              <w:widowControl/>
              <w:spacing w:line="440" w:lineRule="exact"/>
              <w:jc w:val="center"/>
              <w:rPr>
                <w:rFonts w:ascii="宋体" w:hAnsi="宋体" w:cs="宋体"/>
                <w:sz w:val="24"/>
                <w:highlight w:val="none"/>
              </w:rPr>
            </w:pPr>
            <w:r>
              <w:rPr>
                <w:rFonts w:hint="eastAsia" w:ascii="宋体" w:hAnsi="宋体" w:cs="宋体"/>
                <w:sz w:val="24"/>
                <w:highlight w:val="none"/>
              </w:rPr>
              <w:t>3</w:t>
            </w:r>
          </w:p>
        </w:tc>
      </w:tr>
      <w:tr w14:paraId="2E63EA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45" w:hRule="atLeast"/>
        </w:trPr>
        <w:tc>
          <w:tcPr>
            <w:tcW w:w="510" w:type="dxa"/>
            <w:vMerge w:val="continue"/>
            <w:vAlign w:val="center"/>
          </w:tcPr>
          <w:p w14:paraId="28727E2A">
            <w:pPr>
              <w:widowControl/>
              <w:spacing w:line="440" w:lineRule="exact"/>
              <w:jc w:val="center"/>
              <w:rPr>
                <w:rFonts w:ascii="宋体" w:hAnsi="宋体" w:cs="宋体"/>
                <w:sz w:val="24"/>
                <w:highlight w:val="none"/>
              </w:rPr>
            </w:pPr>
          </w:p>
        </w:tc>
        <w:tc>
          <w:tcPr>
            <w:tcW w:w="1731" w:type="dxa"/>
            <w:vMerge w:val="continue"/>
            <w:vAlign w:val="center"/>
          </w:tcPr>
          <w:p w14:paraId="32D42D54">
            <w:pPr>
              <w:widowControl/>
              <w:spacing w:line="440" w:lineRule="exact"/>
              <w:jc w:val="left"/>
              <w:rPr>
                <w:rFonts w:ascii="宋体" w:hAnsi="宋体" w:cs="宋体"/>
                <w:color w:val="000000"/>
                <w:sz w:val="24"/>
                <w:highlight w:val="none"/>
              </w:rPr>
            </w:pPr>
          </w:p>
        </w:tc>
        <w:tc>
          <w:tcPr>
            <w:tcW w:w="6113" w:type="dxa"/>
            <w:vAlign w:val="center"/>
          </w:tcPr>
          <w:p w14:paraId="5B065478">
            <w:pPr>
              <w:spacing w:line="440" w:lineRule="exact"/>
              <w:jc w:val="left"/>
              <w:rPr>
                <w:rFonts w:ascii="宋体" w:hAnsi="宋体" w:cs="宋体"/>
                <w:color w:val="000000"/>
                <w:sz w:val="24"/>
                <w:highlight w:val="none"/>
              </w:rPr>
            </w:pPr>
            <w:r>
              <w:rPr>
                <w:rFonts w:hint="eastAsia" w:ascii="宋体" w:hAnsi="宋体" w:cs="宋体"/>
                <w:color w:val="000000"/>
                <w:sz w:val="24"/>
                <w:highlight w:val="none"/>
              </w:rPr>
              <w:t>综合服务：根据投标人承诺的技术培训、售后服务响应时间、质保期外的服务承诺、售后服务网点等情况</w:t>
            </w:r>
            <w:r>
              <w:rPr>
                <w:rFonts w:hint="eastAsia" w:ascii="宋体" w:hAnsi="宋体" w:cs="宋体"/>
                <w:bCs/>
                <w:color w:val="000000"/>
                <w:sz w:val="24"/>
                <w:highlight w:val="none"/>
                <w:lang w:val="zh-CN"/>
              </w:rPr>
              <w:t>由评标委员会</w:t>
            </w:r>
            <w:r>
              <w:rPr>
                <w:rFonts w:hint="eastAsia" w:ascii="宋体" w:hAnsi="宋体" w:cs="宋体"/>
                <w:bCs/>
                <w:color w:val="000000"/>
                <w:sz w:val="24"/>
                <w:highlight w:val="none"/>
              </w:rPr>
              <w:t>进行打分。</w:t>
            </w:r>
            <w:r>
              <w:rPr>
                <w:rFonts w:hint="eastAsia" w:ascii="宋体" w:hAnsi="宋体" w:cs="宋体"/>
                <w:bCs/>
                <w:color w:val="000000"/>
                <w:sz w:val="24"/>
                <w:highlight w:val="none"/>
                <w:lang w:val="zh-CN"/>
              </w:rPr>
              <w:t>（</w:t>
            </w:r>
            <w:r>
              <w:rPr>
                <w:rFonts w:hint="eastAsia" w:ascii="宋体" w:hAnsi="宋体" w:cs="宋体"/>
                <w:bCs/>
                <w:color w:val="000000"/>
                <w:sz w:val="24"/>
                <w:highlight w:val="none"/>
              </w:rPr>
              <w:t>0-3分</w:t>
            </w:r>
            <w:r>
              <w:rPr>
                <w:rFonts w:hint="eastAsia" w:ascii="宋体" w:hAnsi="宋体" w:cs="宋体"/>
                <w:bCs/>
                <w:color w:val="000000"/>
                <w:sz w:val="24"/>
                <w:highlight w:val="none"/>
                <w:lang w:val="zh-CN"/>
              </w:rPr>
              <w:t>）</w:t>
            </w:r>
          </w:p>
        </w:tc>
        <w:tc>
          <w:tcPr>
            <w:tcW w:w="735" w:type="dxa"/>
            <w:vAlign w:val="center"/>
          </w:tcPr>
          <w:p w14:paraId="5749F68A">
            <w:pPr>
              <w:widowControl/>
              <w:spacing w:line="440" w:lineRule="exact"/>
              <w:jc w:val="center"/>
              <w:rPr>
                <w:rFonts w:ascii="宋体" w:hAnsi="宋体" w:cs="宋体"/>
                <w:sz w:val="24"/>
                <w:highlight w:val="none"/>
              </w:rPr>
            </w:pPr>
            <w:r>
              <w:rPr>
                <w:rFonts w:hint="eastAsia" w:ascii="宋体" w:hAnsi="宋体" w:cs="宋体"/>
                <w:sz w:val="24"/>
                <w:highlight w:val="none"/>
              </w:rPr>
              <w:t>3</w:t>
            </w:r>
          </w:p>
        </w:tc>
      </w:tr>
      <w:tr w14:paraId="4F5B76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55" w:hRule="atLeast"/>
        </w:trPr>
        <w:tc>
          <w:tcPr>
            <w:tcW w:w="510" w:type="dxa"/>
            <w:vMerge w:val="continue"/>
            <w:vAlign w:val="center"/>
          </w:tcPr>
          <w:p w14:paraId="6885CB6D">
            <w:pPr>
              <w:widowControl/>
              <w:spacing w:line="440" w:lineRule="exact"/>
              <w:jc w:val="center"/>
              <w:rPr>
                <w:rFonts w:ascii="宋体" w:hAnsi="宋体" w:cs="宋体"/>
                <w:sz w:val="24"/>
                <w:highlight w:val="none"/>
              </w:rPr>
            </w:pPr>
          </w:p>
        </w:tc>
        <w:tc>
          <w:tcPr>
            <w:tcW w:w="1731" w:type="dxa"/>
            <w:vMerge w:val="continue"/>
            <w:vAlign w:val="center"/>
          </w:tcPr>
          <w:p w14:paraId="74EA62B3">
            <w:pPr>
              <w:widowControl/>
              <w:spacing w:line="440" w:lineRule="exact"/>
              <w:jc w:val="left"/>
              <w:rPr>
                <w:rFonts w:ascii="宋体" w:hAnsi="宋体" w:cs="宋体"/>
                <w:color w:val="000000"/>
                <w:sz w:val="24"/>
                <w:highlight w:val="none"/>
              </w:rPr>
            </w:pPr>
          </w:p>
        </w:tc>
        <w:tc>
          <w:tcPr>
            <w:tcW w:w="6113" w:type="dxa"/>
            <w:vAlign w:val="center"/>
          </w:tcPr>
          <w:p w14:paraId="7B3AF097">
            <w:pPr>
              <w:pStyle w:val="20"/>
              <w:spacing w:line="440" w:lineRule="exact"/>
              <w:rPr>
                <w:rFonts w:ascii="宋体" w:hAnsi="宋体" w:cs="宋体"/>
                <w:color w:val="000000"/>
                <w:sz w:val="24"/>
                <w:highlight w:val="none"/>
              </w:rPr>
            </w:pPr>
            <w:r>
              <w:rPr>
                <w:rFonts w:hint="eastAsia" w:ascii="宋体" w:hAnsi="宋体" w:cs="宋体"/>
                <w:color w:val="000000"/>
                <w:sz w:val="24"/>
                <w:highlight w:val="none"/>
              </w:rPr>
              <w:t>具备售后服务体系完善程度认证十星级及以上售后服务证书的得2分；具备售后服务体系完善程度认证十星级以下的售后服务证书的得1分。</w:t>
            </w:r>
            <w:r>
              <w:rPr>
                <w:rFonts w:hint="eastAsia" w:ascii="宋体" w:hAnsi="宋体" w:cs="宋体"/>
                <w:sz w:val="24"/>
                <w:highlight w:val="none"/>
              </w:rPr>
              <w:br w:type="textWrapping"/>
            </w:r>
            <w:r>
              <w:rPr>
                <w:rFonts w:hint="eastAsia" w:ascii="宋体" w:hAnsi="宋体" w:cs="宋体"/>
                <w:b/>
                <w:bCs/>
                <w:sz w:val="24"/>
                <w:highlight w:val="none"/>
              </w:rPr>
              <w:t>注：提供证书的清晰扫描件，否则不得分。</w:t>
            </w:r>
          </w:p>
        </w:tc>
        <w:tc>
          <w:tcPr>
            <w:tcW w:w="735" w:type="dxa"/>
            <w:vAlign w:val="center"/>
          </w:tcPr>
          <w:p w14:paraId="3B541E59">
            <w:pPr>
              <w:widowControl/>
              <w:spacing w:line="440" w:lineRule="exact"/>
              <w:jc w:val="center"/>
              <w:rPr>
                <w:rFonts w:ascii="宋体" w:hAnsi="宋体" w:cs="宋体"/>
                <w:sz w:val="24"/>
                <w:highlight w:val="none"/>
              </w:rPr>
            </w:pPr>
            <w:r>
              <w:rPr>
                <w:rFonts w:hint="eastAsia" w:ascii="宋体" w:hAnsi="宋体" w:cs="宋体"/>
                <w:sz w:val="24"/>
                <w:highlight w:val="none"/>
              </w:rPr>
              <w:t>2</w:t>
            </w:r>
          </w:p>
        </w:tc>
      </w:tr>
    </w:tbl>
    <w:p w14:paraId="5B3196EF">
      <w:pPr>
        <w:spacing w:line="440" w:lineRule="exact"/>
        <w:rPr>
          <w:rFonts w:ascii="宋体" w:hAnsi="宋体" w:cs="宋体"/>
          <w:b/>
          <w:bCs/>
          <w:sz w:val="24"/>
          <w:highlight w:val="none"/>
        </w:rPr>
      </w:pPr>
      <w:r>
        <w:rPr>
          <w:rFonts w:hint="eastAsia" w:ascii="宋体" w:hAnsi="宋体" w:cs="宋体"/>
          <w:b/>
          <w:bCs/>
          <w:sz w:val="24"/>
          <w:highlight w:val="none"/>
        </w:rPr>
        <w:t>提示：</w:t>
      </w:r>
    </w:p>
    <w:p w14:paraId="4E9D5E22">
      <w:pPr>
        <w:spacing w:line="440" w:lineRule="exact"/>
        <w:rPr>
          <w:rFonts w:ascii="宋体" w:hAnsi="宋体" w:cs="宋体"/>
          <w:b/>
          <w:bCs/>
          <w:sz w:val="24"/>
          <w:highlight w:val="none"/>
          <w:u w:val="single"/>
        </w:rPr>
      </w:pPr>
      <w:r>
        <w:rPr>
          <w:rFonts w:hint="eastAsia" w:ascii="宋体" w:hAnsi="宋体" w:cs="宋体"/>
          <w:b/>
          <w:bCs/>
          <w:sz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02741D42">
      <w:pPr>
        <w:spacing w:line="440" w:lineRule="exact"/>
        <w:rPr>
          <w:rFonts w:ascii="宋体" w:hAnsi="宋体" w:cs="宋体"/>
          <w:b/>
          <w:bCs/>
          <w:sz w:val="24"/>
          <w:highlight w:val="none"/>
          <w:u w:val="single"/>
        </w:rPr>
      </w:pPr>
      <w:r>
        <w:rPr>
          <w:rFonts w:hint="eastAsia" w:ascii="宋体" w:hAnsi="宋体" w:cs="宋体"/>
          <w:b/>
          <w:bCs/>
          <w:sz w:val="24"/>
          <w:highlight w:val="none"/>
          <w:u w:val="single"/>
        </w:rPr>
        <w:t>2、投标人提交的所有投标文件、资料（包括所有证书、合同、报告等）都是准确、真实、合规的，如提供虚假资料，投标人需承担一切后果。</w:t>
      </w:r>
    </w:p>
    <w:p w14:paraId="2DB3E79E">
      <w:pPr>
        <w:spacing w:line="440" w:lineRule="exact"/>
        <w:rPr>
          <w:rFonts w:ascii="宋体" w:hAnsi="宋体" w:cs="宋体"/>
          <w:sz w:val="24"/>
          <w:highlight w:val="none"/>
          <w:lang w:val="zh-CN"/>
        </w:rPr>
      </w:pPr>
      <w:r>
        <w:rPr>
          <w:rFonts w:hint="eastAsia" w:ascii="宋体" w:hAnsi="宋体" w:cs="宋体"/>
          <w:b/>
          <w:bCs/>
          <w:sz w:val="24"/>
          <w:highlight w:val="none"/>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35A0DA81">
      <w:pPr>
        <w:spacing w:before="156" w:beforeLines="50" w:after="156" w:afterLines="50" w:line="440" w:lineRule="exact"/>
        <w:ind w:right="480" w:firstLine="361" w:firstLineChars="150"/>
        <w:rPr>
          <w:rFonts w:ascii="宋体" w:hAnsi="宋体" w:cs="宋体"/>
          <w:b/>
          <w:bCs/>
          <w:sz w:val="24"/>
          <w:highlight w:val="none"/>
        </w:rPr>
      </w:pPr>
      <w:r>
        <w:rPr>
          <w:rFonts w:hint="eastAsia" w:ascii="宋体" w:hAnsi="宋体" w:cs="宋体"/>
          <w:b/>
          <w:bCs/>
          <w:sz w:val="24"/>
          <w:highlight w:val="none"/>
        </w:rPr>
        <w:t>（三）商务技术分的计算方式</w:t>
      </w:r>
    </w:p>
    <w:p w14:paraId="02729BD1">
      <w:pPr>
        <w:spacing w:line="440" w:lineRule="exact"/>
        <w:ind w:firstLine="480" w:firstLineChars="200"/>
        <w:rPr>
          <w:rFonts w:ascii="宋体" w:hAnsi="宋体" w:cs="宋体"/>
          <w:sz w:val="24"/>
          <w:highlight w:val="none"/>
        </w:rPr>
      </w:pPr>
      <w:r>
        <w:rPr>
          <w:rFonts w:hint="eastAsia" w:ascii="宋体" w:hAnsi="宋体" w:cs="宋体"/>
          <w:sz w:val="24"/>
          <w:highlight w:val="none"/>
        </w:rPr>
        <w:t>商务技术分按照评标委员会成员的独立评分结果汇总后，取全部评标委员会成员评分值的算术平均分，计算公式为：</w:t>
      </w:r>
    </w:p>
    <w:p w14:paraId="1BB49090">
      <w:pPr>
        <w:spacing w:line="440" w:lineRule="exact"/>
        <w:ind w:firstLine="495"/>
        <w:rPr>
          <w:rFonts w:ascii="宋体" w:hAnsi="宋体" w:cs="宋体"/>
          <w:sz w:val="24"/>
          <w:highlight w:val="none"/>
        </w:rPr>
      </w:pPr>
      <w:r>
        <w:rPr>
          <w:rFonts w:hint="eastAsia" w:ascii="宋体" w:hAnsi="宋体" w:cs="宋体"/>
          <w:sz w:val="24"/>
          <w:highlight w:val="none"/>
        </w:rPr>
        <w:t>商务技术分=（评标委员会所有成员评分合计数）/（评标委员会组成人员数）</w:t>
      </w:r>
    </w:p>
    <w:p w14:paraId="017BA45A">
      <w:pPr>
        <w:pStyle w:val="22"/>
        <w:spacing w:before="156" w:beforeLines="50" w:after="156" w:afterLines="50" w:line="440" w:lineRule="exact"/>
        <w:ind w:firstLine="466" w:firstLineChars="200"/>
        <w:rPr>
          <w:rFonts w:hAnsi="宋体" w:cs="宋体"/>
          <w:b/>
          <w:sz w:val="24"/>
          <w:szCs w:val="24"/>
          <w:highlight w:val="none"/>
        </w:rPr>
      </w:pPr>
      <w:r>
        <w:rPr>
          <w:rFonts w:hint="eastAsia" w:hAnsi="宋体" w:cs="宋体"/>
          <w:b/>
          <w:sz w:val="24"/>
          <w:szCs w:val="24"/>
          <w:highlight w:val="none"/>
        </w:rPr>
        <w:t>三、投标人义务</w:t>
      </w:r>
    </w:p>
    <w:p w14:paraId="771F8306">
      <w:pPr>
        <w:spacing w:line="440" w:lineRule="exact"/>
        <w:jc w:val="left"/>
        <w:rPr>
          <w:rFonts w:ascii="宋体" w:hAnsi="宋体" w:cs="宋体"/>
          <w:bCs/>
          <w:sz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cs="宋体"/>
          <w:bCs/>
          <w:sz w:val="24"/>
          <w:highlight w:val="none"/>
        </w:rPr>
        <w:t>评标期间，投标人应随时随地答复评标委员会的询标，解答包括有关的商务、技术问题等。</w:t>
      </w:r>
    </w:p>
    <w:p w14:paraId="3C353F0B">
      <w:pPr>
        <w:spacing w:line="440" w:lineRule="exact"/>
        <w:jc w:val="center"/>
        <w:rPr>
          <w:rFonts w:ascii="宋体" w:hAnsi="宋体" w:cs="宋体"/>
          <w:b/>
          <w:sz w:val="24"/>
          <w:highlight w:val="none"/>
        </w:rPr>
      </w:pPr>
      <w:r>
        <w:rPr>
          <w:rFonts w:hint="eastAsia" w:ascii="宋体" w:hAnsi="宋体" w:cs="宋体"/>
          <w:b/>
          <w:sz w:val="24"/>
          <w:highlight w:val="none"/>
        </w:rPr>
        <w:t>采购项目评分索引表</w:t>
      </w:r>
    </w:p>
    <w:p w14:paraId="7DFCE469">
      <w:pPr>
        <w:snapToGrid w:val="0"/>
        <w:spacing w:before="100" w:beforeAutospacing="1" w:after="100" w:afterAutospacing="1" w:line="440" w:lineRule="exact"/>
        <w:rPr>
          <w:rFonts w:ascii="宋体" w:hAnsi="宋体" w:cs="宋体"/>
          <w:b/>
          <w:spacing w:val="-4"/>
          <w:sz w:val="24"/>
          <w:highlight w:val="none"/>
          <w:shd w:val="pct10" w:color="auto" w:fill="FFFFFF"/>
        </w:rPr>
      </w:pPr>
      <w:r>
        <w:rPr>
          <w:rFonts w:hint="eastAsia" w:ascii="宋体" w:hAnsi="宋体" w:cs="宋体"/>
          <w:b/>
          <w:spacing w:val="-4"/>
          <w:sz w:val="24"/>
          <w:highlight w:val="none"/>
        </w:rPr>
        <w:t>（</w:t>
      </w:r>
      <w:r>
        <w:rPr>
          <w:rFonts w:hint="eastAsia" w:ascii="宋体" w:hAnsi="宋体" w:cs="宋体"/>
          <w:b/>
          <w:spacing w:val="-4"/>
          <w:sz w:val="24"/>
          <w:highlight w:val="none"/>
          <w:shd w:val="pct10" w:color="auto" w:fill="FFFFFF"/>
        </w:rPr>
        <w:t>本采购项目评分索引表放在商务技术文件目录的前页，</w:t>
      </w:r>
      <w:r>
        <w:rPr>
          <w:rFonts w:hint="eastAsia" w:ascii="宋体" w:hAnsi="宋体" w:cs="宋体"/>
          <w:b/>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cs="宋体"/>
          <w:b/>
          <w:spacing w:val="-4"/>
          <w:sz w:val="24"/>
          <w:highlight w:val="none"/>
          <w:shd w:val="pct10" w:color="auto" w:fill="FFFFFF"/>
        </w:rPr>
        <w:t>)</w:t>
      </w:r>
    </w:p>
    <w:p w14:paraId="2658C58A">
      <w:pPr>
        <w:spacing w:line="440" w:lineRule="exact"/>
        <w:rPr>
          <w:rFonts w:ascii="宋体" w:hAnsi="宋体" w:cs="宋体"/>
          <w:b/>
          <w:color w:val="000000"/>
          <w:sz w:val="24"/>
          <w:highlight w:val="none"/>
        </w:rPr>
      </w:pPr>
      <w:r>
        <w:rPr>
          <w:rFonts w:hint="eastAsia" w:ascii="宋体" w:hAnsi="宋体" w:cs="宋体"/>
          <w:b/>
          <w:color w:val="000000"/>
          <w:sz w:val="24"/>
          <w:highlight w:val="none"/>
        </w:rPr>
        <w:t>项目名称：                                 投标人名称：</w:t>
      </w:r>
    </w:p>
    <w:tbl>
      <w:tblPr>
        <w:tblStyle w:val="52"/>
        <w:tblW w:w="877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3599"/>
        <w:gridCol w:w="1132"/>
        <w:gridCol w:w="1981"/>
        <w:gridCol w:w="1556"/>
      </w:tblGrid>
      <w:tr w14:paraId="12214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4105" w:type="dxa"/>
            <w:gridSpan w:val="2"/>
            <w:vAlign w:val="center"/>
          </w:tcPr>
          <w:p w14:paraId="14346BE7">
            <w:pPr>
              <w:widowControl/>
              <w:spacing w:line="440" w:lineRule="exact"/>
              <w:jc w:val="center"/>
              <w:rPr>
                <w:rFonts w:ascii="宋体" w:hAnsi="宋体" w:cs="宋体"/>
                <w:sz w:val="24"/>
                <w:highlight w:val="none"/>
              </w:rPr>
            </w:pPr>
            <w:r>
              <w:rPr>
                <w:rFonts w:hint="eastAsia" w:ascii="宋体" w:hAnsi="宋体" w:cs="宋体"/>
                <w:sz w:val="24"/>
                <w:highlight w:val="none"/>
              </w:rPr>
              <w:t>评标内容</w:t>
            </w:r>
          </w:p>
        </w:tc>
        <w:tc>
          <w:tcPr>
            <w:tcW w:w="1132" w:type="dxa"/>
            <w:vAlign w:val="center"/>
          </w:tcPr>
          <w:p w14:paraId="1D31F8D4">
            <w:pPr>
              <w:widowControl/>
              <w:spacing w:line="440" w:lineRule="exact"/>
              <w:jc w:val="center"/>
              <w:rPr>
                <w:rFonts w:ascii="宋体" w:hAnsi="宋体" w:cs="宋体"/>
                <w:sz w:val="24"/>
                <w:highlight w:val="none"/>
              </w:rPr>
            </w:pPr>
            <w:r>
              <w:rPr>
                <w:rFonts w:hint="eastAsia" w:ascii="宋体" w:hAnsi="宋体" w:cs="宋体"/>
                <w:sz w:val="24"/>
                <w:highlight w:val="none"/>
              </w:rPr>
              <w:t>分值</w:t>
            </w:r>
          </w:p>
        </w:tc>
        <w:tc>
          <w:tcPr>
            <w:tcW w:w="1981" w:type="dxa"/>
            <w:vAlign w:val="center"/>
          </w:tcPr>
          <w:p w14:paraId="1E7FF2F9">
            <w:pPr>
              <w:widowControl/>
              <w:spacing w:line="440" w:lineRule="exact"/>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投标人</w:t>
            </w:r>
          </w:p>
          <w:p w14:paraId="0A6987B8">
            <w:pPr>
              <w:spacing w:line="440" w:lineRule="exact"/>
              <w:jc w:val="center"/>
              <w:rPr>
                <w:rFonts w:ascii="宋体" w:hAnsi="宋体" w:cs="宋体"/>
                <w:sz w:val="24"/>
                <w:highlight w:val="none"/>
              </w:rPr>
            </w:pPr>
            <w:r>
              <w:rPr>
                <w:rFonts w:hint="eastAsia" w:ascii="宋体" w:hAnsi="宋体" w:cs="宋体"/>
                <w:sz w:val="24"/>
                <w:highlight w:val="none"/>
              </w:rPr>
              <w:t>投标文件响应页码</w:t>
            </w:r>
          </w:p>
        </w:tc>
        <w:tc>
          <w:tcPr>
            <w:tcW w:w="1556" w:type="dxa"/>
            <w:vAlign w:val="center"/>
          </w:tcPr>
          <w:p w14:paraId="70489E29">
            <w:pPr>
              <w:widowControl/>
              <w:spacing w:line="440" w:lineRule="exact"/>
              <w:jc w:val="center"/>
              <w:rPr>
                <w:rFonts w:ascii="宋体" w:hAnsi="宋体" w:cs="宋体"/>
                <w:sz w:val="24"/>
                <w:highlight w:val="none"/>
              </w:rPr>
            </w:pPr>
            <w:r>
              <w:rPr>
                <w:rFonts w:hint="eastAsia" w:ascii="宋体" w:hAnsi="宋体" w:cs="宋体"/>
                <w:sz w:val="24"/>
                <w:highlight w:val="none"/>
              </w:rPr>
              <w:t>需要说明内容</w:t>
            </w:r>
          </w:p>
        </w:tc>
      </w:tr>
      <w:tr w14:paraId="48C6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506" w:type="dxa"/>
            <w:shd w:val="clear" w:color="auto" w:fill="auto"/>
            <w:vAlign w:val="center"/>
          </w:tcPr>
          <w:p w14:paraId="79E893C4">
            <w:pPr>
              <w:adjustRightInd w:val="0"/>
              <w:snapToGrid w:val="0"/>
              <w:spacing w:line="440" w:lineRule="exact"/>
              <w:jc w:val="center"/>
              <w:textAlignment w:val="center"/>
              <w:rPr>
                <w:rFonts w:ascii="宋体" w:hAnsi="宋体" w:cs="宋体"/>
                <w:b/>
                <w:bCs/>
                <w:kern w:val="0"/>
                <w:sz w:val="24"/>
                <w:highlight w:val="none"/>
                <w:lang w:bidi="ar"/>
              </w:rPr>
            </w:pPr>
          </w:p>
        </w:tc>
        <w:tc>
          <w:tcPr>
            <w:tcW w:w="3599" w:type="dxa"/>
            <w:shd w:val="clear" w:color="auto" w:fill="auto"/>
            <w:vAlign w:val="center"/>
          </w:tcPr>
          <w:p w14:paraId="26F36D80">
            <w:pPr>
              <w:adjustRightInd w:val="0"/>
              <w:snapToGrid w:val="0"/>
              <w:spacing w:line="440" w:lineRule="exact"/>
              <w:textAlignment w:val="center"/>
              <w:rPr>
                <w:rFonts w:ascii="宋体" w:hAnsi="宋体" w:cs="宋体"/>
                <w:b/>
                <w:bCs/>
                <w:kern w:val="0"/>
                <w:sz w:val="24"/>
                <w:highlight w:val="none"/>
                <w:lang w:val="zh-CN" w:bidi="ar"/>
              </w:rPr>
            </w:pPr>
          </w:p>
        </w:tc>
        <w:tc>
          <w:tcPr>
            <w:tcW w:w="1132" w:type="dxa"/>
            <w:shd w:val="clear" w:color="auto" w:fill="auto"/>
            <w:vAlign w:val="center"/>
          </w:tcPr>
          <w:p w14:paraId="19B8F680">
            <w:pPr>
              <w:spacing w:line="440" w:lineRule="exact"/>
              <w:jc w:val="center"/>
              <w:rPr>
                <w:rFonts w:ascii="宋体" w:hAnsi="宋体" w:cs="宋体"/>
                <w:b/>
                <w:color w:val="000000"/>
                <w:sz w:val="24"/>
                <w:highlight w:val="none"/>
              </w:rPr>
            </w:pPr>
          </w:p>
        </w:tc>
        <w:tc>
          <w:tcPr>
            <w:tcW w:w="1981" w:type="dxa"/>
            <w:vAlign w:val="center"/>
          </w:tcPr>
          <w:p w14:paraId="097C871B">
            <w:pPr>
              <w:spacing w:line="440" w:lineRule="exact"/>
              <w:jc w:val="center"/>
              <w:rPr>
                <w:rFonts w:ascii="宋体" w:hAnsi="宋体" w:cs="宋体"/>
                <w:bCs/>
                <w:sz w:val="24"/>
                <w:highlight w:val="none"/>
              </w:rPr>
            </w:pPr>
          </w:p>
        </w:tc>
        <w:tc>
          <w:tcPr>
            <w:tcW w:w="1556" w:type="dxa"/>
          </w:tcPr>
          <w:p w14:paraId="5736454B">
            <w:pPr>
              <w:spacing w:line="440" w:lineRule="exact"/>
              <w:jc w:val="center"/>
              <w:rPr>
                <w:rFonts w:ascii="宋体" w:hAnsi="宋体" w:cs="宋体"/>
                <w:bCs/>
                <w:sz w:val="24"/>
                <w:highlight w:val="none"/>
              </w:rPr>
            </w:pPr>
          </w:p>
        </w:tc>
      </w:tr>
      <w:tr w14:paraId="3221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506" w:type="dxa"/>
            <w:shd w:val="clear" w:color="auto" w:fill="auto"/>
            <w:vAlign w:val="center"/>
          </w:tcPr>
          <w:p w14:paraId="704F319C">
            <w:pPr>
              <w:spacing w:line="440" w:lineRule="exact"/>
              <w:jc w:val="center"/>
              <w:rPr>
                <w:rFonts w:ascii="宋体" w:hAnsi="宋体" w:cs="宋体"/>
                <w:color w:val="000000"/>
                <w:sz w:val="24"/>
                <w:highlight w:val="none"/>
              </w:rPr>
            </w:pPr>
          </w:p>
        </w:tc>
        <w:tc>
          <w:tcPr>
            <w:tcW w:w="3599" w:type="dxa"/>
            <w:shd w:val="clear" w:color="auto" w:fill="auto"/>
            <w:vAlign w:val="center"/>
          </w:tcPr>
          <w:p w14:paraId="1EF35E03">
            <w:pPr>
              <w:spacing w:line="440" w:lineRule="exact"/>
              <w:rPr>
                <w:rFonts w:ascii="宋体" w:hAnsi="宋体" w:cs="宋体"/>
                <w:color w:val="000000"/>
                <w:sz w:val="24"/>
                <w:highlight w:val="none"/>
                <w:lang w:val="zh-CN"/>
              </w:rPr>
            </w:pPr>
          </w:p>
        </w:tc>
        <w:tc>
          <w:tcPr>
            <w:tcW w:w="1132" w:type="dxa"/>
            <w:shd w:val="clear" w:color="auto" w:fill="auto"/>
            <w:vAlign w:val="center"/>
          </w:tcPr>
          <w:p w14:paraId="51ECE7D0">
            <w:pPr>
              <w:spacing w:line="440" w:lineRule="exact"/>
              <w:jc w:val="center"/>
              <w:rPr>
                <w:rFonts w:ascii="宋体" w:hAnsi="宋体" w:cs="宋体"/>
                <w:color w:val="000000"/>
                <w:sz w:val="24"/>
                <w:highlight w:val="none"/>
              </w:rPr>
            </w:pPr>
          </w:p>
        </w:tc>
        <w:tc>
          <w:tcPr>
            <w:tcW w:w="1981" w:type="dxa"/>
            <w:vAlign w:val="center"/>
          </w:tcPr>
          <w:p w14:paraId="36A20393">
            <w:pPr>
              <w:spacing w:line="440" w:lineRule="exact"/>
              <w:jc w:val="center"/>
              <w:rPr>
                <w:rFonts w:ascii="宋体" w:hAnsi="宋体" w:cs="宋体"/>
                <w:bCs/>
                <w:sz w:val="24"/>
                <w:highlight w:val="none"/>
              </w:rPr>
            </w:pPr>
          </w:p>
        </w:tc>
        <w:tc>
          <w:tcPr>
            <w:tcW w:w="1556" w:type="dxa"/>
          </w:tcPr>
          <w:p w14:paraId="21AE0A97">
            <w:pPr>
              <w:spacing w:line="440" w:lineRule="exact"/>
              <w:jc w:val="center"/>
              <w:rPr>
                <w:rFonts w:ascii="宋体" w:hAnsi="宋体" w:cs="宋体"/>
                <w:bCs/>
                <w:sz w:val="24"/>
                <w:highlight w:val="none"/>
              </w:rPr>
            </w:pPr>
          </w:p>
        </w:tc>
      </w:tr>
      <w:tr w14:paraId="329A8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6" w:type="dxa"/>
            <w:shd w:val="clear" w:color="auto" w:fill="auto"/>
            <w:vAlign w:val="center"/>
          </w:tcPr>
          <w:p w14:paraId="08B5046A">
            <w:pPr>
              <w:spacing w:line="440" w:lineRule="exact"/>
              <w:jc w:val="center"/>
              <w:rPr>
                <w:rFonts w:ascii="宋体" w:hAnsi="宋体" w:cs="宋体"/>
                <w:color w:val="000000"/>
                <w:sz w:val="24"/>
                <w:highlight w:val="none"/>
              </w:rPr>
            </w:pPr>
          </w:p>
        </w:tc>
        <w:tc>
          <w:tcPr>
            <w:tcW w:w="3599" w:type="dxa"/>
            <w:shd w:val="clear" w:color="auto" w:fill="auto"/>
            <w:vAlign w:val="center"/>
          </w:tcPr>
          <w:p w14:paraId="5A5313C0">
            <w:pPr>
              <w:spacing w:line="440" w:lineRule="exact"/>
              <w:rPr>
                <w:rFonts w:ascii="宋体" w:hAnsi="宋体" w:cs="宋体"/>
                <w:sz w:val="24"/>
                <w:highlight w:val="none"/>
              </w:rPr>
            </w:pPr>
          </w:p>
        </w:tc>
        <w:tc>
          <w:tcPr>
            <w:tcW w:w="1132" w:type="dxa"/>
            <w:shd w:val="clear" w:color="auto" w:fill="auto"/>
            <w:vAlign w:val="center"/>
          </w:tcPr>
          <w:p w14:paraId="7B0B7838">
            <w:pPr>
              <w:spacing w:line="440" w:lineRule="exact"/>
              <w:jc w:val="center"/>
              <w:rPr>
                <w:rFonts w:ascii="宋体" w:hAnsi="宋体" w:cs="宋体"/>
                <w:sz w:val="24"/>
                <w:highlight w:val="none"/>
              </w:rPr>
            </w:pPr>
          </w:p>
        </w:tc>
        <w:tc>
          <w:tcPr>
            <w:tcW w:w="1981" w:type="dxa"/>
            <w:vAlign w:val="center"/>
          </w:tcPr>
          <w:p w14:paraId="5A8545E5">
            <w:pPr>
              <w:spacing w:line="440" w:lineRule="exact"/>
              <w:jc w:val="center"/>
              <w:rPr>
                <w:rFonts w:ascii="宋体" w:hAnsi="宋体" w:cs="宋体"/>
                <w:bCs/>
                <w:sz w:val="24"/>
                <w:highlight w:val="none"/>
              </w:rPr>
            </w:pPr>
          </w:p>
        </w:tc>
        <w:tc>
          <w:tcPr>
            <w:tcW w:w="1556" w:type="dxa"/>
          </w:tcPr>
          <w:p w14:paraId="633D6752">
            <w:pPr>
              <w:spacing w:line="440" w:lineRule="exact"/>
              <w:jc w:val="center"/>
              <w:rPr>
                <w:rFonts w:ascii="宋体" w:hAnsi="宋体" w:cs="宋体"/>
                <w:bCs/>
                <w:sz w:val="24"/>
                <w:highlight w:val="none"/>
              </w:rPr>
            </w:pPr>
          </w:p>
        </w:tc>
      </w:tr>
      <w:tr w14:paraId="3C706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506" w:type="dxa"/>
            <w:shd w:val="clear" w:color="auto" w:fill="auto"/>
            <w:vAlign w:val="center"/>
          </w:tcPr>
          <w:p w14:paraId="53171673">
            <w:pPr>
              <w:spacing w:line="440" w:lineRule="exact"/>
              <w:jc w:val="center"/>
              <w:rPr>
                <w:rFonts w:ascii="宋体" w:hAnsi="宋体" w:cs="宋体"/>
                <w:color w:val="000000"/>
                <w:sz w:val="24"/>
                <w:highlight w:val="none"/>
              </w:rPr>
            </w:pPr>
          </w:p>
        </w:tc>
        <w:tc>
          <w:tcPr>
            <w:tcW w:w="3599" w:type="dxa"/>
            <w:shd w:val="clear" w:color="auto" w:fill="auto"/>
            <w:vAlign w:val="center"/>
          </w:tcPr>
          <w:p w14:paraId="3BDE4148">
            <w:pPr>
              <w:spacing w:line="440" w:lineRule="exact"/>
              <w:rPr>
                <w:rFonts w:ascii="宋体" w:hAnsi="宋体" w:cs="宋体"/>
                <w:sz w:val="24"/>
                <w:highlight w:val="none"/>
                <w:lang w:val="zh-CN"/>
              </w:rPr>
            </w:pPr>
          </w:p>
        </w:tc>
        <w:tc>
          <w:tcPr>
            <w:tcW w:w="1132" w:type="dxa"/>
            <w:shd w:val="clear" w:color="auto" w:fill="auto"/>
            <w:vAlign w:val="center"/>
          </w:tcPr>
          <w:p w14:paraId="7D7AE412">
            <w:pPr>
              <w:spacing w:line="440" w:lineRule="exact"/>
              <w:jc w:val="center"/>
              <w:rPr>
                <w:rFonts w:ascii="宋体" w:hAnsi="宋体" w:cs="宋体"/>
                <w:color w:val="000000"/>
                <w:sz w:val="24"/>
                <w:highlight w:val="none"/>
              </w:rPr>
            </w:pPr>
          </w:p>
        </w:tc>
        <w:tc>
          <w:tcPr>
            <w:tcW w:w="1981" w:type="dxa"/>
            <w:vAlign w:val="center"/>
          </w:tcPr>
          <w:p w14:paraId="321BB649">
            <w:pPr>
              <w:spacing w:line="440" w:lineRule="exact"/>
              <w:jc w:val="center"/>
              <w:rPr>
                <w:rFonts w:ascii="宋体" w:hAnsi="宋体" w:cs="宋体"/>
                <w:bCs/>
                <w:sz w:val="24"/>
                <w:highlight w:val="none"/>
              </w:rPr>
            </w:pPr>
          </w:p>
        </w:tc>
        <w:tc>
          <w:tcPr>
            <w:tcW w:w="1556" w:type="dxa"/>
          </w:tcPr>
          <w:p w14:paraId="3EBDAD44">
            <w:pPr>
              <w:spacing w:line="440" w:lineRule="exact"/>
              <w:jc w:val="center"/>
              <w:rPr>
                <w:rFonts w:ascii="宋体" w:hAnsi="宋体" w:cs="宋体"/>
                <w:bCs/>
                <w:sz w:val="24"/>
                <w:highlight w:val="none"/>
              </w:rPr>
            </w:pPr>
          </w:p>
        </w:tc>
      </w:tr>
      <w:tr w14:paraId="2077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506" w:type="dxa"/>
            <w:vAlign w:val="center"/>
          </w:tcPr>
          <w:p w14:paraId="05AEB90A">
            <w:pPr>
              <w:spacing w:line="440" w:lineRule="exact"/>
              <w:jc w:val="center"/>
              <w:rPr>
                <w:rFonts w:ascii="宋体" w:hAnsi="宋体" w:cs="宋体"/>
                <w:bCs/>
                <w:sz w:val="24"/>
                <w:highlight w:val="none"/>
              </w:rPr>
            </w:pPr>
          </w:p>
        </w:tc>
        <w:tc>
          <w:tcPr>
            <w:tcW w:w="3599" w:type="dxa"/>
            <w:shd w:val="clear" w:color="auto" w:fill="auto"/>
            <w:vAlign w:val="center"/>
          </w:tcPr>
          <w:p w14:paraId="6CE03B7F">
            <w:pPr>
              <w:spacing w:line="440" w:lineRule="exact"/>
              <w:rPr>
                <w:rFonts w:ascii="宋体" w:hAnsi="宋体" w:cs="宋体"/>
                <w:color w:val="000000"/>
                <w:sz w:val="24"/>
                <w:highlight w:val="none"/>
                <w:lang w:val="zh-CN"/>
              </w:rPr>
            </w:pPr>
          </w:p>
        </w:tc>
        <w:tc>
          <w:tcPr>
            <w:tcW w:w="1132" w:type="dxa"/>
            <w:vAlign w:val="center"/>
          </w:tcPr>
          <w:p w14:paraId="203F149C">
            <w:pPr>
              <w:spacing w:line="440" w:lineRule="exact"/>
              <w:jc w:val="center"/>
              <w:rPr>
                <w:rFonts w:ascii="宋体" w:hAnsi="宋体" w:cs="宋体"/>
                <w:kern w:val="0"/>
                <w:sz w:val="24"/>
                <w:highlight w:val="none"/>
              </w:rPr>
            </w:pPr>
          </w:p>
        </w:tc>
        <w:tc>
          <w:tcPr>
            <w:tcW w:w="1981" w:type="dxa"/>
            <w:vAlign w:val="center"/>
          </w:tcPr>
          <w:p w14:paraId="500192B5">
            <w:pPr>
              <w:spacing w:line="440" w:lineRule="exact"/>
              <w:jc w:val="center"/>
              <w:rPr>
                <w:rFonts w:ascii="宋体" w:hAnsi="宋体" w:cs="宋体"/>
                <w:bCs/>
                <w:sz w:val="24"/>
                <w:highlight w:val="none"/>
              </w:rPr>
            </w:pPr>
          </w:p>
        </w:tc>
        <w:tc>
          <w:tcPr>
            <w:tcW w:w="1556" w:type="dxa"/>
          </w:tcPr>
          <w:p w14:paraId="06D98F41">
            <w:pPr>
              <w:spacing w:line="440" w:lineRule="exact"/>
              <w:jc w:val="center"/>
              <w:rPr>
                <w:rFonts w:ascii="宋体" w:hAnsi="宋体" w:cs="宋体"/>
                <w:bCs/>
                <w:sz w:val="24"/>
                <w:highlight w:val="none"/>
              </w:rPr>
            </w:pPr>
          </w:p>
        </w:tc>
      </w:tr>
      <w:tr w14:paraId="53E50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506" w:type="dxa"/>
            <w:vAlign w:val="center"/>
          </w:tcPr>
          <w:p w14:paraId="27F1DCC0">
            <w:pPr>
              <w:spacing w:line="440" w:lineRule="exact"/>
              <w:jc w:val="center"/>
              <w:rPr>
                <w:rFonts w:ascii="宋体" w:hAnsi="宋体" w:cs="宋体"/>
                <w:color w:val="000000"/>
                <w:spacing w:val="-4"/>
                <w:sz w:val="24"/>
                <w:highlight w:val="none"/>
              </w:rPr>
            </w:pPr>
          </w:p>
        </w:tc>
        <w:tc>
          <w:tcPr>
            <w:tcW w:w="3599" w:type="dxa"/>
            <w:shd w:val="clear" w:color="auto" w:fill="auto"/>
            <w:vAlign w:val="center"/>
          </w:tcPr>
          <w:p w14:paraId="4C499777">
            <w:pPr>
              <w:spacing w:line="440" w:lineRule="exact"/>
              <w:rPr>
                <w:rFonts w:ascii="宋体" w:hAnsi="宋体" w:cs="宋体"/>
                <w:color w:val="000000"/>
                <w:sz w:val="24"/>
                <w:highlight w:val="none"/>
              </w:rPr>
            </w:pPr>
          </w:p>
        </w:tc>
        <w:tc>
          <w:tcPr>
            <w:tcW w:w="1132" w:type="dxa"/>
            <w:shd w:val="clear" w:color="auto" w:fill="auto"/>
            <w:vAlign w:val="center"/>
          </w:tcPr>
          <w:p w14:paraId="1D80312B">
            <w:pPr>
              <w:spacing w:line="440" w:lineRule="exact"/>
              <w:jc w:val="center"/>
              <w:rPr>
                <w:rFonts w:ascii="宋体" w:hAnsi="宋体" w:cs="宋体"/>
                <w:color w:val="000000"/>
                <w:sz w:val="24"/>
                <w:highlight w:val="none"/>
              </w:rPr>
            </w:pPr>
          </w:p>
        </w:tc>
        <w:tc>
          <w:tcPr>
            <w:tcW w:w="1981" w:type="dxa"/>
            <w:vAlign w:val="center"/>
          </w:tcPr>
          <w:p w14:paraId="76552173">
            <w:pPr>
              <w:spacing w:line="440" w:lineRule="exact"/>
              <w:jc w:val="center"/>
              <w:rPr>
                <w:rFonts w:ascii="宋体" w:hAnsi="宋体" w:cs="宋体"/>
                <w:bCs/>
                <w:sz w:val="24"/>
                <w:highlight w:val="none"/>
              </w:rPr>
            </w:pPr>
          </w:p>
        </w:tc>
        <w:tc>
          <w:tcPr>
            <w:tcW w:w="1556" w:type="dxa"/>
          </w:tcPr>
          <w:p w14:paraId="1CC6F010">
            <w:pPr>
              <w:spacing w:line="440" w:lineRule="exact"/>
              <w:jc w:val="center"/>
              <w:rPr>
                <w:rFonts w:ascii="宋体" w:hAnsi="宋体" w:cs="宋体"/>
                <w:bCs/>
                <w:sz w:val="24"/>
                <w:highlight w:val="none"/>
              </w:rPr>
            </w:pPr>
          </w:p>
        </w:tc>
      </w:tr>
      <w:tr w14:paraId="75FA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506" w:type="dxa"/>
            <w:vAlign w:val="center"/>
          </w:tcPr>
          <w:p w14:paraId="7599A3E3">
            <w:pPr>
              <w:spacing w:line="440" w:lineRule="exact"/>
              <w:jc w:val="center"/>
              <w:rPr>
                <w:rFonts w:ascii="宋体" w:hAnsi="宋体" w:cs="宋体"/>
                <w:color w:val="000000"/>
                <w:spacing w:val="-4"/>
                <w:sz w:val="24"/>
                <w:highlight w:val="none"/>
              </w:rPr>
            </w:pPr>
          </w:p>
        </w:tc>
        <w:tc>
          <w:tcPr>
            <w:tcW w:w="3599" w:type="dxa"/>
            <w:shd w:val="clear" w:color="auto" w:fill="auto"/>
            <w:vAlign w:val="center"/>
          </w:tcPr>
          <w:p w14:paraId="6B58214D">
            <w:pPr>
              <w:spacing w:line="440" w:lineRule="exact"/>
              <w:rPr>
                <w:rFonts w:ascii="宋体" w:hAnsi="宋体" w:cs="宋体"/>
                <w:sz w:val="24"/>
                <w:highlight w:val="none"/>
              </w:rPr>
            </w:pPr>
          </w:p>
        </w:tc>
        <w:tc>
          <w:tcPr>
            <w:tcW w:w="1132" w:type="dxa"/>
            <w:shd w:val="clear" w:color="auto" w:fill="auto"/>
            <w:vAlign w:val="center"/>
          </w:tcPr>
          <w:p w14:paraId="25991E19">
            <w:pPr>
              <w:spacing w:line="440" w:lineRule="exact"/>
              <w:jc w:val="center"/>
              <w:rPr>
                <w:rFonts w:ascii="宋体" w:hAnsi="宋体" w:cs="宋体"/>
                <w:color w:val="000000"/>
                <w:sz w:val="24"/>
                <w:highlight w:val="none"/>
              </w:rPr>
            </w:pPr>
          </w:p>
        </w:tc>
        <w:tc>
          <w:tcPr>
            <w:tcW w:w="1981" w:type="dxa"/>
            <w:vAlign w:val="center"/>
          </w:tcPr>
          <w:p w14:paraId="27E08AD2">
            <w:pPr>
              <w:spacing w:line="440" w:lineRule="exact"/>
              <w:jc w:val="center"/>
              <w:rPr>
                <w:rFonts w:ascii="宋体" w:hAnsi="宋体" w:cs="宋体"/>
                <w:bCs/>
                <w:sz w:val="24"/>
                <w:highlight w:val="none"/>
              </w:rPr>
            </w:pPr>
          </w:p>
        </w:tc>
        <w:tc>
          <w:tcPr>
            <w:tcW w:w="1556" w:type="dxa"/>
          </w:tcPr>
          <w:p w14:paraId="3FA09552">
            <w:pPr>
              <w:spacing w:line="440" w:lineRule="exact"/>
              <w:jc w:val="center"/>
              <w:rPr>
                <w:rFonts w:ascii="宋体" w:hAnsi="宋体" w:cs="宋体"/>
                <w:bCs/>
                <w:sz w:val="24"/>
                <w:highlight w:val="none"/>
              </w:rPr>
            </w:pPr>
          </w:p>
        </w:tc>
      </w:tr>
      <w:tr w14:paraId="49A49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506" w:type="dxa"/>
            <w:vAlign w:val="center"/>
          </w:tcPr>
          <w:p w14:paraId="1D40654D">
            <w:pPr>
              <w:spacing w:line="440" w:lineRule="exact"/>
              <w:jc w:val="center"/>
              <w:rPr>
                <w:rFonts w:ascii="宋体" w:hAnsi="宋体" w:cs="宋体"/>
                <w:color w:val="000000"/>
                <w:spacing w:val="-4"/>
                <w:sz w:val="24"/>
                <w:highlight w:val="none"/>
              </w:rPr>
            </w:pPr>
          </w:p>
        </w:tc>
        <w:tc>
          <w:tcPr>
            <w:tcW w:w="3599" w:type="dxa"/>
            <w:shd w:val="clear" w:color="auto" w:fill="auto"/>
            <w:vAlign w:val="center"/>
          </w:tcPr>
          <w:p w14:paraId="64F364EE">
            <w:pPr>
              <w:spacing w:line="440" w:lineRule="exact"/>
              <w:rPr>
                <w:rFonts w:ascii="宋体" w:hAnsi="宋体" w:cs="宋体"/>
                <w:sz w:val="24"/>
                <w:highlight w:val="none"/>
              </w:rPr>
            </w:pPr>
          </w:p>
        </w:tc>
        <w:tc>
          <w:tcPr>
            <w:tcW w:w="1132" w:type="dxa"/>
            <w:shd w:val="clear" w:color="auto" w:fill="auto"/>
            <w:vAlign w:val="center"/>
          </w:tcPr>
          <w:p w14:paraId="68815036">
            <w:pPr>
              <w:spacing w:line="440" w:lineRule="exact"/>
              <w:jc w:val="center"/>
              <w:rPr>
                <w:rFonts w:ascii="宋体" w:hAnsi="宋体" w:cs="宋体"/>
                <w:color w:val="000000"/>
                <w:sz w:val="24"/>
                <w:highlight w:val="none"/>
              </w:rPr>
            </w:pPr>
          </w:p>
        </w:tc>
        <w:tc>
          <w:tcPr>
            <w:tcW w:w="1981" w:type="dxa"/>
            <w:vAlign w:val="center"/>
          </w:tcPr>
          <w:p w14:paraId="1F7ED4DC">
            <w:pPr>
              <w:spacing w:line="440" w:lineRule="exact"/>
              <w:jc w:val="center"/>
              <w:rPr>
                <w:rFonts w:ascii="宋体" w:hAnsi="宋体" w:cs="宋体"/>
                <w:bCs/>
                <w:sz w:val="24"/>
                <w:highlight w:val="none"/>
              </w:rPr>
            </w:pPr>
          </w:p>
        </w:tc>
        <w:tc>
          <w:tcPr>
            <w:tcW w:w="1556" w:type="dxa"/>
          </w:tcPr>
          <w:p w14:paraId="1BCE65DD">
            <w:pPr>
              <w:spacing w:line="440" w:lineRule="exact"/>
              <w:jc w:val="center"/>
              <w:rPr>
                <w:rFonts w:ascii="宋体" w:hAnsi="宋体" w:cs="宋体"/>
                <w:bCs/>
                <w:sz w:val="24"/>
                <w:highlight w:val="none"/>
              </w:rPr>
            </w:pPr>
          </w:p>
        </w:tc>
      </w:tr>
      <w:tr w14:paraId="14F80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506" w:type="dxa"/>
            <w:vAlign w:val="center"/>
          </w:tcPr>
          <w:p w14:paraId="4074E06C">
            <w:pPr>
              <w:spacing w:line="440" w:lineRule="exact"/>
              <w:jc w:val="center"/>
              <w:rPr>
                <w:rFonts w:ascii="宋体" w:hAnsi="宋体" w:cs="宋体"/>
                <w:color w:val="000000"/>
                <w:spacing w:val="-4"/>
                <w:sz w:val="24"/>
                <w:highlight w:val="none"/>
              </w:rPr>
            </w:pPr>
          </w:p>
        </w:tc>
        <w:tc>
          <w:tcPr>
            <w:tcW w:w="3599" w:type="dxa"/>
            <w:shd w:val="clear" w:color="auto" w:fill="auto"/>
            <w:vAlign w:val="center"/>
          </w:tcPr>
          <w:p w14:paraId="1EFDAA77">
            <w:pPr>
              <w:spacing w:line="440" w:lineRule="exact"/>
              <w:rPr>
                <w:rFonts w:ascii="宋体" w:hAnsi="宋体" w:cs="宋体"/>
                <w:bCs/>
                <w:kern w:val="0"/>
                <w:sz w:val="24"/>
                <w:highlight w:val="none"/>
              </w:rPr>
            </w:pPr>
          </w:p>
        </w:tc>
        <w:tc>
          <w:tcPr>
            <w:tcW w:w="1132" w:type="dxa"/>
            <w:shd w:val="clear" w:color="auto" w:fill="auto"/>
            <w:vAlign w:val="center"/>
          </w:tcPr>
          <w:p w14:paraId="73D90B0F">
            <w:pPr>
              <w:spacing w:line="440" w:lineRule="exact"/>
              <w:jc w:val="center"/>
              <w:rPr>
                <w:rFonts w:ascii="宋体" w:hAnsi="宋体" w:cs="宋体"/>
                <w:color w:val="000000"/>
                <w:sz w:val="24"/>
                <w:highlight w:val="none"/>
              </w:rPr>
            </w:pPr>
          </w:p>
        </w:tc>
        <w:tc>
          <w:tcPr>
            <w:tcW w:w="1981" w:type="dxa"/>
            <w:vAlign w:val="center"/>
          </w:tcPr>
          <w:p w14:paraId="2A525EB3">
            <w:pPr>
              <w:spacing w:line="440" w:lineRule="exact"/>
              <w:jc w:val="center"/>
              <w:rPr>
                <w:rFonts w:ascii="宋体" w:hAnsi="宋体" w:cs="宋体"/>
                <w:bCs/>
                <w:sz w:val="24"/>
                <w:highlight w:val="none"/>
              </w:rPr>
            </w:pPr>
          </w:p>
        </w:tc>
        <w:tc>
          <w:tcPr>
            <w:tcW w:w="1556" w:type="dxa"/>
          </w:tcPr>
          <w:p w14:paraId="0E9B95F9">
            <w:pPr>
              <w:spacing w:line="440" w:lineRule="exact"/>
              <w:jc w:val="center"/>
              <w:rPr>
                <w:rFonts w:ascii="宋体" w:hAnsi="宋体" w:cs="宋体"/>
                <w:bCs/>
                <w:sz w:val="24"/>
                <w:highlight w:val="none"/>
              </w:rPr>
            </w:pPr>
          </w:p>
        </w:tc>
      </w:tr>
      <w:tr w14:paraId="5712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506" w:type="dxa"/>
            <w:vAlign w:val="center"/>
          </w:tcPr>
          <w:p w14:paraId="4CD5F9B8">
            <w:pPr>
              <w:spacing w:line="440" w:lineRule="exact"/>
              <w:jc w:val="center"/>
              <w:rPr>
                <w:rFonts w:ascii="宋体" w:hAnsi="宋体" w:cs="宋体"/>
                <w:color w:val="000000"/>
                <w:spacing w:val="-4"/>
                <w:sz w:val="24"/>
                <w:highlight w:val="none"/>
              </w:rPr>
            </w:pPr>
          </w:p>
        </w:tc>
        <w:tc>
          <w:tcPr>
            <w:tcW w:w="3599" w:type="dxa"/>
            <w:shd w:val="clear" w:color="auto" w:fill="auto"/>
            <w:vAlign w:val="center"/>
          </w:tcPr>
          <w:p w14:paraId="79790B05">
            <w:pPr>
              <w:spacing w:line="440" w:lineRule="exact"/>
              <w:rPr>
                <w:rFonts w:ascii="宋体" w:hAnsi="宋体" w:cs="宋体"/>
                <w:bCs/>
                <w:kern w:val="0"/>
                <w:sz w:val="24"/>
                <w:highlight w:val="none"/>
              </w:rPr>
            </w:pPr>
          </w:p>
        </w:tc>
        <w:tc>
          <w:tcPr>
            <w:tcW w:w="1132" w:type="dxa"/>
            <w:shd w:val="clear" w:color="auto" w:fill="auto"/>
            <w:vAlign w:val="center"/>
          </w:tcPr>
          <w:p w14:paraId="30E32A61">
            <w:pPr>
              <w:spacing w:line="440" w:lineRule="exact"/>
              <w:jc w:val="center"/>
              <w:rPr>
                <w:rFonts w:ascii="宋体" w:hAnsi="宋体" w:cs="宋体"/>
                <w:color w:val="000000"/>
                <w:sz w:val="24"/>
                <w:highlight w:val="none"/>
              </w:rPr>
            </w:pPr>
          </w:p>
        </w:tc>
        <w:tc>
          <w:tcPr>
            <w:tcW w:w="1981" w:type="dxa"/>
            <w:vAlign w:val="center"/>
          </w:tcPr>
          <w:p w14:paraId="3BE72AD8">
            <w:pPr>
              <w:spacing w:line="440" w:lineRule="exact"/>
              <w:jc w:val="center"/>
              <w:rPr>
                <w:rFonts w:ascii="宋体" w:hAnsi="宋体" w:cs="宋体"/>
                <w:bCs/>
                <w:sz w:val="24"/>
                <w:highlight w:val="none"/>
              </w:rPr>
            </w:pPr>
          </w:p>
        </w:tc>
        <w:tc>
          <w:tcPr>
            <w:tcW w:w="1556" w:type="dxa"/>
          </w:tcPr>
          <w:p w14:paraId="72B6F410">
            <w:pPr>
              <w:spacing w:line="440" w:lineRule="exact"/>
              <w:jc w:val="center"/>
              <w:rPr>
                <w:rFonts w:ascii="宋体" w:hAnsi="宋体" w:cs="宋体"/>
                <w:bCs/>
                <w:sz w:val="24"/>
                <w:highlight w:val="none"/>
              </w:rPr>
            </w:pPr>
          </w:p>
        </w:tc>
      </w:tr>
      <w:tr w14:paraId="6A95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506" w:type="dxa"/>
            <w:vAlign w:val="center"/>
          </w:tcPr>
          <w:p w14:paraId="7C8809BC">
            <w:pPr>
              <w:spacing w:line="440" w:lineRule="exact"/>
              <w:jc w:val="center"/>
              <w:rPr>
                <w:rFonts w:ascii="宋体" w:hAnsi="宋体" w:cs="宋体"/>
                <w:color w:val="000000"/>
                <w:spacing w:val="-4"/>
                <w:sz w:val="24"/>
                <w:highlight w:val="none"/>
              </w:rPr>
            </w:pPr>
          </w:p>
        </w:tc>
        <w:tc>
          <w:tcPr>
            <w:tcW w:w="3599" w:type="dxa"/>
            <w:shd w:val="clear" w:color="auto" w:fill="auto"/>
            <w:vAlign w:val="center"/>
          </w:tcPr>
          <w:p w14:paraId="0942C473">
            <w:pPr>
              <w:widowControl/>
              <w:spacing w:line="440" w:lineRule="exact"/>
              <w:jc w:val="left"/>
              <w:rPr>
                <w:rFonts w:ascii="宋体" w:hAnsi="宋体" w:cs="宋体"/>
                <w:bCs/>
                <w:kern w:val="0"/>
                <w:sz w:val="24"/>
                <w:highlight w:val="none"/>
              </w:rPr>
            </w:pPr>
          </w:p>
        </w:tc>
        <w:tc>
          <w:tcPr>
            <w:tcW w:w="1132" w:type="dxa"/>
            <w:vAlign w:val="center"/>
          </w:tcPr>
          <w:p w14:paraId="0043CB36">
            <w:pPr>
              <w:spacing w:line="440" w:lineRule="exact"/>
              <w:jc w:val="center"/>
              <w:rPr>
                <w:rFonts w:ascii="宋体" w:hAnsi="宋体" w:cs="宋体"/>
                <w:kern w:val="0"/>
                <w:sz w:val="24"/>
                <w:highlight w:val="none"/>
              </w:rPr>
            </w:pPr>
          </w:p>
        </w:tc>
        <w:tc>
          <w:tcPr>
            <w:tcW w:w="1981" w:type="dxa"/>
            <w:vAlign w:val="center"/>
          </w:tcPr>
          <w:p w14:paraId="0005414B">
            <w:pPr>
              <w:spacing w:line="440" w:lineRule="exact"/>
              <w:jc w:val="center"/>
              <w:rPr>
                <w:rFonts w:ascii="宋体" w:hAnsi="宋体" w:cs="宋体"/>
                <w:bCs/>
                <w:sz w:val="24"/>
                <w:highlight w:val="none"/>
              </w:rPr>
            </w:pPr>
          </w:p>
        </w:tc>
        <w:tc>
          <w:tcPr>
            <w:tcW w:w="1556" w:type="dxa"/>
          </w:tcPr>
          <w:p w14:paraId="0CAADB86">
            <w:pPr>
              <w:spacing w:line="440" w:lineRule="exact"/>
              <w:jc w:val="center"/>
              <w:rPr>
                <w:rFonts w:ascii="宋体" w:hAnsi="宋体" w:cs="宋体"/>
                <w:bCs/>
                <w:sz w:val="24"/>
                <w:highlight w:val="none"/>
              </w:rPr>
            </w:pPr>
          </w:p>
        </w:tc>
      </w:tr>
      <w:tr w14:paraId="7E8A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4105" w:type="dxa"/>
            <w:gridSpan w:val="2"/>
            <w:vAlign w:val="center"/>
          </w:tcPr>
          <w:p w14:paraId="58FA2627">
            <w:pPr>
              <w:spacing w:line="440" w:lineRule="exact"/>
              <w:jc w:val="center"/>
              <w:rPr>
                <w:rFonts w:ascii="宋体" w:hAnsi="宋体" w:cs="宋体"/>
                <w:sz w:val="24"/>
                <w:highlight w:val="none"/>
              </w:rPr>
            </w:pPr>
            <w:r>
              <w:rPr>
                <w:rFonts w:hint="eastAsia" w:ascii="宋体" w:hAnsi="宋体" w:cs="宋体"/>
                <w:sz w:val="24"/>
                <w:highlight w:val="none"/>
              </w:rPr>
              <w:t>合计</w:t>
            </w:r>
          </w:p>
        </w:tc>
        <w:tc>
          <w:tcPr>
            <w:tcW w:w="1132" w:type="dxa"/>
            <w:shd w:val="clear" w:color="auto" w:fill="auto"/>
            <w:vAlign w:val="center"/>
          </w:tcPr>
          <w:p w14:paraId="4F1FD918">
            <w:pPr>
              <w:spacing w:line="440" w:lineRule="exact"/>
              <w:rPr>
                <w:rFonts w:ascii="宋体" w:hAnsi="宋体" w:cs="宋体"/>
                <w:bCs/>
                <w:kern w:val="0"/>
                <w:sz w:val="24"/>
                <w:highlight w:val="none"/>
              </w:rPr>
            </w:pPr>
          </w:p>
        </w:tc>
        <w:tc>
          <w:tcPr>
            <w:tcW w:w="1981" w:type="dxa"/>
            <w:vAlign w:val="center"/>
          </w:tcPr>
          <w:p w14:paraId="00441029">
            <w:pPr>
              <w:snapToGrid w:val="0"/>
              <w:spacing w:line="440" w:lineRule="exact"/>
              <w:rPr>
                <w:rFonts w:ascii="宋体" w:hAnsi="宋体" w:cs="宋体"/>
                <w:bCs/>
                <w:sz w:val="24"/>
                <w:highlight w:val="none"/>
                <w:lang w:val="zh-CN"/>
              </w:rPr>
            </w:pPr>
          </w:p>
        </w:tc>
        <w:tc>
          <w:tcPr>
            <w:tcW w:w="1556" w:type="dxa"/>
          </w:tcPr>
          <w:p w14:paraId="6CE907CA">
            <w:pPr>
              <w:snapToGrid w:val="0"/>
              <w:spacing w:line="440" w:lineRule="exact"/>
              <w:rPr>
                <w:rFonts w:ascii="宋体" w:hAnsi="宋体" w:cs="宋体"/>
                <w:bCs/>
                <w:sz w:val="24"/>
                <w:highlight w:val="none"/>
                <w:lang w:val="zh-CN"/>
              </w:rPr>
            </w:pPr>
          </w:p>
        </w:tc>
      </w:tr>
    </w:tbl>
    <w:p w14:paraId="2B26B0A4">
      <w:pPr>
        <w:snapToGrid w:val="0"/>
        <w:spacing w:before="100" w:beforeAutospacing="1" w:after="100" w:afterAutospacing="1" w:line="440" w:lineRule="exact"/>
        <w:jc w:val="center"/>
        <w:rPr>
          <w:rFonts w:ascii="宋体" w:hAnsi="宋体" w:cs="宋体"/>
          <w:b/>
          <w:spacing w:val="-4"/>
          <w:sz w:val="24"/>
          <w:highlight w:val="none"/>
        </w:rPr>
      </w:pPr>
    </w:p>
    <w:p w14:paraId="52C17E8C">
      <w:pPr>
        <w:snapToGrid w:val="0"/>
        <w:spacing w:before="100" w:beforeAutospacing="1" w:after="100" w:afterAutospacing="1" w:line="440" w:lineRule="exact"/>
        <w:jc w:val="center"/>
        <w:rPr>
          <w:rFonts w:ascii="宋体" w:hAnsi="宋体" w:cs="宋体"/>
          <w:spacing w:val="-4"/>
          <w:sz w:val="24"/>
          <w:highlight w:val="none"/>
        </w:rPr>
      </w:pPr>
      <w:r>
        <w:rPr>
          <w:rFonts w:hint="eastAsia" w:ascii="宋体" w:hAnsi="宋体" w:cs="宋体"/>
          <w:b/>
          <w:spacing w:val="-4"/>
          <w:sz w:val="24"/>
          <w:highlight w:val="none"/>
        </w:rPr>
        <w:t>（本评分索引表放在商务技术文件目录的前页，以方便评委进行评审)</w:t>
      </w:r>
    </w:p>
    <w:p w14:paraId="14F6E35D">
      <w:pPr>
        <w:spacing w:line="440" w:lineRule="exact"/>
        <w:jc w:val="center"/>
        <w:rPr>
          <w:rFonts w:ascii="宋体" w:hAnsi="宋体" w:cs="宋体"/>
          <w:b/>
          <w:sz w:val="24"/>
          <w:highlight w:val="none"/>
        </w:rPr>
      </w:pPr>
      <w:r>
        <w:rPr>
          <w:rFonts w:hint="eastAsia" w:ascii="宋体" w:hAnsi="宋体" w:cs="宋体"/>
          <w:b/>
          <w:sz w:val="24"/>
          <w:highlight w:val="none"/>
        </w:rPr>
        <w:br w:type="page"/>
      </w:r>
    </w:p>
    <w:p w14:paraId="52441290">
      <w:pPr>
        <w:adjustRightInd w:val="0"/>
        <w:spacing w:line="440" w:lineRule="exact"/>
        <w:jc w:val="center"/>
        <w:outlineLvl w:val="0"/>
        <w:rPr>
          <w:rFonts w:ascii="宋体" w:hAnsi="宋体" w:cs="宋体"/>
          <w:b/>
          <w:sz w:val="24"/>
          <w:highlight w:val="none"/>
        </w:rPr>
      </w:pPr>
      <w:bookmarkStart w:id="63" w:name="_Toc30155"/>
      <w:bookmarkStart w:id="64" w:name="_Toc8133"/>
      <w:r>
        <w:rPr>
          <w:rFonts w:hint="eastAsia" w:ascii="宋体" w:hAnsi="宋体" w:cs="宋体"/>
          <w:b/>
          <w:sz w:val="24"/>
          <w:highlight w:val="none"/>
        </w:rPr>
        <w:t>第五章  合同主要条款</w:t>
      </w:r>
      <w:bookmarkEnd w:id="63"/>
      <w:bookmarkEnd w:id="64"/>
    </w:p>
    <w:p w14:paraId="44A93BC5">
      <w:pPr>
        <w:pStyle w:val="30"/>
        <w:snapToGrid w:val="0"/>
        <w:spacing w:beforeLines="0" w:afterLines="0" w:line="440" w:lineRule="exact"/>
        <w:rPr>
          <w:rFonts w:hAnsi="宋体" w:cs="宋体"/>
          <w:highlight w:val="none"/>
        </w:rPr>
      </w:pPr>
      <w:bookmarkStart w:id="65" w:name="_Hlk53062102"/>
      <w:bookmarkStart w:id="66" w:name="_Toc466534751"/>
    </w:p>
    <w:bookmarkEnd w:id="65"/>
    <w:p w14:paraId="2D7047E8">
      <w:pPr>
        <w:spacing w:line="440" w:lineRule="exact"/>
        <w:rPr>
          <w:rFonts w:ascii="宋体" w:hAnsi="宋体" w:cs="宋体"/>
          <w:sz w:val="24"/>
          <w:highlight w:val="none"/>
        </w:rPr>
      </w:pPr>
      <w:r>
        <w:rPr>
          <w:rFonts w:hint="eastAsia" w:ascii="宋体" w:hAnsi="宋体" w:cs="宋体"/>
          <w:sz w:val="24"/>
          <w:highlight w:val="none"/>
        </w:rPr>
        <w:t>项目编号：</w:t>
      </w:r>
    </w:p>
    <w:p w14:paraId="2E3BA854">
      <w:pPr>
        <w:spacing w:line="440" w:lineRule="exact"/>
        <w:rPr>
          <w:rFonts w:ascii="宋体" w:hAnsi="宋体" w:cs="宋体"/>
          <w:sz w:val="24"/>
          <w:highlight w:val="none"/>
        </w:rPr>
      </w:pPr>
    </w:p>
    <w:p w14:paraId="6CF61A0F">
      <w:pPr>
        <w:spacing w:line="440" w:lineRule="exact"/>
        <w:rPr>
          <w:rFonts w:ascii="宋体" w:hAnsi="宋体" w:cs="宋体"/>
          <w:sz w:val="24"/>
          <w:highlight w:val="none"/>
        </w:rPr>
      </w:pPr>
    </w:p>
    <w:p w14:paraId="29726DEC">
      <w:pPr>
        <w:spacing w:line="440" w:lineRule="exact"/>
        <w:jc w:val="center"/>
        <w:rPr>
          <w:rFonts w:ascii="宋体" w:hAnsi="宋体" w:cs="宋体"/>
          <w:b/>
          <w:sz w:val="24"/>
          <w:highlight w:val="none"/>
        </w:rPr>
      </w:pPr>
      <w:r>
        <w:rPr>
          <w:rFonts w:hint="eastAsia" w:ascii="宋体" w:hAnsi="宋体" w:cs="宋体"/>
          <w:b/>
          <w:sz w:val="24"/>
          <w:highlight w:val="none"/>
        </w:rPr>
        <w:t>合  同  书</w:t>
      </w:r>
    </w:p>
    <w:p w14:paraId="3B91D216">
      <w:pPr>
        <w:spacing w:line="440" w:lineRule="exact"/>
        <w:rPr>
          <w:rFonts w:ascii="宋体" w:hAnsi="宋体" w:cs="宋体"/>
          <w:sz w:val="24"/>
          <w:highlight w:val="none"/>
        </w:rPr>
      </w:pPr>
    </w:p>
    <w:p w14:paraId="26643C5C">
      <w:pPr>
        <w:spacing w:line="440" w:lineRule="exact"/>
        <w:rPr>
          <w:rFonts w:ascii="宋体" w:hAnsi="宋体" w:cs="宋体"/>
          <w:sz w:val="24"/>
          <w:highlight w:val="none"/>
        </w:rPr>
      </w:pPr>
    </w:p>
    <w:p w14:paraId="1DBA2C49">
      <w:pPr>
        <w:spacing w:line="440" w:lineRule="exact"/>
        <w:rPr>
          <w:rFonts w:ascii="宋体" w:hAnsi="宋体" w:cs="宋体"/>
          <w:sz w:val="24"/>
          <w:highlight w:val="none"/>
        </w:rPr>
      </w:pPr>
    </w:p>
    <w:p w14:paraId="7F1E1B35">
      <w:pPr>
        <w:spacing w:line="440" w:lineRule="exact"/>
        <w:rPr>
          <w:rFonts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4A536C2E">
      <w:pPr>
        <w:spacing w:line="440" w:lineRule="exact"/>
        <w:rPr>
          <w:rFonts w:ascii="宋体" w:hAnsi="宋体" w:cs="宋体"/>
          <w:sz w:val="24"/>
          <w:highlight w:val="none"/>
        </w:rPr>
      </w:pPr>
    </w:p>
    <w:p w14:paraId="0E200FE5">
      <w:pPr>
        <w:spacing w:line="440" w:lineRule="exact"/>
        <w:rPr>
          <w:rFonts w:ascii="宋体" w:hAnsi="宋体" w:cs="宋体"/>
          <w:sz w:val="24"/>
          <w:highlight w:val="none"/>
        </w:rPr>
      </w:pPr>
      <w:r>
        <w:rPr>
          <w:rFonts w:hint="eastAsia" w:ascii="宋体" w:hAnsi="宋体" w:cs="宋体"/>
          <w:sz w:val="24"/>
          <w:highlight w:val="none"/>
        </w:rPr>
        <w:t>采购方（甲方）：</w:t>
      </w:r>
      <w:r>
        <w:rPr>
          <w:rFonts w:hint="eastAsia" w:ascii="宋体" w:hAnsi="宋体" w:cs="宋体"/>
          <w:sz w:val="24"/>
          <w:highlight w:val="none"/>
          <w:u w:val="single"/>
        </w:rPr>
        <w:t xml:space="preserve">                                                 </w:t>
      </w:r>
    </w:p>
    <w:p w14:paraId="6E406FB7">
      <w:pPr>
        <w:spacing w:line="440" w:lineRule="exact"/>
        <w:rPr>
          <w:rFonts w:ascii="宋体" w:hAnsi="宋体" w:cs="宋体"/>
          <w:sz w:val="24"/>
          <w:highlight w:val="none"/>
        </w:rPr>
      </w:pPr>
    </w:p>
    <w:p w14:paraId="43747EEB">
      <w:pPr>
        <w:spacing w:line="440" w:lineRule="exact"/>
        <w:rPr>
          <w:rFonts w:ascii="宋体" w:hAnsi="宋体" w:cs="宋体"/>
          <w:sz w:val="24"/>
          <w:highlight w:val="none"/>
        </w:rPr>
      </w:pPr>
      <w:r>
        <w:rPr>
          <w:rFonts w:hint="eastAsia" w:ascii="宋体" w:hAnsi="宋体" w:cs="宋体"/>
          <w:sz w:val="24"/>
          <w:highlight w:val="none"/>
        </w:rPr>
        <w:t>供应方（乙方）：</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5CBB3D83">
      <w:pPr>
        <w:spacing w:line="440" w:lineRule="exact"/>
        <w:rPr>
          <w:rFonts w:ascii="宋体" w:hAnsi="宋体" w:cs="宋体"/>
          <w:sz w:val="24"/>
          <w:highlight w:val="none"/>
        </w:rPr>
      </w:pPr>
    </w:p>
    <w:p w14:paraId="5085A50F">
      <w:pPr>
        <w:spacing w:line="440" w:lineRule="exact"/>
        <w:rPr>
          <w:rFonts w:ascii="宋体" w:hAnsi="宋体" w:cs="宋体"/>
          <w:sz w:val="24"/>
          <w:highlight w:val="none"/>
        </w:rPr>
      </w:pPr>
    </w:p>
    <w:p w14:paraId="0B6E49F0">
      <w:pPr>
        <w:spacing w:line="440" w:lineRule="exact"/>
        <w:rPr>
          <w:rFonts w:ascii="宋体" w:hAnsi="宋体" w:cs="宋体"/>
          <w:sz w:val="24"/>
          <w:highlight w:val="none"/>
        </w:rPr>
      </w:pPr>
    </w:p>
    <w:p w14:paraId="614560F6">
      <w:pPr>
        <w:spacing w:line="440" w:lineRule="exact"/>
        <w:rPr>
          <w:rFonts w:ascii="宋体" w:hAnsi="宋体" w:cs="宋体"/>
          <w:sz w:val="24"/>
          <w:highlight w:val="none"/>
        </w:rPr>
      </w:pPr>
    </w:p>
    <w:p w14:paraId="1764A857">
      <w:pPr>
        <w:spacing w:line="440" w:lineRule="exact"/>
        <w:rPr>
          <w:rFonts w:ascii="宋体" w:hAnsi="宋体" w:cs="宋体"/>
          <w:sz w:val="24"/>
          <w:highlight w:val="none"/>
        </w:rPr>
      </w:pPr>
    </w:p>
    <w:p w14:paraId="3B946F89">
      <w:pPr>
        <w:spacing w:line="440" w:lineRule="exact"/>
        <w:rPr>
          <w:rFonts w:ascii="宋体" w:hAnsi="宋体" w:cs="宋体"/>
          <w:sz w:val="24"/>
          <w:highlight w:val="none"/>
        </w:rPr>
      </w:pPr>
    </w:p>
    <w:p w14:paraId="4DE97712">
      <w:pPr>
        <w:spacing w:line="440" w:lineRule="exact"/>
        <w:rPr>
          <w:rFonts w:ascii="宋体" w:hAnsi="宋体" w:cs="宋体"/>
          <w:sz w:val="24"/>
          <w:highlight w:val="none"/>
        </w:rPr>
      </w:pPr>
    </w:p>
    <w:p w14:paraId="3812577C">
      <w:pPr>
        <w:spacing w:line="440" w:lineRule="exact"/>
        <w:rPr>
          <w:rFonts w:ascii="宋体" w:hAnsi="宋体" w:cs="宋体"/>
          <w:sz w:val="24"/>
          <w:highlight w:val="none"/>
        </w:rPr>
      </w:pPr>
    </w:p>
    <w:p w14:paraId="1905754D">
      <w:pPr>
        <w:spacing w:line="440" w:lineRule="exact"/>
        <w:rPr>
          <w:rFonts w:ascii="宋体" w:hAnsi="宋体" w:cs="宋体"/>
          <w:sz w:val="24"/>
          <w:highlight w:val="none"/>
        </w:rPr>
      </w:pPr>
    </w:p>
    <w:p w14:paraId="44F82A7A">
      <w:pPr>
        <w:spacing w:line="440" w:lineRule="exact"/>
        <w:rPr>
          <w:rFonts w:ascii="宋体" w:hAnsi="宋体" w:cs="宋体"/>
          <w:sz w:val="24"/>
          <w:highlight w:val="none"/>
        </w:rPr>
      </w:pPr>
      <w:r>
        <w:rPr>
          <w:rFonts w:hint="eastAsia" w:ascii="宋体" w:hAnsi="宋体" w:cs="宋体"/>
          <w:sz w:val="24"/>
          <w:highlight w:val="none"/>
        </w:rPr>
        <w:t>签订地点：                   浙江省    临海市</w:t>
      </w:r>
    </w:p>
    <w:p w14:paraId="3CD19A5F">
      <w:pPr>
        <w:spacing w:line="440" w:lineRule="exact"/>
        <w:rPr>
          <w:rFonts w:ascii="宋体" w:hAnsi="宋体" w:cs="宋体"/>
          <w:sz w:val="24"/>
          <w:highlight w:val="none"/>
        </w:rPr>
      </w:pPr>
      <w:r>
        <w:rPr>
          <w:rFonts w:hint="eastAsia" w:ascii="宋体" w:hAnsi="宋体" w:cs="宋体"/>
          <w:sz w:val="24"/>
          <w:highlight w:val="none"/>
        </w:rPr>
        <w:t>签订日期：                    年       月       日</w:t>
      </w:r>
    </w:p>
    <w:p w14:paraId="70260697">
      <w:pPr>
        <w:spacing w:line="440" w:lineRule="exact"/>
        <w:rPr>
          <w:rFonts w:ascii="宋体" w:hAnsi="宋体" w:cs="宋体"/>
          <w:sz w:val="24"/>
          <w:highlight w:val="none"/>
        </w:rPr>
      </w:pPr>
    </w:p>
    <w:p w14:paraId="4A95EE24">
      <w:pPr>
        <w:spacing w:line="440" w:lineRule="exact"/>
        <w:jc w:val="center"/>
        <w:rPr>
          <w:rFonts w:ascii="宋体" w:hAnsi="宋体" w:cs="宋体"/>
          <w:sz w:val="24"/>
          <w:highlight w:val="none"/>
        </w:rPr>
      </w:pPr>
    </w:p>
    <w:p w14:paraId="1A16D049">
      <w:pPr>
        <w:spacing w:line="440" w:lineRule="exact"/>
        <w:rPr>
          <w:rFonts w:ascii="宋体" w:hAnsi="宋体" w:cs="宋体"/>
          <w:sz w:val="24"/>
          <w:highlight w:val="none"/>
        </w:rPr>
      </w:pPr>
    </w:p>
    <w:p w14:paraId="235C2256">
      <w:pPr>
        <w:pStyle w:val="30"/>
        <w:pageBreakBefore/>
        <w:spacing w:before="156" w:after="156" w:line="440" w:lineRule="exact"/>
        <w:jc w:val="center"/>
        <w:rPr>
          <w:rFonts w:hAnsi="宋体" w:cs="宋体"/>
          <w:b/>
          <w:highlight w:val="none"/>
        </w:rPr>
        <w:sectPr>
          <w:pgSz w:w="11906" w:h="16838"/>
          <w:pgMar w:top="1440" w:right="1800" w:bottom="1440" w:left="1800" w:header="851" w:footer="992" w:gutter="0"/>
          <w:cols w:space="425" w:num="1"/>
          <w:docGrid w:type="lines" w:linePitch="312" w:charSpace="0"/>
        </w:sectPr>
      </w:pPr>
    </w:p>
    <w:p w14:paraId="7A41BA9E">
      <w:pPr>
        <w:pStyle w:val="30"/>
        <w:pageBreakBefore/>
        <w:spacing w:before="120" w:after="120" w:line="440" w:lineRule="exact"/>
        <w:jc w:val="center"/>
        <w:rPr>
          <w:rFonts w:hAnsi="宋体" w:cs="宋体"/>
          <w:highlight w:val="none"/>
        </w:rPr>
      </w:pPr>
      <w:r>
        <w:rPr>
          <w:rFonts w:hint="eastAsia" w:hAnsi="宋体" w:cs="宋体"/>
          <w:b/>
          <w:highlight w:val="none"/>
        </w:rPr>
        <w:t>合同条款</w:t>
      </w:r>
    </w:p>
    <w:p w14:paraId="5A7D9A05">
      <w:pPr>
        <w:pStyle w:val="30"/>
        <w:snapToGrid w:val="0"/>
        <w:spacing w:beforeLines="0" w:afterLines="0" w:line="440" w:lineRule="exact"/>
        <w:rPr>
          <w:rFonts w:hAnsi="宋体" w:cs="宋体"/>
          <w:color w:val="000000"/>
          <w:highlight w:val="none"/>
        </w:rPr>
      </w:pPr>
      <w:bookmarkStart w:id="67" w:name="_Toc372613886"/>
      <w:r>
        <w:rPr>
          <w:rFonts w:hint="eastAsia" w:hAnsi="宋体" w:cs="宋体"/>
          <w:color w:val="000000"/>
          <w:highlight w:val="none"/>
        </w:rPr>
        <w:t xml:space="preserve">项目名称：                                  </w:t>
      </w:r>
    </w:p>
    <w:p w14:paraId="04B33A34">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 xml:space="preserve">甲方：（采购方）                              </w:t>
      </w:r>
    </w:p>
    <w:p w14:paraId="5EF2D481">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乙方：（供应方）</w:t>
      </w:r>
    </w:p>
    <w:p w14:paraId="14EAFF55">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见证方:</w:t>
      </w:r>
    </w:p>
    <w:p w14:paraId="7AE30645">
      <w:pPr>
        <w:pStyle w:val="30"/>
        <w:snapToGrid w:val="0"/>
        <w:spacing w:before="120" w:after="120" w:line="440" w:lineRule="exact"/>
        <w:ind w:firstLine="480" w:firstLineChars="200"/>
        <w:rPr>
          <w:rFonts w:hAnsi="宋体" w:cs="宋体"/>
          <w:b/>
          <w:color w:val="000000"/>
          <w:highlight w:val="none"/>
        </w:rPr>
      </w:pPr>
      <w:r>
        <w:rPr>
          <w:rFonts w:hint="eastAsia" w:hAnsi="宋体" w:cs="宋体"/>
          <w:color w:val="000000"/>
          <w:highlight w:val="none"/>
        </w:rPr>
        <w:t>甲、乙双方根据《中华人民共和国民法典》和_______________________项目招标文件的相关规定，双方达成一致签署本合同。</w:t>
      </w:r>
    </w:p>
    <w:p w14:paraId="3B80EE6B">
      <w:pPr>
        <w:pStyle w:val="30"/>
        <w:snapToGrid w:val="0"/>
        <w:spacing w:beforeLines="0" w:afterLines="0" w:line="440" w:lineRule="exact"/>
        <w:rPr>
          <w:rFonts w:ascii="宋体" w:hAnsi="宋体" w:cs="宋体"/>
          <w:b/>
          <w:bCs/>
          <w:sz w:val="24"/>
          <w:highlight w:val="none"/>
        </w:rPr>
      </w:pPr>
      <w:r>
        <w:rPr>
          <w:rFonts w:hint="eastAsia" w:hAnsi="宋体" w:cs="宋体"/>
          <w:b/>
          <w:color w:val="000000"/>
          <w:highlight w:val="none"/>
        </w:rPr>
        <w:t>一、</w:t>
      </w:r>
      <w:r>
        <w:rPr>
          <w:rFonts w:hint="eastAsia" w:ascii="宋体" w:hAnsi="宋体" w:cs="宋体"/>
          <w:b/>
          <w:bCs/>
          <w:color w:val="000000"/>
          <w:sz w:val="24"/>
          <w:highlight w:val="none"/>
        </w:rPr>
        <w:t>采购清单</w:t>
      </w:r>
    </w:p>
    <w:tbl>
      <w:tblPr>
        <w:tblStyle w:val="52"/>
        <w:tblW w:w="5120" w:type="pct"/>
        <w:tblInd w:w="0" w:type="dxa"/>
        <w:tblLayout w:type="fixed"/>
        <w:tblCellMar>
          <w:top w:w="0" w:type="dxa"/>
          <w:left w:w="108" w:type="dxa"/>
          <w:bottom w:w="0" w:type="dxa"/>
          <w:right w:w="108" w:type="dxa"/>
        </w:tblCellMar>
      </w:tblPr>
      <w:tblGrid>
        <w:gridCol w:w="715"/>
        <w:gridCol w:w="1799"/>
        <w:gridCol w:w="4883"/>
        <w:gridCol w:w="716"/>
        <w:gridCol w:w="1048"/>
      </w:tblGrid>
      <w:tr w14:paraId="6DB500F2">
        <w:tblPrEx>
          <w:tblCellMar>
            <w:top w:w="0" w:type="dxa"/>
            <w:left w:w="108" w:type="dxa"/>
            <w:bottom w:w="0" w:type="dxa"/>
            <w:right w:w="108" w:type="dxa"/>
          </w:tblCellMar>
        </w:tblPrEx>
        <w:trPr>
          <w:trHeight w:val="119" w:hRule="atLeast"/>
        </w:trPr>
        <w:tc>
          <w:tcPr>
            <w:tcW w:w="390"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955CBA3">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981" w:type="pct"/>
            <w:tcBorders>
              <w:top w:val="single" w:color="auto" w:sz="4" w:space="0"/>
              <w:left w:val="nil"/>
              <w:bottom w:val="single" w:color="auto" w:sz="4" w:space="0"/>
              <w:right w:val="single" w:color="auto" w:sz="4" w:space="0"/>
            </w:tcBorders>
            <w:shd w:val="clear" w:color="000000" w:fill="FFFFFF"/>
            <w:noWrap/>
            <w:vAlign w:val="center"/>
          </w:tcPr>
          <w:p w14:paraId="12FBD219">
            <w:pPr>
              <w:widowControl/>
              <w:spacing w:line="440" w:lineRule="exact"/>
              <w:jc w:val="left"/>
              <w:rPr>
                <w:rFonts w:ascii="宋体" w:hAnsi="宋体" w:cs="宋体"/>
                <w:b/>
                <w:bCs/>
                <w:kern w:val="0"/>
                <w:sz w:val="24"/>
                <w:highlight w:val="none"/>
              </w:rPr>
            </w:pPr>
            <w:r>
              <w:rPr>
                <w:rFonts w:hint="eastAsia" w:ascii="宋体" w:hAnsi="宋体" w:cs="宋体"/>
                <w:b/>
                <w:bCs/>
                <w:kern w:val="0"/>
                <w:sz w:val="24"/>
                <w:highlight w:val="none"/>
              </w:rPr>
              <w:t>设备名称</w:t>
            </w:r>
          </w:p>
        </w:tc>
        <w:tc>
          <w:tcPr>
            <w:tcW w:w="2665" w:type="pct"/>
            <w:tcBorders>
              <w:top w:val="single" w:color="auto" w:sz="4" w:space="0"/>
              <w:left w:val="nil"/>
              <w:bottom w:val="single" w:color="auto" w:sz="4" w:space="0"/>
              <w:right w:val="single" w:color="auto" w:sz="4" w:space="0"/>
            </w:tcBorders>
            <w:shd w:val="clear" w:color="000000" w:fill="FFFFFF"/>
            <w:vAlign w:val="center"/>
          </w:tcPr>
          <w:p w14:paraId="266B5E50">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规格型号及主要技术参数</w:t>
            </w:r>
          </w:p>
        </w:tc>
        <w:tc>
          <w:tcPr>
            <w:tcW w:w="390" w:type="pct"/>
            <w:tcBorders>
              <w:top w:val="single" w:color="auto" w:sz="4" w:space="0"/>
              <w:left w:val="nil"/>
              <w:bottom w:val="single" w:color="auto" w:sz="4" w:space="0"/>
              <w:right w:val="single" w:color="auto" w:sz="4" w:space="0"/>
            </w:tcBorders>
            <w:shd w:val="clear" w:color="000000" w:fill="FFFFFF"/>
            <w:noWrap/>
            <w:vAlign w:val="center"/>
          </w:tcPr>
          <w:p w14:paraId="2297F051">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数量</w:t>
            </w:r>
          </w:p>
        </w:tc>
        <w:tc>
          <w:tcPr>
            <w:tcW w:w="571" w:type="pct"/>
            <w:tcBorders>
              <w:top w:val="single" w:color="auto" w:sz="4" w:space="0"/>
              <w:left w:val="nil"/>
              <w:bottom w:val="single" w:color="auto" w:sz="4" w:space="0"/>
              <w:right w:val="single" w:color="auto" w:sz="4" w:space="0"/>
            </w:tcBorders>
            <w:shd w:val="clear" w:color="000000" w:fill="FFFFFF"/>
            <w:noWrap/>
            <w:vAlign w:val="center"/>
          </w:tcPr>
          <w:p w14:paraId="11A9B634">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单位</w:t>
            </w:r>
          </w:p>
        </w:tc>
      </w:tr>
      <w:tr w14:paraId="46F4D78B">
        <w:tblPrEx>
          <w:tblCellMar>
            <w:top w:w="0" w:type="dxa"/>
            <w:left w:w="108" w:type="dxa"/>
            <w:bottom w:w="0" w:type="dxa"/>
            <w:right w:w="108" w:type="dxa"/>
          </w:tblCellMar>
        </w:tblPrEx>
        <w:trPr>
          <w:trHeight w:val="90" w:hRule="atLeast"/>
        </w:trPr>
        <w:tc>
          <w:tcPr>
            <w:tcW w:w="5000" w:type="pct"/>
            <w:gridSpan w:val="5"/>
            <w:tcBorders>
              <w:top w:val="single" w:color="auto" w:sz="4" w:space="0"/>
              <w:left w:val="single" w:color="auto" w:sz="4" w:space="0"/>
              <w:bottom w:val="single" w:color="auto" w:sz="4" w:space="0"/>
              <w:right w:val="single" w:color="auto" w:sz="4" w:space="0"/>
            </w:tcBorders>
            <w:shd w:val="clear" w:color="000000" w:fill="FFFFFF"/>
            <w:noWrap/>
            <w:vAlign w:val="center"/>
          </w:tcPr>
          <w:p w14:paraId="18F7617E">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一、设备安装部分</w:t>
            </w:r>
          </w:p>
        </w:tc>
      </w:tr>
      <w:tr w14:paraId="20F0BB45">
        <w:tblPrEx>
          <w:tblCellMar>
            <w:top w:w="0" w:type="dxa"/>
            <w:left w:w="108" w:type="dxa"/>
            <w:bottom w:w="0" w:type="dxa"/>
            <w:right w:w="108" w:type="dxa"/>
          </w:tblCellMar>
        </w:tblPrEx>
        <w:trPr>
          <w:trHeight w:val="404" w:hRule="atLeast"/>
        </w:trPr>
        <w:tc>
          <w:tcPr>
            <w:tcW w:w="715" w:type="dxa"/>
            <w:tcBorders>
              <w:top w:val="nil"/>
              <w:left w:val="single" w:color="auto" w:sz="4" w:space="0"/>
              <w:bottom w:val="single" w:color="auto" w:sz="4" w:space="0"/>
              <w:right w:val="single" w:color="auto" w:sz="4" w:space="0"/>
            </w:tcBorders>
            <w:noWrap/>
            <w:vAlign w:val="center"/>
          </w:tcPr>
          <w:p w14:paraId="69CB8DD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1799" w:type="dxa"/>
            <w:tcBorders>
              <w:top w:val="nil"/>
              <w:left w:val="nil"/>
              <w:bottom w:val="single" w:color="auto" w:sz="4" w:space="0"/>
              <w:right w:val="single" w:color="auto" w:sz="4" w:space="0"/>
            </w:tcBorders>
            <w:noWrap/>
            <w:vAlign w:val="center"/>
          </w:tcPr>
          <w:p w14:paraId="6BA5C617">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一体化净水设备</w:t>
            </w:r>
          </w:p>
        </w:tc>
        <w:tc>
          <w:tcPr>
            <w:tcW w:w="4883" w:type="dxa"/>
            <w:tcBorders>
              <w:top w:val="nil"/>
              <w:left w:val="nil"/>
              <w:bottom w:val="single" w:color="auto" w:sz="4" w:space="0"/>
              <w:right w:val="single" w:color="auto" w:sz="4" w:space="0"/>
            </w:tcBorders>
            <w:vAlign w:val="center"/>
          </w:tcPr>
          <w:p w14:paraId="184B4929">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1.名称：一体化净水设备</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2.型号：设计规模5000t/d</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3.</w:t>
            </w:r>
            <w:r>
              <w:rPr>
                <w:rFonts w:hint="eastAsia" w:ascii="宋体" w:hAnsi="宋体" w:cs="宋体"/>
                <w:color w:val="000000"/>
                <w:kern w:val="0"/>
                <w:sz w:val="24"/>
                <w:highlight w:val="none"/>
                <w:lang w:bidi="ar"/>
              </w:rPr>
              <w:t>尺寸</w:t>
            </w:r>
            <w:r>
              <w:rPr>
                <w:rFonts w:hint="eastAsia" w:ascii="宋体" w:hAnsi="宋体" w:cs="宋体"/>
                <w:color w:val="000000"/>
                <w:kern w:val="0"/>
                <w:sz w:val="24"/>
                <w:highlight w:val="none"/>
                <w:lang w:val="en-US" w:eastAsia="zh-CN" w:bidi="ar"/>
              </w:rPr>
              <w:t>:长×宽×高=</w:t>
            </w:r>
            <w:r>
              <w:rPr>
                <w:rFonts w:hint="eastAsia" w:ascii="宋体" w:hAnsi="宋体" w:cs="宋体"/>
                <w:color w:val="000000"/>
                <w:kern w:val="0"/>
                <w:sz w:val="24"/>
                <w:highlight w:val="none"/>
                <w:lang w:bidi="ar"/>
              </w:rPr>
              <w:t xml:space="preserve">11.8m×8.6m×5.6m </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4</w:t>
            </w:r>
            <w:r>
              <w:rPr>
                <w:rFonts w:hint="eastAsia" w:ascii="宋体" w:hAnsi="宋体" w:cs="宋体"/>
                <w:color w:val="000000"/>
                <w:kern w:val="0"/>
                <w:sz w:val="24"/>
                <w:highlight w:val="none"/>
                <w:lang w:bidi="ar"/>
              </w:rPr>
              <w:t>.材质：材质304不锈钢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5</w:t>
            </w:r>
            <w:r>
              <w:rPr>
                <w:rFonts w:hint="eastAsia" w:ascii="宋体" w:hAnsi="宋体" w:cs="宋体"/>
                <w:color w:val="000000"/>
                <w:kern w:val="0"/>
                <w:sz w:val="24"/>
                <w:highlight w:val="none"/>
                <w:lang w:bidi="ar"/>
              </w:rPr>
              <w:t>.其他：含网格絮凝区及斜管沉淀区、无阀滤池区、反冲洗系统、排泥管路等，配套不锈钢网格高效絮凝反应器、不锈钢斜管、长柄滤头等，含本体设施的对接管路</w:t>
            </w:r>
          </w:p>
        </w:tc>
        <w:tc>
          <w:tcPr>
            <w:tcW w:w="390" w:type="pct"/>
            <w:tcBorders>
              <w:top w:val="nil"/>
              <w:left w:val="nil"/>
              <w:bottom w:val="single" w:color="auto" w:sz="4" w:space="0"/>
              <w:right w:val="single" w:color="auto" w:sz="4" w:space="0"/>
            </w:tcBorders>
            <w:noWrap/>
            <w:vAlign w:val="center"/>
          </w:tcPr>
          <w:p w14:paraId="2325E49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nil"/>
              <w:left w:val="nil"/>
              <w:bottom w:val="single" w:color="auto" w:sz="4" w:space="0"/>
              <w:right w:val="single" w:color="auto" w:sz="4" w:space="0"/>
            </w:tcBorders>
            <w:noWrap/>
            <w:vAlign w:val="center"/>
          </w:tcPr>
          <w:p w14:paraId="7C224B4C">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座</w:t>
            </w:r>
          </w:p>
        </w:tc>
      </w:tr>
      <w:tr w14:paraId="413B5BC9">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47C0ADB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w:t>
            </w:r>
          </w:p>
        </w:tc>
        <w:tc>
          <w:tcPr>
            <w:tcW w:w="1799" w:type="dxa"/>
            <w:tcBorders>
              <w:top w:val="nil"/>
              <w:left w:val="nil"/>
              <w:bottom w:val="single" w:color="auto" w:sz="4" w:space="0"/>
              <w:right w:val="single" w:color="auto" w:sz="4" w:space="0"/>
            </w:tcBorders>
            <w:noWrap/>
            <w:vAlign w:val="center"/>
          </w:tcPr>
          <w:p w14:paraId="7D0495E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水力快开排泥阀</w:t>
            </w:r>
          </w:p>
        </w:tc>
        <w:tc>
          <w:tcPr>
            <w:tcW w:w="4883" w:type="dxa"/>
            <w:tcBorders>
              <w:top w:val="nil"/>
              <w:left w:val="nil"/>
              <w:bottom w:val="single" w:color="auto" w:sz="4" w:space="0"/>
              <w:right w:val="single" w:color="auto" w:sz="4" w:space="0"/>
            </w:tcBorders>
            <w:vAlign w:val="center"/>
          </w:tcPr>
          <w:p w14:paraId="292F4E75">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1.名称：水力快开排泥阀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w:t>
            </w:r>
            <w:r>
              <w:rPr>
                <w:rFonts w:hint="eastAsia" w:ascii="宋体" w:hAnsi="宋体" w:cs="宋体"/>
                <w:color w:val="000000"/>
                <w:kern w:val="0"/>
                <w:sz w:val="24"/>
                <w:highlight w:val="none"/>
                <w:lang w:val="en-US" w:eastAsia="zh-CN" w:bidi="ar"/>
              </w:rPr>
              <w:t>DN150,PN10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390" w:type="pct"/>
            <w:tcBorders>
              <w:top w:val="nil"/>
              <w:left w:val="nil"/>
              <w:bottom w:val="single" w:color="auto" w:sz="4" w:space="0"/>
              <w:right w:val="single" w:color="auto" w:sz="4" w:space="0"/>
            </w:tcBorders>
            <w:noWrap/>
            <w:vAlign w:val="center"/>
          </w:tcPr>
          <w:p w14:paraId="2710A84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571" w:type="pct"/>
            <w:tcBorders>
              <w:top w:val="nil"/>
              <w:left w:val="nil"/>
              <w:bottom w:val="single" w:color="auto" w:sz="4" w:space="0"/>
              <w:right w:val="single" w:color="auto" w:sz="4" w:space="0"/>
            </w:tcBorders>
            <w:noWrap/>
            <w:vAlign w:val="center"/>
          </w:tcPr>
          <w:p w14:paraId="50AF0C2B">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6E512A74">
        <w:tblPrEx>
          <w:tblCellMar>
            <w:top w:w="0" w:type="dxa"/>
            <w:left w:w="108" w:type="dxa"/>
            <w:bottom w:w="0" w:type="dxa"/>
            <w:right w:w="108" w:type="dxa"/>
          </w:tblCellMar>
        </w:tblPrEx>
        <w:trPr>
          <w:trHeight w:val="118" w:hRule="atLeast"/>
        </w:trPr>
        <w:tc>
          <w:tcPr>
            <w:tcW w:w="715" w:type="dxa"/>
            <w:tcBorders>
              <w:top w:val="nil"/>
              <w:left w:val="single" w:color="auto" w:sz="4" w:space="0"/>
              <w:bottom w:val="single" w:color="auto" w:sz="4" w:space="0"/>
              <w:right w:val="single" w:color="auto" w:sz="4" w:space="0"/>
            </w:tcBorders>
            <w:noWrap/>
            <w:vAlign w:val="center"/>
          </w:tcPr>
          <w:p w14:paraId="71E9C13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3</w:t>
            </w:r>
          </w:p>
        </w:tc>
        <w:tc>
          <w:tcPr>
            <w:tcW w:w="1799" w:type="dxa"/>
            <w:tcBorders>
              <w:top w:val="nil"/>
              <w:left w:val="nil"/>
              <w:bottom w:val="single" w:color="auto" w:sz="4" w:space="0"/>
              <w:right w:val="single" w:color="auto" w:sz="4" w:space="0"/>
            </w:tcBorders>
            <w:noWrap/>
            <w:vAlign w:val="center"/>
          </w:tcPr>
          <w:p w14:paraId="7752B1B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电磁阀</w:t>
            </w:r>
          </w:p>
        </w:tc>
        <w:tc>
          <w:tcPr>
            <w:tcW w:w="4883" w:type="dxa"/>
            <w:tcBorders>
              <w:top w:val="nil"/>
              <w:left w:val="nil"/>
              <w:bottom w:val="single" w:color="auto" w:sz="4" w:space="0"/>
              <w:right w:val="single" w:color="auto" w:sz="4" w:space="0"/>
            </w:tcBorders>
            <w:vAlign w:val="center"/>
          </w:tcPr>
          <w:p w14:paraId="61F1E896">
            <w:pPr>
              <w:widowControl/>
              <w:numPr>
                <w:ilvl w:val="0"/>
                <w:numId w:val="6"/>
              </w:numPr>
              <w:jc w:val="left"/>
              <w:textAlignment w:val="center"/>
              <w:rPr>
                <w:rFonts w:hint="eastAsia" w:ascii="宋体" w:hAnsi="宋体" w:cs="宋体"/>
                <w:color w:val="000000"/>
                <w:kern w:val="0"/>
                <w:sz w:val="24"/>
                <w:highlight w:val="none"/>
                <w:lang w:bidi="ar"/>
              </w:rPr>
            </w:pPr>
            <w:r>
              <w:rPr>
                <w:rFonts w:hint="eastAsia" w:ascii="宋体" w:hAnsi="宋体" w:cs="宋体"/>
                <w:color w:val="000000"/>
                <w:kern w:val="0"/>
                <w:sz w:val="24"/>
                <w:highlight w:val="none"/>
                <w:lang w:bidi="ar"/>
              </w:rPr>
              <w:t>名 称：电磁阀</w:t>
            </w:r>
          </w:p>
          <w:p w14:paraId="08C250E5">
            <w:pPr>
              <w:widowControl/>
              <w:numPr>
                <w:ilvl w:val="0"/>
                <w:numId w:val="6"/>
              </w:numPr>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水力快开排泥阀</w:t>
            </w:r>
            <w:r>
              <w:rPr>
                <w:rFonts w:hint="eastAsia" w:ascii="宋体" w:hAnsi="宋体" w:cs="宋体"/>
                <w:color w:val="000000"/>
                <w:kern w:val="0"/>
                <w:sz w:val="24"/>
                <w:highlight w:val="none"/>
                <w:lang w:val="en-US" w:eastAsia="zh-CN" w:bidi="ar"/>
              </w:rPr>
              <w:t xml:space="preserve">配套 </w:t>
            </w:r>
          </w:p>
        </w:tc>
        <w:tc>
          <w:tcPr>
            <w:tcW w:w="390" w:type="pct"/>
            <w:tcBorders>
              <w:top w:val="nil"/>
              <w:left w:val="nil"/>
              <w:bottom w:val="single" w:color="auto" w:sz="4" w:space="0"/>
              <w:right w:val="single" w:color="auto" w:sz="4" w:space="0"/>
            </w:tcBorders>
            <w:noWrap/>
            <w:vAlign w:val="center"/>
          </w:tcPr>
          <w:p w14:paraId="250665A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571" w:type="pct"/>
            <w:tcBorders>
              <w:top w:val="nil"/>
              <w:left w:val="nil"/>
              <w:bottom w:val="single" w:color="auto" w:sz="4" w:space="0"/>
              <w:right w:val="single" w:color="auto" w:sz="4" w:space="0"/>
            </w:tcBorders>
            <w:noWrap/>
            <w:vAlign w:val="center"/>
          </w:tcPr>
          <w:p w14:paraId="3DED899E">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292C7701">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387E23B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1799" w:type="dxa"/>
            <w:tcBorders>
              <w:top w:val="nil"/>
              <w:left w:val="nil"/>
              <w:bottom w:val="single" w:color="auto" w:sz="4" w:space="0"/>
              <w:right w:val="single" w:color="auto" w:sz="4" w:space="0"/>
            </w:tcBorders>
            <w:noWrap/>
            <w:vAlign w:val="center"/>
          </w:tcPr>
          <w:p w14:paraId="569A72E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手动闸阀</w:t>
            </w:r>
          </w:p>
        </w:tc>
        <w:tc>
          <w:tcPr>
            <w:tcW w:w="4883" w:type="dxa"/>
            <w:tcBorders>
              <w:top w:val="nil"/>
              <w:left w:val="nil"/>
              <w:bottom w:val="single" w:color="auto" w:sz="4" w:space="0"/>
              <w:right w:val="single" w:color="auto" w:sz="4" w:space="0"/>
            </w:tcBorders>
            <w:vAlign w:val="center"/>
          </w:tcPr>
          <w:p w14:paraId="70F9795A">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1.名称：手动闸阀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2.规格：DN150，PN10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390" w:type="pct"/>
            <w:tcBorders>
              <w:top w:val="nil"/>
              <w:left w:val="nil"/>
              <w:bottom w:val="single" w:color="auto" w:sz="4" w:space="0"/>
              <w:right w:val="single" w:color="auto" w:sz="4" w:space="0"/>
            </w:tcBorders>
            <w:noWrap/>
            <w:vAlign w:val="center"/>
          </w:tcPr>
          <w:p w14:paraId="3B3D2D6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571" w:type="pct"/>
            <w:tcBorders>
              <w:top w:val="nil"/>
              <w:left w:val="nil"/>
              <w:bottom w:val="single" w:color="auto" w:sz="4" w:space="0"/>
              <w:right w:val="single" w:color="auto" w:sz="4" w:space="0"/>
            </w:tcBorders>
            <w:noWrap/>
            <w:vAlign w:val="center"/>
          </w:tcPr>
          <w:p w14:paraId="7B3D85D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451C0959">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78E239A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5</w:t>
            </w:r>
          </w:p>
        </w:tc>
        <w:tc>
          <w:tcPr>
            <w:tcW w:w="1799" w:type="dxa"/>
            <w:tcBorders>
              <w:top w:val="nil"/>
              <w:left w:val="nil"/>
              <w:bottom w:val="single" w:color="auto" w:sz="4" w:space="0"/>
              <w:right w:val="single" w:color="auto" w:sz="4" w:space="0"/>
            </w:tcBorders>
            <w:noWrap/>
            <w:vAlign w:val="center"/>
          </w:tcPr>
          <w:p w14:paraId="2E6ED056">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手动蝶阀</w:t>
            </w:r>
          </w:p>
        </w:tc>
        <w:tc>
          <w:tcPr>
            <w:tcW w:w="4883" w:type="dxa"/>
            <w:tcBorders>
              <w:top w:val="nil"/>
              <w:left w:val="nil"/>
              <w:bottom w:val="single" w:color="auto" w:sz="4" w:space="0"/>
              <w:right w:val="single" w:color="auto" w:sz="4" w:space="0"/>
            </w:tcBorders>
            <w:vAlign w:val="center"/>
          </w:tcPr>
          <w:p w14:paraId="65B683E7">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1.名称：手动蝶阀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2.规格：DN100，PN10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390" w:type="pct"/>
            <w:tcBorders>
              <w:top w:val="nil"/>
              <w:left w:val="nil"/>
              <w:bottom w:val="single" w:color="auto" w:sz="4" w:space="0"/>
              <w:right w:val="single" w:color="auto" w:sz="4" w:space="0"/>
            </w:tcBorders>
            <w:noWrap/>
            <w:vAlign w:val="center"/>
          </w:tcPr>
          <w:p w14:paraId="1195FF4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571" w:type="pct"/>
            <w:tcBorders>
              <w:top w:val="nil"/>
              <w:left w:val="nil"/>
              <w:bottom w:val="single" w:color="auto" w:sz="4" w:space="0"/>
              <w:right w:val="single" w:color="auto" w:sz="4" w:space="0"/>
            </w:tcBorders>
            <w:noWrap/>
            <w:vAlign w:val="center"/>
          </w:tcPr>
          <w:p w14:paraId="399F9435">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72E10AA0">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211C2AEB">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6</w:t>
            </w:r>
          </w:p>
        </w:tc>
        <w:tc>
          <w:tcPr>
            <w:tcW w:w="1799" w:type="dxa"/>
            <w:tcBorders>
              <w:top w:val="nil"/>
              <w:left w:val="nil"/>
              <w:bottom w:val="single" w:color="auto" w:sz="4" w:space="0"/>
              <w:right w:val="single" w:color="auto" w:sz="4" w:space="0"/>
            </w:tcBorders>
            <w:noWrap/>
            <w:vAlign w:val="center"/>
          </w:tcPr>
          <w:p w14:paraId="38A9E0C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双法兰传力伸缩接头</w:t>
            </w:r>
          </w:p>
        </w:tc>
        <w:tc>
          <w:tcPr>
            <w:tcW w:w="4883" w:type="dxa"/>
            <w:tcBorders>
              <w:top w:val="nil"/>
              <w:left w:val="nil"/>
              <w:bottom w:val="single" w:color="auto" w:sz="4" w:space="0"/>
              <w:right w:val="single" w:color="auto" w:sz="4" w:space="0"/>
            </w:tcBorders>
            <w:vAlign w:val="center"/>
          </w:tcPr>
          <w:p w14:paraId="1FA35CC8">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1.名称：双法兰传力伸缩接头</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2.规格：DN100，PN10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390" w:type="pct"/>
            <w:tcBorders>
              <w:top w:val="nil"/>
              <w:left w:val="nil"/>
              <w:bottom w:val="single" w:color="auto" w:sz="4" w:space="0"/>
              <w:right w:val="single" w:color="auto" w:sz="4" w:space="0"/>
            </w:tcBorders>
            <w:noWrap/>
            <w:vAlign w:val="center"/>
          </w:tcPr>
          <w:p w14:paraId="5BA65EC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571" w:type="pct"/>
            <w:tcBorders>
              <w:top w:val="nil"/>
              <w:left w:val="nil"/>
              <w:bottom w:val="single" w:color="auto" w:sz="4" w:space="0"/>
              <w:right w:val="single" w:color="auto" w:sz="4" w:space="0"/>
            </w:tcBorders>
            <w:noWrap/>
            <w:vAlign w:val="center"/>
          </w:tcPr>
          <w:p w14:paraId="72C0DAB9">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12974DDE">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59CDCB7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7</w:t>
            </w:r>
          </w:p>
        </w:tc>
        <w:tc>
          <w:tcPr>
            <w:tcW w:w="1799" w:type="dxa"/>
            <w:tcBorders>
              <w:top w:val="nil"/>
              <w:left w:val="nil"/>
              <w:bottom w:val="single" w:color="auto" w:sz="4" w:space="0"/>
              <w:right w:val="single" w:color="auto" w:sz="4" w:space="0"/>
            </w:tcBorders>
            <w:noWrap/>
            <w:vAlign w:val="center"/>
          </w:tcPr>
          <w:p w14:paraId="6135D7BD">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排泥管</w:t>
            </w:r>
          </w:p>
        </w:tc>
        <w:tc>
          <w:tcPr>
            <w:tcW w:w="4883" w:type="dxa"/>
            <w:tcBorders>
              <w:top w:val="nil"/>
              <w:left w:val="nil"/>
              <w:bottom w:val="single" w:color="auto" w:sz="4" w:space="0"/>
              <w:right w:val="single" w:color="auto" w:sz="4" w:space="0"/>
            </w:tcBorders>
            <w:vAlign w:val="center"/>
          </w:tcPr>
          <w:p w14:paraId="561DFEB8">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1.规格、压力等级：DN150，PN10，304不锈钢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2.其他：含DN200法兰18片</w:t>
            </w:r>
          </w:p>
        </w:tc>
        <w:tc>
          <w:tcPr>
            <w:tcW w:w="390" w:type="pct"/>
            <w:tcBorders>
              <w:top w:val="nil"/>
              <w:left w:val="nil"/>
              <w:bottom w:val="single" w:color="auto" w:sz="4" w:space="0"/>
              <w:right w:val="single" w:color="auto" w:sz="4" w:space="0"/>
            </w:tcBorders>
            <w:noWrap/>
            <w:vAlign w:val="center"/>
          </w:tcPr>
          <w:p w14:paraId="6038584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60</w:t>
            </w:r>
          </w:p>
        </w:tc>
        <w:tc>
          <w:tcPr>
            <w:tcW w:w="571" w:type="pct"/>
            <w:tcBorders>
              <w:top w:val="nil"/>
              <w:left w:val="nil"/>
              <w:bottom w:val="single" w:color="auto" w:sz="4" w:space="0"/>
              <w:right w:val="single" w:color="auto" w:sz="4" w:space="0"/>
            </w:tcBorders>
            <w:noWrap/>
            <w:vAlign w:val="center"/>
          </w:tcPr>
          <w:p w14:paraId="0C0329C1">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r>
      <w:tr w14:paraId="54D50CE6">
        <w:tblPrEx>
          <w:tblCellMar>
            <w:top w:w="0" w:type="dxa"/>
            <w:left w:w="108" w:type="dxa"/>
            <w:bottom w:w="0" w:type="dxa"/>
            <w:right w:w="108" w:type="dxa"/>
          </w:tblCellMar>
        </w:tblPrEx>
        <w:trPr>
          <w:trHeight w:val="117" w:hRule="atLeast"/>
        </w:trPr>
        <w:tc>
          <w:tcPr>
            <w:tcW w:w="715" w:type="dxa"/>
            <w:tcBorders>
              <w:top w:val="nil"/>
              <w:left w:val="single" w:color="auto" w:sz="4" w:space="0"/>
              <w:bottom w:val="single" w:color="auto" w:sz="4" w:space="0"/>
              <w:right w:val="single" w:color="auto" w:sz="4" w:space="0"/>
            </w:tcBorders>
            <w:noWrap/>
            <w:vAlign w:val="center"/>
          </w:tcPr>
          <w:p w14:paraId="043EBCB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1799" w:type="dxa"/>
            <w:tcBorders>
              <w:top w:val="nil"/>
              <w:left w:val="nil"/>
              <w:bottom w:val="single" w:color="auto" w:sz="4" w:space="0"/>
              <w:right w:val="single" w:color="auto" w:sz="4" w:space="0"/>
            </w:tcBorders>
            <w:noWrap/>
            <w:vAlign w:val="center"/>
          </w:tcPr>
          <w:p w14:paraId="031866BB">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90°弯头</w:t>
            </w:r>
          </w:p>
        </w:tc>
        <w:tc>
          <w:tcPr>
            <w:tcW w:w="4883" w:type="dxa"/>
            <w:tcBorders>
              <w:top w:val="nil"/>
              <w:left w:val="nil"/>
              <w:bottom w:val="single" w:color="auto" w:sz="4" w:space="0"/>
              <w:right w:val="single" w:color="auto" w:sz="4" w:space="0"/>
            </w:tcBorders>
            <w:vAlign w:val="center"/>
          </w:tcPr>
          <w:p w14:paraId="58E2707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1.材质及规格：DN150，PN10；304不锈钢90°弯头</w:t>
            </w:r>
          </w:p>
        </w:tc>
        <w:tc>
          <w:tcPr>
            <w:tcW w:w="390" w:type="pct"/>
            <w:tcBorders>
              <w:top w:val="nil"/>
              <w:left w:val="nil"/>
              <w:bottom w:val="single" w:color="auto" w:sz="4" w:space="0"/>
              <w:right w:val="single" w:color="auto" w:sz="4" w:space="0"/>
            </w:tcBorders>
            <w:noWrap/>
            <w:vAlign w:val="center"/>
          </w:tcPr>
          <w:p w14:paraId="3A1091D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13</w:t>
            </w:r>
          </w:p>
        </w:tc>
        <w:tc>
          <w:tcPr>
            <w:tcW w:w="571" w:type="pct"/>
            <w:tcBorders>
              <w:top w:val="nil"/>
              <w:left w:val="nil"/>
              <w:bottom w:val="single" w:color="auto" w:sz="4" w:space="0"/>
              <w:right w:val="single" w:color="auto" w:sz="4" w:space="0"/>
            </w:tcBorders>
            <w:noWrap/>
            <w:vAlign w:val="center"/>
          </w:tcPr>
          <w:p w14:paraId="0029ABE5">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5484388B">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20F81C9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9</w:t>
            </w:r>
          </w:p>
        </w:tc>
        <w:tc>
          <w:tcPr>
            <w:tcW w:w="1799" w:type="dxa"/>
            <w:tcBorders>
              <w:top w:val="nil"/>
              <w:left w:val="nil"/>
              <w:bottom w:val="single" w:color="auto" w:sz="4" w:space="0"/>
              <w:right w:val="single" w:color="auto" w:sz="4" w:space="0"/>
            </w:tcBorders>
            <w:noWrap/>
            <w:vAlign w:val="center"/>
          </w:tcPr>
          <w:p w14:paraId="6127D29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滤池进水管</w:t>
            </w:r>
          </w:p>
        </w:tc>
        <w:tc>
          <w:tcPr>
            <w:tcW w:w="4883" w:type="dxa"/>
            <w:tcBorders>
              <w:top w:val="nil"/>
              <w:left w:val="nil"/>
              <w:bottom w:val="single" w:color="auto" w:sz="4" w:space="0"/>
              <w:right w:val="single" w:color="auto" w:sz="4" w:space="0"/>
            </w:tcBorders>
            <w:vAlign w:val="center"/>
          </w:tcPr>
          <w:p w14:paraId="0EC92EF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1.规格、压力等级：DN250，304不锈钢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2.连接形式：法兰连接</w:t>
            </w:r>
          </w:p>
        </w:tc>
        <w:tc>
          <w:tcPr>
            <w:tcW w:w="390" w:type="pct"/>
            <w:tcBorders>
              <w:top w:val="nil"/>
              <w:left w:val="nil"/>
              <w:bottom w:val="single" w:color="auto" w:sz="4" w:space="0"/>
              <w:right w:val="single" w:color="auto" w:sz="4" w:space="0"/>
            </w:tcBorders>
            <w:noWrap/>
            <w:vAlign w:val="center"/>
          </w:tcPr>
          <w:p w14:paraId="7C94F5B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20</w:t>
            </w:r>
          </w:p>
        </w:tc>
        <w:tc>
          <w:tcPr>
            <w:tcW w:w="571" w:type="pct"/>
            <w:tcBorders>
              <w:top w:val="nil"/>
              <w:left w:val="nil"/>
              <w:bottom w:val="single" w:color="auto" w:sz="4" w:space="0"/>
              <w:right w:val="single" w:color="auto" w:sz="4" w:space="0"/>
            </w:tcBorders>
            <w:noWrap/>
            <w:vAlign w:val="center"/>
          </w:tcPr>
          <w:p w14:paraId="07233445">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r>
      <w:tr w14:paraId="12F5444D">
        <w:tblPrEx>
          <w:tblCellMar>
            <w:top w:w="0" w:type="dxa"/>
            <w:left w:w="108" w:type="dxa"/>
            <w:bottom w:w="0" w:type="dxa"/>
            <w:right w:w="108" w:type="dxa"/>
          </w:tblCellMar>
        </w:tblPrEx>
        <w:trPr>
          <w:trHeight w:val="168" w:hRule="atLeast"/>
        </w:trPr>
        <w:tc>
          <w:tcPr>
            <w:tcW w:w="715" w:type="dxa"/>
            <w:tcBorders>
              <w:top w:val="nil"/>
              <w:left w:val="single" w:color="auto" w:sz="4" w:space="0"/>
              <w:bottom w:val="single" w:color="auto" w:sz="4" w:space="0"/>
              <w:right w:val="single" w:color="auto" w:sz="4" w:space="0"/>
            </w:tcBorders>
            <w:noWrap/>
            <w:vAlign w:val="center"/>
          </w:tcPr>
          <w:p w14:paraId="4E7BE13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10</w:t>
            </w:r>
          </w:p>
        </w:tc>
        <w:tc>
          <w:tcPr>
            <w:tcW w:w="1799" w:type="dxa"/>
            <w:tcBorders>
              <w:top w:val="nil"/>
              <w:left w:val="nil"/>
              <w:bottom w:val="single" w:color="auto" w:sz="4" w:space="0"/>
              <w:right w:val="single" w:color="auto" w:sz="4" w:space="0"/>
            </w:tcBorders>
            <w:noWrap/>
            <w:vAlign w:val="center"/>
          </w:tcPr>
          <w:p w14:paraId="634B449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滤池出水管</w:t>
            </w:r>
          </w:p>
        </w:tc>
        <w:tc>
          <w:tcPr>
            <w:tcW w:w="4883" w:type="dxa"/>
            <w:tcBorders>
              <w:top w:val="nil"/>
              <w:left w:val="nil"/>
              <w:bottom w:val="single" w:color="auto" w:sz="4" w:space="0"/>
              <w:right w:val="single" w:color="auto" w:sz="4" w:space="0"/>
            </w:tcBorders>
            <w:vAlign w:val="center"/>
          </w:tcPr>
          <w:p w14:paraId="30192CA1">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1.规格、压力等级：DN300，304不锈钢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2.连接形式：法兰连接</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3.其他：含法兰、三通、弯头等配件</w:t>
            </w:r>
          </w:p>
        </w:tc>
        <w:tc>
          <w:tcPr>
            <w:tcW w:w="390" w:type="pct"/>
            <w:tcBorders>
              <w:top w:val="nil"/>
              <w:left w:val="nil"/>
              <w:bottom w:val="single" w:color="auto" w:sz="4" w:space="0"/>
              <w:right w:val="single" w:color="auto" w:sz="4" w:space="0"/>
            </w:tcBorders>
            <w:noWrap/>
            <w:vAlign w:val="center"/>
          </w:tcPr>
          <w:p w14:paraId="05685B5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30</w:t>
            </w:r>
          </w:p>
        </w:tc>
        <w:tc>
          <w:tcPr>
            <w:tcW w:w="571" w:type="pct"/>
            <w:tcBorders>
              <w:top w:val="nil"/>
              <w:left w:val="nil"/>
              <w:bottom w:val="single" w:color="auto" w:sz="4" w:space="0"/>
              <w:right w:val="single" w:color="auto" w:sz="4" w:space="0"/>
            </w:tcBorders>
            <w:noWrap/>
            <w:vAlign w:val="center"/>
          </w:tcPr>
          <w:p w14:paraId="353D9BD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r>
      <w:tr w14:paraId="479B3132">
        <w:tblPrEx>
          <w:tblCellMar>
            <w:top w:w="0" w:type="dxa"/>
            <w:left w:w="108" w:type="dxa"/>
            <w:bottom w:w="0" w:type="dxa"/>
            <w:right w:w="108" w:type="dxa"/>
          </w:tblCellMar>
        </w:tblPrEx>
        <w:trPr>
          <w:trHeight w:val="224" w:hRule="atLeast"/>
        </w:trPr>
        <w:tc>
          <w:tcPr>
            <w:tcW w:w="715" w:type="dxa"/>
            <w:tcBorders>
              <w:top w:val="nil"/>
              <w:left w:val="single" w:color="auto" w:sz="4" w:space="0"/>
              <w:bottom w:val="single" w:color="auto" w:sz="4" w:space="0"/>
              <w:right w:val="single" w:color="auto" w:sz="4" w:space="0"/>
            </w:tcBorders>
            <w:noWrap/>
            <w:vAlign w:val="center"/>
          </w:tcPr>
          <w:p w14:paraId="3263A27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11</w:t>
            </w:r>
          </w:p>
        </w:tc>
        <w:tc>
          <w:tcPr>
            <w:tcW w:w="1799" w:type="dxa"/>
            <w:tcBorders>
              <w:top w:val="nil"/>
              <w:left w:val="nil"/>
              <w:bottom w:val="single" w:color="auto" w:sz="4" w:space="0"/>
              <w:right w:val="single" w:color="auto" w:sz="4" w:space="0"/>
            </w:tcBorders>
            <w:noWrap/>
            <w:vAlign w:val="center"/>
          </w:tcPr>
          <w:p w14:paraId="72CA3B8E">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不锈钢清水池</w:t>
            </w:r>
          </w:p>
        </w:tc>
        <w:tc>
          <w:tcPr>
            <w:tcW w:w="4883" w:type="dxa"/>
            <w:tcBorders>
              <w:top w:val="nil"/>
              <w:left w:val="nil"/>
              <w:bottom w:val="single" w:color="auto" w:sz="4" w:space="0"/>
              <w:right w:val="single" w:color="auto" w:sz="4" w:space="0"/>
            </w:tcBorders>
            <w:vAlign w:val="center"/>
          </w:tcPr>
          <w:p w14:paraId="1935D9CF">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1.材质、类型：304不锈钢（含进、出水对接管路、人孔、放空管、溢流管、通气管、检修爬梯等）</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2.规格：长×宽×高</w:t>
            </w:r>
            <w:r>
              <w:rPr>
                <w:rFonts w:hint="eastAsia" w:ascii="宋体" w:hAnsi="宋体" w:cs="宋体"/>
                <w:color w:val="000000"/>
                <w:kern w:val="0"/>
                <w:sz w:val="24"/>
                <w:highlight w:val="none"/>
                <w:lang w:val="en-US" w:eastAsia="zh-CN" w:bidi="ar"/>
              </w:rPr>
              <w:t>=</w:t>
            </w:r>
            <w:r>
              <w:rPr>
                <w:rFonts w:hint="eastAsia" w:ascii="宋体" w:hAnsi="宋体" w:cs="宋体"/>
                <w:color w:val="000000"/>
                <w:kern w:val="0"/>
                <w:sz w:val="24"/>
                <w:highlight w:val="none"/>
                <w:lang w:bidi="ar"/>
              </w:rPr>
              <w:t>21m×10m×4.5m，有效容积≥850m3</w:t>
            </w:r>
          </w:p>
        </w:tc>
        <w:tc>
          <w:tcPr>
            <w:tcW w:w="390" w:type="pct"/>
            <w:tcBorders>
              <w:top w:val="nil"/>
              <w:left w:val="nil"/>
              <w:bottom w:val="single" w:color="auto" w:sz="4" w:space="0"/>
              <w:right w:val="single" w:color="auto" w:sz="4" w:space="0"/>
            </w:tcBorders>
            <w:noWrap/>
            <w:vAlign w:val="center"/>
          </w:tcPr>
          <w:p w14:paraId="4E9B44C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nil"/>
              <w:left w:val="nil"/>
              <w:bottom w:val="single" w:color="auto" w:sz="4" w:space="0"/>
              <w:right w:val="single" w:color="auto" w:sz="4" w:space="0"/>
            </w:tcBorders>
            <w:noWrap/>
            <w:vAlign w:val="center"/>
          </w:tcPr>
          <w:p w14:paraId="76B22D4D">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座</w:t>
            </w:r>
          </w:p>
        </w:tc>
      </w:tr>
      <w:tr w14:paraId="41548921">
        <w:tblPrEx>
          <w:tblCellMar>
            <w:top w:w="0" w:type="dxa"/>
            <w:left w:w="108" w:type="dxa"/>
            <w:bottom w:w="0" w:type="dxa"/>
            <w:right w:w="108" w:type="dxa"/>
          </w:tblCellMar>
        </w:tblPrEx>
        <w:trPr>
          <w:trHeight w:val="168" w:hRule="atLeast"/>
        </w:trPr>
        <w:tc>
          <w:tcPr>
            <w:tcW w:w="715" w:type="dxa"/>
            <w:tcBorders>
              <w:top w:val="nil"/>
              <w:left w:val="single" w:color="auto" w:sz="4" w:space="0"/>
              <w:bottom w:val="single" w:color="auto" w:sz="4" w:space="0"/>
              <w:right w:val="single" w:color="auto" w:sz="4" w:space="0"/>
            </w:tcBorders>
            <w:noWrap/>
            <w:vAlign w:val="center"/>
          </w:tcPr>
          <w:p w14:paraId="3A2BFA1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12</w:t>
            </w:r>
          </w:p>
        </w:tc>
        <w:tc>
          <w:tcPr>
            <w:tcW w:w="1799" w:type="dxa"/>
            <w:tcBorders>
              <w:top w:val="nil"/>
              <w:left w:val="nil"/>
              <w:bottom w:val="single" w:color="auto" w:sz="4" w:space="0"/>
              <w:right w:val="single" w:color="auto" w:sz="4" w:space="0"/>
            </w:tcBorders>
            <w:noWrap/>
            <w:vAlign w:val="center"/>
          </w:tcPr>
          <w:p w14:paraId="69F9B6B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电磁流量计</w:t>
            </w:r>
          </w:p>
        </w:tc>
        <w:tc>
          <w:tcPr>
            <w:tcW w:w="4883" w:type="dxa"/>
            <w:tcBorders>
              <w:top w:val="nil"/>
              <w:left w:val="nil"/>
              <w:bottom w:val="single" w:color="auto" w:sz="4" w:space="0"/>
              <w:right w:val="single" w:color="auto" w:sz="4" w:space="0"/>
            </w:tcBorders>
            <w:vAlign w:val="center"/>
          </w:tcPr>
          <w:p w14:paraId="04D2C677">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1.名称：电磁流量计</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3.类型：分体式，AC220V，ModBus输出</w:t>
            </w:r>
          </w:p>
        </w:tc>
        <w:tc>
          <w:tcPr>
            <w:tcW w:w="390" w:type="pct"/>
            <w:tcBorders>
              <w:top w:val="nil"/>
              <w:left w:val="nil"/>
              <w:bottom w:val="single" w:color="auto" w:sz="4" w:space="0"/>
              <w:right w:val="single" w:color="auto" w:sz="4" w:space="0"/>
            </w:tcBorders>
            <w:noWrap/>
            <w:vAlign w:val="center"/>
          </w:tcPr>
          <w:p w14:paraId="6D50CD2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w:t>
            </w:r>
          </w:p>
        </w:tc>
        <w:tc>
          <w:tcPr>
            <w:tcW w:w="571" w:type="pct"/>
            <w:tcBorders>
              <w:top w:val="nil"/>
              <w:left w:val="nil"/>
              <w:bottom w:val="single" w:color="auto" w:sz="4" w:space="0"/>
              <w:right w:val="single" w:color="auto" w:sz="4" w:space="0"/>
            </w:tcBorders>
            <w:noWrap/>
            <w:vAlign w:val="center"/>
          </w:tcPr>
          <w:p w14:paraId="4F9B613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只</w:t>
            </w:r>
          </w:p>
        </w:tc>
      </w:tr>
      <w:tr w14:paraId="0099C5DF">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6AC2FAC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13</w:t>
            </w:r>
          </w:p>
        </w:tc>
        <w:tc>
          <w:tcPr>
            <w:tcW w:w="1799" w:type="dxa"/>
            <w:tcBorders>
              <w:top w:val="nil"/>
              <w:left w:val="nil"/>
              <w:bottom w:val="single" w:color="auto" w:sz="4" w:space="0"/>
              <w:right w:val="single" w:color="auto" w:sz="4" w:space="0"/>
            </w:tcBorders>
            <w:noWrap/>
            <w:vAlign w:val="center"/>
          </w:tcPr>
          <w:p w14:paraId="7EE60E5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超声波液位计</w:t>
            </w:r>
          </w:p>
        </w:tc>
        <w:tc>
          <w:tcPr>
            <w:tcW w:w="4883" w:type="dxa"/>
            <w:tcBorders>
              <w:top w:val="nil"/>
              <w:left w:val="nil"/>
              <w:bottom w:val="single" w:color="auto" w:sz="4" w:space="0"/>
              <w:right w:val="single" w:color="auto" w:sz="4" w:space="0"/>
            </w:tcBorders>
            <w:vAlign w:val="center"/>
          </w:tcPr>
          <w:p w14:paraId="551164DD">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1.名称：超声波液位计</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2.规格：0-5m，二线制，输出4-20ma，带显示</w:t>
            </w:r>
          </w:p>
        </w:tc>
        <w:tc>
          <w:tcPr>
            <w:tcW w:w="390" w:type="pct"/>
            <w:tcBorders>
              <w:top w:val="nil"/>
              <w:left w:val="nil"/>
              <w:bottom w:val="single" w:color="auto" w:sz="4" w:space="0"/>
              <w:right w:val="single" w:color="auto" w:sz="4" w:space="0"/>
            </w:tcBorders>
            <w:noWrap/>
            <w:vAlign w:val="center"/>
          </w:tcPr>
          <w:p w14:paraId="1B6DB86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nil"/>
              <w:left w:val="nil"/>
              <w:bottom w:val="single" w:color="auto" w:sz="4" w:space="0"/>
              <w:right w:val="single" w:color="auto" w:sz="4" w:space="0"/>
            </w:tcBorders>
            <w:noWrap/>
            <w:vAlign w:val="center"/>
          </w:tcPr>
          <w:p w14:paraId="747890A6">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只</w:t>
            </w:r>
          </w:p>
        </w:tc>
      </w:tr>
      <w:tr w14:paraId="775D14FF">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329D2E6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14</w:t>
            </w:r>
          </w:p>
        </w:tc>
        <w:tc>
          <w:tcPr>
            <w:tcW w:w="1799" w:type="dxa"/>
            <w:tcBorders>
              <w:top w:val="nil"/>
              <w:left w:val="nil"/>
              <w:bottom w:val="single" w:color="auto" w:sz="4" w:space="0"/>
              <w:right w:val="single" w:color="auto" w:sz="4" w:space="0"/>
            </w:tcBorders>
            <w:noWrap/>
            <w:vAlign w:val="center"/>
          </w:tcPr>
          <w:p w14:paraId="7C8F55A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在线浊度仪</w:t>
            </w:r>
          </w:p>
        </w:tc>
        <w:tc>
          <w:tcPr>
            <w:tcW w:w="4883" w:type="dxa"/>
            <w:tcBorders>
              <w:top w:val="nil"/>
              <w:left w:val="nil"/>
              <w:bottom w:val="single" w:color="auto" w:sz="4" w:space="0"/>
              <w:right w:val="single" w:color="auto" w:sz="4" w:space="0"/>
            </w:tcBorders>
            <w:vAlign w:val="center"/>
          </w:tcPr>
          <w:p w14:paraId="4833B344">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 称：在线浊度仪</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 号：0-10NTU，含取样管路及取样泵</w:t>
            </w:r>
          </w:p>
        </w:tc>
        <w:tc>
          <w:tcPr>
            <w:tcW w:w="390" w:type="pct"/>
            <w:tcBorders>
              <w:top w:val="nil"/>
              <w:left w:val="nil"/>
              <w:bottom w:val="single" w:color="auto" w:sz="4" w:space="0"/>
              <w:right w:val="single" w:color="auto" w:sz="4" w:space="0"/>
            </w:tcBorders>
            <w:noWrap/>
            <w:vAlign w:val="center"/>
          </w:tcPr>
          <w:p w14:paraId="54C72A0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nil"/>
              <w:left w:val="nil"/>
              <w:bottom w:val="single" w:color="auto" w:sz="4" w:space="0"/>
              <w:right w:val="single" w:color="auto" w:sz="4" w:space="0"/>
            </w:tcBorders>
            <w:noWrap/>
            <w:vAlign w:val="center"/>
          </w:tcPr>
          <w:p w14:paraId="61FB885D">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r>
      <w:tr w14:paraId="4EB28EC0">
        <w:tblPrEx>
          <w:tblCellMar>
            <w:top w:w="0" w:type="dxa"/>
            <w:left w:w="108" w:type="dxa"/>
            <w:bottom w:w="0" w:type="dxa"/>
            <w:right w:w="108" w:type="dxa"/>
          </w:tblCellMar>
        </w:tblPrEx>
        <w:trPr>
          <w:trHeight w:val="126" w:hRule="atLeast"/>
        </w:trPr>
        <w:tc>
          <w:tcPr>
            <w:tcW w:w="715" w:type="dxa"/>
            <w:tcBorders>
              <w:top w:val="nil"/>
              <w:left w:val="single" w:color="auto" w:sz="4" w:space="0"/>
              <w:bottom w:val="single" w:color="auto" w:sz="4" w:space="0"/>
              <w:right w:val="single" w:color="auto" w:sz="4" w:space="0"/>
            </w:tcBorders>
            <w:noWrap/>
            <w:vAlign w:val="center"/>
          </w:tcPr>
          <w:p w14:paraId="724DB61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15</w:t>
            </w:r>
          </w:p>
        </w:tc>
        <w:tc>
          <w:tcPr>
            <w:tcW w:w="1799" w:type="dxa"/>
            <w:tcBorders>
              <w:top w:val="nil"/>
              <w:left w:val="nil"/>
              <w:bottom w:val="single" w:color="auto" w:sz="4" w:space="0"/>
              <w:right w:val="single" w:color="auto" w:sz="4" w:space="0"/>
            </w:tcBorders>
            <w:noWrap/>
            <w:vAlign w:val="center"/>
          </w:tcPr>
          <w:p w14:paraId="3B9EB36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在线余氯仪</w:t>
            </w:r>
          </w:p>
        </w:tc>
        <w:tc>
          <w:tcPr>
            <w:tcW w:w="4883" w:type="dxa"/>
            <w:tcBorders>
              <w:top w:val="nil"/>
              <w:left w:val="nil"/>
              <w:bottom w:val="single" w:color="auto" w:sz="4" w:space="0"/>
              <w:right w:val="single" w:color="auto" w:sz="4" w:space="0"/>
            </w:tcBorders>
            <w:vAlign w:val="center"/>
          </w:tcPr>
          <w:p w14:paraId="23D3E20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 称：在线余氯仪</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 号：0~3PPM，含取样管路及取样泵</w:t>
            </w:r>
          </w:p>
        </w:tc>
        <w:tc>
          <w:tcPr>
            <w:tcW w:w="390" w:type="pct"/>
            <w:tcBorders>
              <w:top w:val="nil"/>
              <w:left w:val="nil"/>
              <w:bottom w:val="single" w:color="auto" w:sz="4" w:space="0"/>
              <w:right w:val="single" w:color="auto" w:sz="4" w:space="0"/>
            </w:tcBorders>
            <w:noWrap/>
            <w:vAlign w:val="center"/>
          </w:tcPr>
          <w:p w14:paraId="27EE4FB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nil"/>
              <w:left w:val="nil"/>
              <w:bottom w:val="single" w:color="auto" w:sz="4" w:space="0"/>
              <w:right w:val="single" w:color="auto" w:sz="4" w:space="0"/>
            </w:tcBorders>
            <w:noWrap/>
            <w:vAlign w:val="center"/>
          </w:tcPr>
          <w:p w14:paraId="19E2CCE9">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r>
      <w:tr w14:paraId="64081D14">
        <w:tblPrEx>
          <w:tblCellMar>
            <w:top w:w="0" w:type="dxa"/>
            <w:left w:w="108" w:type="dxa"/>
            <w:bottom w:w="0" w:type="dxa"/>
            <w:right w:w="108" w:type="dxa"/>
          </w:tblCellMar>
        </w:tblPrEx>
        <w:trPr>
          <w:trHeight w:val="595" w:hRule="atLeast"/>
        </w:trPr>
        <w:tc>
          <w:tcPr>
            <w:tcW w:w="715" w:type="dxa"/>
            <w:tcBorders>
              <w:top w:val="nil"/>
              <w:left w:val="single" w:color="auto" w:sz="4" w:space="0"/>
              <w:bottom w:val="single" w:color="auto" w:sz="4" w:space="0"/>
              <w:right w:val="single" w:color="auto" w:sz="4" w:space="0"/>
            </w:tcBorders>
            <w:noWrap/>
            <w:vAlign w:val="center"/>
          </w:tcPr>
          <w:p w14:paraId="7A11FC3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16</w:t>
            </w:r>
          </w:p>
        </w:tc>
        <w:tc>
          <w:tcPr>
            <w:tcW w:w="1799" w:type="dxa"/>
            <w:tcBorders>
              <w:top w:val="nil"/>
              <w:left w:val="nil"/>
              <w:bottom w:val="single" w:color="auto" w:sz="4" w:space="0"/>
              <w:right w:val="single" w:color="auto" w:sz="4" w:space="0"/>
            </w:tcBorders>
            <w:noWrap/>
            <w:vAlign w:val="center"/>
          </w:tcPr>
          <w:p w14:paraId="762EBF7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PLC系统控制柜</w:t>
            </w:r>
          </w:p>
        </w:tc>
        <w:tc>
          <w:tcPr>
            <w:tcW w:w="4883" w:type="dxa"/>
            <w:tcBorders>
              <w:top w:val="nil"/>
              <w:left w:val="nil"/>
              <w:bottom w:val="single" w:color="auto" w:sz="4" w:space="0"/>
              <w:right w:val="single" w:color="auto" w:sz="4" w:space="0"/>
            </w:tcBorders>
            <w:vAlign w:val="center"/>
          </w:tcPr>
          <w:p w14:paraId="2BD3F541">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1.名称：PLC系统控制柜</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 格：根据现场定制，材质：不锈钢S304，防护等级：IP65；CPU不低于施耐德M340、AB1769L71，西门子S7-1200，I/O点按需配置，预留20%点位。含8个排泥阀，2个电动阀手自动控制回路，实现远程控制。柜内配套双电源开关、信号避雷器、隔离器、电气元器件、线缆及辅材等；</w:t>
            </w:r>
          </w:p>
        </w:tc>
        <w:tc>
          <w:tcPr>
            <w:tcW w:w="390" w:type="pct"/>
            <w:tcBorders>
              <w:top w:val="nil"/>
              <w:left w:val="nil"/>
              <w:bottom w:val="single" w:color="auto" w:sz="4" w:space="0"/>
              <w:right w:val="single" w:color="auto" w:sz="4" w:space="0"/>
            </w:tcBorders>
            <w:noWrap/>
            <w:vAlign w:val="center"/>
          </w:tcPr>
          <w:p w14:paraId="233DD56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nil"/>
              <w:left w:val="nil"/>
              <w:bottom w:val="single" w:color="auto" w:sz="4" w:space="0"/>
              <w:right w:val="single" w:color="auto" w:sz="4" w:space="0"/>
            </w:tcBorders>
            <w:noWrap/>
            <w:vAlign w:val="center"/>
          </w:tcPr>
          <w:p w14:paraId="44BFEA29">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r>
      <w:tr w14:paraId="247B2A1F">
        <w:tblPrEx>
          <w:tblCellMar>
            <w:top w:w="0" w:type="dxa"/>
            <w:left w:w="108" w:type="dxa"/>
            <w:bottom w:w="0" w:type="dxa"/>
            <w:right w:w="108" w:type="dxa"/>
          </w:tblCellMar>
        </w:tblPrEx>
        <w:trPr>
          <w:trHeight w:val="178" w:hRule="atLeast"/>
        </w:trPr>
        <w:tc>
          <w:tcPr>
            <w:tcW w:w="715" w:type="dxa"/>
            <w:vMerge w:val="restart"/>
            <w:tcBorders>
              <w:top w:val="single" w:color="auto" w:sz="4" w:space="0"/>
              <w:left w:val="single" w:color="auto" w:sz="4" w:space="0"/>
              <w:right w:val="single" w:color="auto" w:sz="4" w:space="0"/>
            </w:tcBorders>
            <w:shd w:val="clear" w:color="auto" w:fill="FFFFFF"/>
            <w:noWrap/>
            <w:vAlign w:val="center"/>
          </w:tcPr>
          <w:p w14:paraId="4993485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17</w:t>
            </w:r>
          </w:p>
        </w:tc>
        <w:tc>
          <w:tcPr>
            <w:tcW w:w="1799" w:type="dxa"/>
            <w:vMerge w:val="restart"/>
            <w:tcBorders>
              <w:top w:val="single" w:color="auto" w:sz="4" w:space="0"/>
              <w:left w:val="nil"/>
              <w:right w:val="single" w:color="auto" w:sz="4" w:space="0"/>
            </w:tcBorders>
            <w:shd w:val="clear" w:color="auto" w:fill="FFFFFF"/>
            <w:noWrap/>
            <w:vAlign w:val="center"/>
          </w:tcPr>
          <w:p w14:paraId="244CFD6D">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电动调节型蝶阀</w:t>
            </w:r>
          </w:p>
        </w:tc>
        <w:tc>
          <w:tcPr>
            <w:tcW w:w="4883" w:type="dxa"/>
            <w:tcBorders>
              <w:top w:val="single" w:color="auto" w:sz="4" w:space="0"/>
              <w:left w:val="nil"/>
              <w:bottom w:val="single" w:color="auto" w:sz="4" w:space="0"/>
              <w:right w:val="single" w:color="auto" w:sz="4" w:space="0"/>
            </w:tcBorders>
            <w:shd w:val="clear" w:color="auto" w:fill="FFFFFF"/>
            <w:vAlign w:val="center"/>
          </w:tcPr>
          <w:p w14:paraId="1C76458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1.名称：电动调节型蝶阀</w:t>
            </w:r>
          </w:p>
          <w:p w14:paraId="34F5FDFE">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2.规格：DN300</w:t>
            </w:r>
          </w:p>
          <w:p w14:paraId="7DD3DA8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3.连接形式：法兰连接</w:t>
            </w:r>
            <w:r>
              <w:rPr>
                <w:rFonts w:hint="eastAsia" w:ascii="宋体" w:hAnsi="宋体" w:cs="宋体"/>
                <w:kern w:val="0"/>
                <w:sz w:val="24"/>
                <w:highlight w:val="none"/>
              </w:rPr>
              <w:br w:type="textWrapping"/>
            </w:r>
            <w:r>
              <w:rPr>
                <w:rFonts w:hint="eastAsia" w:ascii="宋体" w:hAnsi="宋体" w:cs="宋体"/>
                <w:kern w:val="0"/>
                <w:sz w:val="24"/>
                <w:highlight w:val="none"/>
              </w:rPr>
              <w:t>4.各附法兰1片</w:t>
            </w:r>
          </w:p>
        </w:tc>
        <w:tc>
          <w:tcPr>
            <w:tcW w:w="390" w:type="pct"/>
            <w:vMerge w:val="restart"/>
            <w:tcBorders>
              <w:top w:val="single" w:color="auto" w:sz="4" w:space="0"/>
              <w:left w:val="nil"/>
              <w:right w:val="single" w:color="auto" w:sz="4" w:space="0"/>
            </w:tcBorders>
            <w:shd w:val="clear" w:color="auto" w:fill="FFFFFF"/>
            <w:noWrap/>
            <w:vAlign w:val="center"/>
          </w:tcPr>
          <w:p w14:paraId="496A464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vMerge w:val="restart"/>
            <w:tcBorders>
              <w:top w:val="single" w:color="auto" w:sz="4" w:space="0"/>
              <w:left w:val="nil"/>
              <w:right w:val="single" w:color="auto" w:sz="4" w:space="0"/>
            </w:tcBorders>
            <w:shd w:val="clear" w:color="auto" w:fill="FFFFFF"/>
            <w:noWrap/>
            <w:vAlign w:val="center"/>
          </w:tcPr>
          <w:p w14:paraId="3818421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个</w:t>
            </w:r>
          </w:p>
        </w:tc>
      </w:tr>
      <w:tr w14:paraId="3A244D32">
        <w:tblPrEx>
          <w:tblCellMar>
            <w:top w:w="0" w:type="dxa"/>
            <w:left w:w="108" w:type="dxa"/>
            <w:bottom w:w="0" w:type="dxa"/>
            <w:right w:w="108" w:type="dxa"/>
          </w:tblCellMar>
        </w:tblPrEx>
        <w:trPr>
          <w:trHeight w:val="90" w:hRule="atLeast"/>
        </w:trPr>
        <w:tc>
          <w:tcPr>
            <w:tcW w:w="715" w:type="dxa"/>
            <w:vMerge w:val="continue"/>
            <w:tcBorders>
              <w:left w:val="single" w:color="auto" w:sz="4" w:space="0"/>
              <w:bottom w:val="single" w:color="auto" w:sz="4" w:space="0"/>
              <w:right w:val="single" w:color="auto" w:sz="4" w:space="0"/>
            </w:tcBorders>
            <w:shd w:val="clear" w:color="auto" w:fill="FFFFFF"/>
            <w:noWrap/>
            <w:vAlign w:val="center"/>
          </w:tcPr>
          <w:p w14:paraId="1F0797C8">
            <w:pPr>
              <w:widowControl/>
              <w:spacing w:line="440" w:lineRule="exact"/>
              <w:jc w:val="center"/>
              <w:rPr>
                <w:rFonts w:ascii="宋体" w:hAnsi="宋体" w:cs="宋体"/>
                <w:kern w:val="0"/>
                <w:sz w:val="24"/>
                <w:highlight w:val="none"/>
              </w:rPr>
            </w:pPr>
          </w:p>
        </w:tc>
        <w:tc>
          <w:tcPr>
            <w:tcW w:w="1799" w:type="dxa"/>
            <w:vMerge w:val="continue"/>
            <w:tcBorders>
              <w:left w:val="nil"/>
              <w:bottom w:val="single" w:color="auto" w:sz="4" w:space="0"/>
              <w:right w:val="single" w:color="auto" w:sz="4" w:space="0"/>
            </w:tcBorders>
            <w:shd w:val="clear" w:color="auto" w:fill="FFFFFF"/>
            <w:noWrap/>
            <w:vAlign w:val="center"/>
          </w:tcPr>
          <w:p w14:paraId="3D8A98B3">
            <w:pPr>
              <w:widowControl/>
              <w:spacing w:line="440" w:lineRule="exact"/>
              <w:jc w:val="left"/>
              <w:rPr>
                <w:rFonts w:ascii="宋体" w:hAnsi="宋体" w:cs="宋体"/>
                <w:kern w:val="0"/>
                <w:sz w:val="24"/>
                <w:highlight w:val="none"/>
              </w:rPr>
            </w:pPr>
          </w:p>
        </w:tc>
        <w:tc>
          <w:tcPr>
            <w:tcW w:w="4883" w:type="dxa"/>
            <w:tcBorders>
              <w:top w:val="single" w:color="auto" w:sz="4" w:space="0"/>
              <w:left w:val="nil"/>
              <w:bottom w:val="single" w:color="auto" w:sz="4" w:space="0"/>
              <w:right w:val="single" w:color="auto" w:sz="4" w:space="0"/>
            </w:tcBorders>
            <w:shd w:val="clear" w:color="auto" w:fill="FFFFFF"/>
            <w:vAlign w:val="center"/>
          </w:tcPr>
          <w:p w14:paraId="4C31EFF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电动执行机构</w:t>
            </w:r>
          </w:p>
        </w:tc>
        <w:tc>
          <w:tcPr>
            <w:tcW w:w="390" w:type="pct"/>
            <w:vMerge w:val="continue"/>
            <w:tcBorders>
              <w:left w:val="nil"/>
              <w:bottom w:val="single" w:color="auto" w:sz="4" w:space="0"/>
              <w:right w:val="single" w:color="auto" w:sz="4" w:space="0"/>
            </w:tcBorders>
            <w:shd w:val="clear" w:color="auto" w:fill="FFFFFF"/>
            <w:noWrap/>
            <w:vAlign w:val="center"/>
          </w:tcPr>
          <w:p w14:paraId="718932C8">
            <w:pPr>
              <w:widowControl/>
              <w:spacing w:line="440" w:lineRule="exact"/>
              <w:jc w:val="center"/>
              <w:rPr>
                <w:rFonts w:ascii="宋体" w:hAnsi="宋体" w:cs="宋体"/>
                <w:kern w:val="0"/>
                <w:sz w:val="24"/>
                <w:highlight w:val="none"/>
              </w:rPr>
            </w:pPr>
          </w:p>
        </w:tc>
        <w:tc>
          <w:tcPr>
            <w:tcW w:w="571" w:type="pct"/>
            <w:vMerge w:val="continue"/>
            <w:tcBorders>
              <w:left w:val="nil"/>
              <w:bottom w:val="single" w:color="auto" w:sz="4" w:space="0"/>
              <w:right w:val="single" w:color="auto" w:sz="4" w:space="0"/>
            </w:tcBorders>
            <w:shd w:val="clear" w:color="auto" w:fill="FFFFFF"/>
            <w:noWrap/>
            <w:vAlign w:val="center"/>
          </w:tcPr>
          <w:p w14:paraId="7295FCAE">
            <w:pPr>
              <w:widowControl/>
              <w:spacing w:line="440" w:lineRule="exact"/>
              <w:jc w:val="center"/>
              <w:rPr>
                <w:rFonts w:ascii="宋体" w:hAnsi="宋体" w:cs="宋体"/>
                <w:kern w:val="0"/>
                <w:sz w:val="24"/>
                <w:highlight w:val="none"/>
              </w:rPr>
            </w:pPr>
          </w:p>
        </w:tc>
      </w:tr>
      <w:tr w14:paraId="6E9508DD">
        <w:tblPrEx>
          <w:tblCellMar>
            <w:top w:w="0" w:type="dxa"/>
            <w:left w:w="108" w:type="dxa"/>
            <w:bottom w:w="0" w:type="dxa"/>
            <w:right w:w="108" w:type="dxa"/>
          </w:tblCellMar>
        </w:tblPrEx>
        <w:trPr>
          <w:trHeight w:val="126" w:hRule="atLeast"/>
        </w:trPr>
        <w:tc>
          <w:tcPr>
            <w:tcW w:w="71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F5149C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18</w:t>
            </w:r>
          </w:p>
        </w:tc>
        <w:tc>
          <w:tcPr>
            <w:tcW w:w="1799" w:type="dxa"/>
            <w:tcBorders>
              <w:top w:val="single" w:color="auto" w:sz="4" w:space="0"/>
              <w:left w:val="nil"/>
              <w:bottom w:val="single" w:color="auto" w:sz="4" w:space="0"/>
              <w:right w:val="single" w:color="auto" w:sz="4" w:space="0"/>
            </w:tcBorders>
            <w:shd w:val="clear" w:color="auto" w:fill="FFFFFF"/>
            <w:noWrap/>
            <w:vAlign w:val="center"/>
          </w:tcPr>
          <w:p w14:paraId="377F3B7A">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单法兰限位伸缩接头</w:t>
            </w:r>
          </w:p>
        </w:tc>
        <w:tc>
          <w:tcPr>
            <w:tcW w:w="4883" w:type="dxa"/>
            <w:tcBorders>
              <w:top w:val="single" w:color="auto" w:sz="4" w:space="0"/>
              <w:left w:val="nil"/>
              <w:bottom w:val="single" w:color="auto" w:sz="4" w:space="0"/>
              <w:right w:val="single" w:color="auto" w:sz="4" w:space="0"/>
            </w:tcBorders>
            <w:shd w:val="clear" w:color="auto" w:fill="FFFFFF"/>
            <w:vAlign w:val="center"/>
          </w:tcPr>
          <w:p w14:paraId="7C98DA31">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1.名称：单法兰限位伸缩接头</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2.规格：BF 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390" w:type="pct"/>
            <w:tcBorders>
              <w:top w:val="single" w:color="auto" w:sz="4" w:space="0"/>
              <w:left w:val="nil"/>
              <w:bottom w:val="single" w:color="auto" w:sz="4" w:space="0"/>
              <w:right w:val="single" w:color="auto" w:sz="4" w:space="0"/>
            </w:tcBorders>
            <w:shd w:val="clear" w:color="auto" w:fill="FFFFFF"/>
            <w:noWrap/>
            <w:vAlign w:val="center"/>
          </w:tcPr>
          <w:p w14:paraId="7BE361F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7</w:t>
            </w:r>
          </w:p>
        </w:tc>
        <w:tc>
          <w:tcPr>
            <w:tcW w:w="571" w:type="pct"/>
            <w:tcBorders>
              <w:top w:val="single" w:color="auto" w:sz="4" w:space="0"/>
              <w:left w:val="nil"/>
              <w:bottom w:val="single" w:color="auto" w:sz="4" w:space="0"/>
              <w:right w:val="single" w:color="auto" w:sz="4" w:space="0"/>
            </w:tcBorders>
            <w:shd w:val="clear" w:color="auto" w:fill="FFFFFF"/>
            <w:noWrap/>
            <w:vAlign w:val="center"/>
          </w:tcPr>
          <w:p w14:paraId="559B9C18">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1C7EAE8D">
        <w:tblPrEx>
          <w:tblCellMar>
            <w:top w:w="0" w:type="dxa"/>
            <w:left w:w="108" w:type="dxa"/>
            <w:bottom w:w="0" w:type="dxa"/>
            <w:right w:w="108" w:type="dxa"/>
          </w:tblCellMar>
        </w:tblPrEx>
        <w:trPr>
          <w:trHeight w:val="168" w:hRule="atLeast"/>
        </w:trPr>
        <w:tc>
          <w:tcPr>
            <w:tcW w:w="71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2ACC05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19</w:t>
            </w:r>
          </w:p>
        </w:tc>
        <w:tc>
          <w:tcPr>
            <w:tcW w:w="1799" w:type="dxa"/>
            <w:tcBorders>
              <w:top w:val="single" w:color="auto" w:sz="4" w:space="0"/>
              <w:left w:val="nil"/>
              <w:bottom w:val="single" w:color="auto" w:sz="4" w:space="0"/>
              <w:right w:val="single" w:color="auto" w:sz="4" w:space="0"/>
            </w:tcBorders>
            <w:shd w:val="clear" w:color="auto" w:fill="FFFFFF"/>
            <w:noWrap/>
            <w:vAlign w:val="center"/>
          </w:tcPr>
          <w:p w14:paraId="3F25B6BA">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手动蝶阀</w:t>
            </w:r>
          </w:p>
        </w:tc>
        <w:tc>
          <w:tcPr>
            <w:tcW w:w="4883" w:type="dxa"/>
            <w:tcBorders>
              <w:top w:val="single" w:color="auto" w:sz="4" w:space="0"/>
              <w:left w:val="nil"/>
              <w:bottom w:val="single" w:color="auto" w:sz="4" w:space="0"/>
              <w:right w:val="single" w:color="auto" w:sz="4" w:space="0"/>
            </w:tcBorders>
            <w:shd w:val="clear" w:color="auto" w:fill="FFFFFF"/>
            <w:vAlign w:val="center"/>
          </w:tcPr>
          <w:p w14:paraId="7A7AADE4">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1.名称：手动蝶阀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             4.其他：各附法兰1片</w:t>
            </w:r>
          </w:p>
        </w:tc>
        <w:tc>
          <w:tcPr>
            <w:tcW w:w="390" w:type="pct"/>
            <w:tcBorders>
              <w:top w:val="single" w:color="auto" w:sz="4" w:space="0"/>
              <w:left w:val="nil"/>
              <w:bottom w:val="single" w:color="auto" w:sz="4" w:space="0"/>
              <w:right w:val="single" w:color="auto" w:sz="4" w:space="0"/>
            </w:tcBorders>
            <w:shd w:val="clear" w:color="auto" w:fill="FFFFFF"/>
            <w:noWrap/>
            <w:vAlign w:val="center"/>
          </w:tcPr>
          <w:p w14:paraId="2A96A8F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571" w:type="pct"/>
            <w:tcBorders>
              <w:top w:val="single" w:color="auto" w:sz="4" w:space="0"/>
              <w:left w:val="nil"/>
              <w:bottom w:val="single" w:color="auto" w:sz="4" w:space="0"/>
              <w:right w:val="single" w:color="auto" w:sz="4" w:space="0"/>
            </w:tcBorders>
            <w:shd w:val="clear" w:color="auto" w:fill="FFFFFF"/>
            <w:noWrap/>
            <w:vAlign w:val="center"/>
          </w:tcPr>
          <w:p w14:paraId="298905FC">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7F63F6E4">
        <w:tblPrEx>
          <w:tblCellMar>
            <w:top w:w="0" w:type="dxa"/>
            <w:left w:w="108" w:type="dxa"/>
            <w:bottom w:w="0" w:type="dxa"/>
            <w:right w:w="108" w:type="dxa"/>
          </w:tblCellMar>
        </w:tblPrEx>
        <w:trPr>
          <w:trHeight w:val="90" w:hRule="atLeast"/>
        </w:trPr>
        <w:tc>
          <w:tcPr>
            <w:tcW w:w="71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D89141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20</w:t>
            </w:r>
          </w:p>
        </w:tc>
        <w:tc>
          <w:tcPr>
            <w:tcW w:w="1799" w:type="dxa"/>
            <w:tcBorders>
              <w:top w:val="single" w:color="auto" w:sz="4" w:space="0"/>
              <w:left w:val="nil"/>
              <w:bottom w:val="single" w:color="auto" w:sz="4" w:space="0"/>
              <w:right w:val="single" w:color="auto" w:sz="4" w:space="0"/>
            </w:tcBorders>
            <w:shd w:val="clear" w:color="auto" w:fill="FFFFFF"/>
            <w:noWrap/>
            <w:vAlign w:val="center"/>
          </w:tcPr>
          <w:p w14:paraId="2199449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三通</w:t>
            </w:r>
          </w:p>
        </w:tc>
        <w:tc>
          <w:tcPr>
            <w:tcW w:w="4883" w:type="dxa"/>
            <w:tcBorders>
              <w:top w:val="single" w:color="auto" w:sz="4" w:space="0"/>
              <w:left w:val="nil"/>
              <w:bottom w:val="single" w:color="auto" w:sz="4" w:space="0"/>
              <w:right w:val="single" w:color="auto" w:sz="4" w:space="0"/>
            </w:tcBorders>
            <w:shd w:val="clear" w:color="auto" w:fill="FFFFFF"/>
            <w:vAlign w:val="center"/>
          </w:tcPr>
          <w:p w14:paraId="1205B1A8">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1.材质及规格：DN600×DN600，钢三通</w:t>
            </w:r>
          </w:p>
        </w:tc>
        <w:tc>
          <w:tcPr>
            <w:tcW w:w="390" w:type="pct"/>
            <w:tcBorders>
              <w:top w:val="single" w:color="auto" w:sz="4" w:space="0"/>
              <w:left w:val="nil"/>
              <w:bottom w:val="single" w:color="auto" w:sz="4" w:space="0"/>
              <w:right w:val="single" w:color="auto" w:sz="4" w:space="0"/>
            </w:tcBorders>
            <w:shd w:val="clear" w:color="auto" w:fill="FFFFFF"/>
            <w:noWrap/>
            <w:vAlign w:val="center"/>
          </w:tcPr>
          <w:p w14:paraId="70DC8D5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single" w:color="auto" w:sz="4" w:space="0"/>
              <w:left w:val="nil"/>
              <w:bottom w:val="single" w:color="auto" w:sz="4" w:space="0"/>
              <w:right w:val="single" w:color="auto" w:sz="4" w:space="0"/>
            </w:tcBorders>
            <w:shd w:val="clear" w:color="auto" w:fill="FFFFFF"/>
            <w:noWrap/>
            <w:vAlign w:val="center"/>
          </w:tcPr>
          <w:p w14:paraId="30EA69A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19F2AAA4">
        <w:tblPrEx>
          <w:tblCellMar>
            <w:top w:w="0" w:type="dxa"/>
            <w:left w:w="108" w:type="dxa"/>
            <w:bottom w:w="0" w:type="dxa"/>
            <w:right w:w="108" w:type="dxa"/>
          </w:tblCellMar>
        </w:tblPrEx>
        <w:trPr>
          <w:trHeight w:val="90" w:hRule="atLeast"/>
        </w:trPr>
        <w:tc>
          <w:tcPr>
            <w:tcW w:w="71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F250E3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21</w:t>
            </w:r>
          </w:p>
        </w:tc>
        <w:tc>
          <w:tcPr>
            <w:tcW w:w="1799" w:type="dxa"/>
            <w:tcBorders>
              <w:top w:val="single" w:color="auto" w:sz="4" w:space="0"/>
              <w:left w:val="nil"/>
              <w:bottom w:val="single" w:color="auto" w:sz="4" w:space="0"/>
              <w:right w:val="single" w:color="auto" w:sz="4" w:space="0"/>
            </w:tcBorders>
            <w:shd w:val="clear" w:color="auto" w:fill="FFFFFF"/>
            <w:noWrap/>
            <w:vAlign w:val="center"/>
          </w:tcPr>
          <w:p w14:paraId="64F5D641">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同心异径管</w:t>
            </w:r>
          </w:p>
        </w:tc>
        <w:tc>
          <w:tcPr>
            <w:tcW w:w="4883" w:type="dxa"/>
            <w:tcBorders>
              <w:top w:val="single" w:color="auto" w:sz="4" w:space="0"/>
              <w:left w:val="nil"/>
              <w:bottom w:val="single" w:color="auto" w:sz="4" w:space="0"/>
              <w:right w:val="single" w:color="auto" w:sz="4" w:space="0"/>
            </w:tcBorders>
            <w:shd w:val="clear" w:color="auto" w:fill="FFFFFF"/>
            <w:vAlign w:val="center"/>
          </w:tcPr>
          <w:p w14:paraId="28A3C604">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1.材质及规格：同心异径管，DN600×DN300，钢制同心异径管</w:t>
            </w:r>
          </w:p>
        </w:tc>
        <w:tc>
          <w:tcPr>
            <w:tcW w:w="390" w:type="pct"/>
            <w:tcBorders>
              <w:top w:val="single" w:color="auto" w:sz="4" w:space="0"/>
              <w:left w:val="nil"/>
              <w:bottom w:val="single" w:color="auto" w:sz="4" w:space="0"/>
              <w:right w:val="single" w:color="auto" w:sz="4" w:space="0"/>
            </w:tcBorders>
            <w:shd w:val="clear" w:color="auto" w:fill="FFFFFF"/>
            <w:noWrap/>
            <w:vAlign w:val="center"/>
          </w:tcPr>
          <w:p w14:paraId="0BFD072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single" w:color="auto" w:sz="4" w:space="0"/>
              <w:left w:val="nil"/>
              <w:bottom w:val="single" w:color="auto" w:sz="4" w:space="0"/>
              <w:right w:val="single" w:color="auto" w:sz="4" w:space="0"/>
            </w:tcBorders>
            <w:shd w:val="clear" w:color="auto" w:fill="FFFFFF"/>
            <w:noWrap/>
            <w:vAlign w:val="center"/>
          </w:tcPr>
          <w:p w14:paraId="4D369BEC">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442584ED">
        <w:tblPrEx>
          <w:tblCellMar>
            <w:top w:w="0" w:type="dxa"/>
            <w:left w:w="108" w:type="dxa"/>
            <w:bottom w:w="0" w:type="dxa"/>
            <w:right w:w="108" w:type="dxa"/>
          </w:tblCellMar>
        </w:tblPrEx>
        <w:trPr>
          <w:trHeight w:val="90" w:hRule="atLeast"/>
        </w:trPr>
        <w:tc>
          <w:tcPr>
            <w:tcW w:w="71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73B042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22</w:t>
            </w:r>
          </w:p>
        </w:tc>
        <w:tc>
          <w:tcPr>
            <w:tcW w:w="1799" w:type="dxa"/>
            <w:tcBorders>
              <w:top w:val="single" w:color="auto" w:sz="4" w:space="0"/>
              <w:left w:val="nil"/>
              <w:bottom w:val="single" w:color="auto" w:sz="4" w:space="0"/>
              <w:right w:val="single" w:color="auto" w:sz="4" w:space="0"/>
            </w:tcBorders>
            <w:shd w:val="clear" w:color="auto" w:fill="FFFFFF"/>
            <w:noWrap/>
            <w:vAlign w:val="center"/>
          </w:tcPr>
          <w:p w14:paraId="62D525C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4883" w:type="dxa"/>
            <w:tcBorders>
              <w:top w:val="single" w:color="auto" w:sz="4" w:space="0"/>
              <w:left w:val="nil"/>
              <w:bottom w:val="single" w:color="auto" w:sz="4" w:space="0"/>
              <w:right w:val="single" w:color="auto" w:sz="4" w:space="0"/>
            </w:tcBorders>
            <w:shd w:val="clear" w:color="auto" w:fill="FFFFFF"/>
            <w:vAlign w:val="center"/>
          </w:tcPr>
          <w:p w14:paraId="471B3939">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1.材质及规格：DN300×90°；钢制弯头</w:t>
            </w:r>
          </w:p>
        </w:tc>
        <w:tc>
          <w:tcPr>
            <w:tcW w:w="390" w:type="pct"/>
            <w:tcBorders>
              <w:top w:val="single" w:color="auto" w:sz="4" w:space="0"/>
              <w:left w:val="nil"/>
              <w:bottom w:val="single" w:color="auto" w:sz="4" w:space="0"/>
              <w:right w:val="single" w:color="auto" w:sz="4" w:space="0"/>
            </w:tcBorders>
            <w:shd w:val="clear" w:color="auto" w:fill="FFFFFF"/>
            <w:noWrap/>
            <w:vAlign w:val="center"/>
          </w:tcPr>
          <w:p w14:paraId="6E080B3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571" w:type="pct"/>
            <w:tcBorders>
              <w:top w:val="single" w:color="auto" w:sz="4" w:space="0"/>
              <w:left w:val="nil"/>
              <w:bottom w:val="single" w:color="auto" w:sz="4" w:space="0"/>
              <w:right w:val="single" w:color="auto" w:sz="4" w:space="0"/>
            </w:tcBorders>
            <w:shd w:val="clear" w:color="auto" w:fill="FFFFFF"/>
            <w:noWrap/>
            <w:vAlign w:val="center"/>
          </w:tcPr>
          <w:p w14:paraId="433E6D21">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504F8A24">
        <w:tblPrEx>
          <w:tblCellMar>
            <w:top w:w="0" w:type="dxa"/>
            <w:left w:w="108" w:type="dxa"/>
            <w:bottom w:w="0" w:type="dxa"/>
            <w:right w:w="108" w:type="dxa"/>
          </w:tblCellMar>
        </w:tblPrEx>
        <w:trPr>
          <w:trHeight w:val="90" w:hRule="atLeast"/>
        </w:trPr>
        <w:tc>
          <w:tcPr>
            <w:tcW w:w="71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C6CE4B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23</w:t>
            </w:r>
          </w:p>
        </w:tc>
        <w:tc>
          <w:tcPr>
            <w:tcW w:w="1799" w:type="dxa"/>
            <w:tcBorders>
              <w:top w:val="single" w:color="auto" w:sz="4" w:space="0"/>
              <w:left w:val="nil"/>
              <w:bottom w:val="single" w:color="auto" w:sz="4" w:space="0"/>
              <w:right w:val="single" w:color="auto" w:sz="4" w:space="0"/>
            </w:tcBorders>
            <w:shd w:val="clear" w:color="auto" w:fill="FFFFFF"/>
            <w:noWrap/>
            <w:vAlign w:val="center"/>
          </w:tcPr>
          <w:p w14:paraId="28A33BC1">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4883" w:type="dxa"/>
            <w:tcBorders>
              <w:top w:val="single" w:color="auto" w:sz="4" w:space="0"/>
              <w:left w:val="nil"/>
              <w:bottom w:val="single" w:color="auto" w:sz="4" w:space="0"/>
              <w:right w:val="single" w:color="auto" w:sz="4" w:space="0"/>
            </w:tcBorders>
            <w:shd w:val="clear" w:color="auto" w:fill="FFFFFF"/>
            <w:vAlign w:val="center"/>
          </w:tcPr>
          <w:p w14:paraId="59D790A5">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1.材质及规格：DN300×90°(焊口找平7°)，钢制弯头</w:t>
            </w:r>
          </w:p>
        </w:tc>
        <w:tc>
          <w:tcPr>
            <w:tcW w:w="390" w:type="pct"/>
            <w:tcBorders>
              <w:top w:val="single" w:color="auto" w:sz="4" w:space="0"/>
              <w:left w:val="nil"/>
              <w:bottom w:val="single" w:color="auto" w:sz="4" w:space="0"/>
              <w:right w:val="single" w:color="auto" w:sz="4" w:space="0"/>
            </w:tcBorders>
            <w:shd w:val="clear" w:color="auto" w:fill="FFFFFF"/>
            <w:noWrap/>
            <w:vAlign w:val="center"/>
          </w:tcPr>
          <w:p w14:paraId="432A064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single" w:color="auto" w:sz="4" w:space="0"/>
              <w:left w:val="nil"/>
              <w:bottom w:val="single" w:color="auto" w:sz="4" w:space="0"/>
              <w:right w:val="single" w:color="auto" w:sz="4" w:space="0"/>
            </w:tcBorders>
            <w:shd w:val="clear" w:color="auto" w:fill="FFFFFF"/>
            <w:noWrap/>
            <w:vAlign w:val="center"/>
          </w:tcPr>
          <w:p w14:paraId="06922A5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6FC87277">
        <w:tblPrEx>
          <w:tblCellMar>
            <w:top w:w="0" w:type="dxa"/>
            <w:left w:w="108" w:type="dxa"/>
            <w:bottom w:w="0" w:type="dxa"/>
            <w:right w:w="108" w:type="dxa"/>
          </w:tblCellMar>
        </w:tblPrEx>
        <w:trPr>
          <w:trHeight w:val="100" w:hRule="atLeast"/>
        </w:trPr>
        <w:tc>
          <w:tcPr>
            <w:tcW w:w="715" w:type="dxa"/>
            <w:tcBorders>
              <w:top w:val="nil"/>
              <w:left w:val="single" w:color="auto" w:sz="4" w:space="0"/>
              <w:bottom w:val="single" w:color="auto" w:sz="4" w:space="0"/>
              <w:right w:val="single" w:color="auto" w:sz="4" w:space="0"/>
            </w:tcBorders>
            <w:noWrap/>
            <w:vAlign w:val="center"/>
          </w:tcPr>
          <w:p w14:paraId="22D500A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24</w:t>
            </w:r>
          </w:p>
        </w:tc>
        <w:tc>
          <w:tcPr>
            <w:tcW w:w="1799" w:type="dxa"/>
            <w:tcBorders>
              <w:top w:val="nil"/>
              <w:left w:val="nil"/>
              <w:bottom w:val="single" w:color="auto" w:sz="4" w:space="0"/>
              <w:right w:val="single" w:color="auto" w:sz="4" w:space="0"/>
            </w:tcBorders>
            <w:noWrap/>
            <w:vAlign w:val="center"/>
          </w:tcPr>
          <w:p w14:paraId="7573B1F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4883" w:type="dxa"/>
            <w:tcBorders>
              <w:top w:val="nil"/>
              <w:left w:val="nil"/>
              <w:bottom w:val="single" w:color="auto" w:sz="4" w:space="0"/>
              <w:right w:val="single" w:color="auto" w:sz="4" w:space="0"/>
            </w:tcBorders>
            <w:vAlign w:val="center"/>
          </w:tcPr>
          <w:p w14:paraId="5D15E731">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1.材质及规格：DN300×7°，钢制弯头</w:t>
            </w:r>
          </w:p>
        </w:tc>
        <w:tc>
          <w:tcPr>
            <w:tcW w:w="390" w:type="pct"/>
            <w:tcBorders>
              <w:top w:val="nil"/>
              <w:left w:val="nil"/>
              <w:bottom w:val="single" w:color="auto" w:sz="4" w:space="0"/>
              <w:right w:val="single" w:color="auto" w:sz="4" w:space="0"/>
            </w:tcBorders>
            <w:noWrap/>
            <w:vAlign w:val="center"/>
          </w:tcPr>
          <w:p w14:paraId="3965F61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nil"/>
              <w:left w:val="nil"/>
              <w:bottom w:val="single" w:color="auto" w:sz="4" w:space="0"/>
              <w:right w:val="single" w:color="auto" w:sz="4" w:space="0"/>
            </w:tcBorders>
            <w:noWrap/>
            <w:vAlign w:val="center"/>
          </w:tcPr>
          <w:p w14:paraId="408551F4">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05A1D361">
        <w:tblPrEx>
          <w:tblCellMar>
            <w:top w:w="0" w:type="dxa"/>
            <w:left w:w="108" w:type="dxa"/>
            <w:bottom w:w="0" w:type="dxa"/>
            <w:right w:w="108" w:type="dxa"/>
          </w:tblCellMar>
        </w:tblPrEx>
        <w:trPr>
          <w:trHeight w:val="100" w:hRule="atLeast"/>
        </w:trPr>
        <w:tc>
          <w:tcPr>
            <w:tcW w:w="715" w:type="dxa"/>
            <w:tcBorders>
              <w:top w:val="nil"/>
              <w:left w:val="single" w:color="auto" w:sz="4" w:space="0"/>
              <w:bottom w:val="single" w:color="auto" w:sz="4" w:space="0"/>
              <w:right w:val="single" w:color="auto" w:sz="4" w:space="0"/>
            </w:tcBorders>
            <w:noWrap/>
            <w:vAlign w:val="center"/>
          </w:tcPr>
          <w:p w14:paraId="618CDE8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25</w:t>
            </w:r>
          </w:p>
        </w:tc>
        <w:tc>
          <w:tcPr>
            <w:tcW w:w="1799" w:type="dxa"/>
            <w:tcBorders>
              <w:top w:val="nil"/>
              <w:left w:val="nil"/>
              <w:bottom w:val="single" w:color="auto" w:sz="4" w:space="0"/>
              <w:right w:val="single" w:color="auto" w:sz="4" w:space="0"/>
            </w:tcBorders>
            <w:noWrap/>
            <w:vAlign w:val="center"/>
          </w:tcPr>
          <w:p w14:paraId="293B31A1">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4883" w:type="dxa"/>
            <w:tcBorders>
              <w:top w:val="nil"/>
              <w:left w:val="nil"/>
              <w:bottom w:val="single" w:color="auto" w:sz="4" w:space="0"/>
              <w:right w:val="single" w:color="auto" w:sz="4" w:space="0"/>
            </w:tcBorders>
            <w:vAlign w:val="center"/>
          </w:tcPr>
          <w:p w14:paraId="10BBA65A">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1.材质及规格：DN300×45°；钢制弯头</w:t>
            </w:r>
          </w:p>
        </w:tc>
        <w:tc>
          <w:tcPr>
            <w:tcW w:w="390" w:type="pct"/>
            <w:tcBorders>
              <w:top w:val="nil"/>
              <w:left w:val="nil"/>
              <w:bottom w:val="single" w:color="auto" w:sz="4" w:space="0"/>
              <w:right w:val="single" w:color="auto" w:sz="4" w:space="0"/>
            </w:tcBorders>
            <w:noWrap/>
            <w:vAlign w:val="center"/>
          </w:tcPr>
          <w:p w14:paraId="2A9D33E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571" w:type="pct"/>
            <w:tcBorders>
              <w:top w:val="nil"/>
              <w:left w:val="nil"/>
              <w:bottom w:val="single" w:color="auto" w:sz="4" w:space="0"/>
              <w:right w:val="single" w:color="auto" w:sz="4" w:space="0"/>
            </w:tcBorders>
            <w:noWrap/>
            <w:vAlign w:val="center"/>
          </w:tcPr>
          <w:p w14:paraId="045C5294">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03C31F87">
        <w:tblPrEx>
          <w:tblCellMar>
            <w:top w:w="0" w:type="dxa"/>
            <w:left w:w="108" w:type="dxa"/>
            <w:bottom w:w="0" w:type="dxa"/>
            <w:right w:w="108" w:type="dxa"/>
          </w:tblCellMar>
        </w:tblPrEx>
        <w:trPr>
          <w:trHeight w:val="100" w:hRule="atLeast"/>
        </w:trPr>
        <w:tc>
          <w:tcPr>
            <w:tcW w:w="715" w:type="dxa"/>
            <w:tcBorders>
              <w:top w:val="nil"/>
              <w:left w:val="single" w:color="auto" w:sz="4" w:space="0"/>
              <w:bottom w:val="single" w:color="auto" w:sz="4" w:space="0"/>
              <w:right w:val="single" w:color="auto" w:sz="4" w:space="0"/>
            </w:tcBorders>
            <w:noWrap/>
            <w:vAlign w:val="center"/>
          </w:tcPr>
          <w:p w14:paraId="57E5C2A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26</w:t>
            </w:r>
          </w:p>
        </w:tc>
        <w:tc>
          <w:tcPr>
            <w:tcW w:w="1799" w:type="dxa"/>
            <w:tcBorders>
              <w:top w:val="nil"/>
              <w:left w:val="nil"/>
              <w:bottom w:val="single" w:color="auto" w:sz="4" w:space="0"/>
              <w:right w:val="single" w:color="auto" w:sz="4" w:space="0"/>
            </w:tcBorders>
            <w:noWrap/>
            <w:vAlign w:val="center"/>
          </w:tcPr>
          <w:p w14:paraId="5D8D6028">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异径三通</w:t>
            </w:r>
          </w:p>
        </w:tc>
        <w:tc>
          <w:tcPr>
            <w:tcW w:w="4883" w:type="dxa"/>
            <w:tcBorders>
              <w:top w:val="nil"/>
              <w:left w:val="nil"/>
              <w:bottom w:val="single" w:color="auto" w:sz="4" w:space="0"/>
              <w:right w:val="single" w:color="auto" w:sz="4" w:space="0"/>
            </w:tcBorders>
            <w:vAlign w:val="center"/>
          </w:tcPr>
          <w:p w14:paraId="5FA13877">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1.材质及规格：DN600×DN300，钢制三通</w:t>
            </w:r>
          </w:p>
        </w:tc>
        <w:tc>
          <w:tcPr>
            <w:tcW w:w="390" w:type="pct"/>
            <w:tcBorders>
              <w:top w:val="nil"/>
              <w:left w:val="nil"/>
              <w:bottom w:val="single" w:color="auto" w:sz="4" w:space="0"/>
              <w:right w:val="single" w:color="auto" w:sz="4" w:space="0"/>
            </w:tcBorders>
            <w:noWrap/>
            <w:vAlign w:val="center"/>
          </w:tcPr>
          <w:p w14:paraId="6B897A5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571" w:type="pct"/>
            <w:tcBorders>
              <w:top w:val="nil"/>
              <w:left w:val="nil"/>
              <w:bottom w:val="single" w:color="auto" w:sz="4" w:space="0"/>
              <w:right w:val="single" w:color="auto" w:sz="4" w:space="0"/>
            </w:tcBorders>
            <w:noWrap/>
            <w:vAlign w:val="center"/>
          </w:tcPr>
          <w:p w14:paraId="7009D6F4">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r>
      <w:tr w14:paraId="34833F0C">
        <w:tblPrEx>
          <w:tblCellMar>
            <w:top w:w="0" w:type="dxa"/>
            <w:left w:w="108" w:type="dxa"/>
            <w:bottom w:w="0" w:type="dxa"/>
            <w:right w:w="108" w:type="dxa"/>
          </w:tblCellMar>
        </w:tblPrEx>
        <w:trPr>
          <w:trHeight w:val="100" w:hRule="atLeast"/>
        </w:trPr>
        <w:tc>
          <w:tcPr>
            <w:tcW w:w="715" w:type="dxa"/>
            <w:tcBorders>
              <w:top w:val="nil"/>
              <w:left w:val="single" w:color="auto" w:sz="4" w:space="0"/>
              <w:bottom w:val="single" w:color="auto" w:sz="4" w:space="0"/>
              <w:right w:val="single" w:color="auto" w:sz="4" w:space="0"/>
            </w:tcBorders>
            <w:noWrap/>
            <w:vAlign w:val="center"/>
          </w:tcPr>
          <w:p w14:paraId="69BCBFD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27</w:t>
            </w:r>
          </w:p>
        </w:tc>
        <w:tc>
          <w:tcPr>
            <w:tcW w:w="1799" w:type="dxa"/>
            <w:tcBorders>
              <w:top w:val="nil"/>
              <w:left w:val="nil"/>
              <w:bottom w:val="single" w:color="auto" w:sz="4" w:space="0"/>
              <w:right w:val="single" w:color="auto" w:sz="4" w:space="0"/>
            </w:tcBorders>
            <w:noWrap/>
            <w:vAlign w:val="center"/>
          </w:tcPr>
          <w:p w14:paraId="21AAF7AD">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钢管</w:t>
            </w:r>
          </w:p>
        </w:tc>
        <w:tc>
          <w:tcPr>
            <w:tcW w:w="4883" w:type="dxa"/>
            <w:tcBorders>
              <w:top w:val="nil"/>
              <w:left w:val="nil"/>
              <w:bottom w:val="single" w:color="auto" w:sz="4" w:space="0"/>
              <w:right w:val="single" w:color="auto" w:sz="4" w:space="0"/>
            </w:tcBorders>
            <w:vAlign w:val="center"/>
          </w:tcPr>
          <w:p w14:paraId="054A6598">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1.规格、压力等级：DN300</w:t>
            </w:r>
          </w:p>
        </w:tc>
        <w:tc>
          <w:tcPr>
            <w:tcW w:w="390" w:type="pct"/>
            <w:tcBorders>
              <w:top w:val="nil"/>
              <w:left w:val="nil"/>
              <w:bottom w:val="single" w:color="auto" w:sz="4" w:space="0"/>
              <w:right w:val="single" w:color="auto" w:sz="4" w:space="0"/>
            </w:tcBorders>
            <w:noWrap/>
            <w:vAlign w:val="center"/>
          </w:tcPr>
          <w:p w14:paraId="3DEC661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90</w:t>
            </w:r>
          </w:p>
        </w:tc>
        <w:tc>
          <w:tcPr>
            <w:tcW w:w="571" w:type="pct"/>
            <w:tcBorders>
              <w:top w:val="nil"/>
              <w:left w:val="nil"/>
              <w:bottom w:val="single" w:color="auto" w:sz="4" w:space="0"/>
              <w:right w:val="single" w:color="auto" w:sz="4" w:space="0"/>
            </w:tcBorders>
            <w:noWrap/>
            <w:vAlign w:val="center"/>
          </w:tcPr>
          <w:p w14:paraId="0A5FDACE">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r>
      <w:tr w14:paraId="34A3B31A">
        <w:tblPrEx>
          <w:tblCellMar>
            <w:top w:w="0" w:type="dxa"/>
            <w:left w:w="108" w:type="dxa"/>
            <w:bottom w:w="0" w:type="dxa"/>
            <w:right w:w="108" w:type="dxa"/>
          </w:tblCellMar>
        </w:tblPrEx>
        <w:trPr>
          <w:trHeight w:val="100" w:hRule="atLeast"/>
        </w:trPr>
        <w:tc>
          <w:tcPr>
            <w:tcW w:w="715" w:type="dxa"/>
            <w:tcBorders>
              <w:top w:val="nil"/>
              <w:left w:val="single" w:color="auto" w:sz="4" w:space="0"/>
              <w:bottom w:val="single" w:color="auto" w:sz="4" w:space="0"/>
              <w:right w:val="single" w:color="auto" w:sz="4" w:space="0"/>
            </w:tcBorders>
            <w:noWrap/>
            <w:vAlign w:val="center"/>
          </w:tcPr>
          <w:p w14:paraId="2E7BF55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28</w:t>
            </w:r>
          </w:p>
        </w:tc>
        <w:tc>
          <w:tcPr>
            <w:tcW w:w="1799" w:type="dxa"/>
            <w:tcBorders>
              <w:top w:val="nil"/>
              <w:left w:val="nil"/>
              <w:bottom w:val="single" w:color="auto" w:sz="4" w:space="0"/>
              <w:right w:val="single" w:color="auto" w:sz="4" w:space="0"/>
            </w:tcBorders>
            <w:noWrap/>
            <w:vAlign w:val="center"/>
          </w:tcPr>
          <w:p w14:paraId="3450D4F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钢管</w:t>
            </w:r>
          </w:p>
        </w:tc>
        <w:tc>
          <w:tcPr>
            <w:tcW w:w="4883" w:type="dxa"/>
            <w:tcBorders>
              <w:top w:val="nil"/>
              <w:left w:val="nil"/>
              <w:bottom w:val="single" w:color="auto" w:sz="4" w:space="0"/>
              <w:right w:val="single" w:color="auto" w:sz="4" w:space="0"/>
            </w:tcBorders>
            <w:vAlign w:val="center"/>
          </w:tcPr>
          <w:p w14:paraId="3C5AEAF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1.规格、压力等级：DN600</w:t>
            </w:r>
          </w:p>
        </w:tc>
        <w:tc>
          <w:tcPr>
            <w:tcW w:w="390" w:type="pct"/>
            <w:tcBorders>
              <w:top w:val="nil"/>
              <w:left w:val="nil"/>
              <w:bottom w:val="single" w:color="auto" w:sz="4" w:space="0"/>
              <w:right w:val="single" w:color="auto" w:sz="4" w:space="0"/>
            </w:tcBorders>
            <w:noWrap/>
            <w:vAlign w:val="center"/>
          </w:tcPr>
          <w:p w14:paraId="10176BA1">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5</w:t>
            </w:r>
          </w:p>
        </w:tc>
        <w:tc>
          <w:tcPr>
            <w:tcW w:w="571" w:type="pct"/>
            <w:tcBorders>
              <w:top w:val="nil"/>
              <w:left w:val="nil"/>
              <w:bottom w:val="single" w:color="auto" w:sz="4" w:space="0"/>
              <w:right w:val="single" w:color="auto" w:sz="4" w:space="0"/>
            </w:tcBorders>
            <w:noWrap/>
            <w:vAlign w:val="center"/>
          </w:tcPr>
          <w:p w14:paraId="0D30E60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r>
      <w:tr w14:paraId="629ECFA3">
        <w:tblPrEx>
          <w:tblCellMar>
            <w:top w:w="0" w:type="dxa"/>
            <w:left w:w="108" w:type="dxa"/>
            <w:bottom w:w="0" w:type="dxa"/>
            <w:right w:w="108" w:type="dxa"/>
          </w:tblCellMar>
        </w:tblPrEx>
        <w:trPr>
          <w:trHeight w:val="100" w:hRule="atLeast"/>
        </w:trPr>
        <w:tc>
          <w:tcPr>
            <w:tcW w:w="715" w:type="dxa"/>
            <w:tcBorders>
              <w:top w:val="nil"/>
              <w:left w:val="single" w:color="auto" w:sz="4" w:space="0"/>
              <w:bottom w:val="single" w:color="auto" w:sz="4" w:space="0"/>
              <w:right w:val="single" w:color="auto" w:sz="4" w:space="0"/>
            </w:tcBorders>
            <w:noWrap/>
            <w:vAlign w:val="center"/>
          </w:tcPr>
          <w:p w14:paraId="0AD2ACD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29</w:t>
            </w:r>
          </w:p>
        </w:tc>
        <w:tc>
          <w:tcPr>
            <w:tcW w:w="1799" w:type="dxa"/>
            <w:tcBorders>
              <w:top w:val="nil"/>
              <w:left w:val="nil"/>
              <w:bottom w:val="single" w:color="auto" w:sz="4" w:space="0"/>
              <w:right w:val="single" w:color="auto" w:sz="4" w:space="0"/>
            </w:tcBorders>
            <w:noWrap/>
            <w:vAlign w:val="center"/>
          </w:tcPr>
          <w:p w14:paraId="536A32F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UPVC管</w:t>
            </w:r>
          </w:p>
        </w:tc>
        <w:tc>
          <w:tcPr>
            <w:tcW w:w="4883" w:type="dxa"/>
            <w:tcBorders>
              <w:top w:val="nil"/>
              <w:left w:val="nil"/>
              <w:bottom w:val="single" w:color="auto" w:sz="4" w:space="0"/>
              <w:right w:val="single" w:color="auto" w:sz="4" w:space="0"/>
            </w:tcBorders>
            <w:vAlign w:val="center"/>
          </w:tcPr>
          <w:p w14:paraId="266FE7BE">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1.材质、规格：UPVC De220</w:t>
            </w:r>
          </w:p>
        </w:tc>
        <w:tc>
          <w:tcPr>
            <w:tcW w:w="390" w:type="pct"/>
            <w:tcBorders>
              <w:top w:val="nil"/>
              <w:left w:val="nil"/>
              <w:bottom w:val="single" w:color="auto" w:sz="4" w:space="0"/>
              <w:right w:val="single" w:color="auto" w:sz="4" w:space="0"/>
            </w:tcBorders>
            <w:noWrap/>
            <w:vAlign w:val="center"/>
          </w:tcPr>
          <w:p w14:paraId="53CB505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10</w:t>
            </w:r>
          </w:p>
        </w:tc>
        <w:tc>
          <w:tcPr>
            <w:tcW w:w="571" w:type="pct"/>
            <w:tcBorders>
              <w:top w:val="nil"/>
              <w:left w:val="nil"/>
              <w:bottom w:val="single" w:color="auto" w:sz="4" w:space="0"/>
              <w:right w:val="single" w:color="auto" w:sz="4" w:space="0"/>
            </w:tcBorders>
            <w:noWrap/>
            <w:vAlign w:val="center"/>
          </w:tcPr>
          <w:p w14:paraId="4BF2828E">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r>
      <w:tr w14:paraId="52758FEA">
        <w:tblPrEx>
          <w:tblCellMar>
            <w:top w:w="0" w:type="dxa"/>
            <w:left w:w="108" w:type="dxa"/>
            <w:bottom w:w="0" w:type="dxa"/>
            <w:right w:w="108" w:type="dxa"/>
          </w:tblCellMar>
        </w:tblPrEx>
        <w:trPr>
          <w:trHeight w:val="101" w:hRule="atLeast"/>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56EE42BC">
            <w:pPr>
              <w:widowControl/>
              <w:spacing w:line="440" w:lineRule="exact"/>
              <w:jc w:val="center"/>
              <w:rPr>
                <w:rFonts w:ascii="宋体" w:hAnsi="宋体" w:eastAsia="宋体" w:cs="宋体"/>
                <w:kern w:val="0"/>
                <w:sz w:val="24"/>
                <w:szCs w:val="24"/>
                <w:highlight w:val="none"/>
                <w:lang w:val="en-US" w:eastAsia="zh-CN" w:bidi="ar-SA"/>
              </w:rPr>
            </w:pPr>
            <w:r>
              <w:rPr>
                <w:rFonts w:hint="eastAsia" w:ascii="宋体" w:hAnsi="宋体" w:cs="宋体"/>
                <w:b/>
                <w:bCs/>
                <w:kern w:val="0"/>
                <w:sz w:val="24"/>
                <w:highlight w:val="none"/>
              </w:rPr>
              <w:t>二、建筑及市政工程部分</w:t>
            </w:r>
          </w:p>
        </w:tc>
      </w:tr>
      <w:tr w14:paraId="03C658C6">
        <w:tblPrEx>
          <w:tblCellMar>
            <w:top w:w="0" w:type="dxa"/>
            <w:left w:w="108" w:type="dxa"/>
            <w:bottom w:w="0" w:type="dxa"/>
            <w:right w:w="108" w:type="dxa"/>
          </w:tblCellMar>
        </w:tblPrEx>
        <w:trPr>
          <w:trHeight w:val="472" w:hRule="atLeast"/>
        </w:trPr>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A8F1060">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w:t>
            </w:r>
          </w:p>
        </w:tc>
        <w:tc>
          <w:tcPr>
            <w:tcW w:w="9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9748E4">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场地平整</w:t>
            </w:r>
          </w:p>
        </w:tc>
        <w:tc>
          <w:tcPr>
            <w:tcW w:w="2665" w:type="pct"/>
            <w:tcBorders>
              <w:top w:val="single" w:color="auto" w:sz="4" w:space="0"/>
              <w:left w:val="single" w:color="auto" w:sz="4" w:space="0"/>
              <w:bottom w:val="single" w:color="auto" w:sz="4" w:space="0"/>
              <w:right w:val="single" w:color="auto" w:sz="4" w:space="0"/>
            </w:tcBorders>
            <w:shd w:val="clear" w:color="auto" w:fill="auto"/>
            <w:vAlign w:val="center"/>
          </w:tcPr>
          <w:p w14:paraId="757F0F8A">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场地平整清除地上地下障碍物(大块石、树根和草皮等杂物)</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FBB171">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项</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B71FE7">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w:t>
            </w:r>
          </w:p>
        </w:tc>
      </w:tr>
      <w:tr w14:paraId="03151A0E">
        <w:tblPrEx>
          <w:tblCellMar>
            <w:top w:w="0" w:type="dxa"/>
            <w:left w:w="108" w:type="dxa"/>
            <w:bottom w:w="0" w:type="dxa"/>
            <w:right w:w="108" w:type="dxa"/>
          </w:tblCellMar>
        </w:tblPrEx>
        <w:trPr>
          <w:trHeight w:val="472" w:hRule="atLeast"/>
        </w:trPr>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37A8DB">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w:t>
            </w:r>
          </w:p>
        </w:tc>
        <w:tc>
          <w:tcPr>
            <w:tcW w:w="9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9DE005">
            <w:pPr>
              <w:spacing w:before="62" w:line="220" w:lineRule="auto"/>
              <w:ind w:left="21" w:leftChars="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挖基坑土方</w:t>
            </w:r>
          </w:p>
        </w:tc>
        <w:tc>
          <w:tcPr>
            <w:tcW w:w="2665" w:type="pct"/>
            <w:tcBorders>
              <w:top w:val="single" w:color="auto" w:sz="4" w:space="0"/>
              <w:left w:val="single" w:color="auto" w:sz="4" w:space="0"/>
              <w:bottom w:val="single" w:color="auto" w:sz="4" w:space="0"/>
              <w:right w:val="single" w:color="auto" w:sz="4" w:space="0"/>
            </w:tcBorders>
            <w:shd w:val="clear" w:color="auto" w:fill="auto"/>
            <w:vAlign w:val="center"/>
          </w:tcPr>
          <w:p w14:paraId="66543099">
            <w:pPr>
              <w:spacing w:before="14" w:line="215" w:lineRule="auto"/>
              <w:ind w:left="2" w:leftChars="0" w:right="39" w:righ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1.挖设备基础干土，不装车，土方类 别综合考虑，就近堆方用于回填</w:t>
            </w:r>
            <w:r>
              <w:rPr>
                <w:rFonts w:hint="eastAsia" w:ascii="宋体" w:hAnsi="宋体" w:cs="宋体"/>
                <w:kern w:val="0"/>
                <w:sz w:val="24"/>
                <w:szCs w:val="24"/>
                <w:highlight w:val="none"/>
                <w:lang w:val="en-US" w:eastAsia="zh-CN" w:bidi="ar-SA"/>
              </w:rPr>
              <w:t>。</w:t>
            </w:r>
          </w:p>
        </w:tc>
        <w:tc>
          <w:tcPr>
            <w:tcW w:w="39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715BB2">
            <w:pPr>
              <w:spacing w:before="62"/>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FD10BB1">
            <w:pPr>
              <w:spacing w:before="62" w:line="239" w:lineRule="auto"/>
              <w:ind w:right="34"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504.38</w:t>
            </w:r>
          </w:p>
        </w:tc>
      </w:tr>
      <w:tr w14:paraId="0AEC1597">
        <w:tblPrEx>
          <w:tblCellMar>
            <w:top w:w="0" w:type="dxa"/>
            <w:left w:w="108" w:type="dxa"/>
            <w:bottom w:w="0" w:type="dxa"/>
            <w:right w:w="108" w:type="dxa"/>
          </w:tblCellMar>
        </w:tblPrEx>
        <w:trPr>
          <w:trHeight w:val="628"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40A5627">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8FB5A75">
            <w:pPr>
              <w:spacing w:before="62" w:line="220" w:lineRule="auto"/>
              <w:ind w:left="21" w:leftChars="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挖基坑土方</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F2CBA4F">
            <w:pPr>
              <w:spacing w:before="4" w:line="210" w:lineRule="auto"/>
              <w:ind w:left="11" w:leftChars="0" w:right="29" w:righ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1.挖设备基础干土，装车，土方类别综合考虑，就近堆方用于回填</w:t>
            </w:r>
            <w:r>
              <w:rPr>
                <w:rFonts w:hint="eastAsia" w:ascii="宋体" w:hAnsi="宋体" w:cs="宋体"/>
                <w:kern w:val="0"/>
                <w:sz w:val="24"/>
                <w:szCs w:val="24"/>
                <w:highlight w:val="none"/>
                <w:lang w:val="en-US" w:eastAsia="zh-CN" w:bidi="ar-SA"/>
              </w:rPr>
              <w:t>。</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E18EB58">
            <w:pPr>
              <w:spacing w:before="62"/>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67605868">
            <w:pPr>
              <w:spacing w:before="62" w:line="239" w:lineRule="auto"/>
              <w:ind w:right="34"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779.83</w:t>
            </w:r>
          </w:p>
        </w:tc>
      </w:tr>
      <w:tr w14:paraId="3F2E659F">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E9754D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CFA5DD7">
            <w:pPr>
              <w:spacing w:before="62" w:line="220" w:lineRule="auto"/>
              <w:ind w:left="21" w:leftChars="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回填方</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6BF6B18">
            <w:pPr>
              <w:spacing w:before="84" w:line="209" w:lineRule="auto"/>
              <w:ind w:left="2" w:right="45"/>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1.原土回填分层夯实，密实度按图纸要求 ；</w:t>
            </w:r>
          </w:p>
          <w:p w14:paraId="03695F72">
            <w:pPr>
              <w:spacing w:line="223" w:lineRule="auto"/>
              <w:ind w:left="2" w:right="55" w:firstLine="9"/>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2.回填用土方调运，运距根据现场实际情况综合取定；</w:t>
            </w:r>
          </w:p>
          <w:p w14:paraId="519365E5">
            <w:pPr>
              <w:spacing w:line="218" w:lineRule="auto"/>
              <w:ind w:left="1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3.土方临时堆置场地费用自行考虑。</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ED743E">
            <w:pPr>
              <w:spacing w:before="62"/>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150ADF6E">
            <w:pPr>
              <w:spacing w:before="62" w:line="239" w:lineRule="auto"/>
              <w:ind w:right="30"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438.59</w:t>
            </w:r>
          </w:p>
        </w:tc>
      </w:tr>
      <w:tr w14:paraId="6A8CAF23">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A3AE228">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360091E">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余方弃置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E36E31">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余土外运，运距根据现场实际情况综合取定。</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8DCCB09">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4B182BD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859.84</w:t>
            </w:r>
          </w:p>
        </w:tc>
      </w:tr>
      <w:tr w14:paraId="46C2E0A3">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5A963DB">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A11B2E5">
            <w:pPr>
              <w:spacing w:before="62" w:line="219" w:lineRule="auto"/>
              <w:ind w:left="1" w:leftChars="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深层搅拌桩</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2813ED9">
            <w:pPr>
              <w:spacing w:before="66" w:line="218" w:lineRule="auto"/>
              <w:ind w:left="2" w:right="56"/>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1.单轴水泥搅拌桩，桩径700mm,桩长详见图纸</w:t>
            </w:r>
          </w:p>
          <w:p w14:paraId="53BB10D2">
            <w:pPr>
              <w:spacing w:before="13" w:line="219" w:lineRule="auto"/>
              <w:ind w:left="2"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2.涌土按20%考虑</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A961CB">
            <w:pPr>
              <w:spacing w:before="62" w:line="241"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0C82E360">
            <w:pPr>
              <w:spacing w:before="61" w:line="239" w:lineRule="auto"/>
              <w:ind w:right="28"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2678</w:t>
            </w:r>
          </w:p>
        </w:tc>
      </w:tr>
      <w:tr w14:paraId="2BBF518E">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4794E5E">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8A6B22D">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截(凿)桩头</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5C01F66">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凿水泥搅拌桩桩头</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2465C39">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145500FE">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40.82</w:t>
            </w:r>
          </w:p>
        </w:tc>
      </w:tr>
      <w:tr w14:paraId="491D5AC7">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9D1A16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112BAB">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余方弃置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032E23B">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凿出桩头外运，运距根据现场实际情况综合取定。</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1A24EDF">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127546B7">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40.82</w:t>
            </w:r>
          </w:p>
        </w:tc>
      </w:tr>
      <w:tr w14:paraId="3BD5EDFF">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052370B">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9</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C481A85">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垫层</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7D88C32">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300厚级配秒石将垫层，最大粒径不大于20mm,夯填度不大于0.90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1B46DC7">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321AC09E">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177.03</w:t>
            </w:r>
          </w:p>
        </w:tc>
      </w:tr>
      <w:tr w14:paraId="0497366A">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A335A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EB5D3ED">
            <w:pPr>
              <w:pStyle w:val="374"/>
              <w:spacing w:line="270" w:lineRule="auto"/>
              <w:jc w:val="left"/>
              <w:rPr>
                <w:rFonts w:hint="eastAsia" w:ascii="宋体" w:hAnsi="宋体" w:eastAsia="宋体" w:cs="宋体"/>
                <w:kern w:val="0"/>
                <w:sz w:val="24"/>
                <w:szCs w:val="24"/>
                <w:highlight w:val="none"/>
                <w:lang w:val="en-US" w:eastAsia="zh-CN" w:bidi="ar-SA"/>
              </w:rPr>
            </w:pPr>
          </w:p>
          <w:p w14:paraId="5D5A16D6">
            <w:pPr>
              <w:spacing w:before="62" w:line="219" w:lineRule="auto"/>
              <w:ind w:left="1" w:leftChars="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垫层</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0DF3C0E">
            <w:pPr>
              <w:spacing w:before="82" w:line="217" w:lineRule="auto"/>
              <w:ind w:left="2" w:firstLine="9"/>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1、混凝土种类：非泵送商品砼基础垫层</w:t>
            </w:r>
          </w:p>
          <w:p w14:paraId="1722820B">
            <w:pPr>
              <w:spacing w:before="4" w:line="219" w:lineRule="auto"/>
              <w:ind w:left="12"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2、混凝土强度等级：C20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20004B5">
            <w:pPr>
              <w:spacing w:before="62"/>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269C913C">
            <w:pPr>
              <w:pStyle w:val="374"/>
              <w:spacing w:line="289" w:lineRule="auto"/>
              <w:rPr>
                <w:rFonts w:hint="eastAsia" w:ascii="宋体" w:hAnsi="宋体" w:eastAsia="宋体" w:cs="宋体"/>
                <w:kern w:val="0"/>
                <w:sz w:val="24"/>
                <w:szCs w:val="24"/>
                <w:highlight w:val="none"/>
                <w:lang w:val="en-US" w:eastAsia="zh-CN" w:bidi="ar-SA"/>
              </w:rPr>
            </w:pPr>
          </w:p>
          <w:p w14:paraId="47B32DF8">
            <w:pPr>
              <w:spacing w:before="61" w:line="239" w:lineRule="auto"/>
              <w:ind w:right="25"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47.91</w:t>
            </w:r>
          </w:p>
        </w:tc>
      </w:tr>
      <w:tr w14:paraId="29449F75">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4E761D3">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7ADC3EB">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满堂基础</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9C9DC2A">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1、混凝土种类：泵送商品砼满堂基础</w:t>
            </w:r>
          </w:p>
          <w:p w14:paraId="2EFA16A5">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2、混凝土强度等级：C30/P6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290BC45">
            <w:pPr>
              <w:widowControl/>
              <w:spacing w:line="440" w:lineRule="exact"/>
              <w:jc w:val="both"/>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12B9BE0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279.98</w:t>
            </w:r>
          </w:p>
        </w:tc>
      </w:tr>
      <w:tr w14:paraId="01984117">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6968B7E">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1380895">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直形墙</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043A25E">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1、混凝土种类：泵送商品砼直形墙</w:t>
            </w:r>
          </w:p>
          <w:p w14:paraId="3FEFB768">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2、混凝土强度等级：C30/P6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C1D89A0">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m3</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1AE567B4">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32.58</w:t>
            </w:r>
          </w:p>
        </w:tc>
      </w:tr>
      <w:tr w14:paraId="7691AE35">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FFA5CB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D097608">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1B796E5">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1、箍筋带肋钢筋HRB400Eφ10制作安装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213289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72682FC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2.000</w:t>
            </w:r>
          </w:p>
        </w:tc>
      </w:tr>
      <w:tr w14:paraId="6D4857DA">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93DC4B">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F570B79">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3F408E">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1、箍筋带肋钢筋HRB400Eφ12制作安装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4762641">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677E2F0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1.672</w:t>
            </w:r>
          </w:p>
        </w:tc>
      </w:tr>
      <w:tr w14:paraId="512C4FBC">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8FD8B4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17862D0">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15E003">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1、箍筋带肋钢筋HRB400Eφ14制作安装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E10AD0C">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3FC7AFE4">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3.240</w:t>
            </w:r>
          </w:p>
        </w:tc>
      </w:tr>
      <w:tr w14:paraId="45B916AA">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F3AAC5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16</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F1E40F8">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D02BBCF">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1、热轧带肋钢筋HRB400Eφ10制作安装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0CEF42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663FD4C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0.200</w:t>
            </w:r>
          </w:p>
        </w:tc>
      </w:tr>
      <w:tr w14:paraId="6EE93123">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D49D3F4">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17</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76E36A">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8EF388B">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1、热轧带肋钢筋HRB400Eφ12制作安装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819E0AB">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0FFDB349">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1.820</w:t>
            </w:r>
          </w:p>
        </w:tc>
      </w:tr>
      <w:tr w14:paraId="2AA26B9D">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8211473">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60412D">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02B3585">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1、热轧带肋钢筋HRB400Eφ14制作安装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3EDFF7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4D4BAD3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16.850</w:t>
            </w:r>
          </w:p>
        </w:tc>
      </w:tr>
      <w:tr w14:paraId="611FA17C">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4BD5F7E">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19</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6C008B3">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2DD4190">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1、热轧带肋钢筋HRB400Eφ18制作安装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A1D9BDE">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12BF3340">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6.856</w:t>
            </w:r>
          </w:p>
        </w:tc>
      </w:tr>
      <w:tr w14:paraId="588974ED">
        <w:tblPrEx>
          <w:tblCellMar>
            <w:top w:w="0" w:type="dxa"/>
            <w:left w:w="108" w:type="dxa"/>
            <w:bottom w:w="0" w:type="dxa"/>
            <w:right w:w="108" w:type="dxa"/>
          </w:tblCellMar>
        </w:tblPrEx>
        <w:trPr>
          <w:trHeight w:val="47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39F875C8">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33AF7B7">
            <w:pPr>
              <w:widowControl/>
              <w:spacing w:line="440" w:lineRule="exact"/>
              <w:jc w:val="left"/>
              <w:rPr>
                <w:rFonts w:hint="default"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套管制作安装</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9EC9D59">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1.集水坑侧壁预埋DN600套管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C4B3B1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个</w:t>
            </w:r>
          </w:p>
        </w:tc>
        <w:tc>
          <w:tcPr>
            <w:tcW w:w="571" w:type="pct"/>
            <w:tcBorders>
              <w:top w:val="single" w:color="auto" w:sz="4" w:space="0"/>
              <w:left w:val="single" w:color="auto" w:sz="4" w:space="0"/>
              <w:bottom w:val="single" w:color="auto" w:sz="4" w:space="0"/>
              <w:right w:val="single" w:color="auto" w:sz="4" w:space="0"/>
            </w:tcBorders>
            <w:shd w:val="clear" w:color="auto" w:fill="auto"/>
            <w:vAlign w:val="center"/>
          </w:tcPr>
          <w:p w14:paraId="3B8A89E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w:t>
            </w:r>
          </w:p>
        </w:tc>
      </w:tr>
    </w:tbl>
    <w:p w14:paraId="3F780214">
      <w:pPr>
        <w:pStyle w:val="30"/>
        <w:snapToGrid w:val="0"/>
        <w:spacing w:beforeLines="0" w:afterLines="0" w:line="440" w:lineRule="exact"/>
        <w:rPr>
          <w:rFonts w:hAnsi="宋体" w:cs="宋体"/>
          <w:b/>
          <w:color w:val="000000"/>
          <w:highlight w:val="none"/>
        </w:rPr>
      </w:pPr>
    </w:p>
    <w:p w14:paraId="52C6A770">
      <w:pPr>
        <w:pStyle w:val="30"/>
        <w:snapToGrid w:val="0"/>
        <w:spacing w:beforeLines="0" w:afterLines="0" w:line="440" w:lineRule="exact"/>
        <w:rPr>
          <w:rFonts w:hAnsi="宋体" w:cs="宋体"/>
          <w:b/>
          <w:color w:val="000000"/>
          <w:highlight w:val="none"/>
        </w:rPr>
      </w:pPr>
      <w:r>
        <w:rPr>
          <w:rFonts w:hint="eastAsia" w:hAnsi="宋体" w:cs="宋体"/>
          <w:b/>
          <w:color w:val="000000"/>
          <w:highlight w:val="none"/>
        </w:rPr>
        <w:t>二、合同暂定金额</w:t>
      </w:r>
    </w:p>
    <w:p w14:paraId="73EA0E9E">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本合同暂定金额为（大写）：_____________________________元（￥_____元）人民币(含税）。</w:t>
      </w:r>
      <w:r>
        <w:rPr>
          <w:rFonts w:hint="eastAsia"/>
          <w:highlight w:val="none"/>
        </w:rPr>
        <w:t>（</w:t>
      </w:r>
      <w:r>
        <w:rPr>
          <w:rFonts w:hint="eastAsia"/>
          <w:b/>
          <w:bCs/>
          <w:highlight w:val="none"/>
        </w:rPr>
        <w:t>如国家政策对税率有调整的，不含税价不变，税率按最新政策规定执行</w:t>
      </w:r>
      <w:r>
        <w:rPr>
          <w:rFonts w:hint="eastAsia"/>
          <w:highlight w:val="none"/>
        </w:rPr>
        <w:t>）</w:t>
      </w:r>
      <w:r>
        <w:rPr>
          <w:highlight w:val="none"/>
        </w:rPr>
        <w:t>。</w:t>
      </w:r>
      <w:r>
        <w:rPr>
          <w:rFonts w:hint="eastAsia" w:hAnsi="宋体" w:cs="宋体"/>
          <w:highlight w:val="none"/>
        </w:rPr>
        <w:t>其中设备安装部分</w:t>
      </w:r>
      <w:r>
        <w:rPr>
          <w:rFonts w:hint="eastAsia" w:hAnsi="宋体" w:cs="宋体"/>
          <w:highlight w:val="none"/>
          <w:u w:val="single"/>
        </w:rPr>
        <w:t xml:space="preserve">          </w:t>
      </w:r>
      <w:r>
        <w:rPr>
          <w:rFonts w:hint="eastAsia" w:hAnsi="宋体" w:cs="宋体"/>
          <w:highlight w:val="none"/>
        </w:rPr>
        <w:t>元</w:t>
      </w:r>
      <w:r>
        <w:rPr>
          <w:rFonts w:hint="eastAsia" w:hAnsi="宋体" w:cs="宋体"/>
          <w:highlight w:val="none"/>
          <w:lang w:eastAsia="zh-CN"/>
        </w:rPr>
        <w:t>，</w:t>
      </w:r>
      <w:r>
        <w:rPr>
          <w:rFonts w:hint="eastAsia" w:hAnsi="宋体" w:cs="宋体"/>
          <w:highlight w:val="none"/>
        </w:rPr>
        <w:t>建筑及市政工程部分</w:t>
      </w:r>
      <w:r>
        <w:rPr>
          <w:rFonts w:hint="eastAsia" w:hAnsi="宋体" w:cs="宋体"/>
          <w:highlight w:val="none"/>
          <w:u w:val="single"/>
        </w:rPr>
        <w:t xml:space="preserve">           </w:t>
      </w:r>
      <w:r>
        <w:rPr>
          <w:rFonts w:hint="eastAsia" w:hAnsi="宋体" w:cs="宋体"/>
          <w:highlight w:val="none"/>
        </w:rPr>
        <w:t>元，</w:t>
      </w:r>
      <w:r>
        <w:rPr>
          <w:highlight w:val="none"/>
        </w:rPr>
        <w:t>税率</w:t>
      </w:r>
      <w:r>
        <w:rPr>
          <w:rFonts w:hint="eastAsia"/>
          <w:highlight w:val="none"/>
        </w:rPr>
        <w:t>：</w:t>
      </w:r>
      <w:r>
        <w:rPr>
          <w:rFonts w:hint="eastAsia"/>
          <w:highlight w:val="none"/>
          <w:u w:val="single"/>
        </w:rPr>
        <w:t xml:space="preserve">     </w:t>
      </w:r>
      <w:r>
        <w:rPr>
          <w:rFonts w:hint="eastAsia" w:hAnsi="宋体" w:cs="宋体"/>
          <w:highlight w:val="none"/>
        </w:rPr>
        <w:t>。</w:t>
      </w:r>
    </w:p>
    <w:p w14:paraId="7F550E10">
      <w:pPr>
        <w:pStyle w:val="30"/>
        <w:snapToGrid w:val="0"/>
        <w:spacing w:beforeLines="0" w:afterLines="0" w:line="440" w:lineRule="exact"/>
        <w:rPr>
          <w:rFonts w:hAnsi="宋体" w:cs="宋体"/>
          <w:b/>
          <w:bCs/>
          <w:color w:val="000000"/>
          <w:highlight w:val="none"/>
        </w:rPr>
      </w:pPr>
      <w:r>
        <w:rPr>
          <w:rFonts w:hint="eastAsia" w:hAnsi="宋体" w:cs="宋体"/>
          <w:b/>
          <w:bCs/>
          <w:color w:val="000000"/>
          <w:highlight w:val="none"/>
        </w:rPr>
        <w:t>本合同价款采用全费用单价确定。</w:t>
      </w:r>
    </w:p>
    <w:p w14:paraId="7805D21F">
      <w:pPr>
        <w:pStyle w:val="30"/>
        <w:snapToGrid w:val="0"/>
        <w:spacing w:beforeLines="0" w:afterLines="0" w:line="440" w:lineRule="exact"/>
        <w:rPr>
          <w:rFonts w:hAnsi="宋体" w:cs="宋体"/>
          <w:b/>
          <w:bCs/>
          <w:color w:val="000000"/>
          <w:highlight w:val="none"/>
        </w:rPr>
      </w:pPr>
      <w:r>
        <w:rPr>
          <w:rFonts w:hint="eastAsia" w:hAnsi="宋体" w:cs="宋体"/>
          <w:b/>
          <w:bCs/>
          <w:color w:val="000000"/>
          <w:highlight w:val="none"/>
        </w:rPr>
        <w:t>本工程结算价的计算方式为：全费用固定单价包死，数量按实结算。</w:t>
      </w:r>
    </w:p>
    <w:p w14:paraId="6D26D743">
      <w:pPr>
        <w:pStyle w:val="30"/>
        <w:snapToGrid w:val="0"/>
        <w:spacing w:beforeLines="0" w:afterLines="0" w:line="440" w:lineRule="exact"/>
        <w:rPr>
          <w:rFonts w:hAnsi="宋体" w:cs="宋体"/>
          <w:b/>
          <w:bCs/>
          <w:color w:val="000000"/>
          <w:highlight w:val="none"/>
        </w:rPr>
      </w:pPr>
      <w:r>
        <w:rPr>
          <w:rFonts w:hint="eastAsia" w:hAnsi="宋体" w:cs="宋体"/>
          <w:b/>
          <w:bCs/>
          <w:color w:val="000000"/>
          <w:highlight w:val="none"/>
        </w:rPr>
        <w:t>全费用包含人工、材料、辅料、设备、运输、装卸、安装、机械、二次搬运、产品保护、水电费、上位机开发费用（</w:t>
      </w:r>
      <w:r>
        <w:rPr>
          <w:rFonts w:hint="eastAsia" w:hAnsi="宋体" w:cs="宋体"/>
          <w:b/>
          <w:bCs/>
          <w:color w:val="000000"/>
          <w:highlight w:val="none"/>
          <w:lang w:eastAsia="zh-CN"/>
        </w:rPr>
        <w:t>含上位机画面、数据库、报表等</w:t>
      </w:r>
      <w:r>
        <w:rPr>
          <w:rFonts w:hint="eastAsia" w:hAnsi="宋体" w:cs="宋体"/>
          <w:b/>
          <w:bCs/>
          <w:color w:val="000000"/>
          <w:highlight w:val="none"/>
        </w:rPr>
        <w:t>）、调试、措施费、综合管理、售后服务、保险、规费、利润、税金、风险费及其他工程费等一切费用。乙方应列入而未列入其中的费用，均视为已包含在内，风险由乙方承担。清单未列入的视为已考虑在内，结算时，不</w:t>
      </w:r>
      <w:r>
        <w:rPr>
          <w:rFonts w:hint="eastAsia" w:hAnsi="宋体" w:cs="宋体"/>
          <w:b/>
          <w:bCs/>
          <w:color w:val="000000"/>
          <w:highlight w:val="yellow"/>
          <w:lang w:val="en-US" w:eastAsia="zh-CN"/>
        </w:rPr>
        <w:t>再</w:t>
      </w:r>
      <w:r>
        <w:rPr>
          <w:rFonts w:hint="eastAsia" w:hAnsi="宋体" w:cs="宋体"/>
          <w:b/>
          <w:bCs/>
          <w:color w:val="000000"/>
          <w:highlight w:val="none"/>
        </w:rPr>
        <w:t>另行增加。</w:t>
      </w:r>
    </w:p>
    <w:p w14:paraId="1B3E40DE">
      <w:pPr>
        <w:pStyle w:val="30"/>
        <w:snapToGrid w:val="0"/>
        <w:spacing w:beforeLines="0" w:afterLines="0" w:line="440" w:lineRule="exact"/>
        <w:rPr>
          <w:rFonts w:hAnsi="宋体" w:cs="宋体"/>
          <w:bCs/>
          <w:highlight w:val="none"/>
        </w:rPr>
      </w:pPr>
      <w:r>
        <w:rPr>
          <w:rFonts w:hint="eastAsia" w:hAnsi="宋体" w:cs="宋体"/>
          <w:b/>
          <w:color w:val="000000"/>
          <w:highlight w:val="none"/>
        </w:rPr>
        <w:t>三、</w:t>
      </w:r>
      <w:r>
        <w:rPr>
          <w:rFonts w:hint="eastAsia" w:hAnsi="宋体" w:cs="宋体"/>
          <w:b/>
          <w:highlight w:val="none"/>
        </w:rPr>
        <w:t>供货时间</w:t>
      </w:r>
    </w:p>
    <w:p w14:paraId="3EAB4356">
      <w:pPr>
        <w:pStyle w:val="47"/>
        <w:spacing w:before="0" w:beforeAutospacing="0" w:after="0" w:afterAutospacing="0" w:line="440" w:lineRule="exact"/>
        <w:rPr>
          <w:rFonts w:cs="宋体"/>
          <w:bCs/>
          <w:color w:val="000000"/>
          <w:highlight w:val="none"/>
        </w:rPr>
      </w:pPr>
      <w:r>
        <w:rPr>
          <w:rFonts w:hint="eastAsia" w:cs="宋体"/>
          <w:bCs/>
          <w:color w:val="000000"/>
          <w:highlight w:val="none"/>
        </w:rPr>
        <w:t>合同签订后</w:t>
      </w:r>
      <w:r>
        <w:rPr>
          <w:rFonts w:hint="eastAsia" w:cs="宋体"/>
          <w:bCs/>
          <w:color w:val="000000"/>
          <w:highlight w:val="none"/>
          <w:u w:val="single"/>
        </w:rPr>
        <w:t xml:space="preserve">     </w:t>
      </w:r>
      <w:r>
        <w:rPr>
          <w:rFonts w:hint="eastAsia" w:cs="宋体"/>
          <w:bCs/>
          <w:color w:val="000000"/>
          <w:highlight w:val="none"/>
        </w:rPr>
        <w:t>日历天内完成供货、安装并调试完成。</w:t>
      </w:r>
    </w:p>
    <w:p w14:paraId="21926356">
      <w:pPr>
        <w:pStyle w:val="30"/>
        <w:snapToGrid w:val="0"/>
        <w:spacing w:beforeLines="0" w:afterLines="0" w:line="440" w:lineRule="exact"/>
        <w:rPr>
          <w:rFonts w:hAnsi="宋体" w:cs="宋体"/>
          <w:b/>
          <w:color w:val="000000"/>
          <w:highlight w:val="none"/>
        </w:rPr>
      </w:pPr>
      <w:r>
        <w:rPr>
          <w:rFonts w:hint="eastAsia" w:hAnsi="宋体" w:cs="宋体"/>
          <w:b/>
          <w:color w:val="000000"/>
          <w:highlight w:val="none"/>
        </w:rPr>
        <w:t>四、货款支付</w:t>
      </w:r>
    </w:p>
    <w:p w14:paraId="23783641">
      <w:pPr>
        <w:pStyle w:val="30"/>
        <w:snapToGrid w:val="0"/>
        <w:spacing w:beforeLines="0" w:afterLines="0" w:line="440" w:lineRule="exact"/>
        <w:rPr>
          <w:rFonts w:hAnsi="宋体" w:cs="宋体"/>
          <w:bCs/>
          <w:color w:val="000000"/>
          <w:highlight w:val="none"/>
        </w:rPr>
      </w:pPr>
      <w:r>
        <w:rPr>
          <w:rFonts w:hint="eastAsia" w:hAnsi="宋体" w:cs="宋体"/>
          <w:bCs/>
          <w:color w:val="000000"/>
          <w:highlight w:val="none"/>
        </w:rPr>
        <w:t>合同签订后支付合同金额40%的预付款，安装、调试完成后支付至合同金额的70%，经甲方最终验收合格后付至结算价的100%。甲方支付完成最后结算付款前，乙方提供质量保证金保函，保函形式为银行保函、保险机构保证保险保单或融资担保公司保函中任选一种，保证金额为：5%的结算价款。乙方应向甲方提供有效的</w:t>
      </w:r>
      <w:r>
        <w:rPr>
          <w:rFonts w:hint="eastAsia" w:hAnsi="宋体" w:cs="宋体"/>
          <w:bCs/>
          <w:color w:val="000000"/>
          <w:highlight w:val="none"/>
          <w:lang w:val="en-US" w:eastAsia="zh-CN"/>
        </w:rPr>
        <w:t>增值税普通</w:t>
      </w:r>
      <w:r>
        <w:rPr>
          <w:rFonts w:hint="eastAsia" w:hAnsi="宋体" w:cs="宋体"/>
          <w:bCs/>
          <w:color w:val="000000"/>
          <w:highlight w:val="none"/>
        </w:rPr>
        <w:t>发票，否则甲方有权不予付款。</w:t>
      </w:r>
    </w:p>
    <w:p w14:paraId="4CD0171F">
      <w:pPr>
        <w:pStyle w:val="30"/>
        <w:snapToGrid w:val="0"/>
        <w:spacing w:beforeLines="0" w:afterLines="0" w:line="440" w:lineRule="exact"/>
        <w:rPr>
          <w:rFonts w:hAnsi="宋体" w:cs="宋体"/>
          <w:b/>
          <w:color w:val="000000"/>
          <w:highlight w:val="none"/>
        </w:rPr>
      </w:pPr>
      <w:r>
        <w:rPr>
          <w:rFonts w:hint="eastAsia" w:hAnsi="宋体" w:cs="宋体"/>
          <w:b/>
          <w:color w:val="000000"/>
          <w:highlight w:val="none"/>
        </w:rPr>
        <w:t>五、税费</w:t>
      </w:r>
    </w:p>
    <w:p w14:paraId="65829185">
      <w:pPr>
        <w:spacing w:line="440" w:lineRule="exact"/>
        <w:jc w:val="left"/>
        <w:rPr>
          <w:rFonts w:ascii="宋体" w:hAnsi="宋体" w:cs="宋体"/>
          <w:bCs/>
          <w:sz w:val="24"/>
          <w:highlight w:val="none"/>
        </w:rPr>
      </w:pPr>
      <w:r>
        <w:rPr>
          <w:rFonts w:hint="eastAsia" w:ascii="宋体" w:hAnsi="宋体" w:cs="宋体"/>
          <w:color w:val="000000"/>
          <w:sz w:val="24"/>
          <w:highlight w:val="none"/>
        </w:rPr>
        <w:t>本合同执行中相关的一切税费均由乙方负担。</w:t>
      </w:r>
    </w:p>
    <w:p w14:paraId="3516798E">
      <w:pPr>
        <w:pStyle w:val="30"/>
        <w:snapToGrid w:val="0"/>
        <w:spacing w:beforeLines="0" w:afterLines="0" w:line="440" w:lineRule="exact"/>
        <w:ind w:left="410" w:hanging="410" w:hangingChars="170"/>
        <w:rPr>
          <w:rFonts w:hAnsi="宋体" w:cs="宋体"/>
          <w:b/>
          <w:color w:val="000000"/>
          <w:highlight w:val="none"/>
        </w:rPr>
      </w:pPr>
      <w:r>
        <w:rPr>
          <w:rFonts w:hint="eastAsia" w:hAnsi="宋体" w:cs="宋体"/>
          <w:b/>
          <w:color w:val="000000"/>
          <w:highlight w:val="none"/>
        </w:rPr>
        <w:t>六、履约保证金</w:t>
      </w:r>
    </w:p>
    <w:p w14:paraId="2AD75393">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乙方应当在合同签订前缴纳履约保证金人民币</w:t>
      </w:r>
      <w:r>
        <w:rPr>
          <w:rFonts w:hint="eastAsia" w:hAnsi="宋体" w:cs="宋体"/>
          <w:color w:val="000000"/>
          <w:highlight w:val="none"/>
          <w:u w:val="single"/>
        </w:rPr>
        <w:t xml:space="preserve">      </w:t>
      </w:r>
      <w:r>
        <w:rPr>
          <w:rFonts w:hint="eastAsia" w:hAnsi="宋体" w:cs="宋体"/>
          <w:color w:val="000000"/>
          <w:highlight w:val="none"/>
        </w:rPr>
        <w:t>元整 （￥</w:t>
      </w:r>
      <w:r>
        <w:rPr>
          <w:rFonts w:hint="eastAsia" w:hAnsi="宋体" w:cs="宋体"/>
          <w:color w:val="000000"/>
          <w:highlight w:val="none"/>
          <w:u w:val="single"/>
        </w:rPr>
        <w:t xml:space="preserve">    </w:t>
      </w:r>
      <w:r>
        <w:rPr>
          <w:rFonts w:hint="eastAsia" w:hAnsi="宋体" w:cs="宋体"/>
          <w:color w:val="000000"/>
          <w:highlight w:val="none"/>
        </w:rPr>
        <w:t>元）</w:t>
      </w:r>
    </w:p>
    <w:p w14:paraId="170FE2B7">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履约保证金的收取及退还: 中标价的1%。最终验收合格后凭《临海市采购验收单》在系统中向临海市产权交易所有限公司退还。</w:t>
      </w:r>
    </w:p>
    <w:p w14:paraId="74787114">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履约保证金形式：现金（电汇或银行汇票形式）或银行保函或保险机构保证保险保单或融资担保公司保函。</w:t>
      </w:r>
    </w:p>
    <w:p w14:paraId="67EFC7C7">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若采用银行保函，出具保函的银行级别：国有或股份制商业银行县（区、市）级及以上银行。</w:t>
      </w:r>
    </w:p>
    <w:p w14:paraId="5DCB03C7">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若采用保险机构保证保险保单，出具保单的保险公司级别：县（区、市）级及以上国有或股份制保险公司。</w:t>
      </w:r>
    </w:p>
    <w:p w14:paraId="2D488041">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若采用融资担保公司保函，出具保函的融资担保公司级别：县（区、市）级及以上国有或股份制融资担保公司。</w:t>
      </w:r>
    </w:p>
    <w:p w14:paraId="77A8703B">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开户名：临海市产权交易所有限公司</w:t>
      </w:r>
    </w:p>
    <w:p w14:paraId="4EF70189">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开户行：浙江临海农村商业银行股份有限公司科技支行</w:t>
      </w:r>
    </w:p>
    <w:p w14:paraId="25A88C5C">
      <w:pPr>
        <w:spacing w:line="440" w:lineRule="exact"/>
        <w:rPr>
          <w:rFonts w:ascii="宋体" w:hAnsi="宋体" w:cs="宋体"/>
          <w:color w:val="000000"/>
          <w:sz w:val="24"/>
          <w:highlight w:val="none"/>
        </w:rPr>
      </w:pPr>
      <w:r>
        <w:rPr>
          <w:rFonts w:hint="eastAsia" w:ascii="宋体" w:hAnsi="宋体" w:cs="宋体"/>
          <w:color w:val="000000"/>
          <w:sz w:val="24"/>
          <w:highlight w:val="none"/>
        </w:rPr>
        <w:t>履约保证金账号：201000105503123000002</w:t>
      </w:r>
    </w:p>
    <w:p w14:paraId="51D62085">
      <w:pPr>
        <w:pStyle w:val="30"/>
        <w:snapToGrid w:val="0"/>
        <w:spacing w:beforeLines="0" w:afterLines="0" w:line="440" w:lineRule="exact"/>
        <w:ind w:left="410" w:hanging="410" w:hangingChars="170"/>
        <w:rPr>
          <w:rFonts w:hAnsi="宋体" w:cs="宋体"/>
          <w:b/>
          <w:color w:val="000000"/>
          <w:highlight w:val="none"/>
        </w:rPr>
      </w:pPr>
      <w:r>
        <w:rPr>
          <w:rFonts w:hint="eastAsia" w:hAnsi="宋体" w:cs="宋体"/>
          <w:b/>
          <w:color w:val="000000"/>
          <w:highlight w:val="none"/>
        </w:rPr>
        <w:t>七、包装要求</w:t>
      </w:r>
    </w:p>
    <w:p w14:paraId="417D348E">
      <w:pPr>
        <w:spacing w:line="440" w:lineRule="exact"/>
        <w:jc w:val="left"/>
        <w:rPr>
          <w:rFonts w:ascii="宋体" w:hAnsi="宋体" w:cs="宋体"/>
          <w:bCs/>
          <w:sz w:val="24"/>
          <w:highlight w:val="none"/>
        </w:rPr>
      </w:pPr>
      <w:r>
        <w:rPr>
          <w:rFonts w:hint="eastAsia" w:ascii="宋体" w:hAnsi="宋体" w:cs="宋体"/>
          <w:bCs/>
          <w:sz w:val="24"/>
          <w:highlight w:val="none"/>
        </w:rPr>
        <w:t>1.除合同另有规定外，乙方提供的全部货物均应按国家或专业标准保护措施进行包装，该包装应适应远距离运输，防潮、防震、防锈和防粗暴装卸等保护措施，确保货物安全无损运到指定现场。由于包装不善所引起的货物锈蚀、损坏和损失均由乙方承担。</w:t>
      </w:r>
    </w:p>
    <w:p w14:paraId="650CBB1E">
      <w:pPr>
        <w:spacing w:line="440" w:lineRule="exact"/>
        <w:jc w:val="left"/>
        <w:rPr>
          <w:rFonts w:ascii="宋体" w:hAnsi="宋体" w:cs="宋体"/>
          <w:bCs/>
          <w:sz w:val="24"/>
          <w:highlight w:val="none"/>
        </w:rPr>
      </w:pPr>
      <w:r>
        <w:rPr>
          <w:rFonts w:hint="eastAsia" w:ascii="宋体" w:hAnsi="宋体" w:cs="宋体"/>
          <w:bCs/>
          <w:sz w:val="24"/>
          <w:highlight w:val="none"/>
        </w:rPr>
        <w:t>2.每件包装箱内应附一份详细装箱单、质量合格证、产品说明书、保修卡等一系列保证产品质量和正常使用的资料，进口设备还须提供海关进货单（如有）。</w:t>
      </w:r>
    </w:p>
    <w:p w14:paraId="6FE43DB7">
      <w:pPr>
        <w:pStyle w:val="30"/>
        <w:snapToGrid w:val="0"/>
        <w:spacing w:beforeLines="0" w:afterLines="0" w:line="440" w:lineRule="exact"/>
        <w:ind w:left="410" w:hanging="410" w:hangingChars="170"/>
        <w:rPr>
          <w:rFonts w:hAnsi="宋体" w:cs="宋体"/>
          <w:b/>
          <w:color w:val="000000"/>
          <w:highlight w:val="none"/>
        </w:rPr>
      </w:pPr>
      <w:r>
        <w:rPr>
          <w:rFonts w:hint="eastAsia" w:hAnsi="宋体" w:cs="宋体"/>
          <w:b/>
          <w:color w:val="000000"/>
          <w:highlight w:val="none"/>
        </w:rPr>
        <w:t>八、运输费用</w:t>
      </w:r>
    </w:p>
    <w:p w14:paraId="21767F55">
      <w:pPr>
        <w:spacing w:line="440" w:lineRule="exact"/>
        <w:jc w:val="left"/>
        <w:rPr>
          <w:rFonts w:ascii="宋体" w:hAnsi="宋体" w:cs="宋体"/>
          <w:bCs/>
          <w:sz w:val="24"/>
          <w:highlight w:val="none"/>
        </w:rPr>
      </w:pPr>
      <w:r>
        <w:rPr>
          <w:rFonts w:hint="eastAsia" w:ascii="宋体" w:hAnsi="宋体" w:cs="宋体"/>
          <w:bCs/>
          <w:sz w:val="24"/>
          <w:highlight w:val="none"/>
        </w:rPr>
        <w:t>1.乙方承担将提供的货物送至甲方指定的安装地点的所有运输费用。</w:t>
      </w:r>
    </w:p>
    <w:p w14:paraId="1FD6B695">
      <w:pPr>
        <w:spacing w:line="440" w:lineRule="exact"/>
        <w:jc w:val="left"/>
        <w:rPr>
          <w:rFonts w:ascii="宋体" w:hAnsi="宋体" w:cs="宋体"/>
          <w:bCs/>
          <w:sz w:val="24"/>
          <w:highlight w:val="none"/>
        </w:rPr>
      </w:pPr>
      <w:r>
        <w:rPr>
          <w:rFonts w:hint="eastAsia" w:ascii="宋体" w:hAnsi="宋体" w:cs="宋体"/>
          <w:bCs/>
          <w:sz w:val="24"/>
          <w:highlight w:val="none"/>
        </w:rPr>
        <w:t>2.乙方负责安排运输、安装、调试、维护、售后服务等。</w:t>
      </w:r>
    </w:p>
    <w:p w14:paraId="32D046D2">
      <w:pPr>
        <w:spacing w:line="440" w:lineRule="exact"/>
        <w:jc w:val="left"/>
        <w:rPr>
          <w:rFonts w:ascii="宋体" w:hAnsi="宋体" w:cs="宋体"/>
          <w:b/>
          <w:sz w:val="24"/>
          <w:highlight w:val="none"/>
        </w:rPr>
      </w:pPr>
      <w:r>
        <w:rPr>
          <w:rFonts w:hint="eastAsia" w:ascii="宋体" w:hAnsi="宋体" w:cs="宋体"/>
          <w:b/>
          <w:sz w:val="24"/>
          <w:highlight w:val="none"/>
        </w:rPr>
        <w:t>九、交货方式</w:t>
      </w:r>
    </w:p>
    <w:p w14:paraId="005C36BC">
      <w:pPr>
        <w:spacing w:line="440" w:lineRule="exact"/>
        <w:jc w:val="left"/>
        <w:rPr>
          <w:rFonts w:ascii="宋体" w:hAnsi="宋体" w:cs="宋体"/>
          <w:bCs/>
          <w:sz w:val="24"/>
          <w:highlight w:val="none"/>
        </w:rPr>
      </w:pPr>
      <w:r>
        <w:rPr>
          <w:rFonts w:hint="eastAsia" w:ascii="宋体" w:hAnsi="宋体" w:cs="宋体"/>
          <w:bCs/>
          <w:sz w:val="24"/>
          <w:highlight w:val="none"/>
        </w:rPr>
        <w:t>1.现场交货条件下，</w:t>
      </w:r>
      <w:r>
        <w:rPr>
          <w:rFonts w:hint="eastAsia" w:ascii="宋体" w:hAnsi="宋体" w:cs="宋体"/>
          <w:bCs/>
          <w:sz w:val="24"/>
          <w:highlight w:val="none"/>
          <w:lang w:val="en-US" w:eastAsia="zh-CN"/>
        </w:rPr>
        <w:t>未经甲方确认，</w:t>
      </w:r>
      <w:r>
        <w:rPr>
          <w:rFonts w:hint="eastAsia" w:ascii="宋体" w:hAnsi="宋体" w:cs="宋体"/>
          <w:bCs/>
          <w:sz w:val="24"/>
          <w:highlight w:val="none"/>
        </w:rPr>
        <w:t>乙方装运的货物不应超过合同规定的数量或重量，否则，乙方应对超运部分的数量或重量而引起的一切后果负责。</w:t>
      </w:r>
    </w:p>
    <w:p w14:paraId="4C4BFC80">
      <w:pPr>
        <w:spacing w:line="440" w:lineRule="exact"/>
        <w:jc w:val="left"/>
        <w:rPr>
          <w:rFonts w:ascii="宋体" w:hAnsi="宋体" w:cs="宋体"/>
          <w:bCs/>
          <w:sz w:val="24"/>
          <w:highlight w:val="none"/>
        </w:rPr>
      </w:pPr>
      <w:r>
        <w:rPr>
          <w:rFonts w:hint="eastAsia" w:ascii="宋体" w:hAnsi="宋体" w:cs="宋体"/>
          <w:bCs/>
          <w:sz w:val="24"/>
          <w:highlight w:val="none"/>
        </w:rPr>
        <w:t>2.供货地点：甲方指定地点</w:t>
      </w:r>
    </w:p>
    <w:p w14:paraId="1EA5D80E">
      <w:pPr>
        <w:spacing w:line="440" w:lineRule="exact"/>
        <w:jc w:val="left"/>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货物</w:t>
      </w:r>
      <w:r>
        <w:rPr>
          <w:rFonts w:hint="eastAsia" w:ascii="宋体" w:hAnsi="宋体" w:cs="宋体"/>
          <w:b/>
          <w:sz w:val="24"/>
          <w:highlight w:val="none"/>
        </w:rPr>
        <w:t>验收</w:t>
      </w:r>
    </w:p>
    <w:p w14:paraId="0A1D399F">
      <w:pPr>
        <w:spacing w:line="440" w:lineRule="exact"/>
        <w:jc w:val="left"/>
        <w:rPr>
          <w:rFonts w:ascii="宋体" w:hAnsi="宋体" w:cs="宋体"/>
          <w:bCs/>
          <w:sz w:val="24"/>
          <w:highlight w:val="none"/>
        </w:rPr>
      </w:pPr>
      <w:r>
        <w:rPr>
          <w:rFonts w:hint="eastAsia" w:ascii="宋体" w:hAnsi="宋体" w:cs="宋体"/>
          <w:bCs/>
          <w:sz w:val="24"/>
          <w:highlight w:val="none"/>
        </w:rPr>
        <w:t>1.乙方提供的货物应符合招标文件中的各项指标和相关技术规范的要求。</w:t>
      </w:r>
    </w:p>
    <w:p w14:paraId="3AE3A0CE">
      <w:pPr>
        <w:spacing w:line="440" w:lineRule="exact"/>
        <w:jc w:val="left"/>
        <w:rPr>
          <w:rFonts w:ascii="宋体" w:hAnsi="宋体" w:cs="宋体"/>
          <w:bCs/>
          <w:sz w:val="24"/>
          <w:highlight w:val="none"/>
        </w:rPr>
      </w:pPr>
      <w:r>
        <w:rPr>
          <w:rFonts w:hint="eastAsia" w:ascii="宋体" w:hAnsi="宋体" w:cs="宋体"/>
          <w:bCs/>
          <w:sz w:val="24"/>
          <w:highlight w:val="none"/>
        </w:rPr>
        <w:t>2.乙方提供的货物在甲方指定的所在地验收。货物性能应按乙方出具的并得到甲方认可的货物验收大纲要求及方法进行验收。</w:t>
      </w:r>
    </w:p>
    <w:p w14:paraId="360A6365">
      <w:pPr>
        <w:spacing w:line="440" w:lineRule="exact"/>
        <w:jc w:val="left"/>
        <w:rPr>
          <w:rFonts w:ascii="宋体" w:hAnsi="宋体" w:cs="宋体"/>
          <w:bCs/>
          <w:sz w:val="24"/>
          <w:highlight w:val="none"/>
        </w:rPr>
      </w:pPr>
      <w:r>
        <w:rPr>
          <w:rFonts w:hint="eastAsia" w:ascii="宋体" w:hAnsi="宋体" w:cs="宋体"/>
          <w:bCs/>
          <w:sz w:val="24"/>
          <w:highlight w:val="none"/>
        </w:rPr>
        <w:t>3.对一次开箱不合格的货物乙方予以换新，并承担一切与之有关的费用。</w:t>
      </w:r>
    </w:p>
    <w:p w14:paraId="0D1D400F">
      <w:pPr>
        <w:pStyle w:val="30"/>
        <w:spacing w:before="120" w:after="120" w:line="440" w:lineRule="exact"/>
        <w:rPr>
          <w:rFonts w:hint="eastAsia" w:hAnsi="宋体" w:cs="宋体"/>
          <w:bCs/>
          <w:highlight w:val="none"/>
        </w:rPr>
      </w:pPr>
      <w:r>
        <w:rPr>
          <w:rFonts w:hint="eastAsia" w:hAnsi="宋体" w:cs="宋体"/>
          <w:bCs/>
          <w:highlight w:val="none"/>
          <w:lang w:val="en-US" w:eastAsia="zh-CN"/>
        </w:rPr>
        <w:t>4</w:t>
      </w:r>
      <w:r>
        <w:rPr>
          <w:rFonts w:hint="eastAsia" w:hAnsi="宋体" w:cs="宋体"/>
          <w:bCs/>
          <w:highlight w:val="none"/>
        </w:rPr>
        <w:t>.乙方提供的货物全部送达指定地点后，甲方应组织相关管理者人员在一周内</w:t>
      </w:r>
      <w:r>
        <w:rPr>
          <w:rFonts w:hint="eastAsia" w:hAnsi="宋体" w:cs="宋体"/>
          <w:bCs/>
          <w:highlight w:val="none"/>
          <w:lang w:val="en-US" w:eastAsia="zh-CN"/>
        </w:rPr>
        <w:t>进行</w:t>
      </w:r>
      <w:r>
        <w:rPr>
          <w:rFonts w:hint="eastAsia" w:hAnsi="宋体" w:cs="宋体"/>
          <w:bCs/>
          <w:highlight w:val="none"/>
        </w:rPr>
        <w:t>验收工作。对技术复杂的货物，甲方有权聘请专业检测机构参与初步验收，并由其出具质量检测报告。验收时乙方必须在现场，验收完毕后作出验收结果报告。验收费用由乙方承担。</w:t>
      </w:r>
    </w:p>
    <w:p w14:paraId="757081A0">
      <w:pPr>
        <w:pStyle w:val="30"/>
        <w:spacing w:before="120" w:after="120" w:line="440" w:lineRule="exact"/>
        <w:rPr>
          <w:rFonts w:hint="default" w:hAnsi="宋体" w:eastAsia="宋体" w:cs="宋体"/>
          <w:b/>
          <w:color w:val="000000"/>
          <w:highlight w:val="none"/>
          <w:lang w:val="en-US" w:eastAsia="zh-CN"/>
        </w:rPr>
      </w:pPr>
      <w:r>
        <w:rPr>
          <w:rFonts w:hint="eastAsia" w:hAnsi="宋体" w:cs="宋体"/>
          <w:bCs/>
          <w:highlight w:val="none"/>
          <w:lang w:val="en-US" w:eastAsia="zh-CN"/>
        </w:rPr>
        <w:t>5.验收前乙方提供具有CNAS或CMA出具的净水设备检测报告。</w:t>
      </w:r>
      <w:r>
        <w:rPr>
          <w:rFonts w:hint="eastAsia" w:hAnsi="宋体" w:cs="宋体"/>
          <w:highlight w:val="none"/>
        </w:rPr>
        <w:br w:type="textWrapping"/>
      </w:r>
      <w:r>
        <w:rPr>
          <w:rFonts w:hint="eastAsia" w:hAnsi="宋体" w:cs="宋体"/>
          <w:b/>
          <w:color w:val="000000"/>
          <w:highlight w:val="none"/>
        </w:rPr>
        <w:t>十一、安装</w:t>
      </w:r>
      <w:r>
        <w:rPr>
          <w:rFonts w:hint="eastAsia" w:hAnsi="宋体" w:cs="宋体"/>
          <w:b/>
          <w:color w:val="000000"/>
          <w:highlight w:val="none"/>
          <w:lang w:eastAsia="zh-CN"/>
        </w:rPr>
        <w:t>、</w:t>
      </w:r>
      <w:r>
        <w:rPr>
          <w:rFonts w:hint="eastAsia" w:hAnsi="宋体" w:cs="宋体"/>
          <w:b/>
          <w:color w:val="000000"/>
          <w:highlight w:val="none"/>
        </w:rPr>
        <w:t>调试</w:t>
      </w:r>
      <w:r>
        <w:rPr>
          <w:rFonts w:hint="eastAsia" w:hAnsi="宋体" w:cs="宋体"/>
          <w:b/>
          <w:color w:val="000000"/>
          <w:highlight w:val="none"/>
          <w:lang w:val="en-US" w:eastAsia="zh-CN"/>
        </w:rPr>
        <w:t>和验收</w:t>
      </w:r>
    </w:p>
    <w:p w14:paraId="1CA1AA98">
      <w:pPr>
        <w:spacing w:line="440" w:lineRule="exact"/>
        <w:jc w:val="left"/>
        <w:rPr>
          <w:rFonts w:ascii="宋体" w:hAnsi="宋体" w:cs="宋体"/>
          <w:bCs/>
          <w:sz w:val="24"/>
          <w:highlight w:val="none"/>
        </w:rPr>
      </w:pPr>
      <w:r>
        <w:rPr>
          <w:rFonts w:hint="eastAsia" w:ascii="宋体" w:hAnsi="宋体" w:cs="宋体"/>
          <w:bCs/>
          <w:sz w:val="24"/>
          <w:highlight w:val="none"/>
        </w:rPr>
        <w:t>1.安装</w:t>
      </w:r>
    </w:p>
    <w:p w14:paraId="5AC803F3">
      <w:pPr>
        <w:spacing w:line="440" w:lineRule="exact"/>
        <w:jc w:val="left"/>
        <w:rPr>
          <w:rFonts w:ascii="宋体" w:hAnsi="宋体" w:cs="宋体"/>
          <w:bCs/>
          <w:sz w:val="24"/>
          <w:highlight w:val="none"/>
        </w:rPr>
      </w:pPr>
      <w:r>
        <w:rPr>
          <w:rFonts w:hint="eastAsia" w:ascii="宋体" w:hAnsi="宋体" w:cs="宋体"/>
          <w:bCs/>
          <w:sz w:val="24"/>
          <w:highlight w:val="none"/>
        </w:rPr>
        <w:t>①为确保安装调试工作安全有序的进行，要求乙方在货物运抵安装现场前3天内向甲方提供一份详细的安装、调试验收计划和所采用的标准及方法，现场负责人、工程师和参与安装人员的名单，此计划和采用的标准一旦被甲方确认就不得随意更改，否则</w:t>
      </w:r>
      <w:r>
        <w:rPr>
          <w:rFonts w:hint="eastAsia" w:ascii="宋体" w:hAnsi="宋体" w:cs="宋体"/>
          <w:bCs/>
          <w:sz w:val="24"/>
          <w:highlight w:val="none"/>
          <w:lang w:val="en-US" w:eastAsia="zh-CN"/>
        </w:rPr>
        <w:t>不得进行安装以及下一步工序</w:t>
      </w:r>
      <w:r>
        <w:rPr>
          <w:rFonts w:hint="eastAsia" w:ascii="宋体" w:hAnsi="宋体" w:cs="宋体"/>
          <w:bCs/>
          <w:sz w:val="24"/>
          <w:highlight w:val="none"/>
        </w:rPr>
        <w:t>。</w:t>
      </w:r>
    </w:p>
    <w:p w14:paraId="0C7A44F4">
      <w:pPr>
        <w:spacing w:line="440" w:lineRule="exact"/>
        <w:jc w:val="left"/>
        <w:rPr>
          <w:rFonts w:ascii="宋体" w:hAnsi="宋体" w:cs="宋体"/>
          <w:bCs/>
          <w:sz w:val="24"/>
          <w:highlight w:val="none"/>
        </w:rPr>
      </w:pPr>
      <w:r>
        <w:rPr>
          <w:rFonts w:hint="eastAsia" w:ascii="宋体" w:hAnsi="宋体" w:cs="宋体"/>
          <w:bCs/>
          <w:sz w:val="24"/>
          <w:highlight w:val="none"/>
        </w:rPr>
        <w:t>②设备的安装必须符合有关标准和规范。安装过程中甲方将对设备的安装质量进行监督。乙方需按甲方的要求和认可负责设备的就位、安装和调试及试运行工作。</w:t>
      </w:r>
    </w:p>
    <w:p w14:paraId="1F21DB65">
      <w:pPr>
        <w:spacing w:line="440" w:lineRule="exact"/>
        <w:jc w:val="left"/>
        <w:rPr>
          <w:rFonts w:ascii="宋体" w:hAnsi="宋体" w:cs="宋体"/>
          <w:bCs/>
          <w:sz w:val="24"/>
          <w:highlight w:val="none"/>
        </w:rPr>
      </w:pPr>
      <w:r>
        <w:rPr>
          <w:rFonts w:hint="eastAsia" w:ascii="宋体" w:hAnsi="宋体" w:cs="宋体"/>
          <w:bCs/>
          <w:sz w:val="24"/>
          <w:highlight w:val="none"/>
        </w:rPr>
        <w:t>③在安装过程中，如由于乙方原因导致建筑结构或其它设备被损坏，乙方须负责修理并赔偿全部损失。</w:t>
      </w:r>
    </w:p>
    <w:p w14:paraId="6DFB17AC">
      <w:pPr>
        <w:spacing w:line="440" w:lineRule="exact"/>
        <w:jc w:val="left"/>
        <w:rPr>
          <w:rFonts w:ascii="宋体" w:hAnsi="宋体" w:cs="宋体"/>
          <w:bCs/>
          <w:sz w:val="24"/>
          <w:highlight w:val="none"/>
        </w:rPr>
      </w:pPr>
      <w:r>
        <w:rPr>
          <w:rFonts w:hint="eastAsia" w:ascii="宋体" w:hAnsi="宋体" w:cs="宋体"/>
          <w:bCs/>
          <w:sz w:val="24"/>
          <w:highlight w:val="none"/>
        </w:rPr>
        <w:t>2.调试</w:t>
      </w:r>
    </w:p>
    <w:p w14:paraId="09C7D560">
      <w:pPr>
        <w:spacing w:line="440" w:lineRule="exact"/>
        <w:jc w:val="left"/>
        <w:rPr>
          <w:rFonts w:hint="eastAsia" w:ascii="宋体" w:hAnsi="宋体" w:cs="宋体"/>
          <w:bCs/>
          <w:sz w:val="24"/>
          <w:highlight w:val="none"/>
        </w:rPr>
      </w:pPr>
      <w:r>
        <w:rPr>
          <w:rFonts w:hint="eastAsia" w:ascii="宋体" w:hAnsi="宋体" w:cs="宋体"/>
          <w:bCs/>
          <w:sz w:val="24"/>
          <w:highlight w:val="none"/>
        </w:rPr>
        <w:t>设备安装就位、校准后，乙方应按事先被甲方认可的调试计划对设备进行调试，并对设备所标注的各项技术指标进行测试，测试报告将在设备</w:t>
      </w:r>
      <w:r>
        <w:rPr>
          <w:rFonts w:hint="eastAsia" w:ascii="宋体" w:hAnsi="宋体" w:cs="宋体"/>
          <w:bCs/>
          <w:sz w:val="24"/>
          <w:highlight w:val="none"/>
          <w:lang w:val="en-US" w:eastAsia="zh-CN"/>
        </w:rPr>
        <w:t>调试</w:t>
      </w:r>
      <w:r>
        <w:rPr>
          <w:rFonts w:hint="eastAsia" w:ascii="宋体" w:hAnsi="宋体" w:cs="宋体"/>
          <w:bCs/>
          <w:sz w:val="24"/>
          <w:highlight w:val="none"/>
        </w:rPr>
        <w:t>完毕后提交给甲方，但乙方应对测试的各种数据的真实性负责，并填写测试报告交由甲方存档。</w:t>
      </w:r>
    </w:p>
    <w:p w14:paraId="45ABEAF8">
      <w:pPr>
        <w:numPr>
          <w:ilvl w:val="0"/>
          <w:numId w:val="0"/>
        </w:numPr>
        <w:spacing w:line="440" w:lineRule="exact"/>
        <w:ind w:leftChars="0"/>
        <w:jc w:val="left"/>
        <w:rPr>
          <w:rFonts w:hint="eastAsia" w:ascii="宋体" w:hAnsi="宋体" w:cs="宋体"/>
          <w:bCs/>
          <w:sz w:val="24"/>
          <w:highlight w:val="none"/>
          <w:lang w:val="en-US" w:eastAsia="zh-CN"/>
        </w:rPr>
      </w:pPr>
      <w:r>
        <w:rPr>
          <w:rFonts w:hint="eastAsia" w:ascii="宋体" w:hAnsi="宋体" w:cs="宋体"/>
          <w:bCs/>
          <w:sz w:val="24"/>
          <w:highlight w:val="none"/>
          <w:lang w:val="en-US" w:eastAsia="zh-CN"/>
        </w:rPr>
        <w:t>3.最终验收</w:t>
      </w:r>
    </w:p>
    <w:p w14:paraId="45E914DC">
      <w:pPr>
        <w:numPr>
          <w:ilvl w:val="0"/>
          <w:numId w:val="0"/>
        </w:numPr>
        <w:spacing w:line="440" w:lineRule="exact"/>
        <w:ind w:leftChars="0"/>
        <w:jc w:val="left"/>
        <w:rPr>
          <w:rFonts w:hint="eastAsia" w:ascii="宋体" w:hAnsi="宋体" w:cs="宋体"/>
          <w:bCs/>
          <w:sz w:val="24"/>
          <w:highlight w:val="none"/>
        </w:rPr>
      </w:pPr>
      <w:r>
        <w:rPr>
          <w:rFonts w:hint="eastAsia" w:ascii="宋体" w:hAnsi="宋体" w:cs="宋体"/>
          <w:bCs/>
          <w:sz w:val="24"/>
          <w:highlight w:val="none"/>
        </w:rPr>
        <w:t>① 验收条件：</w:t>
      </w:r>
    </w:p>
    <w:p w14:paraId="783DB196">
      <w:pPr>
        <w:numPr>
          <w:ilvl w:val="0"/>
          <w:numId w:val="0"/>
        </w:numPr>
        <w:spacing w:line="440" w:lineRule="exact"/>
        <w:ind w:leftChars="0"/>
        <w:jc w:val="left"/>
        <w:rPr>
          <w:rFonts w:hint="eastAsia" w:ascii="宋体" w:hAnsi="宋体" w:cs="宋体"/>
          <w:bCs/>
          <w:sz w:val="24"/>
          <w:highlight w:val="none"/>
        </w:rPr>
      </w:pPr>
      <w:r>
        <w:rPr>
          <w:rFonts w:hint="eastAsia" w:ascii="宋体" w:hAnsi="宋体" w:cs="宋体"/>
          <w:bCs/>
          <w:sz w:val="24"/>
          <w:highlight w:val="none"/>
        </w:rPr>
        <w:t>设备完成安装调试并确认合格后，须进入连续稳定试运行阶段</w:t>
      </w:r>
      <w:r>
        <w:rPr>
          <w:rFonts w:hint="eastAsia" w:ascii="宋体" w:hAnsi="宋体" w:cs="宋体"/>
          <w:bCs/>
          <w:sz w:val="24"/>
          <w:highlight w:val="none"/>
          <w:lang w:eastAsia="zh-CN"/>
        </w:rPr>
        <w:t>（</w:t>
      </w:r>
      <w:r>
        <w:rPr>
          <w:rFonts w:hint="eastAsia" w:ascii="宋体" w:hAnsi="宋体" w:cs="宋体"/>
          <w:bCs/>
          <w:sz w:val="24"/>
          <w:highlight w:val="none"/>
          <w:lang w:val="en-US" w:eastAsia="zh-CN"/>
        </w:rPr>
        <w:t>达到技术要求的相关规定</w:t>
      </w:r>
      <w:r>
        <w:rPr>
          <w:rFonts w:hint="eastAsia" w:ascii="宋体" w:hAnsi="宋体" w:cs="宋体"/>
          <w:bCs/>
          <w:sz w:val="24"/>
          <w:highlight w:val="none"/>
          <w:lang w:eastAsia="zh-CN"/>
        </w:rPr>
        <w:t>）</w:t>
      </w:r>
      <w:r>
        <w:rPr>
          <w:rFonts w:hint="eastAsia" w:ascii="宋体" w:hAnsi="宋体" w:cs="宋体"/>
          <w:bCs/>
          <w:sz w:val="24"/>
          <w:highlight w:val="none"/>
        </w:rPr>
        <w:t>，试运行期为3个月。试运行期间如出现不合格情况，</w:t>
      </w:r>
      <w:r>
        <w:rPr>
          <w:rFonts w:hint="eastAsia" w:ascii="宋体" w:hAnsi="宋体" w:cs="宋体"/>
          <w:bCs/>
          <w:sz w:val="24"/>
          <w:highlight w:val="none"/>
          <w:lang w:val="en-US" w:eastAsia="zh-CN"/>
        </w:rPr>
        <w:t>乙方</w:t>
      </w:r>
      <w:r>
        <w:rPr>
          <w:rFonts w:hint="eastAsia" w:ascii="宋体" w:hAnsi="宋体" w:cs="宋体"/>
          <w:bCs/>
          <w:sz w:val="24"/>
          <w:highlight w:val="none"/>
        </w:rPr>
        <w:t>应完成整改。试运行合格后，方可组织最终验收。对技术复杂的货物，甲方有权聘请专业检测机构参与最终验收，并由其出具质量检测报告。验收时乙方必须在现场，验收完毕后作出验收结果报告。验收费用由乙方承担。</w:t>
      </w:r>
    </w:p>
    <w:p w14:paraId="3E17D037">
      <w:pPr>
        <w:numPr>
          <w:ilvl w:val="0"/>
          <w:numId w:val="0"/>
        </w:numPr>
        <w:spacing w:line="440" w:lineRule="exact"/>
        <w:ind w:leftChars="0"/>
        <w:jc w:val="left"/>
        <w:rPr>
          <w:rFonts w:hint="eastAsia" w:ascii="宋体" w:hAnsi="宋体" w:cs="宋体"/>
          <w:bCs/>
          <w:sz w:val="24"/>
          <w:highlight w:val="none"/>
        </w:rPr>
      </w:pPr>
      <w:r>
        <w:rPr>
          <w:rFonts w:hint="eastAsia" w:ascii="宋体" w:hAnsi="宋体" w:cs="宋体"/>
          <w:bCs/>
          <w:sz w:val="24"/>
          <w:highlight w:val="none"/>
        </w:rPr>
        <w:t>② 验收依据：</w:t>
      </w:r>
    </w:p>
    <w:p w14:paraId="4932D43B">
      <w:pPr>
        <w:numPr>
          <w:ilvl w:val="0"/>
          <w:numId w:val="0"/>
        </w:numPr>
        <w:spacing w:line="440" w:lineRule="exact"/>
        <w:ind w:leftChars="0"/>
        <w:jc w:val="left"/>
        <w:rPr>
          <w:rFonts w:hint="eastAsia" w:ascii="宋体" w:hAnsi="宋体" w:cs="宋体"/>
          <w:bCs/>
          <w:sz w:val="24"/>
          <w:highlight w:val="none"/>
          <w:lang w:val="en-US" w:eastAsia="zh-CN"/>
        </w:rPr>
      </w:pPr>
      <w:r>
        <w:rPr>
          <w:rFonts w:hint="eastAsia" w:ascii="宋体" w:hAnsi="宋体" w:cs="宋体"/>
          <w:bCs/>
          <w:sz w:val="24"/>
          <w:highlight w:val="none"/>
        </w:rPr>
        <w:t>以本招标文件的技术要求、现行国家相关标准、合同约定内容以及试运行期间的实际运行数据作为验收依据。</w:t>
      </w:r>
    </w:p>
    <w:p w14:paraId="03AEB09C">
      <w:pPr>
        <w:spacing w:line="440" w:lineRule="exact"/>
        <w:jc w:val="left"/>
        <w:rPr>
          <w:rFonts w:ascii="宋体" w:hAnsi="宋体" w:cs="宋体"/>
          <w:b/>
          <w:sz w:val="24"/>
          <w:highlight w:val="none"/>
        </w:rPr>
      </w:pPr>
      <w:r>
        <w:rPr>
          <w:rFonts w:hint="eastAsia" w:ascii="宋体" w:hAnsi="宋体" w:cs="宋体"/>
          <w:b/>
          <w:sz w:val="24"/>
          <w:highlight w:val="none"/>
        </w:rPr>
        <w:t>十二、其他要求</w:t>
      </w:r>
    </w:p>
    <w:p w14:paraId="37B6D1C2">
      <w:pPr>
        <w:spacing w:line="440" w:lineRule="exact"/>
        <w:jc w:val="left"/>
        <w:rPr>
          <w:rFonts w:ascii="宋体" w:hAnsi="宋体" w:cs="宋体"/>
          <w:bCs/>
          <w:sz w:val="24"/>
          <w:highlight w:val="none"/>
        </w:rPr>
      </w:pPr>
      <w:r>
        <w:rPr>
          <w:rFonts w:hint="eastAsia" w:ascii="宋体" w:hAnsi="宋体" w:cs="宋体"/>
          <w:bCs/>
          <w:sz w:val="24"/>
          <w:highlight w:val="none"/>
        </w:rPr>
        <w:t>1.乙方应依照法律规定参加工伤保险，并为其履行合同的全部员工办理工伤保险，缴纳工伤保险费，并要求乙方为履行合同聘请的第三方依法参加工伤保险。</w:t>
      </w:r>
    </w:p>
    <w:p w14:paraId="0F445437">
      <w:pPr>
        <w:spacing w:line="440" w:lineRule="exact"/>
        <w:jc w:val="left"/>
        <w:rPr>
          <w:rFonts w:ascii="宋体" w:hAnsi="宋体" w:cs="宋体"/>
          <w:bCs/>
          <w:sz w:val="24"/>
          <w:highlight w:val="none"/>
        </w:rPr>
      </w:pPr>
      <w:r>
        <w:rPr>
          <w:rFonts w:hint="eastAsia" w:ascii="宋体" w:hAnsi="宋体" w:cs="宋体"/>
          <w:bCs/>
          <w:sz w:val="24"/>
          <w:highlight w:val="none"/>
        </w:rPr>
        <w:t>2.本合同签订后</w:t>
      </w:r>
      <w:r>
        <w:rPr>
          <w:rFonts w:hint="eastAsia" w:ascii="宋体" w:hAnsi="宋体" w:cs="宋体"/>
          <w:bCs/>
          <w:sz w:val="24"/>
          <w:highlight w:val="none"/>
          <w:lang w:val="en-US" w:eastAsia="zh-CN"/>
        </w:rPr>
        <w:t>7</w:t>
      </w:r>
      <w:r>
        <w:rPr>
          <w:rFonts w:hint="eastAsia" w:ascii="宋体" w:hAnsi="宋体" w:cs="宋体"/>
          <w:bCs/>
          <w:sz w:val="24"/>
          <w:highlight w:val="none"/>
        </w:rPr>
        <w:t>日内，乙方应向甲方提供团队人员工伤保险证明，逾期未提供的，不得开工，甲方有权解除合同并追究乙方违约责任</w:t>
      </w:r>
      <w:r>
        <w:rPr>
          <w:rFonts w:hint="eastAsia" w:ascii="宋体" w:hAnsi="宋体" w:cs="宋体"/>
          <w:bCs/>
          <w:sz w:val="24"/>
          <w:highlight w:val="none"/>
          <w:lang w:eastAsia="zh-CN"/>
        </w:rPr>
        <w:t>。</w:t>
      </w:r>
      <w:r>
        <w:rPr>
          <w:rFonts w:hint="eastAsia" w:ascii="宋体" w:hAnsi="宋体" w:cs="宋体"/>
          <w:bCs/>
          <w:sz w:val="24"/>
          <w:highlight w:val="none"/>
        </w:rPr>
        <w:t>乙方未按合同约定办理保险，导致未能得到足额赔偿的，由乙方负责补足。</w:t>
      </w:r>
    </w:p>
    <w:p w14:paraId="2B989420">
      <w:pPr>
        <w:spacing w:line="440" w:lineRule="exact"/>
        <w:jc w:val="left"/>
        <w:rPr>
          <w:rFonts w:ascii="宋体" w:hAnsi="宋体" w:cs="宋体"/>
          <w:b/>
          <w:sz w:val="24"/>
          <w:highlight w:val="none"/>
        </w:rPr>
      </w:pPr>
      <w:r>
        <w:rPr>
          <w:rFonts w:hint="eastAsia" w:ascii="宋体" w:hAnsi="宋体" w:cs="宋体"/>
          <w:b/>
          <w:sz w:val="24"/>
          <w:highlight w:val="none"/>
        </w:rPr>
        <w:t>十三、质量保证</w:t>
      </w:r>
    </w:p>
    <w:p w14:paraId="12051AF5">
      <w:pPr>
        <w:spacing w:line="440" w:lineRule="exact"/>
        <w:jc w:val="left"/>
        <w:rPr>
          <w:rFonts w:ascii="宋体" w:hAnsi="宋体" w:cs="宋体"/>
          <w:bCs/>
          <w:sz w:val="24"/>
          <w:highlight w:val="none"/>
        </w:rPr>
      </w:pPr>
      <w:r>
        <w:rPr>
          <w:rFonts w:hint="eastAsia" w:ascii="宋体" w:hAnsi="宋体" w:cs="宋体"/>
          <w:bCs/>
          <w:sz w:val="24"/>
          <w:highlight w:val="none"/>
        </w:rPr>
        <w:t>质保期</w:t>
      </w:r>
      <w:r>
        <w:rPr>
          <w:rFonts w:hint="eastAsia" w:ascii="宋体" w:hAnsi="宋体" w:cs="宋体"/>
          <w:bCs/>
          <w:sz w:val="24"/>
          <w:highlight w:val="none"/>
          <w:u w:val="single"/>
        </w:rPr>
        <w:t xml:space="preserve">    </w:t>
      </w:r>
      <w:r>
        <w:rPr>
          <w:rFonts w:hint="eastAsia" w:ascii="宋体" w:hAnsi="宋体" w:cs="宋体"/>
          <w:bCs/>
          <w:sz w:val="24"/>
          <w:highlight w:val="none"/>
        </w:rPr>
        <w:t>年。（自最终验收合格之日开始计算）</w:t>
      </w:r>
    </w:p>
    <w:p w14:paraId="09827275">
      <w:pPr>
        <w:spacing w:line="440" w:lineRule="exact"/>
        <w:jc w:val="left"/>
        <w:rPr>
          <w:rFonts w:ascii="宋体" w:hAnsi="宋体" w:cs="宋体"/>
          <w:bCs/>
          <w:sz w:val="24"/>
          <w:highlight w:val="none"/>
        </w:rPr>
      </w:pPr>
      <w:r>
        <w:rPr>
          <w:rFonts w:hint="eastAsia" w:ascii="宋体" w:hAnsi="宋体" w:cs="宋体"/>
          <w:bCs/>
          <w:sz w:val="24"/>
          <w:highlight w:val="none"/>
        </w:rPr>
        <w:t>（一）乙方应按招标文件规定的货物性能、技术要求、质量标准向甲方提供未经使用的全新产品。</w:t>
      </w:r>
    </w:p>
    <w:p w14:paraId="63CE5656">
      <w:pPr>
        <w:spacing w:line="440" w:lineRule="exact"/>
        <w:jc w:val="left"/>
        <w:rPr>
          <w:rFonts w:ascii="宋体" w:hAnsi="宋体" w:cs="宋体"/>
          <w:bCs/>
          <w:sz w:val="24"/>
          <w:highlight w:val="none"/>
        </w:rPr>
      </w:pPr>
      <w:r>
        <w:rPr>
          <w:rFonts w:hint="eastAsia" w:ascii="宋体" w:hAnsi="宋体" w:cs="宋体"/>
          <w:bCs/>
          <w:sz w:val="24"/>
          <w:highlight w:val="none"/>
        </w:rPr>
        <w:t xml:space="preserve">（二）质保期内免费维护和维修，在质保期内非人为因素出现的质量问题，须按国家有关规定和要求（如无国家规定和要求的，按承诺和厂方“三包”规定）立即进行免费维修、免费更换有缺陷的零部件、直至免费更换新货物。 </w:t>
      </w:r>
    </w:p>
    <w:p w14:paraId="7DF0ADB5">
      <w:pPr>
        <w:spacing w:line="440" w:lineRule="exact"/>
        <w:jc w:val="left"/>
        <w:rPr>
          <w:rFonts w:ascii="宋体" w:hAnsi="宋体" w:cs="宋体"/>
          <w:bCs/>
          <w:sz w:val="24"/>
          <w:highlight w:val="none"/>
        </w:rPr>
      </w:pPr>
      <w:r>
        <w:rPr>
          <w:rFonts w:hint="eastAsia" w:ascii="宋体" w:hAnsi="宋体" w:cs="宋体"/>
          <w:bCs/>
          <w:sz w:val="24"/>
          <w:highlight w:val="none"/>
        </w:rPr>
        <w:t>（三）质保期后，维修只收取零配件成本费，免维修费。乙方应对提供的货物实行终身维护。</w:t>
      </w:r>
    </w:p>
    <w:p w14:paraId="3A211EE0">
      <w:pPr>
        <w:spacing w:line="440" w:lineRule="exact"/>
        <w:jc w:val="left"/>
        <w:rPr>
          <w:rFonts w:ascii="宋体" w:hAnsi="宋体" w:cs="宋体"/>
          <w:bCs/>
          <w:sz w:val="24"/>
          <w:highlight w:val="none"/>
        </w:rPr>
      </w:pPr>
      <w:r>
        <w:rPr>
          <w:rFonts w:hint="eastAsia" w:ascii="宋体" w:hAnsi="宋体" w:cs="宋体"/>
          <w:bCs/>
          <w:sz w:val="24"/>
          <w:highlight w:val="none"/>
        </w:rPr>
        <w:t>（四）乙方必须有可靠的售后服务保障，包括但不限于在台州附近有固定的维修服务点，能提供正常的技术、备品备件服务。当发生故障时，乙方在接到采购单位通知后，临海及附近地区4小时内，外地8小时内派人赴现场处理设备质量问题。24小时内不能修复的，则无偿提供备机或备用零件供采购单位使用。在质保期内，接到故障报修，乙方应全天候回应，保证立即响应，24小时内赶到现场为用户排除故障。故障排除后应出具书面故障诊断报告备案。如不能修复应提供备品，以保证整个系统的正常运行，乙方有其它服务承诺的，一并履行。</w:t>
      </w:r>
    </w:p>
    <w:p w14:paraId="05F4E47F">
      <w:pPr>
        <w:spacing w:line="440" w:lineRule="exact"/>
        <w:jc w:val="left"/>
        <w:rPr>
          <w:rFonts w:ascii="宋体" w:hAnsi="宋体" w:cs="宋体"/>
          <w:bCs/>
          <w:sz w:val="24"/>
          <w:highlight w:val="none"/>
        </w:rPr>
      </w:pPr>
      <w:r>
        <w:rPr>
          <w:rFonts w:hint="eastAsia" w:ascii="宋体" w:hAnsi="宋体" w:cs="宋体"/>
          <w:bCs/>
          <w:sz w:val="24"/>
          <w:highlight w:val="none"/>
        </w:rPr>
        <w:t>（五）在质保期内，如设备出现反复维修超过3次的，必须更换相应零部件，安装（更换）的任何零配件，必须是货物制造商原产的或是经甲方认可的。</w:t>
      </w:r>
    </w:p>
    <w:p w14:paraId="480F5D88">
      <w:pPr>
        <w:spacing w:line="440" w:lineRule="exact"/>
        <w:jc w:val="left"/>
        <w:rPr>
          <w:rFonts w:ascii="宋体" w:hAnsi="宋体" w:cs="宋体"/>
          <w:b/>
          <w:sz w:val="24"/>
          <w:highlight w:val="none"/>
        </w:rPr>
      </w:pPr>
      <w:r>
        <w:rPr>
          <w:rFonts w:hint="eastAsia" w:ascii="宋体" w:hAnsi="宋体" w:cs="宋体"/>
          <w:b/>
          <w:sz w:val="24"/>
          <w:highlight w:val="none"/>
        </w:rPr>
        <w:t>十四、技术规范</w:t>
      </w:r>
    </w:p>
    <w:p w14:paraId="102FD9C2">
      <w:pPr>
        <w:spacing w:line="440" w:lineRule="exact"/>
        <w:jc w:val="left"/>
        <w:rPr>
          <w:rFonts w:ascii="宋体" w:hAnsi="宋体" w:cs="宋体"/>
          <w:bCs/>
          <w:sz w:val="24"/>
          <w:highlight w:val="none"/>
        </w:rPr>
      </w:pPr>
      <w:r>
        <w:rPr>
          <w:rFonts w:hint="eastAsia" w:ascii="宋体" w:hAnsi="宋体" w:cs="宋体"/>
          <w:bCs/>
          <w:sz w:val="24"/>
          <w:highlight w:val="none"/>
        </w:rPr>
        <w:t>1.提交货物的技术规范应与招标文件规定的技术规范和技术规范附件（如有的话）及其投标文件的技术规范偏离表（如果被甲方接受的话）相一致。</w:t>
      </w:r>
    </w:p>
    <w:p w14:paraId="165AF1E7">
      <w:pPr>
        <w:spacing w:line="440" w:lineRule="exact"/>
        <w:jc w:val="left"/>
        <w:rPr>
          <w:rFonts w:ascii="宋体" w:hAnsi="宋体" w:cs="宋体"/>
          <w:bCs/>
          <w:sz w:val="24"/>
          <w:highlight w:val="none"/>
        </w:rPr>
      </w:pPr>
      <w:r>
        <w:rPr>
          <w:rFonts w:hint="eastAsia" w:ascii="宋体" w:hAnsi="宋体" w:cs="宋体"/>
          <w:bCs/>
          <w:sz w:val="24"/>
          <w:highlight w:val="none"/>
        </w:rPr>
        <w:t>2.若技术规范中无相应说明，则以国家有关部门最新颁布的相应标准及规范为准。</w:t>
      </w:r>
    </w:p>
    <w:p w14:paraId="5B2A33EB">
      <w:pPr>
        <w:spacing w:line="440" w:lineRule="exact"/>
        <w:jc w:val="left"/>
        <w:rPr>
          <w:rFonts w:ascii="宋体" w:hAnsi="宋体" w:cs="宋体"/>
          <w:b/>
          <w:sz w:val="24"/>
          <w:highlight w:val="none"/>
        </w:rPr>
      </w:pPr>
      <w:r>
        <w:rPr>
          <w:rFonts w:hint="eastAsia" w:ascii="宋体" w:hAnsi="宋体" w:cs="宋体"/>
          <w:b/>
          <w:sz w:val="24"/>
          <w:highlight w:val="none"/>
        </w:rPr>
        <w:t>十五、技术资料</w:t>
      </w:r>
    </w:p>
    <w:p w14:paraId="1A9B0B13">
      <w:pPr>
        <w:spacing w:line="440" w:lineRule="exact"/>
        <w:jc w:val="left"/>
        <w:rPr>
          <w:rFonts w:ascii="宋体" w:hAnsi="宋体" w:cs="宋体"/>
          <w:bCs/>
          <w:sz w:val="24"/>
          <w:highlight w:val="none"/>
        </w:rPr>
      </w:pPr>
      <w:r>
        <w:rPr>
          <w:rFonts w:hint="eastAsia" w:ascii="宋体" w:hAnsi="宋体" w:cs="宋体"/>
          <w:bCs/>
          <w:sz w:val="24"/>
          <w:highlight w:val="none"/>
        </w:rPr>
        <w:t>1.甲方应向乙方提供所购货物等有关技术要求。</w:t>
      </w:r>
    </w:p>
    <w:p w14:paraId="4A2DE759">
      <w:pPr>
        <w:spacing w:line="440" w:lineRule="exact"/>
        <w:jc w:val="left"/>
        <w:rPr>
          <w:rFonts w:ascii="宋体" w:hAnsi="宋体" w:cs="宋体"/>
          <w:bCs/>
          <w:sz w:val="24"/>
          <w:highlight w:val="none"/>
        </w:rPr>
      </w:pPr>
      <w:r>
        <w:rPr>
          <w:rFonts w:hint="eastAsia" w:ascii="宋体" w:hAnsi="宋体" w:cs="宋体"/>
          <w:bCs/>
          <w:sz w:val="24"/>
          <w:highlight w:val="none"/>
        </w:rPr>
        <w:t>2.乙方应向甲方提供技术规格与招标文件规定的技术规格相一致的中标货物资料，如样本、图纸、操作手册、使用指南、服务手册、维修指南等。</w:t>
      </w:r>
    </w:p>
    <w:p w14:paraId="69CBC081">
      <w:pPr>
        <w:spacing w:line="440" w:lineRule="exact"/>
        <w:jc w:val="left"/>
        <w:rPr>
          <w:rFonts w:ascii="宋体" w:hAnsi="宋体" w:cs="宋体"/>
          <w:b/>
          <w:sz w:val="24"/>
          <w:highlight w:val="none"/>
        </w:rPr>
      </w:pPr>
      <w:r>
        <w:rPr>
          <w:rFonts w:hint="eastAsia" w:ascii="宋体" w:hAnsi="宋体" w:cs="宋体"/>
          <w:b/>
          <w:sz w:val="24"/>
          <w:highlight w:val="none"/>
        </w:rPr>
        <w:t>十六、违约赔偿</w:t>
      </w:r>
    </w:p>
    <w:p w14:paraId="3E6973AE">
      <w:pPr>
        <w:spacing w:line="440" w:lineRule="exact"/>
        <w:jc w:val="left"/>
        <w:rPr>
          <w:rFonts w:ascii="宋体" w:hAnsi="宋体" w:cs="宋体"/>
          <w:bCs/>
          <w:sz w:val="24"/>
          <w:highlight w:val="none"/>
        </w:rPr>
      </w:pPr>
      <w:r>
        <w:rPr>
          <w:rFonts w:hint="eastAsia" w:ascii="宋体" w:hAnsi="宋体" w:cs="宋体"/>
          <w:bCs/>
          <w:sz w:val="24"/>
          <w:highlight w:val="none"/>
        </w:rPr>
        <w:t>1.甲方无正当理由拒收货物的，甲方向乙方偿付拒收货款总值的百分之五违约金。</w:t>
      </w:r>
    </w:p>
    <w:p w14:paraId="068A986C">
      <w:pPr>
        <w:spacing w:line="440" w:lineRule="exact"/>
        <w:jc w:val="left"/>
        <w:rPr>
          <w:rFonts w:ascii="宋体" w:hAnsi="宋体" w:cs="宋体"/>
          <w:bCs/>
          <w:sz w:val="24"/>
          <w:highlight w:val="none"/>
        </w:rPr>
      </w:pPr>
      <w:r>
        <w:rPr>
          <w:rFonts w:hint="eastAsia" w:ascii="宋体" w:hAnsi="宋体" w:cs="宋体"/>
          <w:bCs/>
          <w:sz w:val="24"/>
          <w:highlight w:val="none"/>
        </w:rPr>
        <w:t>2.甲方无故逾期验收和办理货款支付手续的,甲方应按逾期付款总额为基数，按同期全国银行间同业拆借中心公布的一年期贷款市场报价利率（不计复利）向乙方支付违约金。</w:t>
      </w:r>
    </w:p>
    <w:p w14:paraId="30C628F5">
      <w:pPr>
        <w:spacing w:line="440" w:lineRule="exact"/>
        <w:jc w:val="left"/>
        <w:rPr>
          <w:rFonts w:ascii="宋体" w:hAnsi="宋体" w:cs="宋体"/>
          <w:bCs/>
          <w:sz w:val="24"/>
          <w:highlight w:val="none"/>
        </w:rPr>
      </w:pPr>
      <w:r>
        <w:rPr>
          <w:rFonts w:hint="eastAsia" w:ascii="宋体" w:hAnsi="宋体" w:cs="宋体"/>
          <w:bCs/>
          <w:sz w:val="24"/>
          <w:highlight w:val="none"/>
        </w:rPr>
        <w:t>3.乙方逾期交付货物</w:t>
      </w:r>
      <w:r>
        <w:rPr>
          <w:rFonts w:hint="eastAsia" w:ascii="宋体" w:hAnsi="宋体" w:cs="宋体"/>
          <w:bCs/>
          <w:sz w:val="24"/>
          <w:highlight w:val="none"/>
          <w:lang w:eastAsia="zh-CN"/>
        </w:rPr>
        <w:t>、</w:t>
      </w:r>
      <w:r>
        <w:rPr>
          <w:rFonts w:hint="eastAsia" w:ascii="宋体" w:hAnsi="宋体" w:cs="宋体"/>
          <w:bCs/>
          <w:sz w:val="24"/>
          <w:highlight w:val="none"/>
          <w:lang w:val="en-US" w:eastAsia="zh-CN"/>
        </w:rPr>
        <w:t>安装并调试完成</w:t>
      </w:r>
      <w:r>
        <w:rPr>
          <w:rFonts w:hint="eastAsia" w:ascii="宋体" w:hAnsi="宋体" w:cs="宋体"/>
          <w:bCs/>
          <w:sz w:val="24"/>
          <w:highlight w:val="none"/>
        </w:rPr>
        <w:t>的，乙方应按</w:t>
      </w:r>
      <w:r>
        <w:rPr>
          <w:rFonts w:hint="eastAsia" w:ascii="宋体" w:hAnsi="宋体" w:cs="宋体"/>
          <w:bCs/>
          <w:sz w:val="24"/>
          <w:highlight w:val="none"/>
          <w:lang w:val="en-US" w:eastAsia="zh-CN"/>
        </w:rPr>
        <w:t>签约合同</w:t>
      </w:r>
      <w:r>
        <w:rPr>
          <w:rFonts w:hint="eastAsia" w:ascii="宋体" w:hAnsi="宋体" w:cs="宋体"/>
          <w:bCs/>
          <w:sz w:val="24"/>
          <w:highlight w:val="none"/>
        </w:rPr>
        <w:t>总额每日百分之一向甲方支付违约金，甲方有权从待付货款中扣除。逾期超过约定日期10个工作日不能交货、安装并调试完成的，甲方可解除本合同</w:t>
      </w:r>
    </w:p>
    <w:p w14:paraId="663F18F3">
      <w:pPr>
        <w:spacing w:line="440" w:lineRule="exact"/>
        <w:jc w:val="left"/>
        <w:rPr>
          <w:rFonts w:ascii="宋体" w:hAnsi="宋体" w:cs="宋体"/>
          <w:bCs/>
          <w:sz w:val="24"/>
          <w:highlight w:val="none"/>
        </w:rPr>
      </w:pPr>
      <w:r>
        <w:rPr>
          <w:rFonts w:hint="eastAsia" w:ascii="宋体" w:hAnsi="宋体" w:cs="宋体"/>
          <w:bCs/>
          <w:sz w:val="24"/>
          <w:highlight w:val="none"/>
        </w:rPr>
        <w:t>4.乙方存在转包、分包或所交的货物品种、型号、规格、技术参数、质量不符合合同规定及招标文件规定标准的，甲方有权拒收该货物，乙方愿意更换货物但逾期交货的，按乙方逾期交货处理。乙方拒绝更换货物的，甲方</w:t>
      </w:r>
      <w:r>
        <w:rPr>
          <w:rFonts w:hint="eastAsia" w:ascii="宋体" w:hAnsi="宋体" w:cs="宋体"/>
          <w:bCs/>
          <w:sz w:val="24"/>
          <w:highlight w:val="none"/>
          <w:lang w:val="en-US" w:eastAsia="zh-CN"/>
        </w:rPr>
        <w:t>有权</w:t>
      </w:r>
      <w:r>
        <w:rPr>
          <w:rFonts w:hint="eastAsia" w:ascii="宋体" w:hAnsi="宋体" w:cs="宋体"/>
          <w:bCs/>
          <w:sz w:val="24"/>
          <w:highlight w:val="none"/>
        </w:rPr>
        <w:t>单方面解除合同。</w:t>
      </w:r>
    </w:p>
    <w:p w14:paraId="69904595">
      <w:pPr>
        <w:spacing w:line="440" w:lineRule="exact"/>
        <w:jc w:val="left"/>
        <w:rPr>
          <w:rFonts w:ascii="宋体" w:hAnsi="宋体" w:cs="宋体"/>
          <w:bCs/>
          <w:sz w:val="24"/>
          <w:highlight w:val="yellow"/>
        </w:rPr>
      </w:pPr>
      <w:r>
        <w:rPr>
          <w:rFonts w:hint="eastAsia" w:ascii="宋体" w:hAnsi="宋体" w:cs="宋体"/>
          <w:bCs/>
          <w:sz w:val="24"/>
          <w:highlight w:val="yellow"/>
        </w:rPr>
        <w:t>5.如因乙方原因造成</w:t>
      </w:r>
      <w:r>
        <w:rPr>
          <w:rFonts w:hint="eastAsia" w:ascii="宋体" w:hAnsi="宋体" w:cs="宋体"/>
          <w:bCs/>
          <w:sz w:val="24"/>
          <w:highlight w:val="yellow"/>
          <w:lang w:val="en-US" w:eastAsia="zh-CN"/>
        </w:rPr>
        <w:t>项目未按合同约定如期完成</w:t>
      </w:r>
      <w:r>
        <w:rPr>
          <w:rFonts w:hint="eastAsia" w:ascii="宋体" w:hAnsi="宋体" w:cs="宋体"/>
          <w:bCs/>
          <w:sz w:val="24"/>
          <w:highlight w:val="yellow"/>
        </w:rPr>
        <w:t>，甲方</w:t>
      </w:r>
      <w:r>
        <w:rPr>
          <w:rFonts w:hint="eastAsia" w:ascii="宋体" w:hAnsi="宋体" w:cs="宋体"/>
          <w:bCs/>
          <w:sz w:val="24"/>
          <w:highlight w:val="yellow"/>
          <w:lang w:val="en-US" w:eastAsia="zh-CN"/>
        </w:rPr>
        <w:t>有权</w:t>
      </w:r>
      <w:r>
        <w:rPr>
          <w:rFonts w:hint="eastAsia" w:ascii="宋体" w:hAnsi="宋体" w:cs="宋体"/>
          <w:bCs/>
          <w:sz w:val="24"/>
          <w:highlight w:val="yellow"/>
        </w:rPr>
        <w:t>单方面解除合同。</w:t>
      </w:r>
    </w:p>
    <w:p w14:paraId="510E2467">
      <w:pPr>
        <w:spacing w:line="440" w:lineRule="exact"/>
        <w:jc w:val="left"/>
        <w:rPr>
          <w:rFonts w:ascii="宋体" w:hAnsi="宋体" w:cs="宋体"/>
          <w:bCs/>
          <w:sz w:val="24"/>
          <w:highlight w:val="none"/>
        </w:rPr>
      </w:pPr>
      <w:r>
        <w:rPr>
          <w:rFonts w:hint="eastAsia" w:ascii="宋体" w:hAnsi="宋体" w:cs="宋体"/>
          <w:bCs/>
          <w:sz w:val="24"/>
          <w:highlight w:val="none"/>
          <w:lang w:val="en-US" w:eastAsia="zh-CN"/>
        </w:rPr>
        <w:t>6</w:t>
      </w:r>
      <w:r>
        <w:rPr>
          <w:rFonts w:hint="eastAsia" w:ascii="宋体" w:hAnsi="宋体" w:cs="宋体"/>
          <w:bCs/>
          <w:sz w:val="24"/>
          <w:highlight w:val="none"/>
        </w:rPr>
        <w:t>.乙方因供货不及时，造成施工现场停工，累计超过7天，视为乙方违约，甲方</w:t>
      </w:r>
      <w:r>
        <w:rPr>
          <w:rFonts w:hint="eastAsia" w:ascii="宋体" w:hAnsi="宋体" w:cs="宋体"/>
          <w:bCs/>
          <w:sz w:val="24"/>
          <w:highlight w:val="none"/>
          <w:lang w:val="en-US" w:eastAsia="zh-CN"/>
        </w:rPr>
        <w:t>有权</w:t>
      </w:r>
      <w:r>
        <w:rPr>
          <w:rFonts w:hint="eastAsia" w:ascii="宋体" w:hAnsi="宋体" w:cs="宋体"/>
          <w:bCs/>
          <w:sz w:val="24"/>
          <w:highlight w:val="none"/>
        </w:rPr>
        <w:t>解除与乙方的合同。</w:t>
      </w:r>
    </w:p>
    <w:p w14:paraId="09F76921">
      <w:pPr>
        <w:spacing w:line="440" w:lineRule="exact"/>
        <w:jc w:val="left"/>
        <w:rPr>
          <w:rFonts w:ascii="宋体" w:hAnsi="宋体" w:cs="宋体"/>
          <w:bCs/>
          <w:sz w:val="24"/>
          <w:highlight w:val="none"/>
        </w:rPr>
      </w:pPr>
      <w:r>
        <w:rPr>
          <w:rFonts w:hint="eastAsia" w:ascii="宋体" w:hAnsi="宋体" w:cs="宋体"/>
          <w:bCs/>
          <w:sz w:val="24"/>
          <w:highlight w:val="none"/>
          <w:lang w:val="en-US" w:eastAsia="zh-CN"/>
        </w:rPr>
        <w:t>7</w:t>
      </w:r>
      <w:r>
        <w:rPr>
          <w:rFonts w:hint="eastAsia" w:ascii="宋体" w:hAnsi="宋体" w:cs="宋体"/>
          <w:bCs/>
          <w:sz w:val="24"/>
          <w:highlight w:val="none"/>
        </w:rPr>
        <w:t>.因乙方违约导致甲方解除合同的，乙方应退还甲方已支付的全部费用，甲方有权不予退还履约保证金，并有权要求乙方承担签约合同金额</w:t>
      </w:r>
      <w:r>
        <w:rPr>
          <w:rFonts w:hint="eastAsia" w:ascii="宋体" w:hAnsi="宋体" w:cs="宋体"/>
          <w:bCs/>
          <w:sz w:val="24"/>
          <w:highlight w:val="none"/>
          <w:lang w:val="en-US" w:eastAsia="zh-CN"/>
        </w:rPr>
        <w:t>10</w:t>
      </w:r>
      <w:r>
        <w:rPr>
          <w:rFonts w:hint="eastAsia" w:ascii="宋体" w:hAnsi="宋体" w:cs="宋体"/>
          <w:bCs/>
          <w:sz w:val="24"/>
          <w:highlight w:val="none"/>
        </w:rPr>
        <w:t>%的违约金。如对甲方造成的损失超过履约保证金和违约金的，乙方应承担继续赔偿的责任。甲方有权自行选择其他单位供货，甲方另行采购产生的差价由乙方承担，差价计算以第三方公允报价为准。乙方还应承担甲方为维护自身合法权益所产生的相关费用，包括但不限于诉讼费、律师费、公证费、鉴定费、评估费、保全费、保函保费、差旅费等。</w:t>
      </w:r>
    </w:p>
    <w:p w14:paraId="660B6D51">
      <w:pPr>
        <w:spacing w:line="440" w:lineRule="exact"/>
        <w:jc w:val="left"/>
        <w:rPr>
          <w:rFonts w:hint="default" w:ascii="宋体" w:hAnsi="宋体" w:eastAsia="宋体" w:cs="宋体"/>
          <w:b/>
          <w:sz w:val="24"/>
          <w:highlight w:val="none"/>
          <w:lang w:val="en-US" w:eastAsia="zh-CN"/>
        </w:rPr>
      </w:pPr>
      <w:r>
        <w:rPr>
          <w:rFonts w:hint="eastAsia" w:ascii="宋体" w:hAnsi="宋体" w:cs="宋体"/>
          <w:b/>
          <w:sz w:val="24"/>
          <w:highlight w:val="none"/>
        </w:rPr>
        <w:t>十七、</w:t>
      </w:r>
      <w:r>
        <w:rPr>
          <w:rFonts w:hint="eastAsia" w:ascii="宋体" w:hAnsi="宋体" w:cs="宋体"/>
          <w:b/>
          <w:sz w:val="24"/>
          <w:highlight w:val="none"/>
          <w:lang w:val="en-US" w:eastAsia="zh-CN"/>
        </w:rPr>
        <w:t>知识产权</w:t>
      </w:r>
    </w:p>
    <w:p w14:paraId="2960BA2E">
      <w:pPr>
        <w:spacing w:line="440" w:lineRule="exact"/>
        <w:jc w:val="left"/>
        <w:rPr>
          <w:rFonts w:ascii="宋体" w:hAnsi="宋体" w:cs="宋体"/>
          <w:bCs/>
          <w:sz w:val="24"/>
          <w:highlight w:val="none"/>
        </w:rPr>
      </w:pPr>
      <w:r>
        <w:rPr>
          <w:rFonts w:hint="eastAsia" w:ascii="宋体" w:hAnsi="宋体" w:cs="宋体"/>
          <w:bCs/>
          <w:sz w:val="24"/>
          <w:highlight w:val="none"/>
        </w:rPr>
        <w:t>1.乙方应保证甲方在使用该货物或其任何一部分时不受第三方提出侵犯专利权、商标权、著作权或其它知识产权起诉的指控。如果任何第三方提出侵权指控，乙方须与第三方交涉并承担可能发生的一切法律责任和费用。</w:t>
      </w:r>
    </w:p>
    <w:p w14:paraId="0E5099D8">
      <w:pPr>
        <w:pStyle w:val="30"/>
        <w:snapToGrid w:val="0"/>
        <w:spacing w:beforeLines="0" w:afterLines="0" w:line="440" w:lineRule="exact"/>
        <w:rPr>
          <w:rFonts w:hAnsi="宋体" w:cs="宋体"/>
          <w:b/>
          <w:highlight w:val="none"/>
        </w:rPr>
      </w:pPr>
      <w:r>
        <w:rPr>
          <w:rFonts w:hint="eastAsia" w:hAnsi="宋体" w:cs="宋体"/>
          <w:b/>
          <w:highlight w:val="none"/>
        </w:rPr>
        <w:t>十八、不可抗力事件处理</w:t>
      </w:r>
    </w:p>
    <w:p w14:paraId="43AB8B43">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1.在合同有效期内，任何一方因不可抗力事件导致不能履行合同，则合同履行期可延长，其延长期与不可抗力影响期相同。</w:t>
      </w:r>
    </w:p>
    <w:p w14:paraId="17C93C39">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2.不可抗力事件发生后，应立即通知对方，并寄送有关权威机构出具的证明。</w:t>
      </w:r>
    </w:p>
    <w:p w14:paraId="73E60CDF">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3.不可抗力事件延续120天以上，双方应通过友好协商，确定是否继续履行合同。</w:t>
      </w:r>
    </w:p>
    <w:p w14:paraId="477DF924">
      <w:pPr>
        <w:pStyle w:val="30"/>
        <w:snapToGrid w:val="0"/>
        <w:spacing w:beforeLines="0" w:afterLines="0" w:line="440" w:lineRule="exact"/>
        <w:rPr>
          <w:rFonts w:hAnsi="宋体" w:cs="宋体"/>
          <w:b/>
          <w:color w:val="000000"/>
          <w:highlight w:val="none"/>
        </w:rPr>
      </w:pPr>
      <w:r>
        <w:rPr>
          <w:rFonts w:hint="eastAsia" w:hAnsi="宋体" w:cs="宋体"/>
          <w:b/>
          <w:color w:val="000000"/>
          <w:highlight w:val="none"/>
        </w:rPr>
        <w:t>十九、诉讼</w:t>
      </w:r>
    </w:p>
    <w:p w14:paraId="5B458A52">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双方在执行合同中所发生的一切争议，应通过协商解决。如协商不成，可向甲方所在地人民法院起诉。</w:t>
      </w:r>
    </w:p>
    <w:p w14:paraId="55AA29E6">
      <w:pPr>
        <w:pStyle w:val="30"/>
        <w:snapToGrid w:val="0"/>
        <w:spacing w:beforeLines="0" w:afterLines="0" w:line="440" w:lineRule="exact"/>
        <w:rPr>
          <w:rFonts w:hAnsi="宋体" w:cs="宋体"/>
          <w:b/>
          <w:color w:val="000000"/>
          <w:highlight w:val="none"/>
        </w:rPr>
      </w:pPr>
      <w:r>
        <w:rPr>
          <w:rFonts w:hint="eastAsia" w:hAnsi="宋体" w:cs="宋体"/>
          <w:b/>
          <w:color w:val="000000"/>
          <w:highlight w:val="none"/>
        </w:rPr>
        <w:t>二十、合同生效及其它</w:t>
      </w:r>
    </w:p>
    <w:p w14:paraId="7AAC81AB">
      <w:pPr>
        <w:snapToGrid w:val="0"/>
        <w:spacing w:before="120" w:after="120" w:line="440" w:lineRule="exact"/>
        <w:rPr>
          <w:rFonts w:ascii="宋体" w:hAnsi="宋体" w:cs="宋体"/>
          <w:kern w:val="0"/>
          <w:sz w:val="24"/>
          <w:highlight w:val="none"/>
        </w:rPr>
      </w:pPr>
      <w:r>
        <w:rPr>
          <w:rFonts w:hint="eastAsia" w:ascii="宋体" w:hAnsi="宋体" w:cs="宋体"/>
          <w:kern w:val="0"/>
          <w:sz w:val="24"/>
          <w:highlight w:val="none"/>
        </w:rPr>
        <w:t>1. 本合同一式捌份,甲方执叁份，乙方执叁份，代理执贰份，双方法定代表人或授权代表签字并加盖单位公章后生效。</w:t>
      </w:r>
    </w:p>
    <w:p w14:paraId="449E20C7">
      <w:pPr>
        <w:pStyle w:val="30"/>
        <w:snapToGrid w:val="0"/>
        <w:spacing w:beforeLines="0" w:afterLines="0" w:line="440" w:lineRule="exact"/>
        <w:rPr>
          <w:rFonts w:hAnsi="宋体" w:cs="宋体"/>
          <w:b/>
          <w:bCs/>
          <w:highlight w:val="none"/>
          <w:u w:val="single"/>
          <w:shd w:val="pct10" w:color="auto" w:fill="FFFFFF"/>
        </w:rPr>
      </w:pPr>
      <w:r>
        <w:rPr>
          <w:rFonts w:hint="eastAsia" w:hAnsi="宋体" w:cs="宋体"/>
          <w:highlight w:val="none"/>
        </w:rPr>
        <w:t>2.本合同未尽事宜，遵照《民法典》有关条文执行。</w:t>
      </w:r>
    </w:p>
    <w:p w14:paraId="0032E9C7">
      <w:pPr>
        <w:pStyle w:val="30"/>
        <w:snapToGrid w:val="0"/>
        <w:spacing w:beforeLines="0" w:afterLines="0" w:line="440" w:lineRule="exact"/>
        <w:ind w:firstLine="241" w:firstLineChars="100"/>
        <w:rPr>
          <w:rFonts w:hAnsi="宋体" w:cs="宋体"/>
          <w:b/>
          <w:bCs/>
          <w:color w:val="000000"/>
          <w:highlight w:val="none"/>
          <w:u w:val="single"/>
          <w:shd w:val="pct10" w:color="auto" w:fill="FFFFFF"/>
        </w:rPr>
      </w:pPr>
    </w:p>
    <w:p w14:paraId="030C0BBA">
      <w:pPr>
        <w:pStyle w:val="30"/>
        <w:snapToGrid w:val="0"/>
        <w:spacing w:beforeLines="0" w:afterLines="0" w:line="440" w:lineRule="exact"/>
        <w:ind w:firstLine="240" w:firstLineChars="100"/>
        <w:rPr>
          <w:rFonts w:hAnsi="宋体" w:cs="宋体"/>
          <w:color w:val="000000"/>
          <w:highlight w:val="none"/>
        </w:rPr>
      </w:pPr>
      <w:r>
        <w:rPr>
          <w:rFonts w:hint="eastAsia" w:hAnsi="宋体" w:cs="宋体"/>
          <w:color w:val="000000"/>
          <w:highlight w:val="none"/>
        </w:rPr>
        <w:t xml:space="preserve">甲方：                                   乙方： </w:t>
      </w:r>
    </w:p>
    <w:p w14:paraId="6AEA8E44">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 xml:space="preserve">  地址：                                   地址： </w:t>
      </w:r>
    </w:p>
    <w:p w14:paraId="21EB80B5">
      <w:pPr>
        <w:pStyle w:val="30"/>
        <w:snapToGrid w:val="0"/>
        <w:spacing w:beforeLines="0" w:afterLines="0" w:line="440" w:lineRule="exact"/>
        <w:rPr>
          <w:rFonts w:hAnsi="宋体" w:cs="宋体"/>
          <w:color w:val="000000"/>
          <w:highlight w:val="none"/>
        </w:rPr>
      </w:pPr>
      <w:r>
        <w:rPr>
          <w:rFonts w:hint="eastAsia" w:hAnsi="宋体" w:cs="宋体"/>
          <w:color w:val="000000"/>
          <w:highlight w:val="none"/>
        </w:rPr>
        <w:t xml:space="preserve">  法定（授权）代表人：                     法定（授权）代表人：</w:t>
      </w:r>
    </w:p>
    <w:p w14:paraId="16500427">
      <w:pPr>
        <w:pStyle w:val="30"/>
        <w:snapToGrid w:val="0"/>
        <w:spacing w:beforeLines="0" w:afterLines="0" w:line="440" w:lineRule="exact"/>
        <w:ind w:firstLine="240" w:firstLineChars="100"/>
        <w:rPr>
          <w:rFonts w:hAnsi="宋体" w:cs="宋体"/>
          <w:color w:val="000000"/>
          <w:highlight w:val="none"/>
        </w:rPr>
      </w:pPr>
      <w:r>
        <w:rPr>
          <w:rFonts w:hint="eastAsia" w:hAnsi="宋体" w:cs="宋体"/>
          <w:color w:val="000000"/>
          <w:highlight w:val="none"/>
        </w:rPr>
        <w:t>签订日期：     年　  月　 日            签订日期：     年　  月　 日</w:t>
      </w:r>
    </w:p>
    <w:p w14:paraId="0ED5AB42">
      <w:pPr>
        <w:pStyle w:val="30"/>
        <w:snapToGrid w:val="0"/>
        <w:spacing w:beforeLines="0" w:afterLines="0" w:line="440" w:lineRule="exact"/>
        <w:ind w:firstLine="360" w:firstLineChars="150"/>
        <w:rPr>
          <w:rFonts w:hAnsi="宋体" w:cs="宋体"/>
          <w:color w:val="000000"/>
          <w:highlight w:val="none"/>
        </w:rPr>
      </w:pPr>
    </w:p>
    <w:p w14:paraId="08030985">
      <w:pPr>
        <w:pStyle w:val="30"/>
        <w:snapToGrid w:val="0"/>
        <w:spacing w:beforeLines="0" w:afterLines="0" w:line="440" w:lineRule="exact"/>
        <w:ind w:firstLine="360" w:firstLineChars="150"/>
        <w:rPr>
          <w:rFonts w:hAnsi="宋体" w:cs="宋体"/>
          <w:color w:val="000000"/>
          <w:highlight w:val="none"/>
        </w:rPr>
      </w:pPr>
      <w:r>
        <w:rPr>
          <w:rFonts w:hint="eastAsia" w:hAnsi="宋体" w:cs="宋体"/>
          <w:color w:val="000000"/>
          <w:highlight w:val="none"/>
        </w:rPr>
        <w:t>见证方：（盖章）</w:t>
      </w:r>
    </w:p>
    <w:p w14:paraId="156053B8">
      <w:pPr>
        <w:pStyle w:val="30"/>
        <w:snapToGrid w:val="0"/>
        <w:spacing w:beforeLines="0" w:afterLines="0" w:line="440" w:lineRule="exact"/>
        <w:rPr>
          <w:rFonts w:hAnsi="宋体" w:cs="宋体"/>
          <w:color w:val="000000"/>
          <w:highlight w:val="none"/>
        </w:rPr>
      </w:pPr>
    </w:p>
    <w:p w14:paraId="075F358A">
      <w:pPr>
        <w:adjustRightInd w:val="0"/>
        <w:snapToGrid w:val="0"/>
        <w:spacing w:line="440" w:lineRule="exact"/>
        <w:rPr>
          <w:rFonts w:ascii="宋体" w:hAnsi="宋体" w:cs="宋体"/>
          <w:b/>
          <w:sz w:val="24"/>
          <w:highlight w:val="none"/>
        </w:rPr>
      </w:pPr>
      <w:r>
        <w:rPr>
          <w:rFonts w:hint="eastAsia" w:ascii="宋体" w:hAnsi="宋体" w:cs="宋体"/>
          <w:b/>
          <w:bCs/>
          <w:color w:val="000000"/>
          <w:sz w:val="24"/>
          <w:highlight w:val="none"/>
        </w:rPr>
        <w:t xml:space="preserve">附件：附上报价明细表 </w:t>
      </w:r>
    </w:p>
    <w:p w14:paraId="140D57D7">
      <w:pPr>
        <w:adjustRightInd w:val="0"/>
        <w:snapToGrid w:val="0"/>
        <w:spacing w:line="440" w:lineRule="exact"/>
        <w:jc w:val="center"/>
        <w:rPr>
          <w:rFonts w:ascii="宋体" w:hAnsi="宋体" w:cs="宋体"/>
          <w:b/>
          <w:sz w:val="24"/>
          <w:highlight w:val="none"/>
        </w:rPr>
      </w:pPr>
    </w:p>
    <w:p w14:paraId="12034E06">
      <w:pPr>
        <w:adjustRightInd w:val="0"/>
        <w:snapToGrid w:val="0"/>
        <w:spacing w:line="440" w:lineRule="exact"/>
        <w:jc w:val="center"/>
        <w:rPr>
          <w:rFonts w:ascii="宋体" w:hAnsi="宋体" w:cs="宋体"/>
          <w:b/>
          <w:sz w:val="24"/>
          <w:highlight w:val="none"/>
        </w:rPr>
      </w:pPr>
    </w:p>
    <w:p w14:paraId="1B0FFBE4">
      <w:pPr>
        <w:adjustRightInd w:val="0"/>
        <w:snapToGrid w:val="0"/>
        <w:spacing w:line="440" w:lineRule="exact"/>
        <w:jc w:val="center"/>
        <w:rPr>
          <w:rFonts w:ascii="宋体" w:hAnsi="宋体" w:cs="宋体"/>
          <w:sz w:val="24"/>
          <w:highlight w:val="none"/>
        </w:rPr>
      </w:pPr>
      <w:r>
        <w:rPr>
          <w:rFonts w:hint="eastAsia" w:ascii="宋体" w:hAnsi="宋体" w:cs="宋体"/>
          <w:b/>
          <w:sz w:val="24"/>
          <w:highlight w:val="none"/>
        </w:rPr>
        <w:t>此仅为合同书样本，中标单位需根据实际情况和采购人签订相应的合同！</w:t>
      </w:r>
      <w:bookmarkEnd w:id="67"/>
    </w:p>
    <w:p w14:paraId="6367B845">
      <w:pPr>
        <w:pStyle w:val="30"/>
        <w:snapToGrid w:val="0"/>
        <w:spacing w:beforeLines="0" w:afterLines="0" w:line="440" w:lineRule="exact"/>
        <w:jc w:val="center"/>
        <w:outlineLvl w:val="0"/>
        <w:rPr>
          <w:rFonts w:hAnsi="宋体" w:cs="宋体"/>
          <w:b/>
          <w:highlight w:val="none"/>
        </w:rPr>
      </w:pPr>
      <w:bookmarkStart w:id="68" w:name="_Toc14350"/>
      <w:bookmarkStart w:id="69" w:name="_Toc22371"/>
      <w:r>
        <w:rPr>
          <w:rFonts w:hint="eastAsia" w:hAnsi="宋体" w:cs="宋体"/>
          <w:b/>
          <w:highlight w:val="none"/>
        </w:rPr>
        <w:t>第六章  投标文件格式</w:t>
      </w:r>
      <w:bookmarkEnd w:id="66"/>
      <w:bookmarkEnd w:id="68"/>
      <w:bookmarkEnd w:id="69"/>
    </w:p>
    <w:p w14:paraId="329F401F">
      <w:pPr>
        <w:pStyle w:val="30"/>
        <w:snapToGrid w:val="0"/>
        <w:spacing w:beforeLines="0" w:afterLines="0" w:line="440" w:lineRule="exact"/>
        <w:jc w:val="center"/>
        <w:rPr>
          <w:rFonts w:hAnsi="宋体" w:cs="宋体"/>
          <w:highlight w:val="none"/>
        </w:rPr>
      </w:pPr>
    </w:p>
    <w:p w14:paraId="35505FFA">
      <w:pPr>
        <w:snapToGrid w:val="0"/>
        <w:spacing w:before="120" w:beforeLines="50" w:after="50" w:line="440" w:lineRule="exact"/>
        <w:jc w:val="center"/>
        <w:outlineLvl w:val="1"/>
        <w:rPr>
          <w:rFonts w:ascii="宋体" w:hAnsi="宋体" w:cs="宋体"/>
          <w:b/>
          <w:bCs/>
          <w:sz w:val="24"/>
          <w:highlight w:val="none"/>
        </w:rPr>
      </w:pPr>
      <w:bookmarkStart w:id="70" w:name="_Toc30690"/>
      <w:bookmarkStart w:id="71" w:name="_Toc29949"/>
      <w:bookmarkStart w:id="72" w:name="_Toc8738"/>
      <w:bookmarkStart w:id="73" w:name="_Toc265669850"/>
      <w:r>
        <w:rPr>
          <w:rFonts w:hint="eastAsia" w:ascii="宋体" w:hAnsi="宋体" w:cs="宋体"/>
          <w:b/>
          <w:bCs/>
          <w:sz w:val="24"/>
          <w:highlight w:val="none"/>
        </w:rPr>
        <w:t>一、资格响应文件格式</w:t>
      </w:r>
      <w:bookmarkEnd w:id="70"/>
      <w:bookmarkEnd w:id="71"/>
      <w:bookmarkEnd w:id="72"/>
    </w:p>
    <w:p w14:paraId="267DE8D8">
      <w:pPr>
        <w:snapToGrid w:val="0"/>
        <w:spacing w:before="120" w:beforeLines="50" w:after="50" w:line="440" w:lineRule="exact"/>
        <w:jc w:val="center"/>
        <w:rPr>
          <w:rFonts w:ascii="宋体" w:hAnsi="宋体" w:cs="宋体"/>
          <w:sz w:val="24"/>
          <w:highlight w:val="none"/>
        </w:rPr>
      </w:pPr>
    </w:p>
    <w:p w14:paraId="114AC5C4">
      <w:pPr>
        <w:snapToGrid w:val="0"/>
        <w:spacing w:before="120" w:beforeLines="50" w:after="50" w:line="440" w:lineRule="exact"/>
        <w:jc w:val="center"/>
        <w:rPr>
          <w:rFonts w:ascii="宋体" w:hAnsi="宋体" w:cs="宋体"/>
          <w:sz w:val="24"/>
          <w:highlight w:val="none"/>
        </w:rPr>
      </w:pPr>
    </w:p>
    <w:p w14:paraId="5C7DEEFE">
      <w:pPr>
        <w:snapToGrid w:val="0"/>
        <w:spacing w:before="120" w:beforeLines="50" w:after="50" w:line="440" w:lineRule="exact"/>
        <w:ind w:firstLine="480" w:firstLineChars="200"/>
        <w:rPr>
          <w:rFonts w:ascii="宋体" w:hAnsi="宋体" w:cs="宋体"/>
          <w:sz w:val="24"/>
          <w:highlight w:val="none"/>
        </w:rPr>
      </w:pPr>
      <w:r>
        <w:rPr>
          <w:rFonts w:hint="eastAsia" w:ascii="宋体" w:hAnsi="宋体" w:cs="宋体"/>
          <w:sz w:val="24"/>
          <w:highlight w:val="none"/>
        </w:rPr>
        <w:t xml:space="preserve">1.资格响应文件封面格式： </w:t>
      </w:r>
    </w:p>
    <w:p w14:paraId="765AC489">
      <w:pPr>
        <w:snapToGrid w:val="0"/>
        <w:spacing w:before="120" w:beforeLines="50" w:after="50" w:line="440" w:lineRule="exact"/>
        <w:rPr>
          <w:rFonts w:ascii="宋体" w:hAnsi="宋体" w:cs="宋体"/>
          <w:b/>
          <w:bCs/>
          <w:sz w:val="24"/>
          <w:highlight w:val="none"/>
        </w:rPr>
      </w:pPr>
      <w:r>
        <w:rPr>
          <w:rFonts w:hint="eastAsia" w:ascii="宋体" w:hAnsi="宋体" w:cs="宋体"/>
          <w:b/>
          <w:bCs/>
          <w:sz w:val="24"/>
          <w:highlight w:val="none"/>
        </w:rPr>
        <w:t xml:space="preserve"> </w:t>
      </w:r>
    </w:p>
    <w:p w14:paraId="13F78EBE">
      <w:pPr>
        <w:snapToGrid w:val="0"/>
        <w:spacing w:before="120" w:beforeLines="50" w:after="50" w:line="440" w:lineRule="exact"/>
        <w:rPr>
          <w:rFonts w:ascii="宋体" w:hAnsi="宋体" w:cs="宋体"/>
          <w:sz w:val="24"/>
          <w:highlight w:val="none"/>
        </w:rPr>
      </w:pPr>
    </w:p>
    <w:p w14:paraId="2FA99D0C">
      <w:pPr>
        <w:snapToGrid w:val="0"/>
        <w:spacing w:before="120" w:beforeLines="50" w:after="50" w:line="440" w:lineRule="exact"/>
        <w:jc w:val="center"/>
        <w:rPr>
          <w:rFonts w:ascii="宋体" w:hAnsi="宋体" w:cs="宋体"/>
          <w:bCs/>
          <w:sz w:val="24"/>
          <w:highlight w:val="none"/>
        </w:rPr>
      </w:pPr>
    </w:p>
    <w:p w14:paraId="1AF50A17">
      <w:pPr>
        <w:snapToGrid w:val="0"/>
        <w:spacing w:before="120" w:beforeLines="50" w:after="50" w:line="440" w:lineRule="exact"/>
        <w:jc w:val="center"/>
        <w:rPr>
          <w:rFonts w:ascii="宋体" w:hAnsi="宋体" w:cs="宋体"/>
          <w:bCs/>
          <w:sz w:val="24"/>
          <w:highlight w:val="none"/>
        </w:rPr>
      </w:pPr>
      <w:r>
        <w:rPr>
          <w:rFonts w:hint="eastAsia" w:ascii="宋体" w:hAnsi="宋体" w:cs="宋体"/>
          <w:bCs/>
          <w:sz w:val="24"/>
          <w:highlight w:val="none"/>
        </w:rPr>
        <w:t>资格响应文件</w:t>
      </w:r>
    </w:p>
    <w:p w14:paraId="6D0E3891">
      <w:pPr>
        <w:snapToGrid w:val="0"/>
        <w:spacing w:before="120" w:beforeLines="50" w:after="50" w:line="440" w:lineRule="exact"/>
        <w:jc w:val="center"/>
        <w:rPr>
          <w:rFonts w:ascii="宋体" w:hAnsi="宋体" w:cs="宋体"/>
          <w:bCs/>
          <w:sz w:val="24"/>
          <w:highlight w:val="none"/>
        </w:rPr>
      </w:pPr>
    </w:p>
    <w:p w14:paraId="618155EF">
      <w:pPr>
        <w:snapToGrid w:val="0"/>
        <w:spacing w:before="120" w:beforeLines="50" w:after="50" w:line="440" w:lineRule="exact"/>
        <w:jc w:val="center"/>
        <w:rPr>
          <w:rFonts w:ascii="宋体" w:hAnsi="宋体" w:cs="宋体"/>
          <w:bCs/>
          <w:sz w:val="24"/>
          <w:highlight w:val="none"/>
        </w:rPr>
      </w:pPr>
    </w:p>
    <w:p w14:paraId="5FF6E968">
      <w:pPr>
        <w:snapToGrid w:val="0"/>
        <w:spacing w:before="120" w:beforeLines="50" w:after="50" w:line="440" w:lineRule="exact"/>
        <w:ind w:firstLine="1068" w:firstLineChars="445"/>
        <w:rPr>
          <w:rFonts w:ascii="宋体" w:hAnsi="宋体" w:cs="宋体"/>
          <w:bCs/>
          <w:sz w:val="24"/>
          <w:highlight w:val="none"/>
        </w:rPr>
      </w:pPr>
      <w:r>
        <w:rPr>
          <w:rFonts w:hint="eastAsia" w:ascii="宋体" w:hAnsi="宋体" w:cs="宋体"/>
          <w:bCs/>
          <w:sz w:val="24"/>
          <w:highlight w:val="none"/>
        </w:rPr>
        <w:t>项目名称：</w:t>
      </w:r>
    </w:p>
    <w:p w14:paraId="46A1882C">
      <w:pPr>
        <w:snapToGrid w:val="0"/>
        <w:spacing w:before="120" w:beforeLines="50" w:after="50" w:line="440" w:lineRule="exact"/>
        <w:ind w:firstLine="480" w:firstLineChars="200"/>
        <w:rPr>
          <w:rFonts w:ascii="宋体" w:hAnsi="宋体" w:cs="宋体"/>
          <w:bCs/>
          <w:sz w:val="24"/>
          <w:highlight w:val="none"/>
        </w:rPr>
      </w:pPr>
      <w:r>
        <w:rPr>
          <w:rFonts w:hint="eastAsia" w:ascii="宋体" w:hAnsi="宋体" w:cs="宋体"/>
          <w:bCs/>
          <w:sz w:val="24"/>
          <w:highlight w:val="none"/>
        </w:rPr>
        <w:t xml:space="preserve">     项目编号：    </w:t>
      </w:r>
    </w:p>
    <w:p w14:paraId="1DAE3E07">
      <w:pPr>
        <w:pStyle w:val="15"/>
        <w:snapToGrid w:val="0"/>
        <w:spacing w:before="50" w:after="50" w:line="440" w:lineRule="exact"/>
        <w:ind w:firstLine="998" w:firstLineChars="416"/>
        <w:rPr>
          <w:rFonts w:ascii="宋体" w:hAnsi="宋体" w:cs="宋体"/>
          <w:bCs/>
          <w:sz w:val="24"/>
          <w:szCs w:val="24"/>
          <w:highlight w:val="none"/>
        </w:rPr>
      </w:pPr>
    </w:p>
    <w:p w14:paraId="74E04FE3">
      <w:pPr>
        <w:pStyle w:val="15"/>
        <w:snapToGrid w:val="0"/>
        <w:spacing w:before="50" w:after="50" w:line="440" w:lineRule="exact"/>
        <w:ind w:firstLine="998" w:firstLineChars="416"/>
        <w:rPr>
          <w:rFonts w:ascii="宋体" w:hAnsi="宋体" w:cs="宋体"/>
          <w:bCs/>
          <w:sz w:val="24"/>
          <w:szCs w:val="24"/>
          <w:highlight w:val="none"/>
        </w:rPr>
      </w:pPr>
      <w:r>
        <w:rPr>
          <w:rFonts w:hint="eastAsia" w:ascii="宋体" w:hAnsi="宋体" w:cs="宋体"/>
          <w:bCs/>
          <w:sz w:val="24"/>
          <w:szCs w:val="24"/>
          <w:highlight w:val="none"/>
        </w:rPr>
        <w:t>投标人名称：</w:t>
      </w:r>
    </w:p>
    <w:p w14:paraId="36D25A1C">
      <w:pPr>
        <w:pStyle w:val="15"/>
        <w:snapToGrid w:val="0"/>
        <w:spacing w:before="50" w:after="50" w:line="440" w:lineRule="exact"/>
        <w:ind w:firstLine="998" w:firstLineChars="416"/>
        <w:rPr>
          <w:rFonts w:ascii="宋体" w:hAnsi="宋体" w:cs="宋体"/>
          <w:bCs/>
          <w:sz w:val="24"/>
          <w:szCs w:val="24"/>
          <w:highlight w:val="none"/>
        </w:rPr>
      </w:pPr>
      <w:r>
        <w:rPr>
          <w:rFonts w:hint="eastAsia" w:ascii="宋体" w:hAnsi="宋体" w:cs="宋体"/>
          <w:bCs/>
          <w:sz w:val="24"/>
          <w:szCs w:val="24"/>
          <w:highlight w:val="none"/>
        </w:rPr>
        <w:t>投标人地址：</w:t>
      </w:r>
    </w:p>
    <w:p w14:paraId="3F9A0B6A">
      <w:pPr>
        <w:pStyle w:val="15"/>
        <w:snapToGrid w:val="0"/>
        <w:spacing w:before="50" w:after="50" w:line="440" w:lineRule="exact"/>
        <w:ind w:firstLine="960" w:firstLineChars="400"/>
        <w:rPr>
          <w:rFonts w:ascii="宋体" w:hAnsi="宋体" w:cs="宋体"/>
          <w:bCs/>
          <w:sz w:val="24"/>
          <w:szCs w:val="24"/>
          <w:highlight w:val="none"/>
        </w:rPr>
      </w:pPr>
    </w:p>
    <w:p w14:paraId="05AD7C87">
      <w:pPr>
        <w:snapToGrid w:val="0"/>
        <w:spacing w:line="440" w:lineRule="exact"/>
        <w:ind w:firstLine="2880" w:firstLineChars="1200"/>
        <w:jc w:val="left"/>
        <w:rPr>
          <w:rFonts w:ascii="宋体" w:hAnsi="宋体" w:cs="宋体"/>
          <w:sz w:val="24"/>
          <w:highlight w:val="none"/>
        </w:rPr>
      </w:pPr>
    </w:p>
    <w:p w14:paraId="79685AE2">
      <w:pPr>
        <w:snapToGrid w:val="0"/>
        <w:spacing w:line="440" w:lineRule="exact"/>
        <w:ind w:firstLine="3120" w:firstLineChars="1300"/>
        <w:jc w:val="left"/>
        <w:rPr>
          <w:rFonts w:ascii="宋体" w:hAnsi="宋体" w:cs="宋体"/>
          <w:sz w:val="24"/>
          <w:highlight w:val="none"/>
        </w:rPr>
      </w:pPr>
      <w:r>
        <w:rPr>
          <w:rFonts w:hint="eastAsia" w:ascii="宋体" w:hAnsi="宋体" w:cs="宋体"/>
          <w:sz w:val="24"/>
          <w:highlight w:val="none"/>
        </w:rPr>
        <w:t>年  月  日</w:t>
      </w:r>
      <w:r>
        <w:rPr>
          <w:rFonts w:hint="eastAsia" w:ascii="宋体" w:hAnsi="宋体" w:cs="宋体"/>
          <w:sz w:val="24"/>
          <w:highlight w:val="none"/>
        </w:rPr>
        <w:br w:type="page"/>
      </w:r>
      <w:bookmarkStart w:id="74" w:name="_Hlk60757343"/>
      <w:r>
        <w:rPr>
          <w:rFonts w:hint="eastAsia" w:ascii="宋体" w:hAnsi="宋体" w:cs="宋体"/>
          <w:sz w:val="24"/>
          <w:highlight w:val="none"/>
        </w:rPr>
        <w:t>2.营业执照等：</w:t>
      </w:r>
      <w:bookmarkEnd w:id="74"/>
    </w:p>
    <w:p w14:paraId="1DE02BE5">
      <w:pPr>
        <w:snapToGrid w:val="0"/>
        <w:spacing w:line="440" w:lineRule="exact"/>
        <w:jc w:val="center"/>
        <w:rPr>
          <w:rFonts w:ascii="宋体" w:hAnsi="宋体" w:cs="宋体"/>
          <w:b/>
          <w:kern w:val="0"/>
          <w:sz w:val="24"/>
          <w:highlight w:val="none"/>
          <w:lang w:val="zh-CN"/>
        </w:rPr>
      </w:pPr>
    </w:p>
    <w:p w14:paraId="68A3ABD3">
      <w:pPr>
        <w:snapToGrid w:val="0"/>
        <w:spacing w:line="440" w:lineRule="exact"/>
        <w:jc w:val="center"/>
        <w:rPr>
          <w:rFonts w:ascii="宋体" w:hAnsi="宋体" w:cs="宋体"/>
          <w:b/>
          <w:kern w:val="0"/>
          <w:sz w:val="24"/>
          <w:highlight w:val="none"/>
          <w:lang w:val="zh-CN"/>
        </w:rPr>
      </w:pPr>
    </w:p>
    <w:p w14:paraId="75FFDDFF">
      <w:pPr>
        <w:snapToGrid w:val="0"/>
        <w:spacing w:line="440" w:lineRule="exact"/>
        <w:jc w:val="center"/>
        <w:rPr>
          <w:rFonts w:ascii="宋体" w:hAnsi="宋体" w:cs="宋体"/>
          <w:b/>
          <w:kern w:val="0"/>
          <w:sz w:val="24"/>
          <w:highlight w:val="none"/>
          <w:lang w:val="zh-CN"/>
        </w:rPr>
      </w:pPr>
      <w:r>
        <w:rPr>
          <w:rFonts w:hint="eastAsia" w:ascii="宋体" w:hAnsi="宋体" w:cs="宋体"/>
          <w:b/>
          <w:kern w:val="0"/>
          <w:sz w:val="24"/>
          <w:highlight w:val="none"/>
          <w:lang w:val="zh-CN"/>
        </w:rPr>
        <w:t>营业执照（推荐使用电子营业执照）</w:t>
      </w:r>
    </w:p>
    <w:p w14:paraId="034EE92B">
      <w:pPr>
        <w:snapToGrid w:val="0"/>
        <w:spacing w:line="440" w:lineRule="exact"/>
        <w:rPr>
          <w:rFonts w:ascii="宋体" w:hAnsi="宋体" w:cs="宋体"/>
          <w:b/>
          <w:kern w:val="0"/>
          <w:sz w:val="24"/>
          <w:highlight w:val="none"/>
          <w:lang w:val="zh-CN"/>
        </w:rPr>
      </w:pPr>
      <w:r>
        <w:rPr>
          <w:rFonts w:hint="eastAsia" w:ascii="宋体" w:hAnsi="宋体" w:cs="宋体"/>
          <w:b/>
          <w:kern w:val="0"/>
          <w:sz w:val="24"/>
          <w:highlight w:val="none"/>
          <w:lang w:val="zh-CN"/>
        </w:rPr>
        <w:t>或事业法人登记证或其他工商等登记证明材料原件扫描件或复印件</w:t>
      </w:r>
    </w:p>
    <w:p w14:paraId="0309A6A8">
      <w:pPr>
        <w:snapToGrid w:val="0"/>
        <w:spacing w:line="440" w:lineRule="exact"/>
        <w:rPr>
          <w:rFonts w:ascii="宋体" w:hAnsi="宋体" w:cs="宋体"/>
          <w:bCs/>
          <w:kern w:val="0"/>
          <w:sz w:val="24"/>
          <w:highlight w:val="none"/>
          <w:lang w:val="zh-CN"/>
        </w:rPr>
      </w:pPr>
      <w:r>
        <w:rPr>
          <w:rFonts w:hint="eastAsia" w:ascii="宋体" w:hAnsi="宋体" w:cs="宋体"/>
          <w:bCs/>
          <w:kern w:val="0"/>
          <w:sz w:val="24"/>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A21F427">
      <w:pPr>
        <w:snapToGrid w:val="0"/>
        <w:spacing w:line="440" w:lineRule="exact"/>
        <w:jc w:val="center"/>
        <w:rPr>
          <w:rFonts w:ascii="宋体" w:hAnsi="宋体" w:cs="宋体"/>
          <w:b/>
          <w:sz w:val="24"/>
          <w:highlight w:val="none"/>
        </w:rPr>
      </w:pPr>
    </w:p>
    <w:p w14:paraId="73D3F802">
      <w:pPr>
        <w:spacing w:line="440" w:lineRule="exact"/>
        <w:jc w:val="center"/>
        <w:rPr>
          <w:rFonts w:ascii="宋体" w:hAnsi="宋体" w:cs="宋体"/>
          <w:b/>
          <w:sz w:val="24"/>
          <w:highlight w:val="none"/>
        </w:rPr>
      </w:pPr>
    </w:p>
    <w:p w14:paraId="65F76457">
      <w:pPr>
        <w:widowControl/>
        <w:spacing w:line="440" w:lineRule="exact"/>
        <w:ind w:firstLine="480" w:firstLineChars="200"/>
        <w:jc w:val="left"/>
        <w:rPr>
          <w:rFonts w:ascii="宋体" w:hAnsi="宋体" w:cs="宋体"/>
          <w:sz w:val="24"/>
          <w:highlight w:val="none"/>
        </w:rPr>
      </w:pPr>
    </w:p>
    <w:p w14:paraId="1E853915">
      <w:pPr>
        <w:spacing w:line="440" w:lineRule="exact"/>
        <w:jc w:val="center"/>
        <w:rPr>
          <w:rFonts w:ascii="宋体" w:hAnsi="宋体" w:cs="宋体"/>
          <w:b/>
          <w:bCs/>
          <w:sz w:val="24"/>
          <w:highlight w:val="none"/>
        </w:rPr>
      </w:pPr>
    </w:p>
    <w:p w14:paraId="3BD9A7FD">
      <w:pPr>
        <w:snapToGrid w:val="0"/>
        <w:spacing w:line="440" w:lineRule="exact"/>
        <w:jc w:val="center"/>
        <w:rPr>
          <w:rFonts w:ascii="宋体" w:hAnsi="宋体" w:cs="宋体"/>
          <w:b/>
          <w:kern w:val="0"/>
          <w:sz w:val="24"/>
          <w:highlight w:val="none"/>
          <w:lang w:val="zh-CN"/>
        </w:rPr>
      </w:pPr>
    </w:p>
    <w:p w14:paraId="3B15870F">
      <w:pPr>
        <w:snapToGrid w:val="0"/>
        <w:spacing w:line="440" w:lineRule="exact"/>
        <w:jc w:val="center"/>
        <w:rPr>
          <w:rFonts w:ascii="宋体" w:hAnsi="宋体" w:cs="宋体"/>
          <w:b/>
          <w:kern w:val="0"/>
          <w:sz w:val="24"/>
          <w:highlight w:val="none"/>
          <w:lang w:val="zh-CN"/>
        </w:rPr>
      </w:pPr>
      <w:r>
        <w:rPr>
          <w:rFonts w:hint="eastAsia" w:ascii="宋体" w:hAnsi="宋体" w:cs="宋体"/>
          <w:b/>
          <w:kern w:val="0"/>
          <w:sz w:val="24"/>
          <w:highlight w:val="none"/>
          <w:lang w:val="zh-CN"/>
        </w:rPr>
        <w:t>业绩证明文件</w:t>
      </w:r>
    </w:p>
    <w:p w14:paraId="3713E9B1">
      <w:pPr>
        <w:pStyle w:val="21"/>
        <w:rPr>
          <w:rFonts w:ascii="宋体" w:eastAsia="宋体" w:cs="宋体"/>
          <w:szCs w:val="24"/>
          <w:highlight w:val="none"/>
          <w:lang w:val="zh-CN"/>
        </w:rPr>
      </w:pPr>
    </w:p>
    <w:p w14:paraId="11567BE1">
      <w:pPr>
        <w:pStyle w:val="21"/>
        <w:rPr>
          <w:rFonts w:ascii="宋体" w:eastAsia="宋体" w:cs="宋体"/>
          <w:szCs w:val="24"/>
          <w:highlight w:val="none"/>
          <w:lang w:val="zh-CN"/>
        </w:rPr>
      </w:pPr>
    </w:p>
    <w:p w14:paraId="5A93DF5C">
      <w:pPr>
        <w:snapToGrid w:val="0"/>
        <w:spacing w:line="440" w:lineRule="exact"/>
        <w:rPr>
          <w:rFonts w:ascii="宋体" w:hAnsi="宋体" w:cs="宋体"/>
          <w:sz w:val="24"/>
          <w:highlight w:val="none"/>
        </w:rPr>
      </w:pPr>
      <w:r>
        <w:rPr>
          <w:rFonts w:hint="eastAsia" w:ascii="宋体" w:hAnsi="宋体" w:cs="宋体"/>
          <w:b/>
          <w:kern w:val="0"/>
          <w:sz w:val="24"/>
          <w:highlight w:val="none"/>
          <w:lang w:val="zh-CN"/>
        </w:rPr>
        <w:br w:type="page"/>
      </w:r>
      <w:r>
        <w:rPr>
          <w:rFonts w:hint="eastAsia" w:ascii="宋体" w:hAnsi="宋体" w:cs="宋体"/>
          <w:sz w:val="24"/>
          <w:highlight w:val="none"/>
        </w:rPr>
        <w:t>3. 没有重大违法记录的承诺函格式：</w:t>
      </w:r>
    </w:p>
    <w:p w14:paraId="5E471419">
      <w:pPr>
        <w:spacing w:line="440" w:lineRule="exact"/>
        <w:jc w:val="center"/>
        <w:rPr>
          <w:rFonts w:ascii="宋体" w:hAnsi="宋体" w:cs="宋体"/>
          <w:b/>
          <w:kern w:val="0"/>
          <w:sz w:val="24"/>
          <w:highlight w:val="none"/>
        </w:rPr>
      </w:pPr>
    </w:p>
    <w:p w14:paraId="2A8BE54D">
      <w:pPr>
        <w:spacing w:line="440" w:lineRule="exact"/>
        <w:jc w:val="center"/>
        <w:rPr>
          <w:rFonts w:ascii="宋体" w:hAnsi="宋体" w:cs="宋体"/>
          <w:b/>
          <w:sz w:val="24"/>
          <w:highlight w:val="none"/>
        </w:rPr>
      </w:pPr>
      <w:r>
        <w:rPr>
          <w:rFonts w:hint="eastAsia" w:ascii="宋体" w:hAnsi="宋体" w:cs="宋体"/>
          <w:b/>
          <w:sz w:val="24"/>
          <w:highlight w:val="none"/>
        </w:rPr>
        <w:t>参加本次采购项目前三年内在经营活动中</w:t>
      </w:r>
    </w:p>
    <w:p w14:paraId="0924BA2F">
      <w:pPr>
        <w:spacing w:line="440" w:lineRule="exact"/>
        <w:jc w:val="center"/>
        <w:rPr>
          <w:rFonts w:ascii="宋体" w:hAnsi="宋体" w:cs="宋体"/>
          <w:b/>
          <w:sz w:val="24"/>
          <w:highlight w:val="none"/>
        </w:rPr>
      </w:pPr>
      <w:r>
        <w:rPr>
          <w:rFonts w:hint="eastAsia" w:ascii="宋体" w:hAnsi="宋体" w:cs="宋体"/>
          <w:b/>
          <w:sz w:val="24"/>
          <w:highlight w:val="none"/>
        </w:rPr>
        <w:t>没有重大违法记录的承诺函</w:t>
      </w:r>
    </w:p>
    <w:p w14:paraId="1CD5C4F2">
      <w:pPr>
        <w:spacing w:line="440" w:lineRule="exact"/>
        <w:jc w:val="center"/>
        <w:rPr>
          <w:rFonts w:ascii="宋体" w:hAnsi="宋体" w:cs="宋体"/>
          <w:bCs/>
          <w:sz w:val="24"/>
          <w:highlight w:val="none"/>
        </w:rPr>
      </w:pPr>
    </w:p>
    <w:p w14:paraId="664059B2">
      <w:pPr>
        <w:spacing w:line="440" w:lineRule="exact"/>
        <w:ind w:firstLine="420"/>
        <w:rPr>
          <w:rFonts w:ascii="宋体" w:hAnsi="宋体" w:cs="宋体"/>
          <w:sz w:val="24"/>
          <w:highlight w:val="none"/>
        </w:rPr>
      </w:pPr>
    </w:p>
    <w:p w14:paraId="59C81ABA">
      <w:pPr>
        <w:spacing w:line="440" w:lineRule="exact"/>
        <w:rPr>
          <w:rFonts w:ascii="宋体" w:hAnsi="宋体" w:cs="宋体"/>
          <w:kern w:val="0"/>
          <w:sz w:val="24"/>
          <w:highlight w:val="none"/>
        </w:rPr>
      </w:pPr>
      <w:r>
        <w:rPr>
          <w:rFonts w:hint="eastAsia" w:ascii="宋体" w:hAnsi="宋体" w:cs="宋体"/>
          <w:bCs/>
          <w:sz w:val="24"/>
          <w:highlight w:val="none"/>
        </w:rPr>
        <w:t>致：</w:t>
      </w:r>
      <w:r>
        <w:rPr>
          <w:rFonts w:hint="eastAsia" w:ascii="宋体" w:hAnsi="宋体" w:cs="宋体"/>
          <w:sz w:val="24"/>
          <w:highlight w:val="none"/>
          <w:u w:val="single"/>
        </w:rPr>
        <w:t xml:space="preserve">             </w:t>
      </w:r>
      <w:r>
        <w:rPr>
          <w:rFonts w:hint="eastAsia" w:ascii="宋体" w:hAnsi="宋体" w:cs="宋体"/>
          <w:sz w:val="24"/>
          <w:highlight w:val="none"/>
        </w:rPr>
        <w:t>（招标人名称）</w:t>
      </w:r>
      <w:r>
        <w:rPr>
          <w:rFonts w:hint="eastAsia" w:ascii="宋体" w:hAnsi="宋体" w:cs="宋体"/>
          <w:b/>
          <w:bCs/>
          <w:sz w:val="24"/>
          <w:highlight w:val="none"/>
        </w:rPr>
        <w:t xml:space="preserve"> </w:t>
      </w:r>
      <w:r>
        <w:rPr>
          <w:rFonts w:hint="eastAsia" w:ascii="宋体" w:hAnsi="宋体" w:cs="宋体"/>
          <w:sz w:val="24"/>
          <w:highlight w:val="none"/>
        </w:rPr>
        <w:t>：</w:t>
      </w:r>
    </w:p>
    <w:p w14:paraId="28B41934">
      <w:pPr>
        <w:snapToGrid w:val="0"/>
        <w:spacing w:before="120" w:beforeLines="50" w:after="50" w:line="440" w:lineRule="exact"/>
        <w:ind w:firstLine="480" w:firstLineChars="200"/>
        <w:rPr>
          <w:rFonts w:ascii="宋体" w:hAnsi="宋体" w:cs="宋体"/>
          <w:sz w:val="24"/>
          <w:highlight w:val="none"/>
        </w:rPr>
      </w:pPr>
      <w:r>
        <w:rPr>
          <w:rFonts w:hint="eastAsia" w:ascii="宋体" w:hAnsi="宋体" w:cs="宋体"/>
          <w:sz w:val="24"/>
          <w:highlight w:val="none"/>
        </w:rPr>
        <w:t>我方郑重承诺，我方在参加</w:t>
      </w:r>
      <w:r>
        <w:rPr>
          <w:rFonts w:hint="eastAsia" w:ascii="宋体" w:hAnsi="宋体" w:cs="宋体"/>
          <w:sz w:val="24"/>
          <w:highlight w:val="none"/>
          <w:u w:val="single"/>
        </w:rPr>
        <w:t xml:space="preserve">               </w:t>
      </w:r>
      <w:r>
        <w:rPr>
          <w:rFonts w:hint="eastAsia" w:ascii="宋体" w:hAnsi="宋体" w:cs="宋体"/>
          <w:sz w:val="24"/>
          <w:highlight w:val="none"/>
        </w:rPr>
        <w:t>项目（项目编号：</w:t>
      </w:r>
      <w:r>
        <w:rPr>
          <w:rFonts w:hint="eastAsia" w:ascii="宋体" w:hAnsi="宋体" w:cs="宋体"/>
          <w:sz w:val="24"/>
          <w:highlight w:val="none"/>
          <w:u w:val="single"/>
        </w:rPr>
        <w:t xml:space="preserve">        </w:t>
      </w:r>
      <w:r>
        <w:rPr>
          <w:rFonts w:hint="eastAsia" w:ascii="宋体" w:hAnsi="宋体" w:cs="宋体"/>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CCAEBEE">
      <w:pPr>
        <w:spacing w:line="440" w:lineRule="exact"/>
        <w:ind w:firstLine="420"/>
        <w:rPr>
          <w:rFonts w:ascii="宋体" w:hAnsi="宋体" w:cs="宋体"/>
          <w:sz w:val="24"/>
          <w:highlight w:val="none"/>
        </w:rPr>
      </w:pPr>
    </w:p>
    <w:p w14:paraId="58D536F8">
      <w:pPr>
        <w:snapToGrid w:val="0"/>
        <w:spacing w:before="120" w:beforeLines="50" w:after="50" w:line="440" w:lineRule="exact"/>
        <w:ind w:firstLine="480" w:firstLineChars="200"/>
        <w:rPr>
          <w:rFonts w:ascii="宋体" w:hAnsi="宋体" w:cs="宋体"/>
          <w:sz w:val="24"/>
          <w:highlight w:val="none"/>
        </w:rPr>
      </w:pPr>
      <w:r>
        <w:rPr>
          <w:rFonts w:hint="eastAsia" w:ascii="宋体" w:hAnsi="宋体" w:cs="宋体"/>
          <w:sz w:val="24"/>
          <w:highlight w:val="none"/>
        </w:rPr>
        <w:t>特此</w:t>
      </w:r>
      <w:r>
        <w:rPr>
          <w:rFonts w:hint="eastAsia" w:ascii="宋体" w:hAnsi="宋体" w:cs="宋体"/>
          <w:kern w:val="0"/>
          <w:sz w:val="24"/>
          <w:highlight w:val="none"/>
        </w:rPr>
        <w:t>承诺</w:t>
      </w:r>
      <w:r>
        <w:rPr>
          <w:rFonts w:hint="eastAsia" w:ascii="宋体" w:hAnsi="宋体" w:cs="宋体"/>
          <w:sz w:val="24"/>
          <w:highlight w:val="none"/>
        </w:rPr>
        <w:t>！</w:t>
      </w:r>
    </w:p>
    <w:p w14:paraId="7F02D5C4">
      <w:pPr>
        <w:snapToGrid w:val="0"/>
        <w:spacing w:before="50" w:after="120" w:afterLines="50" w:line="440" w:lineRule="exact"/>
        <w:jc w:val="left"/>
        <w:rPr>
          <w:rFonts w:ascii="宋体" w:hAnsi="宋体" w:cs="宋体"/>
          <w:kern w:val="0"/>
          <w:sz w:val="24"/>
          <w:highlight w:val="none"/>
          <w:lang w:val="zh-CN"/>
        </w:rPr>
      </w:pPr>
    </w:p>
    <w:p w14:paraId="02CBBCAB">
      <w:pPr>
        <w:snapToGrid w:val="0"/>
        <w:spacing w:before="50" w:after="120" w:afterLines="50" w:line="440" w:lineRule="exact"/>
        <w:jc w:val="left"/>
        <w:rPr>
          <w:rFonts w:ascii="宋体" w:hAnsi="宋体" w:cs="宋体"/>
          <w:kern w:val="0"/>
          <w:sz w:val="24"/>
          <w:highlight w:val="none"/>
          <w:lang w:val="zh-CN"/>
        </w:rPr>
      </w:pPr>
    </w:p>
    <w:p w14:paraId="485ECC20">
      <w:pPr>
        <w:snapToGrid w:val="0"/>
        <w:spacing w:before="50" w:after="120" w:afterLines="50" w:line="440" w:lineRule="exact"/>
        <w:jc w:val="left"/>
        <w:rPr>
          <w:rFonts w:ascii="宋体" w:hAnsi="宋体" w:cs="宋体"/>
          <w:kern w:val="0"/>
          <w:sz w:val="24"/>
          <w:highlight w:val="none"/>
          <w:lang w:val="zh-CN"/>
        </w:rPr>
      </w:pPr>
    </w:p>
    <w:p w14:paraId="2308BEB9">
      <w:pPr>
        <w:snapToGrid w:val="0"/>
        <w:spacing w:before="50" w:after="120" w:afterLines="50" w:line="440" w:lineRule="exact"/>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14651D38">
      <w:pPr>
        <w:snapToGrid w:val="0"/>
        <w:spacing w:before="50" w:after="120" w:afterLines="50" w:line="440" w:lineRule="exact"/>
        <w:jc w:val="left"/>
        <w:rPr>
          <w:rFonts w:ascii="宋体" w:hAnsi="宋体" w:cs="宋体"/>
          <w:b/>
          <w:sz w:val="24"/>
          <w:highlight w:val="none"/>
        </w:rPr>
      </w:pPr>
    </w:p>
    <w:p w14:paraId="20FEF3C7">
      <w:pPr>
        <w:snapToGrid w:val="0"/>
        <w:spacing w:before="50" w:after="120" w:afterLines="50" w:line="440" w:lineRule="exact"/>
        <w:jc w:val="left"/>
        <w:rPr>
          <w:rFonts w:ascii="宋体" w:hAnsi="宋体" w:cs="宋体"/>
          <w:b/>
          <w:sz w:val="24"/>
          <w:highlight w:val="none"/>
        </w:rPr>
      </w:pPr>
    </w:p>
    <w:p w14:paraId="7D8DBF8E">
      <w:pPr>
        <w:snapToGrid w:val="0"/>
        <w:spacing w:before="50" w:after="120" w:afterLines="50" w:line="440" w:lineRule="exact"/>
        <w:jc w:val="left"/>
        <w:rPr>
          <w:rFonts w:ascii="宋体" w:hAnsi="宋体" w:cs="宋体"/>
          <w:b/>
          <w:sz w:val="24"/>
          <w:highlight w:val="none"/>
        </w:rPr>
        <w:sectPr>
          <w:headerReference r:id="rId8" w:type="default"/>
          <w:footerReference r:id="rId9" w:type="default"/>
          <w:pgSz w:w="11906" w:h="16838"/>
          <w:pgMar w:top="1021" w:right="1588" w:bottom="851" w:left="1588" w:header="567" w:footer="454" w:gutter="0"/>
          <w:cols w:space="720" w:num="1"/>
          <w:docGrid w:linePitch="286" w:charSpace="0"/>
        </w:sectPr>
      </w:pPr>
      <w:r>
        <w:rPr>
          <w:rFonts w:hint="eastAsia" w:ascii="宋体" w:hAnsi="宋体" w:cs="宋体"/>
          <w:b/>
          <w:sz w:val="24"/>
          <w:highlight w:val="none"/>
        </w:rPr>
        <w:t>日期：  _____年___月___日</w:t>
      </w:r>
    </w:p>
    <w:p w14:paraId="0A4032E4">
      <w:pPr>
        <w:snapToGrid w:val="0"/>
        <w:spacing w:before="120" w:beforeLines="50" w:after="50" w:line="440" w:lineRule="exact"/>
        <w:jc w:val="center"/>
        <w:outlineLvl w:val="1"/>
        <w:rPr>
          <w:rFonts w:ascii="宋体" w:hAnsi="宋体" w:cs="宋体"/>
          <w:b/>
          <w:bCs/>
          <w:sz w:val="24"/>
          <w:highlight w:val="none"/>
        </w:rPr>
      </w:pPr>
      <w:bookmarkStart w:id="75" w:name="_Toc466534753"/>
      <w:bookmarkStart w:id="76" w:name="_Toc15805"/>
      <w:bookmarkStart w:id="77" w:name="_Toc18185"/>
      <w:bookmarkStart w:id="78" w:name="_Toc28366"/>
      <w:r>
        <w:rPr>
          <w:rFonts w:hint="eastAsia" w:ascii="宋体" w:hAnsi="宋体" w:cs="宋体"/>
          <w:b/>
          <w:bCs/>
          <w:sz w:val="24"/>
          <w:highlight w:val="none"/>
        </w:rPr>
        <w:t>二、商务技术文件格式</w:t>
      </w:r>
      <w:bookmarkEnd w:id="73"/>
      <w:bookmarkEnd w:id="75"/>
      <w:bookmarkEnd w:id="76"/>
      <w:bookmarkEnd w:id="77"/>
      <w:bookmarkEnd w:id="78"/>
    </w:p>
    <w:p w14:paraId="58C5AFF4">
      <w:pPr>
        <w:snapToGrid w:val="0"/>
        <w:spacing w:before="120" w:beforeLines="50" w:after="50" w:line="440" w:lineRule="exact"/>
        <w:jc w:val="center"/>
        <w:rPr>
          <w:rFonts w:ascii="宋体" w:hAnsi="宋体" w:cs="宋体"/>
          <w:sz w:val="24"/>
          <w:highlight w:val="none"/>
        </w:rPr>
      </w:pPr>
    </w:p>
    <w:p w14:paraId="05C5353F">
      <w:pPr>
        <w:snapToGrid w:val="0"/>
        <w:spacing w:before="120" w:beforeLines="50" w:after="50" w:line="440" w:lineRule="exact"/>
        <w:jc w:val="center"/>
        <w:rPr>
          <w:rFonts w:ascii="宋体" w:hAnsi="宋体" w:cs="宋体"/>
          <w:sz w:val="24"/>
          <w:highlight w:val="none"/>
        </w:rPr>
      </w:pPr>
    </w:p>
    <w:p w14:paraId="0DB0241E">
      <w:pPr>
        <w:snapToGrid w:val="0"/>
        <w:spacing w:before="120" w:beforeLines="50" w:after="50" w:line="440" w:lineRule="exact"/>
        <w:ind w:firstLine="480" w:firstLineChars="200"/>
        <w:rPr>
          <w:rFonts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 xml:space="preserve">.商务技术文件封面格式： </w:t>
      </w:r>
    </w:p>
    <w:p w14:paraId="35BD0277">
      <w:pPr>
        <w:snapToGrid w:val="0"/>
        <w:spacing w:before="120" w:beforeLines="50" w:after="50" w:line="440" w:lineRule="exact"/>
        <w:rPr>
          <w:rFonts w:ascii="宋体" w:hAnsi="宋体" w:cs="宋体"/>
          <w:b/>
          <w:bCs/>
          <w:sz w:val="24"/>
          <w:highlight w:val="none"/>
        </w:rPr>
      </w:pPr>
      <w:r>
        <w:rPr>
          <w:rFonts w:hint="eastAsia" w:ascii="宋体" w:hAnsi="宋体" w:cs="宋体"/>
          <w:b/>
          <w:bCs/>
          <w:sz w:val="24"/>
          <w:highlight w:val="none"/>
        </w:rPr>
        <w:t xml:space="preserve"> </w:t>
      </w:r>
    </w:p>
    <w:p w14:paraId="26200A57">
      <w:pPr>
        <w:snapToGrid w:val="0"/>
        <w:spacing w:before="120" w:beforeLines="50" w:after="50" w:line="440" w:lineRule="exact"/>
        <w:rPr>
          <w:rFonts w:ascii="宋体" w:hAnsi="宋体" w:cs="宋体"/>
          <w:sz w:val="24"/>
          <w:highlight w:val="none"/>
        </w:rPr>
      </w:pPr>
    </w:p>
    <w:p w14:paraId="0936B1D2">
      <w:pPr>
        <w:snapToGrid w:val="0"/>
        <w:spacing w:before="120" w:beforeLines="50" w:after="50" w:line="440" w:lineRule="exact"/>
        <w:jc w:val="center"/>
        <w:rPr>
          <w:rFonts w:ascii="宋体" w:hAnsi="宋体" w:cs="宋体"/>
          <w:bCs/>
          <w:sz w:val="24"/>
          <w:highlight w:val="none"/>
        </w:rPr>
      </w:pPr>
    </w:p>
    <w:p w14:paraId="36238966">
      <w:pPr>
        <w:snapToGrid w:val="0"/>
        <w:spacing w:before="120" w:beforeLines="50" w:after="50" w:line="440" w:lineRule="exact"/>
        <w:jc w:val="center"/>
        <w:rPr>
          <w:rFonts w:ascii="宋体" w:hAnsi="宋体" w:cs="宋体"/>
          <w:bCs/>
          <w:sz w:val="24"/>
          <w:highlight w:val="none"/>
        </w:rPr>
      </w:pPr>
      <w:r>
        <w:rPr>
          <w:rFonts w:hint="eastAsia" w:ascii="宋体" w:hAnsi="宋体" w:cs="宋体"/>
          <w:bCs/>
          <w:sz w:val="24"/>
          <w:highlight w:val="none"/>
        </w:rPr>
        <w:t>商务技术文件</w:t>
      </w:r>
    </w:p>
    <w:p w14:paraId="0C2FE8D1">
      <w:pPr>
        <w:snapToGrid w:val="0"/>
        <w:spacing w:before="120" w:beforeLines="50" w:after="50" w:line="440" w:lineRule="exact"/>
        <w:jc w:val="center"/>
        <w:rPr>
          <w:rFonts w:ascii="宋体" w:hAnsi="宋体" w:cs="宋体"/>
          <w:bCs/>
          <w:sz w:val="24"/>
          <w:highlight w:val="none"/>
        </w:rPr>
      </w:pPr>
    </w:p>
    <w:p w14:paraId="50A131AF">
      <w:pPr>
        <w:snapToGrid w:val="0"/>
        <w:spacing w:before="120" w:beforeLines="50" w:after="50" w:line="440" w:lineRule="exact"/>
        <w:jc w:val="center"/>
        <w:rPr>
          <w:rFonts w:ascii="宋体" w:hAnsi="宋体" w:cs="宋体"/>
          <w:bCs/>
          <w:sz w:val="24"/>
          <w:highlight w:val="none"/>
        </w:rPr>
      </w:pPr>
    </w:p>
    <w:p w14:paraId="40B57E2C">
      <w:pPr>
        <w:snapToGrid w:val="0"/>
        <w:spacing w:before="120" w:beforeLines="50" w:after="50" w:line="440" w:lineRule="exact"/>
        <w:ind w:firstLine="1068" w:firstLineChars="445"/>
        <w:rPr>
          <w:rFonts w:ascii="宋体" w:hAnsi="宋体" w:cs="宋体"/>
          <w:bCs/>
          <w:sz w:val="24"/>
          <w:highlight w:val="none"/>
        </w:rPr>
      </w:pPr>
      <w:r>
        <w:rPr>
          <w:rFonts w:hint="eastAsia" w:ascii="宋体" w:hAnsi="宋体" w:cs="宋体"/>
          <w:bCs/>
          <w:sz w:val="24"/>
          <w:highlight w:val="none"/>
        </w:rPr>
        <w:t>项目名称：</w:t>
      </w:r>
    </w:p>
    <w:p w14:paraId="57AE5AD1">
      <w:pPr>
        <w:snapToGrid w:val="0"/>
        <w:spacing w:before="120" w:beforeLines="50" w:after="50" w:line="440" w:lineRule="exact"/>
        <w:ind w:firstLine="480" w:firstLineChars="200"/>
        <w:rPr>
          <w:rFonts w:ascii="宋体" w:hAnsi="宋体" w:cs="宋体"/>
          <w:bCs/>
          <w:sz w:val="24"/>
          <w:highlight w:val="none"/>
        </w:rPr>
      </w:pPr>
      <w:r>
        <w:rPr>
          <w:rFonts w:hint="eastAsia" w:ascii="宋体" w:hAnsi="宋体" w:cs="宋体"/>
          <w:bCs/>
          <w:sz w:val="24"/>
          <w:highlight w:val="none"/>
        </w:rPr>
        <w:t xml:space="preserve">     项目编号：    </w:t>
      </w:r>
    </w:p>
    <w:p w14:paraId="0AEF60E1">
      <w:pPr>
        <w:pStyle w:val="15"/>
        <w:snapToGrid w:val="0"/>
        <w:spacing w:before="50" w:after="50" w:line="440" w:lineRule="exact"/>
        <w:ind w:firstLine="998" w:firstLineChars="416"/>
        <w:rPr>
          <w:rFonts w:ascii="宋体" w:hAnsi="宋体" w:cs="宋体"/>
          <w:bCs/>
          <w:sz w:val="24"/>
          <w:szCs w:val="24"/>
          <w:highlight w:val="none"/>
        </w:rPr>
      </w:pPr>
    </w:p>
    <w:p w14:paraId="19E8ACB2">
      <w:pPr>
        <w:pStyle w:val="15"/>
        <w:snapToGrid w:val="0"/>
        <w:spacing w:before="50" w:after="50" w:line="440" w:lineRule="exact"/>
        <w:ind w:firstLine="998" w:firstLineChars="416"/>
        <w:rPr>
          <w:rFonts w:ascii="宋体" w:hAnsi="宋体" w:cs="宋体"/>
          <w:bCs/>
          <w:sz w:val="24"/>
          <w:szCs w:val="24"/>
          <w:highlight w:val="none"/>
        </w:rPr>
      </w:pPr>
      <w:r>
        <w:rPr>
          <w:rFonts w:hint="eastAsia" w:ascii="宋体" w:hAnsi="宋体" w:cs="宋体"/>
          <w:bCs/>
          <w:sz w:val="24"/>
          <w:szCs w:val="24"/>
          <w:highlight w:val="none"/>
        </w:rPr>
        <w:t>投标人名称：</w:t>
      </w:r>
    </w:p>
    <w:p w14:paraId="36AA34E4">
      <w:pPr>
        <w:pStyle w:val="15"/>
        <w:snapToGrid w:val="0"/>
        <w:spacing w:before="50" w:after="50" w:line="440" w:lineRule="exact"/>
        <w:ind w:firstLine="998" w:firstLineChars="416"/>
        <w:rPr>
          <w:rFonts w:ascii="宋体" w:hAnsi="宋体" w:cs="宋体"/>
          <w:bCs/>
          <w:sz w:val="24"/>
          <w:szCs w:val="24"/>
          <w:highlight w:val="none"/>
        </w:rPr>
      </w:pPr>
      <w:r>
        <w:rPr>
          <w:rFonts w:hint="eastAsia" w:ascii="宋体" w:hAnsi="宋体" w:cs="宋体"/>
          <w:bCs/>
          <w:sz w:val="24"/>
          <w:szCs w:val="24"/>
          <w:highlight w:val="none"/>
        </w:rPr>
        <w:t>投标人地址：</w:t>
      </w:r>
    </w:p>
    <w:p w14:paraId="0CEC576A">
      <w:pPr>
        <w:pStyle w:val="15"/>
        <w:snapToGrid w:val="0"/>
        <w:spacing w:before="50" w:after="50" w:line="440" w:lineRule="exact"/>
        <w:ind w:firstLine="960" w:firstLineChars="400"/>
        <w:rPr>
          <w:rFonts w:ascii="宋体" w:hAnsi="宋体" w:cs="宋体"/>
          <w:bCs/>
          <w:sz w:val="24"/>
          <w:szCs w:val="24"/>
          <w:highlight w:val="none"/>
        </w:rPr>
      </w:pPr>
    </w:p>
    <w:p w14:paraId="6F96E640">
      <w:pPr>
        <w:snapToGrid w:val="0"/>
        <w:spacing w:before="120" w:beforeLines="50" w:after="50" w:line="440" w:lineRule="exact"/>
        <w:ind w:firstLine="645"/>
        <w:jc w:val="left"/>
        <w:rPr>
          <w:rFonts w:ascii="宋体" w:hAnsi="宋体" w:cs="宋体"/>
          <w:sz w:val="24"/>
          <w:highlight w:val="none"/>
        </w:rPr>
      </w:pPr>
      <w:r>
        <w:rPr>
          <w:rFonts w:hint="eastAsia" w:ascii="宋体" w:hAnsi="宋体" w:cs="宋体"/>
          <w:sz w:val="24"/>
          <w:highlight w:val="none"/>
        </w:rPr>
        <w:t xml:space="preserve">                        年  月  日</w:t>
      </w:r>
      <w:r>
        <w:rPr>
          <w:rFonts w:hint="eastAsia" w:ascii="宋体" w:hAnsi="宋体" w:cs="宋体"/>
          <w:sz w:val="24"/>
          <w:highlight w:val="none"/>
        </w:rPr>
        <w:br w:type="page"/>
      </w:r>
      <w:bookmarkStart w:id="79" w:name="_Hlk60757098"/>
      <w:r>
        <w:rPr>
          <w:rFonts w:hint="eastAsia" w:ascii="宋体" w:hAnsi="宋体" w:cs="宋体"/>
          <w:sz w:val="24"/>
          <w:highlight w:val="none"/>
          <w:lang w:val="en-US" w:eastAsia="zh-CN"/>
        </w:rPr>
        <w:t>5</w:t>
      </w:r>
      <w:r>
        <w:rPr>
          <w:rFonts w:hint="eastAsia" w:ascii="宋体" w:hAnsi="宋体" w:cs="宋体"/>
          <w:sz w:val="24"/>
          <w:highlight w:val="none"/>
        </w:rPr>
        <w:t>.投标函格式：</w:t>
      </w:r>
      <w:bookmarkEnd w:id="79"/>
    </w:p>
    <w:p w14:paraId="3F2085FE">
      <w:pPr>
        <w:snapToGrid w:val="0"/>
        <w:spacing w:before="120" w:beforeLines="50" w:after="50" w:line="440" w:lineRule="exact"/>
        <w:jc w:val="center"/>
        <w:rPr>
          <w:rFonts w:ascii="宋体" w:hAnsi="宋体" w:cs="宋体"/>
          <w:b/>
          <w:sz w:val="24"/>
          <w:highlight w:val="none"/>
        </w:rPr>
      </w:pPr>
      <w:r>
        <w:rPr>
          <w:rFonts w:hint="eastAsia" w:ascii="宋体" w:hAnsi="宋体" w:cs="宋体"/>
          <w:b/>
          <w:sz w:val="24"/>
          <w:highlight w:val="none"/>
        </w:rPr>
        <w:t>投 标 函</w:t>
      </w:r>
    </w:p>
    <w:p w14:paraId="539A8B02">
      <w:pPr>
        <w:snapToGrid w:val="0"/>
        <w:spacing w:before="120" w:beforeLines="50" w:after="50" w:line="440" w:lineRule="exact"/>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 xml:space="preserve">           </w:t>
      </w:r>
      <w:r>
        <w:rPr>
          <w:rFonts w:hint="eastAsia" w:ascii="宋体" w:hAnsi="宋体" w:cs="宋体"/>
          <w:sz w:val="24"/>
          <w:highlight w:val="none"/>
        </w:rPr>
        <w:t>（招标人名称）：</w:t>
      </w:r>
    </w:p>
    <w:p w14:paraId="05A277B7">
      <w:pPr>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1、我方自愿参加贵方组织的</w:t>
      </w:r>
      <w:r>
        <w:rPr>
          <w:rFonts w:hint="eastAsia" w:ascii="宋体" w:hAnsi="宋体" w:cs="宋体"/>
          <w:sz w:val="24"/>
          <w:highlight w:val="none"/>
          <w:u w:val="single"/>
        </w:rPr>
        <w:t xml:space="preserve">              </w:t>
      </w:r>
      <w:r>
        <w:rPr>
          <w:rFonts w:hint="eastAsia" w:ascii="宋体" w:hAnsi="宋体" w:cs="宋体"/>
          <w:sz w:val="24"/>
          <w:highlight w:val="none"/>
        </w:rPr>
        <w:t>项目（项目编号：</w:t>
      </w:r>
      <w:r>
        <w:rPr>
          <w:rFonts w:hint="eastAsia" w:ascii="宋体" w:hAnsi="宋体" w:cs="宋体"/>
          <w:sz w:val="24"/>
          <w:highlight w:val="none"/>
          <w:u w:val="single"/>
        </w:rPr>
        <w:t xml:space="preserve">          </w:t>
      </w:r>
      <w:r>
        <w:rPr>
          <w:rFonts w:hint="eastAsia" w:ascii="宋体" w:hAnsi="宋体" w:cs="宋体"/>
          <w:sz w:val="24"/>
          <w:highlight w:val="none"/>
        </w:rPr>
        <w:t>）的投标，并按采购文件的要求提交商务技术文件、报价文件。</w:t>
      </w:r>
    </w:p>
    <w:p w14:paraId="5E49F417">
      <w:pPr>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2、我方完全理解并接受招标文件（包括修改补充文件）的各项规定和要求，不再对招标文件的合理性、合法性等相关内容提出质疑或投诉。</w:t>
      </w:r>
    </w:p>
    <w:p w14:paraId="2F13947B">
      <w:pPr>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3、我方不是招标人的附属机构以及其它法律法规所规定的限制投标单位。</w:t>
      </w:r>
    </w:p>
    <w:p w14:paraId="67F51836">
      <w:pPr>
        <w:snapToGrid w:val="0"/>
        <w:spacing w:line="440" w:lineRule="exact"/>
        <w:ind w:firstLine="482" w:firstLineChars="200"/>
        <w:rPr>
          <w:rFonts w:ascii="宋体" w:hAnsi="宋体" w:cs="宋体"/>
          <w:b/>
          <w:bCs/>
          <w:sz w:val="24"/>
          <w:highlight w:val="none"/>
        </w:rPr>
      </w:pPr>
      <w:r>
        <w:rPr>
          <w:rFonts w:hint="eastAsia" w:ascii="宋体" w:hAnsi="宋体" w:cs="宋体"/>
          <w:b/>
          <w:bCs/>
          <w:sz w:val="24"/>
          <w:highlight w:val="none"/>
        </w:rPr>
        <w:t>4.、我方向贵方提交的所有投标文件、资料（包括所有</w:t>
      </w:r>
      <w:bookmarkStart w:id="80" w:name="_Hlk59707887"/>
      <w:r>
        <w:rPr>
          <w:rFonts w:hint="eastAsia" w:ascii="宋体" w:hAnsi="宋体" w:cs="宋体"/>
          <w:b/>
          <w:bCs/>
          <w:sz w:val="24"/>
          <w:highlight w:val="none"/>
        </w:rPr>
        <w:t>证书、合同、报告等</w:t>
      </w:r>
      <w:bookmarkEnd w:id="80"/>
      <w:r>
        <w:rPr>
          <w:rFonts w:hint="eastAsia" w:ascii="宋体" w:hAnsi="宋体" w:cs="宋体"/>
          <w:b/>
          <w:bCs/>
          <w:sz w:val="24"/>
          <w:highlight w:val="none"/>
        </w:rPr>
        <w:t>）都是准确、真实、合规的，如有虚假或隐瞒，我方愿意承担一切后果。</w:t>
      </w:r>
    </w:p>
    <w:p w14:paraId="21CC3E5B">
      <w:pPr>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5、自投标截止日起 90天内有效。</w:t>
      </w:r>
    </w:p>
    <w:p w14:paraId="2C306251">
      <w:pPr>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6、如中标，本投标文件至本项目合同履行完毕均保持有效，同意按照贵方要求提供与投标有关的一切数据或资料，并按“招标文件”及相关法律、法规的规定履行合同责任和义务。</w:t>
      </w:r>
    </w:p>
    <w:p w14:paraId="68899055">
      <w:pPr>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7、以上事项如有虚假或隐瞒，我方愿意承担一切后果，并不再寻求任何旨在减轻或免除法律责任的辩解，同意我方的履约保证金不予退回，并对招标人因此引起的损失予以赔偿。</w:t>
      </w:r>
    </w:p>
    <w:p w14:paraId="4BB344B9">
      <w:pPr>
        <w:snapToGrid w:val="0"/>
        <w:spacing w:line="440" w:lineRule="exact"/>
        <w:ind w:firstLine="480" w:firstLineChars="200"/>
        <w:rPr>
          <w:rFonts w:ascii="宋体" w:hAnsi="宋体" w:cs="宋体"/>
          <w:sz w:val="24"/>
          <w:highlight w:val="none"/>
        </w:rPr>
      </w:pPr>
      <w:r>
        <w:rPr>
          <w:rFonts w:hint="eastAsia" w:ascii="宋体" w:hAnsi="宋体" w:cs="宋体"/>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5A413ABC">
      <w:pPr>
        <w:snapToGrid w:val="0"/>
        <w:spacing w:line="440" w:lineRule="exact"/>
        <w:ind w:firstLine="361" w:firstLineChars="150"/>
        <w:rPr>
          <w:rFonts w:ascii="宋体" w:hAnsi="宋体" w:cs="宋体"/>
          <w:b/>
          <w:bCs/>
          <w:sz w:val="24"/>
          <w:highlight w:val="none"/>
          <w:u w:val="single"/>
        </w:rPr>
      </w:pPr>
      <w:bookmarkStart w:id="81" w:name="_Hlk36048718"/>
      <w:r>
        <w:rPr>
          <w:rFonts w:hint="eastAsia" w:ascii="宋体" w:hAnsi="宋体" w:cs="宋体"/>
          <w:b/>
          <w:bCs/>
          <w:sz w:val="24"/>
          <w:highlight w:val="none"/>
        </w:rPr>
        <w:t>与本投标有关的一切正式往来信函、传真或邮件</w:t>
      </w:r>
      <w:r>
        <w:rPr>
          <w:rFonts w:hint="eastAsia" w:ascii="宋体" w:hAnsi="宋体" w:cs="宋体"/>
          <w:b/>
          <w:bCs/>
          <w:sz w:val="24"/>
          <w:highlight w:val="none"/>
          <w:u w:val="single"/>
        </w:rPr>
        <w:t>（例如质疑回复函、中标通知书、采购合同等）请采用如下联系方式送达，我方确保能够及时、准确收悉。</w:t>
      </w:r>
    </w:p>
    <w:p w14:paraId="1B09F561">
      <w:pPr>
        <w:snapToGrid w:val="0"/>
        <w:spacing w:line="440" w:lineRule="exact"/>
        <w:ind w:firstLine="360" w:firstLineChars="150"/>
        <w:rPr>
          <w:rFonts w:ascii="宋体" w:hAnsi="宋体" w:cs="宋体"/>
          <w:sz w:val="24"/>
          <w:highlight w:val="none"/>
        </w:rPr>
      </w:pPr>
      <w:r>
        <w:rPr>
          <w:rFonts w:hint="eastAsia" w:ascii="宋体" w:hAnsi="宋体" w:cs="宋体"/>
          <w:sz w:val="24"/>
          <w:highlight w:val="none"/>
        </w:rPr>
        <w:t>邮寄详细地址</w:t>
      </w:r>
      <w:r>
        <w:rPr>
          <w:rFonts w:hint="eastAsia" w:ascii="宋体" w:hAnsi="宋体" w:cs="宋体"/>
          <w:sz w:val="24"/>
          <w:highlight w:val="none"/>
          <w:u w:val="single"/>
        </w:rPr>
        <w:t xml:space="preserve">：              </w:t>
      </w:r>
      <w:r>
        <w:rPr>
          <w:rFonts w:hint="eastAsia" w:ascii="宋体" w:hAnsi="宋体" w:cs="宋体"/>
          <w:sz w:val="24"/>
          <w:highlight w:val="none"/>
        </w:rPr>
        <w:t xml:space="preserve">  邮编：__________</w:t>
      </w:r>
    </w:p>
    <w:p w14:paraId="2250BB79">
      <w:pPr>
        <w:snapToGrid w:val="0"/>
        <w:spacing w:line="440" w:lineRule="exact"/>
        <w:ind w:firstLine="360" w:firstLineChars="150"/>
        <w:rPr>
          <w:rFonts w:ascii="宋体" w:hAnsi="宋体" w:cs="宋体"/>
          <w:sz w:val="24"/>
          <w:highlight w:val="none"/>
        </w:rPr>
      </w:pPr>
      <w:r>
        <w:rPr>
          <w:rFonts w:hint="eastAsia" w:ascii="宋体" w:hAnsi="宋体" w:cs="宋体"/>
          <w:sz w:val="24"/>
          <w:highlight w:val="none"/>
        </w:rPr>
        <w:t>收件人姓名：_______</w:t>
      </w:r>
      <w:r>
        <w:rPr>
          <w:rFonts w:hint="eastAsia" w:ascii="宋体" w:hAnsi="宋体" w:cs="宋体"/>
          <w:sz w:val="24"/>
          <w:highlight w:val="none"/>
          <w:u w:val="single"/>
        </w:rPr>
        <w:t xml:space="preserve">_   </w:t>
      </w:r>
      <w:r>
        <w:rPr>
          <w:rFonts w:hint="eastAsia" w:ascii="宋体" w:hAnsi="宋体" w:cs="宋体"/>
          <w:sz w:val="24"/>
          <w:highlight w:val="none"/>
        </w:rPr>
        <w:t>联系手机：</w:t>
      </w:r>
      <w:bookmarkStart w:id="82" w:name="_Hlk59370410"/>
      <w:r>
        <w:rPr>
          <w:rFonts w:hint="eastAsia" w:ascii="宋体" w:hAnsi="宋体" w:cs="宋体"/>
          <w:sz w:val="24"/>
          <w:highlight w:val="none"/>
        </w:rPr>
        <w:t>_______</w:t>
      </w:r>
      <w:r>
        <w:rPr>
          <w:rFonts w:hint="eastAsia" w:ascii="宋体" w:hAnsi="宋体" w:cs="宋体"/>
          <w:sz w:val="24"/>
          <w:highlight w:val="none"/>
          <w:u w:val="single"/>
        </w:rPr>
        <w:t xml:space="preserve">_       </w:t>
      </w:r>
      <w:bookmarkEnd w:id="82"/>
      <w:r>
        <w:rPr>
          <w:rFonts w:hint="eastAsia" w:ascii="宋体" w:hAnsi="宋体" w:cs="宋体"/>
          <w:sz w:val="24"/>
          <w:highlight w:val="none"/>
        </w:rPr>
        <w:t>公司电子邮箱</w:t>
      </w:r>
      <w:r>
        <w:rPr>
          <w:rFonts w:hint="eastAsia" w:ascii="宋体" w:hAnsi="宋体" w:cs="宋体"/>
          <w:b/>
          <w:bCs/>
          <w:sz w:val="24"/>
          <w:highlight w:val="none"/>
        </w:rPr>
        <w:t>：</w:t>
      </w:r>
      <w:r>
        <w:rPr>
          <w:rFonts w:hint="eastAsia" w:ascii="宋体" w:hAnsi="宋体" w:cs="宋体"/>
          <w:sz w:val="24"/>
          <w:highlight w:val="none"/>
          <w:u w:val="single"/>
        </w:rPr>
        <w:t xml:space="preserve"> _     __ </w:t>
      </w:r>
      <w:r>
        <w:rPr>
          <w:rFonts w:hint="eastAsia" w:ascii="宋体" w:hAnsi="宋体" w:cs="宋体"/>
          <w:sz w:val="24"/>
          <w:highlight w:val="none"/>
        </w:rPr>
        <w:t xml:space="preserve"> </w:t>
      </w:r>
    </w:p>
    <w:p w14:paraId="0DCF60A0">
      <w:pPr>
        <w:snapToGrid w:val="0"/>
        <w:spacing w:line="440" w:lineRule="exact"/>
        <w:ind w:firstLine="361" w:firstLineChars="150"/>
        <w:jc w:val="left"/>
        <w:rPr>
          <w:rFonts w:ascii="宋体" w:hAnsi="宋体" w:cs="宋体"/>
          <w:b/>
          <w:bCs/>
          <w:sz w:val="24"/>
          <w:highlight w:val="none"/>
        </w:rPr>
      </w:pPr>
      <w:bookmarkStart w:id="83" w:name="_Hlk59370586"/>
      <w:r>
        <w:rPr>
          <w:rFonts w:hint="eastAsia" w:ascii="宋体" w:hAnsi="宋体" w:cs="宋体"/>
          <w:b/>
          <w:bCs/>
          <w:sz w:val="24"/>
          <w:highlight w:val="none"/>
        </w:rPr>
        <w:t>为了方便评标委员会在必要时对投标人进行询标，请投标人填写以下投标文件编制人信息，以便及时、准确进行询标，投标文件编制人信息可不限于1人。</w:t>
      </w:r>
    </w:p>
    <w:p w14:paraId="5E422A14">
      <w:pPr>
        <w:snapToGrid w:val="0"/>
        <w:spacing w:line="440" w:lineRule="exact"/>
        <w:ind w:firstLine="361" w:firstLineChars="150"/>
        <w:jc w:val="left"/>
        <w:rPr>
          <w:rFonts w:ascii="宋体" w:hAnsi="宋体" w:cs="宋体"/>
          <w:b/>
          <w:bCs/>
          <w:sz w:val="24"/>
          <w:highlight w:val="none"/>
          <w:u w:val="single"/>
        </w:rPr>
      </w:pPr>
      <w:r>
        <w:rPr>
          <w:rFonts w:hint="eastAsia" w:ascii="宋体" w:hAnsi="宋体" w:cs="宋体"/>
          <w:b/>
          <w:bCs/>
          <w:sz w:val="24"/>
          <w:highlight w:val="none"/>
        </w:rPr>
        <w:t>投标文件编制人</w:t>
      </w:r>
      <w:bookmarkEnd w:id="83"/>
      <w:r>
        <w:rPr>
          <w:rFonts w:hint="eastAsia" w:ascii="宋体" w:hAnsi="宋体" w:cs="宋体"/>
          <w:b/>
          <w:bCs/>
          <w:sz w:val="24"/>
          <w:highlight w:val="none"/>
        </w:rPr>
        <w:t>姓名：</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   手机号码：</w:t>
      </w:r>
      <w:r>
        <w:rPr>
          <w:rFonts w:hint="eastAsia" w:ascii="宋体" w:hAnsi="宋体" w:cs="宋体"/>
          <w:b/>
          <w:bCs/>
          <w:sz w:val="24"/>
          <w:highlight w:val="none"/>
          <w:u w:val="single"/>
        </w:rPr>
        <w:t xml:space="preserve">                    </w:t>
      </w:r>
    </w:p>
    <w:p w14:paraId="3F5EEEB3">
      <w:pPr>
        <w:snapToGrid w:val="0"/>
        <w:spacing w:line="440" w:lineRule="exact"/>
        <w:ind w:firstLine="361" w:firstLineChars="150"/>
        <w:jc w:val="left"/>
        <w:rPr>
          <w:rFonts w:ascii="宋体" w:hAnsi="宋体" w:cs="宋体"/>
          <w:b/>
          <w:sz w:val="24"/>
          <w:highlight w:val="none"/>
          <w:u w:val="single"/>
        </w:rPr>
      </w:pPr>
      <w:r>
        <w:rPr>
          <w:rFonts w:hint="eastAsia" w:ascii="宋体" w:hAnsi="宋体" w:cs="宋体"/>
          <w:b/>
          <w:sz w:val="24"/>
          <w:highlight w:val="none"/>
        </w:rPr>
        <w:t>法定代表人（签字或盖章）：</w:t>
      </w:r>
    </w:p>
    <w:p w14:paraId="1A92B8DC">
      <w:pPr>
        <w:snapToGrid w:val="0"/>
        <w:spacing w:line="440" w:lineRule="exact"/>
        <w:ind w:firstLine="361" w:firstLineChars="150"/>
        <w:jc w:val="left"/>
        <w:rPr>
          <w:rFonts w:ascii="宋体" w:hAnsi="宋体" w:cs="宋体"/>
          <w:b/>
          <w:bCs/>
          <w:sz w:val="24"/>
          <w:highlight w:val="none"/>
        </w:rPr>
      </w:pPr>
      <w:r>
        <w:rPr>
          <w:rFonts w:hint="eastAsia" w:ascii="宋体" w:hAnsi="宋体" w:cs="宋体"/>
          <w:b/>
          <w:sz w:val="24"/>
          <w:highlight w:val="none"/>
        </w:rPr>
        <w:t>被授权人（签字）:</w:t>
      </w:r>
      <w:r>
        <w:rPr>
          <w:rFonts w:hint="eastAsia" w:ascii="宋体" w:hAnsi="宋体" w:cs="宋体"/>
          <w:b/>
          <w:sz w:val="24"/>
          <w:highlight w:val="none"/>
          <w:u w:val="single"/>
        </w:rPr>
        <w:t xml:space="preserve">           </w:t>
      </w:r>
      <w:r>
        <w:rPr>
          <w:rFonts w:hint="eastAsia" w:ascii="宋体" w:hAnsi="宋体" w:cs="宋体"/>
          <w:sz w:val="24"/>
          <w:highlight w:val="none"/>
        </w:rPr>
        <w:t xml:space="preserve">  </w:t>
      </w:r>
      <w:r>
        <w:rPr>
          <w:rFonts w:hint="eastAsia" w:ascii="宋体" w:hAnsi="宋体" w:cs="宋体"/>
          <w:b/>
          <w:bCs/>
          <w:sz w:val="24"/>
          <w:highlight w:val="none"/>
        </w:rPr>
        <w:t>被授权人手机号码：</w:t>
      </w:r>
      <w:r>
        <w:rPr>
          <w:rFonts w:hint="eastAsia" w:ascii="宋体" w:hAnsi="宋体" w:cs="宋体"/>
          <w:b/>
          <w:sz w:val="24"/>
          <w:highlight w:val="none"/>
          <w:u w:val="single"/>
        </w:rPr>
        <w:t xml:space="preserve">                 </w:t>
      </w:r>
    </w:p>
    <w:bookmarkEnd w:id="81"/>
    <w:p w14:paraId="1133C916">
      <w:pPr>
        <w:snapToGrid w:val="0"/>
        <w:spacing w:line="440" w:lineRule="exact"/>
        <w:jc w:val="left"/>
        <w:rPr>
          <w:rFonts w:ascii="宋体" w:hAnsi="宋体" w:cs="宋体"/>
          <w:sz w:val="24"/>
          <w:highlight w:val="none"/>
        </w:rPr>
      </w:pPr>
    </w:p>
    <w:p w14:paraId="3C89B977">
      <w:pPr>
        <w:snapToGrid w:val="0"/>
        <w:spacing w:line="440" w:lineRule="exact"/>
        <w:ind w:firstLine="482" w:firstLineChars="200"/>
        <w:jc w:val="left"/>
        <w:rPr>
          <w:rFonts w:ascii="宋体" w:hAnsi="宋体" w:cs="宋体"/>
          <w:sz w:val="24"/>
          <w:highlight w:val="none"/>
        </w:rPr>
      </w:pPr>
      <w:r>
        <w:rPr>
          <w:rFonts w:hint="eastAsia" w:ascii="宋体" w:hAnsi="宋体" w:cs="宋体"/>
          <w:b/>
          <w:bCs/>
          <w:sz w:val="24"/>
          <w:highlight w:val="none"/>
        </w:rPr>
        <w:t xml:space="preserve">投标人:(公章) </w:t>
      </w:r>
      <w:r>
        <w:rPr>
          <w:rFonts w:hint="eastAsia" w:ascii="宋体" w:hAnsi="宋体" w:cs="宋体"/>
          <w:sz w:val="24"/>
          <w:highlight w:val="none"/>
        </w:rPr>
        <w:t xml:space="preserve">                           </w:t>
      </w:r>
      <w:r>
        <w:rPr>
          <w:rFonts w:hint="eastAsia" w:ascii="宋体" w:hAnsi="宋体" w:cs="宋体"/>
          <w:b/>
          <w:sz w:val="24"/>
          <w:highlight w:val="none"/>
        </w:rPr>
        <w:t>日期:_____年___月___日</w:t>
      </w:r>
    </w:p>
    <w:p w14:paraId="785EFD62">
      <w:pPr>
        <w:snapToGrid w:val="0"/>
        <w:spacing w:before="120" w:beforeLines="50" w:after="50" w:line="440" w:lineRule="exact"/>
        <w:rPr>
          <w:rFonts w:ascii="宋体" w:hAnsi="宋体" w:cs="宋体"/>
          <w:sz w:val="24"/>
          <w:highlight w:val="none"/>
        </w:rPr>
      </w:pPr>
      <w:r>
        <w:rPr>
          <w:rFonts w:hint="eastAsia" w:ascii="宋体" w:hAnsi="宋体" w:cs="宋体"/>
          <w:sz w:val="24"/>
          <w:highlight w:val="none"/>
        </w:rPr>
        <w:br w:type="page"/>
      </w:r>
      <w:r>
        <w:rPr>
          <w:rFonts w:hint="eastAsia" w:ascii="宋体" w:hAnsi="宋体" w:cs="宋体"/>
          <w:sz w:val="24"/>
          <w:highlight w:val="none"/>
          <w:lang w:val="en-US" w:eastAsia="zh-CN"/>
        </w:rPr>
        <w:t>6</w:t>
      </w:r>
      <w:r>
        <w:rPr>
          <w:rFonts w:hint="eastAsia" w:ascii="宋体" w:hAnsi="宋体" w:cs="宋体"/>
          <w:sz w:val="24"/>
          <w:highlight w:val="none"/>
        </w:rPr>
        <w:t>.法定代表人授权委托书格式：</w:t>
      </w:r>
    </w:p>
    <w:p w14:paraId="17109028">
      <w:pPr>
        <w:snapToGrid w:val="0"/>
        <w:spacing w:before="120" w:beforeLines="50" w:after="50" w:line="440" w:lineRule="exact"/>
        <w:jc w:val="center"/>
        <w:rPr>
          <w:rFonts w:ascii="宋体" w:hAnsi="宋体" w:cs="宋体"/>
          <w:b/>
          <w:sz w:val="24"/>
          <w:highlight w:val="none"/>
        </w:rPr>
      </w:pPr>
      <w:r>
        <w:rPr>
          <w:rFonts w:hint="eastAsia" w:ascii="宋体" w:hAnsi="宋体" w:cs="宋体"/>
          <w:b/>
          <w:sz w:val="24"/>
          <w:highlight w:val="none"/>
        </w:rPr>
        <w:t>法定代表人授权委托书</w:t>
      </w:r>
    </w:p>
    <w:p w14:paraId="7C42670E">
      <w:pPr>
        <w:snapToGrid w:val="0"/>
        <w:spacing w:before="120" w:beforeLines="50" w:after="50" w:line="440" w:lineRule="exact"/>
        <w:rPr>
          <w:rFonts w:ascii="宋体" w:hAnsi="宋体" w:cs="宋体"/>
          <w:b/>
          <w:bCs/>
          <w:sz w:val="24"/>
          <w:highlight w:val="none"/>
        </w:rPr>
      </w:pPr>
      <w:r>
        <w:rPr>
          <w:rFonts w:hint="eastAsia" w:ascii="宋体" w:hAnsi="宋体" w:cs="宋体"/>
          <w:bCs/>
          <w:sz w:val="24"/>
          <w:highlight w:val="none"/>
        </w:rPr>
        <w:t>致：</w:t>
      </w:r>
      <w:r>
        <w:rPr>
          <w:rFonts w:hint="eastAsia" w:ascii="宋体" w:hAnsi="宋体" w:cs="宋体"/>
          <w:sz w:val="24"/>
          <w:highlight w:val="none"/>
        </w:rPr>
        <w:t>______</w:t>
      </w:r>
      <w:r>
        <w:rPr>
          <w:rFonts w:hint="eastAsia" w:ascii="宋体" w:hAnsi="宋体" w:cs="宋体"/>
          <w:sz w:val="24"/>
          <w:highlight w:val="none"/>
          <w:u w:val="single"/>
        </w:rPr>
        <w:t>_     _</w:t>
      </w:r>
      <w:r>
        <w:rPr>
          <w:rFonts w:hint="eastAsia" w:ascii="宋体" w:hAnsi="宋体" w:cs="宋体"/>
          <w:sz w:val="24"/>
          <w:highlight w:val="none"/>
        </w:rPr>
        <w:t>_（招标人名称）：</w:t>
      </w:r>
    </w:p>
    <w:p w14:paraId="6FB700DE">
      <w:pPr>
        <w:snapToGrid w:val="0"/>
        <w:spacing w:before="120" w:beforeLines="50" w:after="50" w:line="440" w:lineRule="exact"/>
        <w:ind w:firstLine="480" w:firstLineChars="200"/>
        <w:rPr>
          <w:rFonts w:ascii="宋体" w:hAnsi="宋体" w:cs="宋体"/>
          <w:sz w:val="24"/>
          <w:highlight w:val="none"/>
        </w:rPr>
      </w:pPr>
      <w:r>
        <w:rPr>
          <w:rFonts w:hint="eastAsia" w:ascii="宋体" w:hAnsi="宋体" w:cs="宋体"/>
          <w:sz w:val="24"/>
          <w:highlight w:val="none"/>
        </w:rPr>
        <w:t>我</w:t>
      </w:r>
      <w:bookmarkStart w:id="84" w:name="_Hlk12177807"/>
      <w:r>
        <w:rPr>
          <w:rFonts w:hint="eastAsia" w:ascii="宋体" w:hAnsi="宋体" w:cs="宋体"/>
          <w:sz w:val="24"/>
          <w:highlight w:val="none"/>
        </w:rPr>
        <w:t>______</w:t>
      </w:r>
      <w:r>
        <w:rPr>
          <w:rFonts w:hint="eastAsia" w:ascii="宋体" w:hAnsi="宋体" w:cs="宋体"/>
          <w:sz w:val="24"/>
          <w:highlight w:val="none"/>
          <w:u w:val="single"/>
        </w:rPr>
        <w:t>_</w:t>
      </w:r>
      <w:r>
        <w:rPr>
          <w:rFonts w:hint="eastAsia" w:ascii="宋体" w:hAnsi="宋体" w:cs="宋体"/>
          <w:sz w:val="24"/>
          <w:highlight w:val="none"/>
        </w:rPr>
        <w:t>_</w:t>
      </w:r>
      <w:bookmarkEnd w:id="84"/>
      <w:r>
        <w:rPr>
          <w:rFonts w:hint="eastAsia" w:ascii="宋体" w:hAnsi="宋体" w:cs="宋体"/>
          <w:sz w:val="24"/>
          <w:highlight w:val="none"/>
        </w:rPr>
        <w:t>（姓名）系______</w:t>
      </w:r>
      <w:r>
        <w:rPr>
          <w:rFonts w:hint="eastAsia" w:ascii="宋体" w:hAnsi="宋体" w:cs="宋体"/>
          <w:sz w:val="24"/>
          <w:highlight w:val="none"/>
          <w:u w:val="single"/>
        </w:rPr>
        <w:t>_     _</w:t>
      </w:r>
      <w:r>
        <w:rPr>
          <w:rFonts w:hint="eastAsia" w:ascii="宋体" w:hAnsi="宋体" w:cs="宋体"/>
          <w:sz w:val="24"/>
          <w:highlight w:val="none"/>
        </w:rPr>
        <w:t xml:space="preserve">_（投标单位名称）的法定代表人，现授权委托本单位职工 </w:t>
      </w:r>
      <w:bookmarkStart w:id="85" w:name="_Hlk12177819"/>
      <w:r>
        <w:rPr>
          <w:rFonts w:hint="eastAsia" w:ascii="宋体" w:hAnsi="宋体" w:cs="宋体"/>
          <w:sz w:val="24"/>
          <w:highlight w:val="none"/>
        </w:rPr>
        <w:t>______</w:t>
      </w:r>
      <w:r>
        <w:rPr>
          <w:rFonts w:hint="eastAsia" w:ascii="宋体" w:hAnsi="宋体" w:cs="宋体"/>
          <w:sz w:val="24"/>
          <w:highlight w:val="none"/>
          <w:u w:val="single"/>
        </w:rPr>
        <w:t xml:space="preserve">_ </w:t>
      </w:r>
      <w:bookmarkEnd w:id="85"/>
      <w:r>
        <w:rPr>
          <w:rFonts w:hint="eastAsia" w:ascii="宋体" w:hAnsi="宋体" w:cs="宋体"/>
          <w:sz w:val="24"/>
          <w:highlight w:val="none"/>
        </w:rPr>
        <w:t>（姓名）以我方的名义参加______</w:t>
      </w:r>
      <w:r>
        <w:rPr>
          <w:rFonts w:hint="eastAsia" w:ascii="宋体" w:hAnsi="宋体" w:cs="宋体"/>
          <w:sz w:val="24"/>
          <w:highlight w:val="none"/>
          <w:u w:val="single"/>
        </w:rPr>
        <w:t xml:space="preserve">_          </w:t>
      </w:r>
      <w:r>
        <w:rPr>
          <w:rFonts w:hint="eastAsia" w:ascii="宋体" w:hAnsi="宋体" w:cs="宋体"/>
          <w:sz w:val="24"/>
          <w:highlight w:val="none"/>
        </w:rPr>
        <w:t>项目的投标活动，并代表我方全权办理针对上述项目的投标、开标、评标、签约等具体事务和签署相关文件。</w:t>
      </w:r>
    </w:p>
    <w:p w14:paraId="1CE95BF4">
      <w:pPr>
        <w:snapToGrid w:val="0"/>
        <w:spacing w:before="120" w:beforeLines="50" w:after="50" w:line="440" w:lineRule="exact"/>
        <w:rPr>
          <w:rFonts w:ascii="宋体" w:hAnsi="宋体" w:cs="宋体"/>
          <w:sz w:val="24"/>
          <w:highlight w:val="none"/>
        </w:rPr>
      </w:pPr>
      <w:r>
        <w:rPr>
          <w:rFonts w:hint="eastAsia" w:ascii="宋体" w:hAnsi="宋体" w:cs="宋体"/>
          <w:sz w:val="24"/>
          <w:highlight w:val="none"/>
        </w:rPr>
        <w:t xml:space="preserve">    我方对被授权人的签名事项负全部责任。</w:t>
      </w:r>
    </w:p>
    <w:p w14:paraId="74513CC8">
      <w:pPr>
        <w:snapToGrid w:val="0"/>
        <w:spacing w:before="120" w:beforeLines="50" w:after="50" w:line="440" w:lineRule="exact"/>
        <w:ind w:firstLine="480"/>
        <w:rPr>
          <w:rFonts w:ascii="宋体" w:hAnsi="宋体" w:cs="宋体"/>
          <w:sz w:val="24"/>
          <w:highlight w:val="none"/>
        </w:rPr>
      </w:pPr>
      <w:r>
        <w:rPr>
          <w:rFonts w:hint="eastAsia" w:ascii="宋体" w:hAnsi="宋体" w:cs="宋体"/>
          <w:sz w:val="24"/>
          <w:highlight w:val="none"/>
          <w:u w:val="single"/>
        </w:rPr>
        <w:t>在撤销授权的书面通知以前，本授权书一直有效。</w:t>
      </w:r>
      <w:r>
        <w:rPr>
          <w:rFonts w:hint="eastAsia" w:ascii="宋体" w:hAnsi="宋体" w:cs="宋体"/>
          <w:sz w:val="24"/>
          <w:highlight w:val="none"/>
        </w:rPr>
        <w:t>被授权人在授权书有效期内签署的所有文件不因授权的撤销而失效。</w:t>
      </w:r>
    </w:p>
    <w:p w14:paraId="459EBCD0">
      <w:pPr>
        <w:snapToGrid w:val="0"/>
        <w:spacing w:before="120" w:beforeLines="50" w:after="50" w:line="440" w:lineRule="exact"/>
        <w:ind w:firstLine="480"/>
        <w:rPr>
          <w:rFonts w:ascii="宋体" w:hAnsi="宋体" w:cs="宋体"/>
          <w:sz w:val="24"/>
          <w:highlight w:val="none"/>
        </w:rPr>
      </w:pPr>
      <w:r>
        <w:rPr>
          <w:rFonts w:hint="eastAsia" w:ascii="宋体" w:hAnsi="宋体" w:cs="宋体"/>
          <w:sz w:val="24"/>
          <w:highlight w:val="none"/>
        </w:rPr>
        <w:t>被授权人无转委托权，特此委托。</w:t>
      </w:r>
    </w:p>
    <w:p w14:paraId="7742CCFC">
      <w:pPr>
        <w:snapToGrid w:val="0"/>
        <w:spacing w:before="120" w:beforeLines="50" w:after="50" w:line="440" w:lineRule="exact"/>
        <w:rPr>
          <w:rFonts w:ascii="宋体" w:hAnsi="宋体" w:cs="宋体"/>
          <w:sz w:val="24"/>
          <w:highlight w:val="none"/>
        </w:rPr>
      </w:pPr>
      <w:r>
        <w:rPr>
          <w:rFonts w:hint="eastAsia" w:ascii="宋体" w:hAnsi="宋体" w:cs="宋体"/>
          <w:b/>
          <w:bCs/>
          <w:sz w:val="24"/>
          <w:highlight w:val="none"/>
          <w:u w:val="single"/>
        </w:rPr>
        <w:t>法定代表人签名或盖章：</w:t>
      </w:r>
      <w:r>
        <w:rPr>
          <w:rFonts w:hint="eastAsia" w:ascii="宋体" w:hAnsi="宋体" w:cs="宋体"/>
          <w:b/>
          <w:bCs/>
          <w:sz w:val="24"/>
          <w:highlight w:val="none"/>
        </w:rPr>
        <w:t xml:space="preserve">             </w:t>
      </w:r>
      <w:r>
        <w:rPr>
          <w:rFonts w:hint="eastAsia" w:ascii="宋体" w:hAnsi="宋体" w:cs="宋体"/>
          <w:b/>
          <w:bCs/>
          <w:sz w:val="24"/>
          <w:highlight w:val="none"/>
          <w:u w:val="single"/>
        </w:rPr>
        <w:t xml:space="preserve">被授权人签字： </w:t>
      </w:r>
      <w:r>
        <w:rPr>
          <w:rFonts w:hint="eastAsia" w:ascii="宋体" w:hAnsi="宋体" w:cs="宋体"/>
          <w:sz w:val="24"/>
          <w:highlight w:val="none"/>
        </w:rPr>
        <w:t xml:space="preserve">               </w:t>
      </w:r>
    </w:p>
    <w:p w14:paraId="5795CBED">
      <w:pPr>
        <w:snapToGrid w:val="0"/>
        <w:spacing w:before="120" w:beforeLines="50" w:after="50" w:line="440" w:lineRule="exact"/>
        <w:rPr>
          <w:rFonts w:ascii="宋体" w:hAnsi="宋体" w:cs="宋体"/>
          <w:sz w:val="24"/>
          <w:highlight w:val="none"/>
          <w:u w:val="single"/>
        </w:rPr>
      </w:pPr>
    </w:p>
    <w:p w14:paraId="3681EAFE">
      <w:pPr>
        <w:snapToGrid w:val="0"/>
        <w:spacing w:before="120" w:beforeLines="50" w:after="50" w:line="440" w:lineRule="exact"/>
        <w:rPr>
          <w:rFonts w:ascii="宋体" w:hAnsi="宋体" w:cs="宋体"/>
          <w:b/>
          <w:bCs/>
          <w:sz w:val="24"/>
          <w:highlight w:val="none"/>
        </w:rPr>
      </w:pPr>
      <w:r>
        <w:rPr>
          <w:rFonts w:hint="eastAsia" w:ascii="宋体" w:hAnsi="宋体" w:cs="宋体"/>
          <w:b/>
          <w:bCs/>
          <w:sz w:val="24"/>
          <w:highlight w:val="none"/>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0F0F3AC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0A15D48D">
            <w:pPr>
              <w:spacing w:line="440" w:lineRule="exact"/>
              <w:rPr>
                <w:rFonts w:ascii="宋体" w:hAnsi="宋体" w:cs="宋体"/>
                <w:sz w:val="24"/>
                <w:highlight w:val="none"/>
              </w:rPr>
            </w:pPr>
            <w:r>
              <w:rPr>
                <w:rFonts w:hint="eastAsia" w:ascii="宋体" w:hAnsi="宋体" w:cs="宋体"/>
                <w:sz w:val="24"/>
                <w:highlight w:val="none"/>
              </w:rPr>
              <w:t>身份证复印件粘贴处，正反两面均复印，复印件清晰可认。</w:t>
            </w:r>
          </w:p>
        </w:tc>
        <w:tc>
          <w:tcPr>
            <w:tcW w:w="4961" w:type="dxa"/>
          </w:tcPr>
          <w:p w14:paraId="79DA08ED">
            <w:pPr>
              <w:spacing w:line="440" w:lineRule="exact"/>
              <w:rPr>
                <w:rFonts w:ascii="宋体" w:hAnsi="宋体" w:cs="宋体"/>
                <w:sz w:val="24"/>
                <w:highlight w:val="none"/>
              </w:rPr>
            </w:pPr>
            <w:r>
              <w:rPr>
                <w:rFonts w:hint="eastAsia" w:ascii="宋体" w:hAnsi="宋体" w:cs="宋体"/>
                <w:sz w:val="24"/>
                <w:highlight w:val="none"/>
              </w:rPr>
              <w:t>身份证复印件粘贴处，正反两面均复印，复印件清晰可认。</w:t>
            </w:r>
          </w:p>
        </w:tc>
      </w:tr>
      <w:tr w14:paraId="5E8DD8E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8832A7E">
            <w:pPr>
              <w:spacing w:line="440" w:lineRule="exact"/>
              <w:rPr>
                <w:rFonts w:ascii="宋体" w:hAnsi="宋体" w:cs="宋体"/>
                <w:sz w:val="24"/>
                <w:highlight w:val="none"/>
              </w:rPr>
            </w:pPr>
          </w:p>
        </w:tc>
        <w:tc>
          <w:tcPr>
            <w:tcW w:w="4961" w:type="dxa"/>
          </w:tcPr>
          <w:p w14:paraId="699866AC">
            <w:pPr>
              <w:spacing w:line="440" w:lineRule="exact"/>
              <w:rPr>
                <w:rFonts w:ascii="宋体" w:hAnsi="宋体" w:cs="宋体"/>
                <w:sz w:val="24"/>
                <w:highlight w:val="none"/>
              </w:rPr>
            </w:pPr>
          </w:p>
        </w:tc>
      </w:tr>
    </w:tbl>
    <w:p w14:paraId="05760EDD">
      <w:pPr>
        <w:snapToGrid w:val="0"/>
        <w:spacing w:before="120" w:beforeLines="50" w:after="50" w:line="440" w:lineRule="exact"/>
        <w:rPr>
          <w:rFonts w:ascii="宋体" w:hAnsi="宋体" w:cs="宋体"/>
          <w:b/>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投标人:(公章)</w:t>
      </w:r>
    </w:p>
    <w:p w14:paraId="069E5F39">
      <w:pPr>
        <w:snapToGrid w:val="0"/>
        <w:spacing w:before="120" w:beforeLines="50" w:after="50" w:line="440" w:lineRule="exact"/>
        <w:jc w:val="center"/>
        <w:rPr>
          <w:rFonts w:ascii="宋体" w:hAnsi="宋体" w:cs="宋体"/>
          <w:b/>
          <w:sz w:val="24"/>
          <w:highlight w:val="none"/>
        </w:rPr>
      </w:pPr>
      <w:r>
        <w:rPr>
          <w:rFonts w:hint="eastAsia" w:ascii="宋体" w:hAnsi="宋体" w:cs="宋体"/>
          <w:b/>
          <w:sz w:val="24"/>
          <w:highlight w:val="none"/>
        </w:rPr>
        <w:t xml:space="preserve">                                        日期：  _____年___月___日</w:t>
      </w:r>
    </w:p>
    <w:p w14:paraId="7EBBF05F">
      <w:pPr>
        <w:snapToGrid w:val="0"/>
        <w:spacing w:before="120" w:beforeLines="50" w:after="50" w:line="440" w:lineRule="exact"/>
        <w:rPr>
          <w:rFonts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.采购货物清单表格式：</w:t>
      </w:r>
    </w:p>
    <w:p w14:paraId="6AA1A665">
      <w:pPr>
        <w:snapToGrid w:val="0"/>
        <w:spacing w:before="120" w:beforeLines="50" w:after="50" w:line="440" w:lineRule="exact"/>
        <w:jc w:val="center"/>
        <w:rPr>
          <w:rFonts w:ascii="宋体" w:hAnsi="宋体" w:cs="宋体"/>
          <w:b/>
          <w:sz w:val="24"/>
          <w:highlight w:val="none"/>
        </w:rPr>
      </w:pPr>
      <w:r>
        <w:rPr>
          <w:rFonts w:hint="eastAsia" w:ascii="宋体" w:hAnsi="宋体" w:cs="宋体"/>
          <w:b/>
          <w:sz w:val="24"/>
          <w:highlight w:val="none"/>
        </w:rPr>
        <w:t>采购货物清单表</w:t>
      </w:r>
    </w:p>
    <w:p w14:paraId="1C7C43D0">
      <w:pPr>
        <w:snapToGrid w:val="0"/>
        <w:spacing w:before="120" w:beforeLines="50" w:after="50" w:line="440" w:lineRule="exact"/>
        <w:rPr>
          <w:rFonts w:ascii="宋体" w:hAnsi="宋体" w:cs="宋体"/>
          <w:bCs/>
          <w:sz w:val="24"/>
          <w:highlight w:val="none"/>
        </w:rPr>
      </w:pPr>
      <w:r>
        <w:rPr>
          <w:rFonts w:hint="eastAsia" w:ascii="宋体" w:hAnsi="宋体" w:cs="宋体"/>
          <w:bCs/>
          <w:sz w:val="24"/>
          <w:highlight w:val="none"/>
        </w:rPr>
        <w:t>项目名称：</w:t>
      </w:r>
    </w:p>
    <w:p w14:paraId="5CC24A8E">
      <w:pPr>
        <w:snapToGrid w:val="0"/>
        <w:spacing w:before="120" w:beforeLines="50" w:after="50" w:line="440" w:lineRule="exact"/>
        <w:rPr>
          <w:rFonts w:ascii="宋体" w:hAnsi="宋体" w:cs="宋体"/>
          <w:bCs/>
          <w:sz w:val="24"/>
          <w:highlight w:val="none"/>
        </w:rPr>
      </w:pPr>
      <w:r>
        <w:rPr>
          <w:rFonts w:hint="eastAsia" w:ascii="宋体" w:hAnsi="宋体" w:cs="宋体"/>
          <w:bCs/>
          <w:sz w:val="24"/>
          <w:highlight w:val="none"/>
        </w:rPr>
        <w:t>项目编号：</w:t>
      </w:r>
    </w:p>
    <w:tbl>
      <w:tblPr>
        <w:tblStyle w:val="52"/>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71CEEFE9">
        <w:tblPrEx>
          <w:tblCellMar>
            <w:top w:w="0" w:type="dxa"/>
            <w:left w:w="108" w:type="dxa"/>
            <w:bottom w:w="0" w:type="dxa"/>
            <w:right w:w="108" w:type="dxa"/>
          </w:tblCellMar>
        </w:tblPrEx>
        <w:trPr>
          <w:trHeight w:val="440"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4029D7">
            <w:pPr>
              <w:widowControl/>
              <w:spacing w:line="440" w:lineRule="exact"/>
              <w:jc w:val="center"/>
              <w:rPr>
                <w:rFonts w:ascii="宋体" w:hAnsi="宋体" w:cs="宋体"/>
                <w:b/>
                <w:kern w:val="0"/>
                <w:sz w:val="24"/>
                <w:highlight w:val="none"/>
              </w:rPr>
            </w:pPr>
            <w:r>
              <w:rPr>
                <w:rFonts w:hint="eastAsia" w:ascii="宋体" w:hAnsi="宋体" w:cs="宋体"/>
                <w:b/>
                <w:kern w:val="0"/>
                <w:sz w:val="24"/>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6BFCA2">
            <w:pPr>
              <w:widowControl/>
              <w:spacing w:line="440" w:lineRule="exact"/>
              <w:jc w:val="center"/>
              <w:rPr>
                <w:rFonts w:ascii="宋体" w:hAnsi="宋体" w:cs="宋体"/>
                <w:b/>
                <w:kern w:val="0"/>
                <w:sz w:val="24"/>
                <w:highlight w:val="none"/>
              </w:rPr>
            </w:pPr>
            <w:r>
              <w:rPr>
                <w:rFonts w:hint="eastAsia" w:ascii="宋体" w:hAnsi="宋体" w:cs="宋体"/>
                <w:b/>
                <w:kern w:val="0"/>
                <w:sz w:val="24"/>
                <w:highlight w:val="none"/>
              </w:rPr>
              <w:t>货物名称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F3A464">
            <w:pPr>
              <w:widowControl/>
              <w:spacing w:line="440" w:lineRule="exact"/>
              <w:jc w:val="center"/>
              <w:rPr>
                <w:rFonts w:ascii="宋体" w:hAnsi="宋体" w:cs="宋体"/>
                <w:b/>
                <w:kern w:val="0"/>
                <w:sz w:val="24"/>
                <w:highlight w:val="none"/>
              </w:rPr>
            </w:pPr>
            <w:r>
              <w:rPr>
                <w:rFonts w:hint="eastAsia" w:ascii="宋体" w:hAnsi="宋体" w:cs="宋体"/>
                <w:b/>
                <w:kern w:val="0"/>
                <w:sz w:val="24"/>
                <w:highlight w:val="none"/>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473C05">
            <w:pPr>
              <w:widowControl/>
              <w:spacing w:line="440" w:lineRule="exact"/>
              <w:jc w:val="center"/>
              <w:rPr>
                <w:rFonts w:ascii="宋体" w:hAnsi="宋体" w:cs="宋体"/>
                <w:b/>
                <w:kern w:val="0"/>
                <w:sz w:val="24"/>
                <w:highlight w:val="none"/>
              </w:rPr>
            </w:pPr>
            <w:r>
              <w:rPr>
                <w:rFonts w:hint="eastAsia" w:ascii="宋体" w:hAnsi="宋体" w:cs="宋体"/>
                <w:b/>
                <w:kern w:val="0"/>
                <w:sz w:val="24"/>
                <w:highlight w:val="none"/>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0FAC3383">
            <w:pPr>
              <w:widowControl/>
              <w:spacing w:line="440" w:lineRule="exact"/>
              <w:jc w:val="center"/>
              <w:rPr>
                <w:rFonts w:ascii="宋体" w:hAnsi="宋体" w:cs="宋体"/>
                <w:b/>
                <w:kern w:val="0"/>
                <w:sz w:val="24"/>
                <w:highlight w:val="none"/>
              </w:rPr>
            </w:pPr>
            <w:r>
              <w:rPr>
                <w:rFonts w:hint="eastAsia" w:ascii="宋体" w:hAnsi="宋体" w:cs="宋体"/>
                <w:b/>
                <w:kern w:val="0"/>
                <w:sz w:val="24"/>
                <w:highlight w:val="none"/>
              </w:rPr>
              <w:t>备注</w:t>
            </w:r>
          </w:p>
        </w:tc>
      </w:tr>
      <w:tr w14:paraId="04FCE2EB">
        <w:tblPrEx>
          <w:tblCellMar>
            <w:top w:w="0" w:type="dxa"/>
            <w:left w:w="108" w:type="dxa"/>
            <w:bottom w:w="0" w:type="dxa"/>
            <w:right w:w="108" w:type="dxa"/>
          </w:tblCellMar>
        </w:tblPrEx>
        <w:trPr>
          <w:trHeight w:val="440"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14:paraId="24F36DA4">
            <w:pPr>
              <w:widowControl/>
              <w:spacing w:line="440" w:lineRule="exact"/>
              <w:jc w:val="left"/>
              <w:rPr>
                <w:rFonts w:ascii="宋体" w:hAnsi="宋体" w:cs="宋体"/>
                <w:kern w:val="0"/>
                <w:sz w:val="24"/>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14:paraId="422E8042">
            <w:pPr>
              <w:widowControl/>
              <w:spacing w:line="440" w:lineRule="exact"/>
              <w:jc w:val="left"/>
              <w:rPr>
                <w:rFonts w:ascii="宋体" w:hAnsi="宋体" w:cs="宋体"/>
                <w:kern w:val="0"/>
                <w:sz w:val="24"/>
                <w:highlight w:val="none"/>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01B6CADF">
            <w:pPr>
              <w:widowControl/>
              <w:spacing w:line="440" w:lineRule="exact"/>
              <w:jc w:val="left"/>
              <w:rPr>
                <w:rFonts w:ascii="宋体" w:hAnsi="宋体" w:cs="宋体"/>
                <w:kern w:val="0"/>
                <w:sz w:val="24"/>
                <w:highlight w:val="none"/>
              </w:rPr>
            </w:pPr>
          </w:p>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14:paraId="015B3C28">
            <w:pPr>
              <w:widowControl/>
              <w:spacing w:line="440" w:lineRule="exact"/>
              <w:jc w:val="left"/>
              <w:rPr>
                <w:rFonts w:ascii="宋体" w:hAnsi="宋体" w:cs="宋体"/>
                <w:kern w:val="0"/>
                <w:sz w:val="24"/>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14:paraId="0E415C29">
            <w:pPr>
              <w:widowControl/>
              <w:spacing w:line="440" w:lineRule="exact"/>
              <w:jc w:val="left"/>
              <w:rPr>
                <w:rFonts w:ascii="宋体" w:hAnsi="宋体" w:cs="宋体"/>
                <w:kern w:val="0"/>
                <w:sz w:val="24"/>
                <w:highlight w:val="none"/>
              </w:rPr>
            </w:pPr>
          </w:p>
        </w:tc>
      </w:tr>
      <w:tr w14:paraId="623AFBB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57DA65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122" w:type="dxa"/>
            <w:tcBorders>
              <w:top w:val="nil"/>
              <w:left w:val="nil"/>
              <w:bottom w:val="single" w:color="000000" w:sz="4" w:space="0"/>
              <w:right w:val="single" w:color="000000" w:sz="4" w:space="0"/>
            </w:tcBorders>
            <w:shd w:val="clear" w:color="auto" w:fill="FFFFFF"/>
            <w:vAlign w:val="center"/>
          </w:tcPr>
          <w:p w14:paraId="73C4033E">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1A41F4EC">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4B7C5115">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E17B35D">
            <w:pPr>
              <w:widowControl/>
              <w:spacing w:line="440" w:lineRule="exact"/>
              <w:jc w:val="center"/>
              <w:rPr>
                <w:rFonts w:ascii="宋体" w:hAnsi="宋体" w:cs="宋体"/>
                <w:kern w:val="0"/>
                <w:sz w:val="24"/>
                <w:highlight w:val="none"/>
              </w:rPr>
            </w:pPr>
          </w:p>
        </w:tc>
      </w:tr>
      <w:tr w14:paraId="04EB71E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E5AB2E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w:t>
            </w:r>
          </w:p>
        </w:tc>
        <w:tc>
          <w:tcPr>
            <w:tcW w:w="2122" w:type="dxa"/>
            <w:tcBorders>
              <w:top w:val="nil"/>
              <w:left w:val="nil"/>
              <w:bottom w:val="single" w:color="000000" w:sz="4" w:space="0"/>
              <w:right w:val="single" w:color="000000" w:sz="4" w:space="0"/>
            </w:tcBorders>
            <w:shd w:val="clear" w:color="auto" w:fill="FFFFFF"/>
            <w:vAlign w:val="center"/>
          </w:tcPr>
          <w:p w14:paraId="52E3A07A">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3301D8CC">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27F36087">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6E7B600">
            <w:pPr>
              <w:widowControl/>
              <w:spacing w:line="440" w:lineRule="exact"/>
              <w:jc w:val="center"/>
              <w:rPr>
                <w:rFonts w:ascii="宋体" w:hAnsi="宋体" w:cs="宋体"/>
                <w:kern w:val="0"/>
                <w:sz w:val="24"/>
                <w:highlight w:val="none"/>
              </w:rPr>
            </w:pPr>
          </w:p>
        </w:tc>
      </w:tr>
      <w:tr w14:paraId="2AAAB71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F4DAA0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3</w:t>
            </w:r>
          </w:p>
        </w:tc>
        <w:tc>
          <w:tcPr>
            <w:tcW w:w="2122" w:type="dxa"/>
            <w:tcBorders>
              <w:top w:val="nil"/>
              <w:left w:val="nil"/>
              <w:bottom w:val="single" w:color="000000" w:sz="4" w:space="0"/>
              <w:right w:val="single" w:color="000000" w:sz="4" w:space="0"/>
            </w:tcBorders>
            <w:shd w:val="clear" w:color="auto" w:fill="FFFFFF"/>
            <w:vAlign w:val="center"/>
          </w:tcPr>
          <w:p w14:paraId="76129CFC">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210B3FCD">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505070EE">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BEB8346">
            <w:pPr>
              <w:widowControl/>
              <w:spacing w:line="440" w:lineRule="exact"/>
              <w:jc w:val="center"/>
              <w:rPr>
                <w:rFonts w:ascii="宋体" w:hAnsi="宋体" w:cs="宋体"/>
                <w:kern w:val="0"/>
                <w:sz w:val="24"/>
                <w:highlight w:val="none"/>
              </w:rPr>
            </w:pPr>
          </w:p>
        </w:tc>
      </w:tr>
      <w:tr w14:paraId="7AC0CFE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5DA51F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2122" w:type="dxa"/>
            <w:tcBorders>
              <w:top w:val="nil"/>
              <w:left w:val="nil"/>
              <w:bottom w:val="single" w:color="000000" w:sz="4" w:space="0"/>
              <w:right w:val="single" w:color="000000" w:sz="4" w:space="0"/>
            </w:tcBorders>
            <w:shd w:val="clear" w:color="auto" w:fill="FFFFFF"/>
            <w:vAlign w:val="center"/>
          </w:tcPr>
          <w:p w14:paraId="6341F1A6">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4CA48FA5">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1BF3F9D9">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378DF3E">
            <w:pPr>
              <w:widowControl/>
              <w:spacing w:line="440" w:lineRule="exact"/>
              <w:jc w:val="center"/>
              <w:rPr>
                <w:rFonts w:ascii="宋体" w:hAnsi="宋体" w:cs="宋体"/>
                <w:kern w:val="0"/>
                <w:sz w:val="24"/>
                <w:highlight w:val="none"/>
              </w:rPr>
            </w:pPr>
          </w:p>
        </w:tc>
      </w:tr>
      <w:tr w14:paraId="54044E8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E98163B">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5</w:t>
            </w:r>
          </w:p>
        </w:tc>
        <w:tc>
          <w:tcPr>
            <w:tcW w:w="2122" w:type="dxa"/>
            <w:tcBorders>
              <w:top w:val="nil"/>
              <w:left w:val="nil"/>
              <w:bottom w:val="single" w:color="000000" w:sz="4" w:space="0"/>
              <w:right w:val="single" w:color="000000" w:sz="4" w:space="0"/>
            </w:tcBorders>
            <w:shd w:val="clear" w:color="auto" w:fill="FFFFFF"/>
            <w:vAlign w:val="center"/>
          </w:tcPr>
          <w:p w14:paraId="57B53BBC">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15732C35">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1E2296AC">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0EE6803">
            <w:pPr>
              <w:widowControl/>
              <w:spacing w:line="440" w:lineRule="exact"/>
              <w:jc w:val="center"/>
              <w:rPr>
                <w:rFonts w:ascii="宋体" w:hAnsi="宋体" w:cs="宋体"/>
                <w:kern w:val="0"/>
                <w:sz w:val="24"/>
                <w:highlight w:val="none"/>
              </w:rPr>
            </w:pPr>
          </w:p>
        </w:tc>
      </w:tr>
      <w:tr w14:paraId="29AD089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8C7F58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6</w:t>
            </w:r>
          </w:p>
        </w:tc>
        <w:tc>
          <w:tcPr>
            <w:tcW w:w="2122" w:type="dxa"/>
            <w:tcBorders>
              <w:top w:val="nil"/>
              <w:left w:val="nil"/>
              <w:bottom w:val="single" w:color="000000" w:sz="4" w:space="0"/>
              <w:right w:val="single" w:color="000000" w:sz="4" w:space="0"/>
            </w:tcBorders>
            <w:shd w:val="clear" w:color="auto" w:fill="FFFFFF"/>
            <w:vAlign w:val="center"/>
          </w:tcPr>
          <w:p w14:paraId="4737D7ED">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68FC61EA">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237D2853">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D7C65D3">
            <w:pPr>
              <w:widowControl/>
              <w:spacing w:line="440" w:lineRule="exact"/>
              <w:jc w:val="center"/>
              <w:rPr>
                <w:rFonts w:ascii="宋体" w:hAnsi="宋体" w:cs="宋体"/>
                <w:kern w:val="0"/>
                <w:sz w:val="24"/>
                <w:highlight w:val="none"/>
              </w:rPr>
            </w:pPr>
          </w:p>
        </w:tc>
      </w:tr>
      <w:tr w14:paraId="0E4377F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230139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7</w:t>
            </w:r>
          </w:p>
        </w:tc>
        <w:tc>
          <w:tcPr>
            <w:tcW w:w="2122" w:type="dxa"/>
            <w:tcBorders>
              <w:top w:val="nil"/>
              <w:left w:val="nil"/>
              <w:bottom w:val="single" w:color="000000" w:sz="4" w:space="0"/>
              <w:right w:val="single" w:color="000000" w:sz="4" w:space="0"/>
            </w:tcBorders>
            <w:shd w:val="clear" w:color="auto" w:fill="FFFFFF"/>
            <w:vAlign w:val="center"/>
          </w:tcPr>
          <w:p w14:paraId="5E82FDD8">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01B275B0">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7812EEB7">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59F20D8">
            <w:pPr>
              <w:widowControl/>
              <w:spacing w:line="440" w:lineRule="exact"/>
              <w:jc w:val="center"/>
              <w:rPr>
                <w:rFonts w:ascii="宋体" w:hAnsi="宋体" w:cs="宋体"/>
                <w:kern w:val="0"/>
                <w:sz w:val="24"/>
                <w:highlight w:val="none"/>
              </w:rPr>
            </w:pPr>
          </w:p>
        </w:tc>
      </w:tr>
      <w:tr w14:paraId="46E5FDA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4E856F1">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2122" w:type="dxa"/>
            <w:tcBorders>
              <w:top w:val="nil"/>
              <w:left w:val="nil"/>
              <w:bottom w:val="single" w:color="000000" w:sz="4" w:space="0"/>
              <w:right w:val="single" w:color="000000" w:sz="4" w:space="0"/>
            </w:tcBorders>
            <w:shd w:val="clear" w:color="auto" w:fill="FFFFFF"/>
            <w:vAlign w:val="center"/>
          </w:tcPr>
          <w:p w14:paraId="642FCCF5">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7FD0032F">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074AF026">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1EFDDA8">
            <w:pPr>
              <w:widowControl/>
              <w:spacing w:line="440" w:lineRule="exact"/>
              <w:jc w:val="center"/>
              <w:rPr>
                <w:rFonts w:ascii="宋体" w:hAnsi="宋体" w:cs="宋体"/>
                <w:kern w:val="0"/>
                <w:sz w:val="24"/>
                <w:highlight w:val="none"/>
              </w:rPr>
            </w:pPr>
          </w:p>
        </w:tc>
      </w:tr>
      <w:tr w14:paraId="0BA3BCF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8D3BF6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9</w:t>
            </w:r>
          </w:p>
        </w:tc>
        <w:tc>
          <w:tcPr>
            <w:tcW w:w="2122" w:type="dxa"/>
            <w:tcBorders>
              <w:top w:val="nil"/>
              <w:left w:val="nil"/>
              <w:bottom w:val="single" w:color="000000" w:sz="4" w:space="0"/>
              <w:right w:val="single" w:color="000000" w:sz="4" w:space="0"/>
            </w:tcBorders>
            <w:shd w:val="clear" w:color="auto" w:fill="FFFFFF"/>
            <w:vAlign w:val="center"/>
          </w:tcPr>
          <w:p w14:paraId="292BFF92">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6FF81B45">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21E20E24">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A390348">
            <w:pPr>
              <w:widowControl/>
              <w:spacing w:line="440" w:lineRule="exact"/>
              <w:jc w:val="center"/>
              <w:rPr>
                <w:rFonts w:ascii="宋体" w:hAnsi="宋体" w:cs="宋体"/>
                <w:kern w:val="0"/>
                <w:sz w:val="24"/>
                <w:highlight w:val="none"/>
              </w:rPr>
            </w:pPr>
          </w:p>
        </w:tc>
      </w:tr>
      <w:tr w14:paraId="4C42A01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D88EBD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10</w:t>
            </w:r>
          </w:p>
        </w:tc>
        <w:tc>
          <w:tcPr>
            <w:tcW w:w="2122" w:type="dxa"/>
            <w:tcBorders>
              <w:top w:val="nil"/>
              <w:left w:val="nil"/>
              <w:bottom w:val="single" w:color="000000" w:sz="4" w:space="0"/>
              <w:right w:val="single" w:color="000000" w:sz="4" w:space="0"/>
            </w:tcBorders>
            <w:shd w:val="clear" w:color="auto" w:fill="FFFFFF"/>
            <w:vAlign w:val="center"/>
          </w:tcPr>
          <w:p w14:paraId="336B8BE0">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0CFF6FC1">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65135850">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C71CC2C">
            <w:pPr>
              <w:widowControl/>
              <w:spacing w:line="440" w:lineRule="exact"/>
              <w:jc w:val="center"/>
              <w:rPr>
                <w:rFonts w:ascii="宋体" w:hAnsi="宋体" w:cs="宋体"/>
                <w:kern w:val="0"/>
                <w:sz w:val="24"/>
                <w:highlight w:val="none"/>
              </w:rPr>
            </w:pPr>
          </w:p>
        </w:tc>
      </w:tr>
      <w:tr w14:paraId="1F422D8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51952A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11</w:t>
            </w:r>
          </w:p>
        </w:tc>
        <w:tc>
          <w:tcPr>
            <w:tcW w:w="2122" w:type="dxa"/>
            <w:tcBorders>
              <w:top w:val="nil"/>
              <w:left w:val="nil"/>
              <w:bottom w:val="single" w:color="000000" w:sz="4" w:space="0"/>
              <w:right w:val="single" w:color="000000" w:sz="4" w:space="0"/>
            </w:tcBorders>
            <w:shd w:val="clear" w:color="auto" w:fill="FFFFFF"/>
            <w:vAlign w:val="center"/>
          </w:tcPr>
          <w:p w14:paraId="21F5C30E">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4A4D1592">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262B4B61">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4056021">
            <w:pPr>
              <w:widowControl/>
              <w:spacing w:line="440" w:lineRule="exact"/>
              <w:jc w:val="center"/>
              <w:rPr>
                <w:rFonts w:ascii="宋体" w:hAnsi="宋体" w:cs="宋体"/>
                <w:kern w:val="0"/>
                <w:sz w:val="24"/>
                <w:highlight w:val="none"/>
              </w:rPr>
            </w:pPr>
          </w:p>
        </w:tc>
      </w:tr>
      <w:tr w14:paraId="17D7CA9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7C33C5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12</w:t>
            </w:r>
          </w:p>
        </w:tc>
        <w:tc>
          <w:tcPr>
            <w:tcW w:w="2122" w:type="dxa"/>
            <w:tcBorders>
              <w:top w:val="nil"/>
              <w:left w:val="nil"/>
              <w:bottom w:val="single" w:color="000000" w:sz="4" w:space="0"/>
              <w:right w:val="single" w:color="000000" w:sz="4" w:space="0"/>
            </w:tcBorders>
            <w:shd w:val="clear" w:color="auto" w:fill="FFFFFF"/>
            <w:vAlign w:val="center"/>
          </w:tcPr>
          <w:p w14:paraId="4B33008F">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7B98853B">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50AEF26F">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F3D3803">
            <w:pPr>
              <w:widowControl/>
              <w:spacing w:line="440" w:lineRule="exact"/>
              <w:jc w:val="center"/>
              <w:rPr>
                <w:rFonts w:ascii="宋体" w:hAnsi="宋体" w:cs="宋体"/>
                <w:kern w:val="0"/>
                <w:sz w:val="24"/>
                <w:highlight w:val="none"/>
              </w:rPr>
            </w:pPr>
          </w:p>
        </w:tc>
      </w:tr>
      <w:tr w14:paraId="1B3D68A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1B0709B">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13</w:t>
            </w:r>
          </w:p>
        </w:tc>
        <w:tc>
          <w:tcPr>
            <w:tcW w:w="2122" w:type="dxa"/>
            <w:tcBorders>
              <w:top w:val="nil"/>
              <w:left w:val="nil"/>
              <w:bottom w:val="single" w:color="000000" w:sz="4" w:space="0"/>
              <w:right w:val="single" w:color="000000" w:sz="4" w:space="0"/>
            </w:tcBorders>
            <w:shd w:val="clear" w:color="auto" w:fill="FFFFFF"/>
            <w:vAlign w:val="center"/>
          </w:tcPr>
          <w:p w14:paraId="6BEBE0F1">
            <w:pPr>
              <w:widowControl/>
              <w:spacing w:line="440" w:lineRule="exact"/>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2AF999A1">
            <w:pPr>
              <w:widowControl/>
              <w:spacing w:line="440" w:lineRule="exact"/>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147913A2">
            <w:pPr>
              <w:widowControl/>
              <w:spacing w:line="440" w:lineRule="exact"/>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1E33DBF">
            <w:pPr>
              <w:widowControl/>
              <w:spacing w:line="440" w:lineRule="exact"/>
              <w:jc w:val="center"/>
              <w:rPr>
                <w:rFonts w:ascii="宋体" w:hAnsi="宋体" w:cs="宋体"/>
                <w:kern w:val="0"/>
                <w:sz w:val="24"/>
                <w:highlight w:val="none"/>
              </w:rPr>
            </w:pPr>
          </w:p>
        </w:tc>
      </w:tr>
    </w:tbl>
    <w:p w14:paraId="1C0F5037">
      <w:pPr>
        <w:snapToGrid w:val="0"/>
        <w:spacing w:before="50" w:after="120" w:afterLines="50" w:line="440" w:lineRule="exact"/>
        <w:jc w:val="left"/>
        <w:rPr>
          <w:rFonts w:ascii="宋体" w:hAnsi="宋体" w:cs="宋体"/>
          <w:spacing w:val="20"/>
          <w:sz w:val="24"/>
          <w:highlight w:val="none"/>
        </w:rPr>
      </w:pPr>
    </w:p>
    <w:p w14:paraId="03ADA1A1">
      <w:pPr>
        <w:snapToGrid w:val="0"/>
        <w:spacing w:before="120" w:beforeLines="50" w:after="50" w:line="440" w:lineRule="exact"/>
        <w:rPr>
          <w:rFonts w:ascii="宋体" w:hAnsi="宋体" w:cs="宋体"/>
          <w:b/>
          <w:sz w:val="24"/>
          <w:highlight w:val="none"/>
        </w:rPr>
      </w:pPr>
      <w:r>
        <w:rPr>
          <w:rFonts w:hint="eastAsia" w:ascii="宋体" w:hAnsi="宋体" w:cs="宋体"/>
          <w:b/>
          <w:sz w:val="24"/>
          <w:highlight w:val="none"/>
        </w:rPr>
        <w:t>注：投标人根据采购清单中的内容进行填写，设备说明表中勿填写价格信息。</w:t>
      </w:r>
    </w:p>
    <w:p w14:paraId="33331CD2">
      <w:pPr>
        <w:snapToGrid w:val="0"/>
        <w:spacing w:before="50" w:after="120" w:afterLines="50" w:line="440" w:lineRule="exact"/>
        <w:jc w:val="left"/>
        <w:rPr>
          <w:rFonts w:ascii="宋体" w:hAnsi="宋体" w:cs="宋体"/>
          <w:b/>
          <w:spacing w:val="20"/>
          <w:sz w:val="24"/>
          <w:highlight w:val="none"/>
        </w:rPr>
      </w:pPr>
    </w:p>
    <w:p w14:paraId="1672AC69">
      <w:pPr>
        <w:snapToGrid w:val="0"/>
        <w:spacing w:before="50" w:after="120" w:afterLines="50" w:line="440" w:lineRule="exact"/>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8163D16">
      <w:pPr>
        <w:snapToGrid w:val="0"/>
        <w:spacing w:before="50" w:after="120" w:afterLines="50" w:line="440" w:lineRule="exact"/>
        <w:jc w:val="left"/>
        <w:rPr>
          <w:rFonts w:ascii="宋体" w:hAnsi="宋体" w:cs="宋体"/>
          <w:b/>
          <w:sz w:val="24"/>
          <w:highlight w:val="none"/>
        </w:rPr>
      </w:pPr>
    </w:p>
    <w:p w14:paraId="7D088FB2">
      <w:pPr>
        <w:spacing w:line="440" w:lineRule="exact"/>
        <w:rPr>
          <w:rFonts w:ascii="宋体" w:hAnsi="宋体" w:cs="宋体"/>
          <w:b/>
          <w:sz w:val="24"/>
          <w:highlight w:val="none"/>
        </w:rPr>
      </w:pPr>
      <w:r>
        <w:rPr>
          <w:rFonts w:hint="eastAsia" w:ascii="宋体" w:hAnsi="宋体" w:cs="宋体"/>
          <w:b/>
          <w:sz w:val="24"/>
          <w:highlight w:val="none"/>
        </w:rPr>
        <w:t>日期：  _____年___月___日</w:t>
      </w:r>
    </w:p>
    <w:p w14:paraId="71060B9D">
      <w:pPr>
        <w:snapToGrid w:val="0"/>
        <w:spacing w:before="50" w:after="120" w:afterLines="50" w:line="440" w:lineRule="exact"/>
        <w:jc w:val="left"/>
        <w:rPr>
          <w:rFonts w:ascii="宋体" w:hAnsi="宋体" w:cs="宋体"/>
          <w:sz w:val="24"/>
          <w:highlight w:val="none"/>
        </w:rPr>
        <w:sectPr>
          <w:pgSz w:w="11906" w:h="16838"/>
          <w:pgMar w:top="1021" w:right="1588" w:bottom="851" w:left="1588" w:header="567" w:footer="454" w:gutter="0"/>
          <w:cols w:space="720" w:num="1"/>
          <w:docGrid w:linePitch="286" w:charSpace="0"/>
        </w:sectPr>
      </w:pPr>
      <w:r>
        <w:rPr>
          <w:rFonts w:hint="eastAsia" w:ascii="宋体" w:hAnsi="宋体" w:cs="宋体"/>
          <w:sz w:val="24"/>
          <w:highlight w:val="none"/>
        </w:rPr>
        <w:br w:type="page"/>
      </w:r>
    </w:p>
    <w:p w14:paraId="792FFCAB">
      <w:pPr>
        <w:snapToGrid w:val="0"/>
        <w:spacing w:before="50" w:after="120" w:afterLines="50"/>
        <w:jc w:val="left"/>
        <w:outlineLvl w:val="1"/>
        <w:rPr>
          <w:rFonts w:ascii="宋体" w:hAnsi="宋体"/>
          <w:sz w:val="24"/>
          <w:highlight w:val="none"/>
        </w:rPr>
      </w:pPr>
      <w:bookmarkStart w:id="86" w:name="_Toc29464"/>
      <w:r>
        <w:rPr>
          <w:rFonts w:hint="eastAsia" w:ascii="宋体" w:hAnsi="宋体"/>
          <w:sz w:val="24"/>
          <w:highlight w:val="none"/>
          <w:lang w:val="en-US" w:eastAsia="zh-CN"/>
        </w:rPr>
        <w:t>8</w:t>
      </w:r>
      <w:r>
        <w:rPr>
          <w:rFonts w:hint="eastAsia" w:ascii="宋体" w:hAnsi="宋体"/>
          <w:sz w:val="24"/>
          <w:highlight w:val="none"/>
        </w:rPr>
        <w:t>. 项目负责人简历表格式：</w:t>
      </w:r>
      <w:bookmarkEnd w:id="86"/>
    </w:p>
    <w:p w14:paraId="3C5E67E8">
      <w:pPr>
        <w:snapToGrid w:val="0"/>
        <w:spacing w:before="50" w:after="120" w:afterLines="50"/>
        <w:jc w:val="left"/>
        <w:rPr>
          <w:rFonts w:ascii="宋体" w:hAnsi="宋体"/>
          <w:sz w:val="24"/>
          <w:szCs w:val="20"/>
          <w:highlight w:val="none"/>
        </w:rPr>
      </w:pPr>
    </w:p>
    <w:p w14:paraId="4A09A7A9">
      <w:pPr>
        <w:jc w:val="center"/>
        <w:outlineLvl w:val="2"/>
        <w:rPr>
          <w:rFonts w:ascii="宋体" w:hAnsi="宋体"/>
          <w:snapToGrid w:val="0"/>
          <w:sz w:val="28"/>
          <w:highlight w:val="none"/>
        </w:rPr>
      </w:pPr>
      <w:bookmarkStart w:id="87" w:name="_Toc3409"/>
      <w:r>
        <w:rPr>
          <w:rFonts w:hint="eastAsia" w:ascii="宋体" w:hAnsi="宋体"/>
          <w:snapToGrid w:val="0"/>
          <w:sz w:val="28"/>
          <w:highlight w:val="none"/>
        </w:rPr>
        <w:t>项目负责人简历表</w:t>
      </w:r>
      <w:bookmarkEnd w:id="87"/>
    </w:p>
    <w:p w14:paraId="1D996B8F">
      <w:pPr>
        <w:snapToGrid w:val="0"/>
        <w:spacing w:before="120" w:beforeLines="50" w:after="50" w:line="360" w:lineRule="auto"/>
        <w:jc w:val="center"/>
        <w:rPr>
          <w:rFonts w:ascii="宋体" w:hAnsi="宋体"/>
          <w:bCs/>
          <w:sz w:val="24"/>
          <w:highlight w:val="none"/>
        </w:rPr>
      </w:pPr>
    </w:p>
    <w:p w14:paraId="67A164D3">
      <w:pPr>
        <w:snapToGrid w:val="0"/>
        <w:spacing w:before="120" w:beforeLines="50" w:after="50" w:line="480" w:lineRule="auto"/>
        <w:rPr>
          <w:rFonts w:ascii="宋体" w:hAnsi="宋体"/>
          <w:sz w:val="24"/>
          <w:highlight w:val="none"/>
        </w:rPr>
      </w:pPr>
      <w:r>
        <w:rPr>
          <w:rFonts w:hint="eastAsia" w:ascii="宋体" w:hAnsi="宋体"/>
          <w:bCs/>
          <w:sz w:val="24"/>
          <w:highlight w:val="none"/>
        </w:rPr>
        <w:t>项目名称：</w:t>
      </w:r>
    </w:p>
    <w:p w14:paraId="1318E0AE">
      <w:pPr>
        <w:snapToGrid w:val="0"/>
        <w:spacing w:before="120" w:beforeLines="50" w:after="50" w:line="480" w:lineRule="auto"/>
        <w:rPr>
          <w:rFonts w:ascii="宋体" w:hAnsi="宋体"/>
          <w:bCs/>
          <w:sz w:val="24"/>
          <w:szCs w:val="20"/>
          <w:highlight w:val="none"/>
        </w:rPr>
      </w:pPr>
      <w:r>
        <w:rPr>
          <w:rFonts w:hint="eastAsia" w:ascii="宋体" w:hAnsi="宋体"/>
          <w:bCs/>
          <w:sz w:val="24"/>
          <w:highlight w:val="none"/>
        </w:rPr>
        <w:t>项目编号：</w:t>
      </w:r>
    </w:p>
    <w:tbl>
      <w:tblPr>
        <w:tblStyle w:val="52"/>
        <w:tblpPr w:leftFromText="180" w:rightFromText="180" w:vertAnchor="text" w:tblpY="219"/>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B6F7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B6A2574">
            <w:pPr>
              <w:spacing w:line="351" w:lineRule="atLeast"/>
              <w:jc w:val="center"/>
              <w:rPr>
                <w:rFonts w:ascii="宋体" w:hAnsi="宋体"/>
                <w:sz w:val="28"/>
                <w:highlight w:val="none"/>
              </w:rPr>
            </w:pPr>
            <w:r>
              <w:rPr>
                <w:rFonts w:hint="eastAsia" w:ascii="宋体" w:hAnsi="宋体"/>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6427875C">
            <w:pPr>
              <w:spacing w:line="351" w:lineRule="atLeast"/>
              <w:jc w:val="center"/>
              <w:rPr>
                <w:rFonts w:ascii="宋体" w:hAnsi="宋体"/>
                <w:sz w:val="28"/>
                <w:highlight w:val="none"/>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4A4162D">
            <w:pPr>
              <w:spacing w:line="351" w:lineRule="atLeast"/>
              <w:jc w:val="center"/>
              <w:rPr>
                <w:rFonts w:ascii="宋体" w:hAnsi="宋体"/>
                <w:sz w:val="28"/>
                <w:highlight w:val="none"/>
              </w:rPr>
            </w:pPr>
            <w:r>
              <w:rPr>
                <w:rFonts w:hint="eastAsia" w:ascii="宋体" w:hAnsi="宋体"/>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417811A9">
            <w:pPr>
              <w:spacing w:line="351" w:lineRule="atLeast"/>
              <w:jc w:val="center"/>
              <w:rPr>
                <w:rFonts w:ascii="宋体" w:hAnsi="宋体"/>
                <w:sz w:val="28"/>
                <w:highlight w:val="none"/>
              </w:rPr>
            </w:pPr>
          </w:p>
        </w:tc>
      </w:tr>
      <w:tr w14:paraId="7083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D594145">
            <w:pPr>
              <w:spacing w:line="351" w:lineRule="atLeast"/>
              <w:jc w:val="center"/>
              <w:rPr>
                <w:rFonts w:ascii="宋体" w:hAnsi="宋体"/>
                <w:sz w:val="28"/>
                <w:highlight w:val="none"/>
              </w:rPr>
            </w:pPr>
            <w:r>
              <w:rPr>
                <w:rFonts w:hint="eastAsia" w:ascii="宋体" w:hAnsi="宋体"/>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6BB72614">
            <w:pPr>
              <w:spacing w:line="351" w:lineRule="atLeast"/>
              <w:jc w:val="center"/>
              <w:rPr>
                <w:rFonts w:ascii="宋体" w:hAnsi="宋体"/>
                <w:sz w:val="28"/>
                <w:highlight w:val="none"/>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5A73867">
            <w:pPr>
              <w:spacing w:line="351" w:lineRule="atLeast"/>
              <w:jc w:val="center"/>
              <w:rPr>
                <w:rFonts w:ascii="宋体" w:hAnsi="宋体"/>
                <w:sz w:val="28"/>
                <w:highlight w:val="none"/>
              </w:rPr>
            </w:pPr>
            <w:r>
              <w:rPr>
                <w:rFonts w:hint="eastAsia" w:ascii="宋体" w:hAnsi="宋体"/>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F083CD7">
            <w:pPr>
              <w:spacing w:line="351" w:lineRule="atLeast"/>
              <w:jc w:val="center"/>
              <w:rPr>
                <w:rFonts w:ascii="宋体" w:hAnsi="宋体"/>
                <w:sz w:val="28"/>
                <w:highlight w:val="none"/>
              </w:rPr>
            </w:pPr>
          </w:p>
        </w:tc>
      </w:tr>
      <w:tr w14:paraId="3EDA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3D0CBF7">
            <w:pPr>
              <w:spacing w:line="351" w:lineRule="atLeast"/>
              <w:jc w:val="center"/>
              <w:rPr>
                <w:rFonts w:ascii="宋体" w:hAnsi="宋体"/>
                <w:sz w:val="28"/>
                <w:highlight w:val="none"/>
              </w:rPr>
            </w:pPr>
            <w:r>
              <w:rPr>
                <w:rFonts w:hint="eastAsia" w:ascii="宋体" w:hAnsi="宋体"/>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9671AB1">
            <w:pPr>
              <w:spacing w:line="351" w:lineRule="atLeast"/>
              <w:jc w:val="center"/>
              <w:rPr>
                <w:rFonts w:ascii="宋体" w:hAnsi="宋体"/>
                <w:sz w:val="28"/>
                <w:highlight w:val="none"/>
              </w:rPr>
            </w:pPr>
          </w:p>
        </w:tc>
        <w:tc>
          <w:tcPr>
            <w:tcW w:w="1952" w:type="dxa"/>
            <w:tcBorders>
              <w:top w:val="single" w:color="auto" w:sz="4" w:space="0"/>
              <w:left w:val="single" w:color="auto" w:sz="4" w:space="0"/>
              <w:bottom w:val="single" w:color="auto" w:sz="4" w:space="0"/>
              <w:right w:val="single" w:color="auto" w:sz="4" w:space="0"/>
            </w:tcBorders>
            <w:vAlign w:val="center"/>
          </w:tcPr>
          <w:p w14:paraId="47A99171">
            <w:pPr>
              <w:spacing w:line="351" w:lineRule="atLeast"/>
              <w:jc w:val="center"/>
              <w:rPr>
                <w:rFonts w:ascii="宋体" w:hAnsi="宋体"/>
                <w:sz w:val="28"/>
                <w:highlight w:val="none"/>
              </w:rPr>
            </w:pPr>
            <w:r>
              <w:rPr>
                <w:rFonts w:hint="eastAsia" w:ascii="宋体" w:hAnsi="宋体"/>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46D9F9D9">
            <w:pPr>
              <w:spacing w:line="351" w:lineRule="atLeast"/>
              <w:jc w:val="center"/>
              <w:rPr>
                <w:rFonts w:ascii="宋体" w:hAnsi="宋体"/>
                <w:sz w:val="28"/>
                <w:highlight w:val="none"/>
              </w:rPr>
            </w:pPr>
          </w:p>
        </w:tc>
      </w:tr>
      <w:tr w14:paraId="377C0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B01EA14">
            <w:pPr>
              <w:spacing w:line="351" w:lineRule="atLeast"/>
              <w:ind w:firstLine="557" w:firstLineChars="199"/>
              <w:rPr>
                <w:rFonts w:ascii="宋体" w:hAnsi="宋体"/>
                <w:sz w:val="28"/>
                <w:highlight w:val="none"/>
              </w:rPr>
            </w:pPr>
            <w:r>
              <w:rPr>
                <w:rFonts w:hint="eastAsia" w:ascii="宋体" w:hAnsi="宋体"/>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F033C29">
            <w:pPr>
              <w:spacing w:line="351" w:lineRule="atLeast"/>
              <w:ind w:firstLine="419"/>
              <w:jc w:val="center"/>
              <w:rPr>
                <w:rFonts w:ascii="宋体" w:hAnsi="宋体"/>
                <w:sz w:val="28"/>
                <w:highlight w:val="none"/>
              </w:rPr>
            </w:pPr>
          </w:p>
        </w:tc>
        <w:tc>
          <w:tcPr>
            <w:tcW w:w="1952" w:type="dxa"/>
            <w:tcBorders>
              <w:top w:val="single" w:color="auto" w:sz="4" w:space="0"/>
              <w:left w:val="single" w:color="auto" w:sz="4" w:space="0"/>
              <w:bottom w:val="single" w:color="000000" w:sz="4" w:space="0"/>
              <w:right w:val="single" w:color="auto" w:sz="4" w:space="0"/>
            </w:tcBorders>
            <w:vAlign w:val="center"/>
          </w:tcPr>
          <w:p w14:paraId="08D74F9F">
            <w:pPr>
              <w:spacing w:line="351" w:lineRule="atLeast"/>
              <w:ind w:firstLine="554" w:firstLineChars="198"/>
              <w:rPr>
                <w:rFonts w:ascii="宋体" w:hAnsi="宋体"/>
                <w:sz w:val="28"/>
                <w:highlight w:val="none"/>
              </w:rPr>
            </w:pPr>
            <w:r>
              <w:rPr>
                <w:rFonts w:hint="eastAsia" w:ascii="宋体" w:hAnsi="宋体"/>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0E9DC598">
            <w:pPr>
              <w:spacing w:line="351" w:lineRule="atLeast"/>
              <w:jc w:val="center"/>
              <w:rPr>
                <w:rFonts w:ascii="宋体" w:hAnsi="宋体"/>
                <w:sz w:val="28"/>
                <w:highlight w:val="none"/>
              </w:rPr>
            </w:pPr>
          </w:p>
        </w:tc>
      </w:tr>
      <w:tr w14:paraId="0314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B3126F6">
            <w:pPr>
              <w:spacing w:line="351" w:lineRule="atLeast"/>
              <w:jc w:val="center"/>
              <w:rPr>
                <w:rFonts w:ascii="宋体" w:hAnsi="宋体"/>
                <w:sz w:val="28"/>
                <w:highlight w:val="none"/>
              </w:rPr>
            </w:pPr>
            <w:r>
              <w:rPr>
                <w:rFonts w:hint="eastAsia" w:ascii="宋体" w:hAnsi="宋体"/>
                <w:sz w:val="28"/>
                <w:highlight w:val="none"/>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790D173">
            <w:pPr>
              <w:spacing w:line="351" w:lineRule="atLeast"/>
              <w:jc w:val="center"/>
              <w:rPr>
                <w:rFonts w:ascii="宋体" w:hAnsi="宋体"/>
                <w:sz w:val="28"/>
                <w:highlight w:val="none"/>
              </w:rPr>
            </w:pPr>
          </w:p>
        </w:tc>
        <w:tc>
          <w:tcPr>
            <w:tcW w:w="1952" w:type="dxa"/>
            <w:tcBorders>
              <w:top w:val="single" w:color="auto" w:sz="4" w:space="0"/>
              <w:left w:val="single" w:color="auto" w:sz="4" w:space="0"/>
              <w:bottom w:val="single" w:color="000000" w:sz="4" w:space="0"/>
              <w:right w:val="single" w:color="auto" w:sz="4" w:space="0"/>
            </w:tcBorders>
            <w:vAlign w:val="center"/>
          </w:tcPr>
          <w:p w14:paraId="5467FFC2">
            <w:pPr>
              <w:spacing w:line="351" w:lineRule="atLeast"/>
              <w:jc w:val="center"/>
              <w:rPr>
                <w:rFonts w:ascii="宋体" w:hAnsi="宋体"/>
                <w:sz w:val="28"/>
                <w:highlight w:val="none"/>
              </w:rPr>
            </w:pPr>
            <w:r>
              <w:rPr>
                <w:rFonts w:hint="eastAsia" w:ascii="宋体" w:hAnsi="宋体"/>
                <w:sz w:val="28"/>
                <w:highlight w:val="none"/>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58911C16">
            <w:pPr>
              <w:spacing w:line="351" w:lineRule="atLeast"/>
              <w:jc w:val="center"/>
              <w:rPr>
                <w:rFonts w:ascii="宋体" w:hAnsi="宋体"/>
                <w:sz w:val="28"/>
                <w:highlight w:val="none"/>
              </w:rPr>
            </w:pPr>
          </w:p>
        </w:tc>
      </w:tr>
      <w:tr w14:paraId="08EB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E789AB4">
            <w:pPr>
              <w:jc w:val="center"/>
              <w:rPr>
                <w:rFonts w:ascii="宋体" w:hAnsi="宋体"/>
                <w:sz w:val="28"/>
                <w:highlight w:val="none"/>
              </w:rPr>
            </w:pPr>
            <w:r>
              <w:rPr>
                <w:rFonts w:hint="eastAsia" w:ascii="宋体" w:hAnsi="宋体"/>
                <w:sz w:val="28"/>
                <w:highlight w:val="none"/>
              </w:rPr>
              <w:t>简</w:t>
            </w:r>
          </w:p>
          <w:p w14:paraId="4FA551EC">
            <w:pPr>
              <w:jc w:val="center"/>
              <w:rPr>
                <w:rFonts w:ascii="宋体" w:hAnsi="宋体"/>
                <w:sz w:val="28"/>
                <w:highlight w:val="none"/>
              </w:rPr>
            </w:pPr>
          </w:p>
          <w:p w14:paraId="64B04DF5">
            <w:pPr>
              <w:jc w:val="center"/>
              <w:rPr>
                <w:rFonts w:ascii="宋体" w:hAnsi="宋体"/>
                <w:sz w:val="28"/>
                <w:highlight w:val="none"/>
              </w:rPr>
            </w:pPr>
          </w:p>
          <w:p w14:paraId="63AE111F">
            <w:pPr>
              <w:spacing w:line="351" w:lineRule="atLeast"/>
              <w:jc w:val="center"/>
              <w:rPr>
                <w:rFonts w:ascii="宋体" w:hAnsi="宋体"/>
                <w:highlight w:val="none"/>
              </w:rPr>
            </w:pPr>
            <w:r>
              <w:rPr>
                <w:rFonts w:hint="eastAsia" w:ascii="宋体" w:hAnsi="宋体"/>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184F0957">
            <w:pPr>
              <w:spacing w:line="351" w:lineRule="atLeast"/>
              <w:jc w:val="center"/>
              <w:rPr>
                <w:rFonts w:ascii="宋体" w:hAnsi="宋体"/>
                <w:highlight w:val="none"/>
              </w:rPr>
            </w:pPr>
          </w:p>
        </w:tc>
      </w:tr>
    </w:tbl>
    <w:p w14:paraId="23CE2DE8">
      <w:pPr>
        <w:rPr>
          <w:rFonts w:ascii="宋体" w:hAnsi="宋体"/>
          <w:bCs/>
          <w:snapToGrid w:val="0"/>
          <w:highlight w:val="none"/>
        </w:rPr>
      </w:pPr>
    </w:p>
    <w:p w14:paraId="4D23DE51">
      <w:pPr>
        <w:snapToGrid w:val="0"/>
        <w:spacing w:before="50" w:after="120" w:afterLines="50"/>
        <w:jc w:val="left"/>
        <w:rPr>
          <w:rFonts w:ascii="宋体" w:hAnsi="宋体"/>
          <w:b/>
          <w:spacing w:val="20"/>
          <w:sz w:val="24"/>
          <w:highlight w:val="none"/>
        </w:rPr>
      </w:pPr>
      <w:bookmarkStart w:id="88" w:name="_Hlk60757472"/>
      <w:r>
        <w:rPr>
          <w:rFonts w:hint="eastAsia" w:ascii="宋体" w:hAnsi="宋体"/>
          <w:b/>
          <w:spacing w:val="20"/>
          <w:sz w:val="24"/>
          <w:highlight w:val="none"/>
        </w:rPr>
        <w:t>法定代表人签字（或盖章）：            投标人（盖章）：</w:t>
      </w:r>
    </w:p>
    <w:p w14:paraId="412FCC59">
      <w:pPr>
        <w:snapToGrid w:val="0"/>
        <w:spacing w:before="50" w:after="120" w:afterLines="50"/>
        <w:jc w:val="left"/>
        <w:rPr>
          <w:rFonts w:ascii="宋体" w:hAnsi="宋体"/>
          <w:b/>
          <w:sz w:val="24"/>
          <w:highlight w:val="none"/>
        </w:rPr>
      </w:pPr>
    </w:p>
    <w:p w14:paraId="51F845DD">
      <w:pPr>
        <w:snapToGrid w:val="0"/>
        <w:spacing w:before="50" w:after="120" w:afterLines="50"/>
        <w:jc w:val="left"/>
        <w:rPr>
          <w:rFonts w:ascii="宋体" w:hAnsi="宋体"/>
          <w:sz w:val="24"/>
          <w:highlight w:val="none"/>
        </w:rPr>
      </w:pPr>
      <w:r>
        <w:rPr>
          <w:rFonts w:hint="eastAsia" w:ascii="宋体" w:hAnsi="宋体"/>
          <w:b/>
          <w:sz w:val="24"/>
          <w:highlight w:val="none"/>
        </w:rPr>
        <w:t>日期：  _____年___月___日</w:t>
      </w:r>
      <w:r>
        <w:rPr>
          <w:rFonts w:ascii="宋体" w:hAnsi="宋体"/>
          <w:b/>
          <w:sz w:val="24"/>
          <w:highlight w:val="none"/>
        </w:rPr>
        <w:br w:type="page"/>
      </w:r>
      <w:bookmarkEnd w:id="88"/>
      <w:r>
        <w:rPr>
          <w:rFonts w:hint="eastAsia" w:ascii="宋体" w:hAnsi="宋体"/>
          <w:sz w:val="24"/>
          <w:highlight w:val="none"/>
          <w:lang w:val="en-US" w:eastAsia="zh-CN"/>
        </w:rPr>
        <w:t>9</w:t>
      </w:r>
      <w:r>
        <w:rPr>
          <w:rFonts w:hint="eastAsia" w:ascii="宋体" w:hAnsi="宋体"/>
          <w:sz w:val="24"/>
          <w:highlight w:val="none"/>
        </w:rPr>
        <w:t>.项目实施人员一览表格式</w:t>
      </w:r>
    </w:p>
    <w:p w14:paraId="25090901">
      <w:pPr>
        <w:snapToGrid w:val="0"/>
        <w:spacing w:before="50" w:after="120" w:afterLines="50"/>
        <w:jc w:val="left"/>
        <w:rPr>
          <w:rFonts w:ascii="宋体" w:hAnsi="宋体"/>
          <w:sz w:val="24"/>
          <w:szCs w:val="20"/>
          <w:highlight w:val="none"/>
        </w:rPr>
      </w:pPr>
    </w:p>
    <w:p w14:paraId="3019D60D">
      <w:pPr>
        <w:snapToGrid w:val="0"/>
        <w:spacing w:before="120" w:beforeLines="50" w:after="50"/>
        <w:jc w:val="center"/>
        <w:outlineLvl w:val="2"/>
        <w:rPr>
          <w:rFonts w:ascii="宋体" w:hAnsi="宋体"/>
          <w:b/>
          <w:sz w:val="24"/>
          <w:highlight w:val="none"/>
        </w:rPr>
      </w:pPr>
      <w:bookmarkStart w:id="89" w:name="_Toc3594"/>
      <w:r>
        <w:rPr>
          <w:rFonts w:hint="eastAsia" w:ascii="宋体" w:hAnsi="宋体"/>
          <w:b/>
          <w:sz w:val="24"/>
          <w:highlight w:val="none"/>
        </w:rPr>
        <w:t>项目实施人员（主要从业人员及其技术资格）一览表</w:t>
      </w:r>
      <w:bookmarkEnd w:id="89"/>
    </w:p>
    <w:p w14:paraId="145B1EAF">
      <w:pPr>
        <w:snapToGrid w:val="0"/>
        <w:spacing w:before="120" w:beforeLines="50" w:after="50" w:line="480" w:lineRule="auto"/>
        <w:rPr>
          <w:rFonts w:ascii="宋体" w:hAnsi="宋体"/>
          <w:sz w:val="24"/>
          <w:highlight w:val="none"/>
        </w:rPr>
      </w:pPr>
      <w:r>
        <w:rPr>
          <w:rFonts w:hint="eastAsia" w:ascii="宋体" w:hAnsi="宋体"/>
          <w:bCs/>
          <w:sz w:val="24"/>
          <w:highlight w:val="none"/>
        </w:rPr>
        <w:t>项目名称：</w:t>
      </w:r>
    </w:p>
    <w:p w14:paraId="194ACC9C">
      <w:pPr>
        <w:snapToGrid w:val="0"/>
        <w:spacing w:before="120" w:beforeLines="50" w:after="50" w:line="480" w:lineRule="auto"/>
        <w:rPr>
          <w:rFonts w:ascii="宋体" w:hAnsi="宋体"/>
          <w:bCs/>
          <w:sz w:val="24"/>
          <w:highlight w:val="none"/>
        </w:rPr>
      </w:pPr>
      <w:r>
        <w:rPr>
          <w:rFonts w:hint="eastAsia" w:ascii="宋体" w:hAnsi="宋体"/>
          <w:bCs/>
          <w:sz w:val="24"/>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41CC1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48F272D3">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141F242">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5D836079">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73D99709">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A59F22C">
            <w:pPr>
              <w:snapToGrid w:val="0"/>
              <w:spacing w:before="120" w:beforeLines="50" w:after="50" w:line="360" w:lineRule="auto"/>
              <w:jc w:val="center"/>
              <w:rPr>
                <w:rFonts w:ascii="宋体" w:hAnsi="宋体"/>
                <w:sz w:val="24"/>
                <w:highlight w:val="none"/>
              </w:rPr>
            </w:pPr>
            <w:r>
              <w:rPr>
                <w:rFonts w:hint="eastAsia" w:ascii="宋体" w:hAnsi="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0AD035E5">
            <w:pPr>
              <w:snapToGrid w:val="0"/>
              <w:spacing w:before="120" w:beforeLines="50" w:after="50" w:line="360" w:lineRule="auto"/>
              <w:jc w:val="center"/>
              <w:rPr>
                <w:rFonts w:ascii="宋体" w:hAnsi="宋体"/>
                <w:bCs/>
                <w:sz w:val="24"/>
                <w:highlight w:val="none"/>
              </w:rPr>
            </w:pPr>
            <w:r>
              <w:rPr>
                <w:rFonts w:hint="eastAsia" w:ascii="宋体" w:hAnsi="宋体"/>
                <w:bCs/>
                <w:sz w:val="24"/>
                <w:highlight w:val="none"/>
              </w:rPr>
              <w:t>进入本单位工作开始时间</w:t>
            </w:r>
          </w:p>
        </w:tc>
      </w:tr>
      <w:tr w14:paraId="136615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D414FAF">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90D1EF2">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5BF64F8">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10EF4F1">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2402964">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583B302">
            <w:pPr>
              <w:snapToGrid w:val="0"/>
              <w:spacing w:before="120" w:beforeLines="50" w:after="50" w:line="360" w:lineRule="auto"/>
              <w:rPr>
                <w:rFonts w:ascii="宋体" w:hAnsi="宋体"/>
                <w:sz w:val="24"/>
                <w:highlight w:val="none"/>
              </w:rPr>
            </w:pPr>
          </w:p>
        </w:tc>
      </w:tr>
      <w:tr w14:paraId="48A76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240F267">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47F59CE">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83D46D4">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1818378">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B5A563D">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3B5ED98">
            <w:pPr>
              <w:snapToGrid w:val="0"/>
              <w:spacing w:before="120" w:beforeLines="50" w:after="50" w:line="360" w:lineRule="auto"/>
              <w:rPr>
                <w:rFonts w:ascii="宋体" w:hAnsi="宋体"/>
                <w:sz w:val="24"/>
                <w:highlight w:val="none"/>
              </w:rPr>
            </w:pPr>
          </w:p>
        </w:tc>
      </w:tr>
      <w:tr w14:paraId="0C1631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0F33651">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0DB908">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88AA34B">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6C8D681">
            <w:pPr>
              <w:pStyle w:val="31"/>
              <w:snapToGrid w:val="0"/>
              <w:spacing w:before="120" w:beforeLines="50" w:after="50" w:line="360" w:lineRule="auto"/>
              <w:ind w:left="5250"/>
              <w:rPr>
                <w:rFonts w:ascii="宋体" w:hAnsi="宋体" w:eastAsia="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14602A4">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C292A24">
            <w:pPr>
              <w:snapToGrid w:val="0"/>
              <w:spacing w:before="120" w:beforeLines="50" w:after="50" w:line="360" w:lineRule="auto"/>
              <w:rPr>
                <w:rFonts w:ascii="宋体" w:hAnsi="宋体"/>
                <w:sz w:val="24"/>
                <w:highlight w:val="none"/>
              </w:rPr>
            </w:pPr>
          </w:p>
        </w:tc>
      </w:tr>
      <w:tr w14:paraId="630F9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7DB9BA">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76C42D0">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5D517EC">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E95A6B6">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97E2595">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FE12655">
            <w:pPr>
              <w:snapToGrid w:val="0"/>
              <w:spacing w:before="120" w:beforeLines="50" w:after="50" w:line="360" w:lineRule="auto"/>
              <w:rPr>
                <w:rFonts w:ascii="宋体" w:hAnsi="宋体"/>
                <w:sz w:val="24"/>
                <w:highlight w:val="none"/>
              </w:rPr>
            </w:pPr>
          </w:p>
        </w:tc>
      </w:tr>
      <w:tr w14:paraId="584A28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BB7E42F">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9889653">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6016622">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389C3CB">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BA97FAF">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A9B5958">
            <w:pPr>
              <w:snapToGrid w:val="0"/>
              <w:spacing w:before="120" w:beforeLines="50" w:after="50" w:line="360" w:lineRule="auto"/>
              <w:rPr>
                <w:rFonts w:ascii="宋体" w:hAnsi="宋体"/>
                <w:sz w:val="24"/>
                <w:highlight w:val="none"/>
              </w:rPr>
            </w:pPr>
          </w:p>
        </w:tc>
      </w:tr>
      <w:tr w14:paraId="131C40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D293DD">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30A39E1">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A25888">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46B6404">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9ED9F92">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CB5AA44">
            <w:pPr>
              <w:snapToGrid w:val="0"/>
              <w:spacing w:before="120" w:beforeLines="50" w:after="50" w:line="360" w:lineRule="auto"/>
              <w:rPr>
                <w:rFonts w:ascii="宋体" w:hAnsi="宋体"/>
                <w:sz w:val="24"/>
                <w:highlight w:val="none"/>
              </w:rPr>
            </w:pPr>
          </w:p>
        </w:tc>
      </w:tr>
      <w:tr w14:paraId="131FD9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5BF3D54">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39B99F">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F458758">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9876E50">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372E7D">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07E6E12">
            <w:pPr>
              <w:snapToGrid w:val="0"/>
              <w:spacing w:before="120" w:beforeLines="50" w:after="50" w:line="360" w:lineRule="auto"/>
              <w:rPr>
                <w:rFonts w:ascii="宋体" w:hAnsi="宋体"/>
                <w:sz w:val="24"/>
                <w:highlight w:val="none"/>
              </w:rPr>
            </w:pPr>
          </w:p>
        </w:tc>
      </w:tr>
      <w:tr w14:paraId="1FECC1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4347C31">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6E95D4F">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4EACCC8">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49BCE43">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F339DA1">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C69E4BD">
            <w:pPr>
              <w:snapToGrid w:val="0"/>
              <w:spacing w:before="120" w:beforeLines="50" w:after="50" w:line="360" w:lineRule="auto"/>
              <w:rPr>
                <w:rFonts w:ascii="宋体" w:hAnsi="宋体"/>
                <w:sz w:val="24"/>
                <w:highlight w:val="none"/>
              </w:rPr>
            </w:pPr>
          </w:p>
        </w:tc>
      </w:tr>
      <w:tr w14:paraId="52CC33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457C163">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224E750">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46305F">
            <w:pPr>
              <w:snapToGrid w:val="0"/>
              <w:spacing w:before="120" w:beforeLines="50" w:after="5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C50B1CC">
            <w:pPr>
              <w:snapToGrid w:val="0"/>
              <w:spacing w:before="120" w:beforeLines="50" w:after="5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82356F9">
            <w:pPr>
              <w:snapToGrid w:val="0"/>
              <w:spacing w:before="120" w:beforeLines="50" w:after="5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DA4FBFC">
            <w:pPr>
              <w:snapToGrid w:val="0"/>
              <w:spacing w:before="120" w:beforeLines="50" w:after="50" w:line="360" w:lineRule="auto"/>
              <w:rPr>
                <w:rFonts w:ascii="宋体" w:hAnsi="宋体"/>
                <w:sz w:val="24"/>
                <w:highlight w:val="none"/>
              </w:rPr>
            </w:pPr>
          </w:p>
        </w:tc>
      </w:tr>
    </w:tbl>
    <w:p w14:paraId="492728F1">
      <w:pPr>
        <w:snapToGrid w:val="0"/>
        <w:spacing w:before="120" w:beforeLines="50" w:after="50" w:line="480" w:lineRule="auto"/>
        <w:rPr>
          <w:rFonts w:ascii="宋体" w:hAnsi="宋体"/>
          <w:bCs/>
          <w:sz w:val="24"/>
          <w:highlight w:val="none"/>
        </w:rPr>
      </w:pPr>
    </w:p>
    <w:p w14:paraId="387EDA38">
      <w:pPr>
        <w:snapToGrid w:val="0"/>
        <w:spacing w:before="50" w:after="120" w:afterLines="50"/>
        <w:jc w:val="left"/>
        <w:rPr>
          <w:rFonts w:ascii="宋体" w:hAnsi="宋体"/>
          <w:b/>
          <w:bCs/>
          <w:sz w:val="24"/>
          <w:highlight w:val="none"/>
        </w:rPr>
      </w:pPr>
      <w:r>
        <w:rPr>
          <w:rFonts w:hint="eastAsia" w:ascii="宋体" w:hAnsi="宋体"/>
          <w:b/>
          <w:bCs/>
          <w:sz w:val="24"/>
          <w:highlight w:val="none"/>
        </w:rPr>
        <w:t>注：在填写时，如本表格不适合投标人的实际情况，可根据本表格式自行划表填写。</w:t>
      </w:r>
    </w:p>
    <w:p w14:paraId="53D3C10B">
      <w:pPr>
        <w:snapToGrid w:val="0"/>
        <w:spacing w:before="50" w:after="120" w:afterLines="50" w:line="360" w:lineRule="auto"/>
        <w:jc w:val="left"/>
        <w:rPr>
          <w:rFonts w:ascii="宋体" w:hAnsi="宋体"/>
          <w:sz w:val="24"/>
          <w:szCs w:val="20"/>
          <w:highlight w:val="none"/>
        </w:rPr>
      </w:pPr>
    </w:p>
    <w:p w14:paraId="5492355D">
      <w:pPr>
        <w:snapToGrid w:val="0"/>
        <w:spacing w:before="50" w:after="120" w:afterLines="50" w:line="360" w:lineRule="auto"/>
        <w:jc w:val="left"/>
        <w:rPr>
          <w:rFonts w:ascii="宋体" w:hAnsi="宋体"/>
          <w:sz w:val="24"/>
          <w:szCs w:val="20"/>
          <w:highlight w:val="none"/>
        </w:rPr>
      </w:pPr>
    </w:p>
    <w:p w14:paraId="6BA26CC2">
      <w:pPr>
        <w:snapToGrid w:val="0"/>
        <w:spacing w:before="50" w:after="50" w:line="360" w:lineRule="auto"/>
        <w:rPr>
          <w:rFonts w:ascii="宋体" w:hAnsi="宋体"/>
          <w:b/>
          <w:sz w:val="24"/>
          <w:szCs w:val="20"/>
          <w:highlight w:val="none"/>
        </w:rPr>
      </w:pPr>
      <w:r>
        <w:rPr>
          <w:rFonts w:hint="eastAsia" w:ascii="宋体" w:hAnsi="宋体"/>
          <w:b/>
          <w:spacing w:val="20"/>
          <w:sz w:val="24"/>
          <w:highlight w:val="none"/>
        </w:rPr>
        <w:t xml:space="preserve">法定代表人签字（或盖章）：            投标人（盖章）：          </w:t>
      </w:r>
    </w:p>
    <w:p w14:paraId="567BAB54">
      <w:pPr>
        <w:pStyle w:val="30"/>
        <w:snapToGrid w:val="0"/>
        <w:spacing w:beforeLines="0" w:afterLines="0" w:line="240" w:lineRule="auto"/>
        <w:rPr>
          <w:rFonts w:hAnsi="宋体"/>
          <w:b/>
          <w:highlight w:val="none"/>
        </w:rPr>
      </w:pPr>
    </w:p>
    <w:p w14:paraId="25D8D46C">
      <w:pPr>
        <w:pStyle w:val="30"/>
        <w:snapToGrid w:val="0"/>
        <w:spacing w:beforeLines="0" w:afterLines="0" w:line="240" w:lineRule="auto"/>
        <w:rPr>
          <w:rFonts w:hAnsi="宋体"/>
          <w:b/>
          <w:highlight w:val="none"/>
        </w:rPr>
      </w:pPr>
      <w:r>
        <w:rPr>
          <w:rFonts w:hint="eastAsia" w:hAnsi="宋体"/>
          <w:b/>
          <w:highlight w:val="none"/>
        </w:rPr>
        <w:t>日期：  _____年___月___日</w:t>
      </w:r>
    </w:p>
    <w:p w14:paraId="5C7F81FA">
      <w:pPr>
        <w:snapToGrid w:val="0"/>
        <w:spacing w:before="50" w:after="120" w:afterLines="50" w:line="440" w:lineRule="exact"/>
        <w:jc w:val="left"/>
        <w:rPr>
          <w:rFonts w:ascii="宋体" w:hAnsi="宋体" w:cs="宋体"/>
          <w:sz w:val="24"/>
          <w:highlight w:val="none"/>
        </w:rPr>
        <w:sectPr>
          <w:footerReference r:id="rId10" w:type="default"/>
          <w:footerReference r:id="rId11" w:type="even"/>
          <w:pgSz w:w="11906" w:h="16838"/>
          <w:pgMar w:top="1021" w:right="1588" w:bottom="851" w:left="1588" w:header="851" w:footer="851" w:gutter="0"/>
          <w:cols w:space="720" w:num="1"/>
        </w:sectPr>
      </w:pPr>
    </w:p>
    <w:p w14:paraId="2DE03C46">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0</w:t>
      </w:r>
      <w:r>
        <w:rPr>
          <w:rFonts w:hint="eastAsia" w:ascii="宋体" w:hAnsi="宋体" w:cs="宋体"/>
          <w:sz w:val="24"/>
          <w:highlight w:val="none"/>
        </w:rPr>
        <w:t>.售后服务网点情况表格式：</w:t>
      </w:r>
    </w:p>
    <w:p w14:paraId="636F3325">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 xml:space="preserve"> </w:t>
      </w:r>
    </w:p>
    <w:p w14:paraId="3C5C5D05">
      <w:pPr>
        <w:pStyle w:val="40"/>
        <w:snapToGrid w:val="0"/>
        <w:spacing w:line="440" w:lineRule="exact"/>
        <w:ind w:left="480" w:hanging="480"/>
        <w:rPr>
          <w:rFonts w:ascii="宋体" w:hAnsi="宋体" w:cs="宋体"/>
          <w:sz w:val="24"/>
          <w:highlight w:val="none"/>
        </w:rPr>
      </w:pPr>
    </w:p>
    <w:p w14:paraId="441A41F9">
      <w:pPr>
        <w:pStyle w:val="40"/>
        <w:snapToGrid w:val="0"/>
        <w:spacing w:line="440" w:lineRule="exact"/>
        <w:ind w:left="482" w:hanging="482"/>
        <w:jc w:val="center"/>
        <w:rPr>
          <w:rFonts w:ascii="宋体" w:hAnsi="宋体" w:cs="宋体"/>
          <w:b/>
          <w:sz w:val="24"/>
          <w:highlight w:val="none"/>
        </w:rPr>
      </w:pPr>
      <w:r>
        <w:rPr>
          <w:rFonts w:hint="eastAsia" w:ascii="宋体" w:hAnsi="宋体" w:cs="宋体"/>
          <w:b/>
          <w:sz w:val="24"/>
          <w:highlight w:val="none"/>
        </w:rPr>
        <w:t>售后服务网点情况表</w:t>
      </w:r>
    </w:p>
    <w:p w14:paraId="6709EAF1">
      <w:pPr>
        <w:snapToGrid w:val="0"/>
        <w:spacing w:before="120" w:beforeLines="50" w:after="50" w:line="440" w:lineRule="exact"/>
        <w:jc w:val="center"/>
        <w:rPr>
          <w:rFonts w:ascii="宋体" w:hAnsi="宋体" w:cs="宋体"/>
          <w:bCs/>
          <w:sz w:val="24"/>
          <w:highlight w:val="none"/>
        </w:rPr>
      </w:pPr>
    </w:p>
    <w:p w14:paraId="461CA941">
      <w:pPr>
        <w:snapToGrid w:val="0"/>
        <w:spacing w:before="120" w:beforeLines="50" w:after="50" w:line="440" w:lineRule="exact"/>
        <w:rPr>
          <w:rFonts w:ascii="宋体" w:hAnsi="宋体" w:cs="宋体"/>
          <w:bCs/>
          <w:sz w:val="24"/>
          <w:highlight w:val="none"/>
        </w:rPr>
      </w:pPr>
      <w:r>
        <w:rPr>
          <w:rFonts w:hint="eastAsia" w:ascii="宋体" w:hAnsi="宋体" w:cs="宋体"/>
          <w:bCs/>
          <w:sz w:val="24"/>
          <w:highlight w:val="none"/>
        </w:rPr>
        <w:t>项目名称：</w:t>
      </w:r>
    </w:p>
    <w:p w14:paraId="2D01D3FF">
      <w:pPr>
        <w:snapToGrid w:val="0"/>
        <w:spacing w:before="120" w:beforeLines="50" w:after="50" w:line="440" w:lineRule="exact"/>
        <w:rPr>
          <w:rFonts w:ascii="宋体" w:hAnsi="宋体" w:cs="宋体"/>
          <w:b/>
          <w:sz w:val="24"/>
          <w:highlight w:val="none"/>
        </w:rPr>
      </w:pPr>
      <w:r>
        <w:rPr>
          <w:rFonts w:hint="eastAsia" w:ascii="宋体" w:hAnsi="宋体" w:cs="宋体"/>
          <w:sz w:val="24"/>
          <w:highlight w:val="none"/>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F639A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2DDAB3F">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621CAA31">
            <w:pPr>
              <w:snapToGrid w:val="0"/>
              <w:spacing w:before="50" w:after="120" w:afterLines="50" w:line="440" w:lineRule="exact"/>
              <w:jc w:val="left"/>
              <w:rPr>
                <w:rFonts w:ascii="宋体" w:hAnsi="宋体" w:cs="宋体"/>
                <w:sz w:val="24"/>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4A2901A6">
            <w:pPr>
              <w:snapToGrid w:val="0"/>
              <w:spacing w:before="50" w:after="120" w:afterLines="50" w:line="440" w:lineRule="exact"/>
              <w:jc w:val="center"/>
              <w:rPr>
                <w:rFonts w:ascii="宋体" w:hAnsi="宋体" w:cs="宋体"/>
                <w:sz w:val="24"/>
                <w:highlight w:val="none"/>
              </w:rPr>
            </w:pPr>
            <w:r>
              <w:rPr>
                <w:rFonts w:hint="eastAsia" w:ascii="宋体" w:hAnsi="宋体" w:cs="宋体"/>
                <w:sz w:val="24"/>
                <w:highlight w:val="none"/>
              </w:rPr>
              <w:t>投标文件页码</w:t>
            </w:r>
          </w:p>
        </w:tc>
      </w:tr>
      <w:tr w14:paraId="377DDD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2666193">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9E411B8">
            <w:pPr>
              <w:snapToGrid w:val="0"/>
              <w:spacing w:before="50" w:after="120" w:afterLines="50" w:line="440" w:lineRule="exact"/>
              <w:jc w:val="left"/>
              <w:rPr>
                <w:rFonts w:ascii="宋体" w:hAnsi="宋体" w:cs="宋体"/>
                <w:sz w:val="24"/>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2E7B506">
            <w:pPr>
              <w:widowControl/>
              <w:spacing w:line="440" w:lineRule="exact"/>
              <w:jc w:val="left"/>
              <w:rPr>
                <w:rFonts w:ascii="宋体" w:hAnsi="宋体" w:cs="宋体"/>
                <w:sz w:val="24"/>
                <w:highlight w:val="none"/>
              </w:rPr>
            </w:pPr>
          </w:p>
        </w:tc>
      </w:tr>
      <w:tr w14:paraId="7769E5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131EBEC">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2AC955C1">
            <w:pPr>
              <w:snapToGrid w:val="0"/>
              <w:spacing w:before="50" w:after="120" w:afterLines="50" w:line="440" w:lineRule="exact"/>
              <w:jc w:val="left"/>
              <w:rPr>
                <w:rFonts w:ascii="宋体" w:hAnsi="宋体" w:cs="宋体"/>
                <w:sz w:val="24"/>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AC5A29B">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CA327C8">
            <w:pPr>
              <w:snapToGrid w:val="0"/>
              <w:spacing w:before="50" w:after="120" w:afterLines="50" w:line="440" w:lineRule="exact"/>
              <w:jc w:val="left"/>
              <w:rPr>
                <w:rFonts w:ascii="宋体" w:hAnsi="宋体" w:cs="宋体"/>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65E50C81">
            <w:pPr>
              <w:snapToGrid w:val="0"/>
              <w:spacing w:before="50" w:after="120" w:afterLines="50" w:line="440" w:lineRule="exact"/>
              <w:jc w:val="left"/>
              <w:rPr>
                <w:rFonts w:ascii="宋体" w:hAnsi="宋体" w:cs="宋体"/>
                <w:sz w:val="24"/>
                <w:highlight w:val="none"/>
              </w:rPr>
            </w:pPr>
          </w:p>
        </w:tc>
      </w:tr>
      <w:tr w14:paraId="1D1E3C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259CF58">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697DD63B">
            <w:pPr>
              <w:snapToGrid w:val="0"/>
              <w:spacing w:before="50" w:after="120" w:afterLines="50" w:line="440" w:lineRule="exact"/>
              <w:jc w:val="left"/>
              <w:rPr>
                <w:rFonts w:ascii="宋体" w:hAnsi="宋体" w:cs="宋体"/>
                <w:sz w:val="24"/>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53834A0F">
            <w:pPr>
              <w:snapToGrid w:val="0"/>
              <w:spacing w:before="50" w:after="120" w:afterLines="50" w:line="440" w:lineRule="exact"/>
              <w:ind w:left="120"/>
              <w:jc w:val="left"/>
              <w:rPr>
                <w:rFonts w:ascii="宋体" w:hAnsi="宋体" w:cs="宋体"/>
                <w:sz w:val="24"/>
                <w:highlight w:val="none"/>
              </w:rPr>
            </w:pPr>
            <w:r>
              <w:rPr>
                <w:rFonts w:hint="eastAsia" w:ascii="宋体" w:hAnsi="宋体" w:cs="宋体"/>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30536381">
            <w:pPr>
              <w:snapToGrid w:val="0"/>
              <w:spacing w:before="50" w:after="120" w:afterLines="50" w:line="440" w:lineRule="exact"/>
              <w:jc w:val="left"/>
              <w:rPr>
                <w:rFonts w:ascii="宋体" w:hAnsi="宋体" w:cs="宋体"/>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335C9577">
            <w:pPr>
              <w:snapToGrid w:val="0"/>
              <w:spacing w:before="50" w:after="120" w:afterLines="50" w:line="440" w:lineRule="exact"/>
              <w:jc w:val="left"/>
              <w:rPr>
                <w:rFonts w:ascii="宋体" w:hAnsi="宋体" w:cs="宋体"/>
                <w:sz w:val="24"/>
                <w:highlight w:val="none"/>
              </w:rPr>
            </w:pPr>
          </w:p>
        </w:tc>
      </w:tr>
      <w:tr w14:paraId="586E9D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1B4337B">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58A9C24">
            <w:pPr>
              <w:snapToGrid w:val="0"/>
              <w:spacing w:before="50" w:after="120" w:afterLines="50" w:line="440" w:lineRule="exact"/>
              <w:jc w:val="left"/>
              <w:rPr>
                <w:rFonts w:ascii="宋体" w:hAnsi="宋体" w:cs="宋体"/>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2C62B91E">
            <w:pPr>
              <w:snapToGrid w:val="0"/>
              <w:spacing w:before="50" w:after="120" w:afterLines="50" w:line="440" w:lineRule="exact"/>
              <w:jc w:val="left"/>
              <w:rPr>
                <w:rFonts w:ascii="宋体" w:hAnsi="宋体" w:cs="宋体"/>
                <w:sz w:val="24"/>
                <w:highlight w:val="none"/>
              </w:rPr>
            </w:pPr>
          </w:p>
        </w:tc>
      </w:tr>
      <w:tr w14:paraId="42D24A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4D9441E">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1E7A2F4D">
            <w:pPr>
              <w:snapToGrid w:val="0"/>
              <w:spacing w:before="50" w:after="120" w:afterLines="50" w:line="440" w:lineRule="exact"/>
              <w:jc w:val="left"/>
              <w:rPr>
                <w:rFonts w:ascii="宋体" w:hAnsi="宋体" w:cs="宋体"/>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52E10DBB">
            <w:pPr>
              <w:snapToGrid w:val="0"/>
              <w:spacing w:before="50" w:after="120" w:afterLines="50" w:line="440" w:lineRule="exact"/>
              <w:jc w:val="left"/>
              <w:rPr>
                <w:rFonts w:ascii="宋体" w:hAnsi="宋体" w:cs="宋体"/>
                <w:sz w:val="24"/>
                <w:highlight w:val="none"/>
              </w:rPr>
            </w:pPr>
          </w:p>
        </w:tc>
      </w:tr>
      <w:tr w14:paraId="3ED33C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18B1DC2">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A3EF6FD">
            <w:pPr>
              <w:snapToGrid w:val="0"/>
              <w:spacing w:before="50" w:after="120" w:afterLines="50" w:line="440" w:lineRule="exact"/>
              <w:jc w:val="left"/>
              <w:rPr>
                <w:rFonts w:ascii="宋体" w:hAnsi="宋体" w:cs="宋体"/>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43E419EB">
            <w:pPr>
              <w:snapToGrid w:val="0"/>
              <w:spacing w:before="50" w:after="120" w:afterLines="50" w:line="440" w:lineRule="exact"/>
              <w:jc w:val="left"/>
              <w:rPr>
                <w:rFonts w:ascii="宋体" w:hAnsi="宋体" w:cs="宋体"/>
                <w:sz w:val="24"/>
                <w:highlight w:val="none"/>
              </w:rPr>
            </w:pPr>
          </w:p>
        </w:tc>
      </w:tr>
      <w:tr w14:paraId="478118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798C5AA">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7FC894CA">
            <w:pPr>
              <w:snapToGrid w:val="0"/>
              <w:spacing w:before="50" w:after="120" w:afterLines="50" w:line="440" w:lineRule="exact"/>
              <w:jc w:val="left"/>
              <w:rPr>
                <w:rFonts w:ascii="宋体" w:hAnsi="宋体" w:cs="宋体"/>
                <w:sz w:val="24"/>
                <w:highlight w:val="none"/>
              </w:rPr>
            </w:pPr>
          </w:p>
        </w:tc>
        <w:tc>
          <w:tcPr>
            <w:tcW w:w="1326" w:type="dxa"/>
            <w:tcBorders>
              <w:top w:val="single" w:color="auto" w:sz="4" w:space="0"/>
              <w:left w:val="single" w:color="auto" w:sz="2" w:space="0"/>
              <w:bottom w:val="single" w:color="auto" w:sz="4" w:space="0"/>
              <w:right w:val="single" w:color="auto" w:sz="2" w:space="0"/>
            </w:tcBorders>
          </w:tcPr>
          <w:p w14:paraId="43C3B0F0">
            <w:pPr>
              <w:snapToGrid w:val="0"/>
              <w:spacing w:before="50" w:after="120" w:afterLines="50" w:line="440" w:lineRule="exact"/>
              <w:jc w:val="center"/>
              <w:rPr>
                <w:rFonts w:ascii="宋体" w:hAnsi="宋体" w:cs="宋体"/>
                <w:sz w:val="24"/>
                <w:highlight w:val="none"/>
              </w:rPr>
            </w:pPr>
            <w:r>
              <w:rPr>
                <w:rFonts w:hint="eastAsia" w:ascii="宋体" w:hAnsi="宋体" w:cs="宋体"/>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3795F8D">
            <w:pPr>
              <w:snapToGrid w:val="0"/>
              <w:spacing w:before="50" w:after="120" w:afterLines="50" w:line="440" w:lineRule="exact"/>
              <w:jc w:val="left"/>
              <w:rPr>
                <w:rFonts w:ascii="宋体" w:hAnsi="宋体" w:cs="宋体"/>
                <w:sz w:val="24"/>
                <w:highlight w:val="none"/>
              </w:rPr>
            </w:pPr>
          </w:p>
        </w:tc>
        <w:tc>
          <w:tcPr>
            <w:tcW w:w="1080" w:type="dxa"/>
            <w:tcBorders>
              <w:top w:val="single" w:color="auto" w:sz="4" w:space="0"/>
              <w:left w:val="single" w:color="auto" w:sz="2" w:space="0"/>
              <w:bottom w:val="single" w:color="auto" w:sz="4" w:space="0"/>
              <w:right w:val="single" w:color="auto" w:sz="4" w:space="0"/>
            </w:tcBorders>
          </w:tcPr>
          <w:p w14:paraId="69EF7A66">
            <w:pPr>
              <w:snapToGrid w:val="0"/>
              <w:spacing w:before="50" w:after="120" w:afterLines="50" w:line="440" w:lineRule="exact"/>
              <w:jc w:val="left"/>
              <w:rPr>
                <w:rFonts w:ascii="宋体" w:hAnsi="宋体" w:cs="宋体"/>
                <w:sz w:val="24"/>
                <w:highlight w:val="none"/>
              </w:rPr>
            </w:pPr>
          </w:p>
        </w:tc>
      </w:tr>
      <w:tr w14:paraId="71C052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9BF7146">
            <w:pPr>
              <w:snapToGrid w:val="0"/>
              <w:spacing w:before="50" w:after="120" w:afterLines="50" w:line="440" w:lineRule="exact"/>
              <w:jc w:val="left"/>
              <w:rPr>
                <w:rFonts w:ascii="宋体" w:hAnsi="宋体" w:cs="宋体"/>
                <w:sz w:val="24"/>
                <w:highlight w:val="none"/>
              </w:rPr>
            </w:pPr>
            <w:r>
              <w:rPr>
                <w:rFonts w:hint="eastAsia" w:ascii="宋体" w:hAnsi="宋体" w:cs="宋体"/>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D8DDD93">
            <w:pPr>
              <w:snapToGrid w:val="0"/>
              <w:spacing w:before="50" w:after="120" w:afterLines="50" w:line="440" w:lineRule="exact"/>
              <w:jc w:val="left"/>
              <w:rPr>
                <w:rFonts w:ascii="宋体" w:hAnsi="宋体" w:cs="宋体"/>
                <w:sz w:val="24"/>
                <w:highlight w:val="none"/>
              </w:rPr>
            </w:pPr>
          </w:p>
        </w:tc>
        <w:tc>
          <w:tcPr>
            <w:tcW w:w="1326" w:type="dxa"/>
            <w:tcBorders>
              <w:top w:val="single" w:color="auto" w:sz="4" w:space="0"/>
              <w:left w:val="single" w:color="auto" w:sz="2" w:space="0"/>
              <w:bottom w:val="single" w:color="auto" w:sz="4" w:space="0"/>
              <w:right w:val="single" w:color="auto" w:sz="2" w:space="0"/>
            </w:tcBorders>
          </w:tcPr>
          <w:p w14:paraId="6A100D4A">
            <w:pPr>
              <w:snapToGrid w:val="0"/>
              <w:spacing w:before="50" w:after="120" w:afterLines="50" w:line="440" w:lineRule="exact"/>
              <w:jc w:val="center"/>
              <w:rPr>
                <w:rFonts w:ascii="宋体" w:hAnsi="宋体" w:cs="宋体"/>
                <w:sz w:val="24"/>
                <w:highlight w:val="none"/>
              </w:rPr>
            </w:pPr>
            <w:r>
              <w:rPr>
                <w:rFonts w:hint="eastAsia" w:ascii="宋体" w:hAnsi="宋体" w:cs="宋体"/>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371C520">
            <w:pPr>
              <w:snapToGrid w:val="0"/>
              <w:spacing w:before="50" w:after="120" w:afterLines="50" w:line="440" w:lineRule="exact"/>
              <w:jc w:val="left"/>
              <w:rPr>
                <w:rFonts w:ascii="宋体" w:hAnsi="宋体" w:cs="宋体"/>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28EDA888">
            <w:pPr>
              <w:snapToGrid w:val="0"/>
              <w:spacing w:before="50" w:after="120" w:afterLines="50" w:line="440" w:lineRule="exact"/>
              <w:jc w:val="left"/>
              <w:rPr>
                <w:rFonts w:ascii="宋体" w:hAnsi="宋体" w:cs="宋体"/>
                <w:sz w:val="24"/>
                <w:highlight w:val="none"/>
              </w:rPr>
            </w:pPr>
          </w:p>
        </w:tc>
      </w:tr>
    </w:tbl>
    <w:p w14:paraId="1312E5B2">
      <w:pPr>
        <w:pStyle w:val="40"/>
        <w:snapToGrid w:val="0"/>
        <w:spacing w:line="440" w:lineRule="exact"/>
        <w:ind w:left="199" w:hanging="199" w:hangingChars="83"/>
        <w:rPr>
          <w:rFonts w:ascii="宋体" w:hAnsi="宋体" w:cs="宋体"/>
          <w:sz w:val="24"/>
          <w:highlight w:val="none"/>
        </w:rPr>
      </w:pPr>
    </w:p>
    <w:p w14:paraId="2F8F906C">
      <w:pPr>
        <w:pStyle w:val="16"/>
        <w:snapToGrid w:val="0"/>
        <w:spacing w:line="440" w:lineRule="exact"/>
        <w:rPr>
          <w:rFonts w:ascii="宋体" w:hAnsi="宋体" w:eastAsia="宋体" w:cs="宋体"/>
          <w:sz w:val="24"/>
          <w:szCs w:val="24"/>
          <w:highlight w:val="none"/>
        </w:rPr>
      </w:pPr>
    </w:p>
    <w:p w14:paraId="60A68EE0">
      <w:pPr>
        <w:pStyle w:val="2"/>
        <w:snapToGrid w:val="0"/>
        <w:spacing w:line="440" w:lineRule="exact"/>
        <w:rPr>
          <w:rFonts w:ascii="宋体" w:hAnsi="宋体" w:cs="宋体"/>
          <w:b/>
          <w:sz w:val="24"/>
          <w:highlight w:val="none"/>
        </w:rPr>
      </w:pPr>
      <w:r>
        <w:rPr>
          <w:rFonts w:hint="eastAsia" w:ascii="宋体" w:hAnsi="宋体" w:cs="宋体"/>
          <w:b/>
          <w:spacing w:val="20"/>
          <w:sz w:val="24"/>
          <w:highlight w:val="none"/>
        </w:rPr>
        <w:t xml:space="preserve">法定代表人签字（或盖章）：            投标人（盖章）： </w:t>
      </w:r>
      <w:r>
        <w:rPr>
          <w:rFonts w:hint="eastAsia" w:ascii="宋体" w:hAnsi="宋体" w:cs="宋体"/>
          <w:b/>
          <w:sz w:val="24"/>
          <w:highlight w:val="none"/>
        </w:rPr>
        <w:t xml:space="preserve">           　 </w:t>
      </w:r>
    </w:p>
    <w:p w14:paraId="2ECDF112">
      <w:pPr>
        <w:pStyle w:val="2"/>
        <w:snapToGrid w:val="0"/>
        <w:spacing w:line="440" w:lineRule="exact"/>
        <w:rPr>
          <w:rFonts w:ascii="宋体" w:hAnsi="宋体" w:cs="宋体"/>
          <w:b/>
          <w:sz w:val="24"/>
          <w:highlight w:val="none"/>
        </w:rPr>
      </w:pPr>
    </w:p>
    <w:p w14:paraId="2D3AA8B6">
      <w:pPr>
        <w:snapToGrid w:val="0"/>
        <w:spacing w:before="50" w:after="120" w:afterLines="50" w:line="440" w:lineRule="exact"/>
        <w:jc w:val="left"/>
        <w:rPr>
          <w:rFonts w:ascii="宋体" w:hAnsi="宋体" w:cs="宋体"/>
          <w:b/>
          <w:sz w:val="24"/>
          <w:highlight w:val="none"/>
        </w:rPr>
      </w:pPr>
      <w:r>
        <w:rPr>
          <w:rFonts w:hint="eastAsia" w:ascii="宋体" w:hAnsi="宋体" w:cs="宋体"/>
          <w:b/>
          <w:kern w:val="0"/>
          <w:sz w:val="24"/>
          <w:highlight w:val="none"/>
        </w:rPr>
        <w:t>日期：  _____年___月___日</w:t>
      </w:r>
    </w:p>
    <w:p w14:paraId="3C27EED8">
      <w:pPr>
        <w:snapToGrid w:val="0"/>
        <w:spacing w:before="50" w:line="440" w:lineRule="exact"/>
        <w:jc w:val="left"/>
        <w:rPr>
          <w:rFonts w:ascii="宋体" w:hAnsi="宋体" w:cs="宋体"/>
          <w:sz w:val="24"/>
          <w:highlight w:val="none"/>
        </w:rPr>
      </w:pPr>
    </w:p>
    <w:p w14:paraId="55C959FC">
      <w:pPr>
        <w:snapToGrid w:val="0"/>
        <w:spacing w:before="50" w:line="440" w:lineRule="exact"/>
        <w:jc w:val="left"/>
        <w:rPr>
          <w:rFonts w:ascii="宋体" w:hAnsi="宋体" w:cs="宋体"/>
          <w:sz w:val="24"/>
          <w:highlight w:val="none"/>
        </w:rPr>
      </w:pPr>
    </w:p>
    <w:p w14:paraId="4396161E">
      <w:pPr>
        <w:snapToGrid w:val="0"/>
        <w:spacing w:before="50" w:line="440" w:lineRule="exact"/>
        <w:jc w:val="left"/>
        <w:rPr>
          <w:rFonts w:ascii="宋体" w:hAnsi="宋体" w:cs="宋体"/>
          <w:sz w:val="24"/>
          <w:highlight w:val="none"/>
        </w:rPr>
      </w:pPr>
      <w:r>
        <w:rPr>
          <w:rFonts w:hint="eastAsia" w:ascii="宋体" w:hAnsi="宋体" w:cs="宋体"/>
          <w:sz w:val="24"/>
          <w:highlight w:val="none"/>
        </w:rPr>
        <w:br w:type="page"/>
      </w:r>
      <w:bookmarkStart w:id="90" w:name="_Hlk77588362"/>
      <w:r>
        <w:rPr>
          <w:rFonts w:hint="eastAsia" w:ascii="宋体" w:hAnsi="宋体" w:cs="宋体"/>
          <w:sz w:val="24"/>
          <w:highlight w:val="none"/>
        </w:rPr>
        <w:t>1</w:t>
      </w:r>
      <w:r>
        <w:rPr>
          <w:rFonts w:hint="eastAsia" w:ascii="宋体" w:hAnsi="宋体" w:cs="宋体"/>
          <w:sz w:val="24"/>
          <w:highlight w:val="none"/>
          <w:lang w:val="en-US" w:eastAsia="zh-CN"/>
        </w:rPr>
        <w:t>1</w:t>
      </w:r>
      <w:r>
        <w:rPr>
          <w:rFonts w:hint="eastAsia" w:ascii="宋体" w:hAnsi="宋体" w:cs="宋体"/>
          <w:sz w:val="24"/>
          <w:highlight w:val="none"/>
        </w:rPr>
        <w:t>.商务及技术响应表格式：</w:t>
      </w:r>
      <w:bookmarkEnd w:id="90"/>
    </w:p>
    <w:p w14:paraId="05D39652">
      <w:pPr>
        <w:snapToGrid w:val="0"/>
        <w:spacing w:before="50" w:line="440" w:lineRule="exact"/>
        <w:jc w:val="left"/>
        <w:rPr>
          <w:rFonts w:ascii="宋体" w:hAnsi="宋体" w:cs="宋体"/>
          <w:sz w:val="24"/>
          <w:highlight w:val="none"/>
        </w:rPr>
      </w:pPr>
    </w:p>
    <w:p w14:paraId="3D19F636">
      <w:pPr>
        <w:snapToGrid w:val="0"/>
        <w:spacing w:before="50" w:line="440" w:lineRule="exact"/>
        <w:jc w:val="center"/>
        <w:rPr>
          <w:rFonts w:ascii="宋体" w:hAnsi="宋体" w:cs="宋体"/>
          <w:b/>
          <w:sz w:val="24"/>
          <w:highlight w:val="none"/>
        </w:rPr>
      </w:pPr>
      <w:r>
        <w:rPr>
          <w:rFonts w:hint="eastAsia" w:ascii="宋体" w:hAnsi="宋体" w:cs="宋体"/>
          <w:b/>
          <w:sz w:val="24"/>
          <w:highlight w:val="none"/>
        </w:rPr>
        <w:t>商务及技术响应表</w:t>
      </w:r>
    </w:p>
    <w:p w14:paraId="5767D2B6">
      <w:pPr>
        <w:snapToGrid w:val="0"/>
        <w:spacing w:before="120" w:beforeLines="50" w:after="50" w:line="440" w:lineRule="exact"/>
        <w:jc w:val="center"/>
        <w:rPr>
          <w:rFonts w:ascii="宋体" w:hAnsi="宋体" w:cs="宋体"/>
          <w:bCs/>
          <w:sz w:val="24"/>
          <w:highlight w:val="none"/>
        </w:rPr>
      </w:pPr>
    </w:p>
    <w:p w14:paraId="22537F16">
      <w:pPr>
        <w:snapToGrid w:val="0"/>
        <w:spacing w:before="120" w:beforeLines="50" w:after="50" w:line="440" w:lineRule="exact"/>
        <w:rPr>
          <w:rFonts w:ascii="宋体" w:hAnsi="宋体" w:cs="宋体"/>
          <w:sz w:val="24"/>
          <w:highlight w:val="none"/>
        </w:rPr>
      </w:pPr>
      <w:r>
        <w:rPr>
          <w:rFonts w:hint="eastAsia" w:ascii="宋体" w:hAnsi="宋体" w:cs="宋体"/>
          <w:bCs/>
          <w:sz w:val="24"/>
          <w:highlight w:val="none"/>
        </w:rPr>
        <w:t>项目名称：</w:t>
      </w:r>
    </w:p>
    <w:p w14:paraId="169FD0CA">
      <w:pPr>
        <w:snapToGrid w:val="0"/>
        <w:spacing w:before="120" w:beforeLines="50" w:after="50" w:line="440" w:lineRule="exact"/>
        <w:rPr>
          <w:rFonts w:ascii="宋体" w:hAnsi="宋体" w:cs="宋体"/>
          <w:b/>
          <w:sz w:val="24"/>
          <w:highlight w:val="none"/>
        </w:rPr>
      </w:pPr>
      <w:r>
        <w:rPr>
          <w:rFonts w:hint="eastAsia" w:ascii="宋体" w:hAnsi="宋体" w:cs="宋体"/>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6D11C3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098636D3">
            <w:pPr>
              <w:snapToGrid w:val="0"/>
              <w:spacing w:before="120" w:beforeLines="50" w:line="440" w:lineRule="exact"/>
              <w:jc w:val="center"/>
              <w:rPr>
                <w:rFonts w:ascii="宋体" w:hAnsi="宋体" w:cs="宋体"/>
                <w:b/>
                <w:sz w:val="24"/>
                <w:highlight w:val="none"/>
              </w:rPr>
            </w:pPr>
            <w:r>
              <w:rPr>
                <w:rFonts w:hint="eastAsia" w:ascii="宋体" w:hAnsi="宋体" w:cs="宋体"/>
                <w:b/>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0397177A">
            <w:pPr>
              <w:snapToGrid w:val="0"/>
              <w:spacing w:before="120" w:beforeLines="50" w:line="440" w:lineRule="exact"/>
              <w:jc w:val="center"/>
              <w:rPr>
                <w:rFonts w:ascii="宋体" w:hAnsi="宋体" w:cs="宋体"/>
                <w:b/>
                <w:sz w:val="24"/>
                <w:highlight w:val="none"/>
              </w:rPr>
            </w:pPr>
            <w:r>
              <w:rPr>
                <w:rFonts w:hint="eastAsia" w:ascii="宋体" w:hAnsi="宋体" w:cs="宋体"/>
                <w:b/>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72AB1A32">
            <w:pPr>
              <w:snapToGrid w:val="0"/>
              <w:spacing w:before="120" w:beforeLines="50" w:line="440" w:lineRule="exact"/>
              <w:jc w:val="center"/>
              <w:rPr>
                <w:rFonts w:ascii="宋体" w:hAnsi="宋体" w:cs="宋体"/>
                <w:b/>
                <w:sz w:val="24"/>
                <w:highlight w:val="none"/>
              </w:rPr>
            </w:pPr>
            <w:r>
              <w:rPr>
                <w:rFonts w:hint="eastAsia" w:ascii="宋体" w:hAnsi="宋体" w:cs="宋体"/>
                <w:b/>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42298A1E">
            <w:pPr>
              <w:snapToGrid w:val="0"/>
              <w:spacing w:before="120" w:beforeLines="50" w:line="440" w:lineRule="exact"/>
              <w:jc w:val="center"/>
              <w:rPr>
                <w:rFonts w:ascii="宋体" w:hAnsi="宋体" w:cs="宋体"/>
                <w:b/>
                <w:sz w:val="24"/>
                <w:highlight w:val="none"/>
              </w:rPr>
            </w:pPr>
            <w:r>
              <w:rPr>
                <w:rFonts w:hint="eastAsia" w:ascii="宋体" w:hAnsi="宋体" w:cs="宋体"/>
                <w:b/>
                <w:sz w:val="24"/>
                <w:highlight w:val="none"/>
              </w:rPr>
              <w:t>是否</w:t>
            </w:r>
          </w:p>
          <w:p w14:paraId="2341BF2A">
            <w:pPr>
              <w:snapToGrid w:val="0"/>
              <w:spacing w:before="120" w:beforeLines="50" w:line="440" w:lineRule="exact"/>
              <w:jc w:val="center"/>
              <w:rPr>
                <w:rFonts w:ascii="宋体" w:hAnsi="宋体" w:cs="宋体"/>
                <w:b/>
                <w:sz w:val="24"/>
                <w:highlight w:val="none"/>
              </w:rPr>
            </w:pPr>
            <w:r>
              <w:rPr>
                <w:rFonts w:hint="eastAsia" w:ascii="宋体" w:hAnsi="宋体" w:cs="宋体"/>
                <w:b/>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5DA52844">
            <w:pPr>
              <w:snapToGrid w:val="0"/>
              <w:spacing w:before="120" w:beforeLines="50" w:line="440" w:lineRule="exact"/>
              <w:jc w:val="center"/>
              <w:rPr>
                <w:rFonts w:ascii="宋体" w:hAnsi="宋体" w:cs="宋体"/>
                <w:b/>
                <w:sz w:val="24"/>
                <w:highlight w:val="none"/>
              </w:rPr>
            </w:pPr>
            <w:r>
              <w:rPr>
                <w:rFonts w:hint="eastAsia" w:ascii="宋体" w:hAnsi="宋体" w:cs="宋体"/>
                <w:b/>
                <w:sz w:val="24"/>
                <w:highlight w:val="none"/>
              </w:rPr>
              <w:t>投标人的承诺或说明</w:t>
            </w:r>
          </w:p>
        </w:tc>
        <w:tc>
          <w:tcPr>
            <w:tcW w:w="1701" w:type="dxa"/>
            <w:tcBorders>
              <w:top w:val="single" w:color="auto" w:sz="4" w:space="0"/>
              <w:left w:val="single" w:color="auto" w:sz="4" w:space="0"/>
              <w:bottom w:val="single" w:color="auto" w:sz="4" w:space="0"/>
              <w:right w:val="single" w:color="auto" w:sz="4" w:space="0"/>
            </w:tcBorders>
            <w:vAlign w:val="center"/>
          </w:tcPr>
          <w:p w14:paraId="7502BFD7">
            <w:pPr>
              <w:snapToGrid w:val="0"/>
              <w:spacing w:before="120" w:beforeLines="50" w:line="440" w:lineRule="exact"/>
              <w:jc w:val="center"/>
              <w:rPr>
                <w:rFonts w:ascii="宋体" w:hAnsi="宋体" w:cs="宋体"/>
                <w:b/>
                <w:sz w:val="24"/>
                <w:highlight w:val="none"/>
              </w:rPr>
            </w:pPr>
            <w:r>
              <w:rPr>
                <w:rFonts w:hint="eastAsia" w:ascii="宋体" w:hAnsi="宋体" w:cs="宋体"/>
                <w:b/>
                <w:sz w:val="24"/>
                <w:highlight w:val="none"/>
              </w:rPr>
              <w:t>相应内容在投标文件中页码</w:t>
            </w:r>
          </w:p>
        </w:tc>
      </w:tr>
      <w:tr w14:paraId="613DD1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19533712">
            <w:pPr>
              <w:snapToGrid w:val="0"/>
              <w:spacing w:before="120" w:beforeLines="50" w:line="440" w:lineRule="exact"/>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5F01FD5">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46C050">
            <w:pPr>
              <w:snapToGrid w:val="0"/>
              <w:spacing w:before="120" w:beforeLines="50" w:line="440" w:lineRule="exact"/>
              <w:rPr>
                <w:rFonts w:ascii="宋体" w:hAnsi="宋体" w:cs="宋体"/>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4919253B">
            <w:pPr>
              <w:snapToGrid w:val="0"/>
              <w:spacing w:before="120" w:beforeLines="50" w:line="440" w:lineRule="exact"/>
              <w:rPr>
                <w:rFonts w:ascii="宋体" w:hAnsi="宋体" w:cs="宋体"/>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2D9F19C9">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A4BA6F5">
            <w:pPr>
              <w:snapToGrid w:val="0"/>
              <w:spacing w:before="120" w:beforeLines="50" w:line="440" w:lineRule="exact"/>
              <w:rPr>
                <w:rFonts w:ascii="宋体" w:hAnsi="宋体" w:cs="宋体"/>
                <w:sz w:val="24"/>
                <w:highlight w:val="none"/>
              </w:rPr>
            </w:pPr>
          </w:p>
        </w:tc>
      </w:tr>
      <w:tr w14:paraId="70CAC7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7C78D105">
            <w:pPr>
              <w:snapToGrid w:val="0"/>
              <w:spacing w:before="120" w:beforeLines="50" w:line="440" w:lineRule="exact"/>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33B5C52">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CBF5525">
            <w:pPr>
              <w:snapToGrid w:val="0"/>
              <w:spacing w:before="120" w:beforeLines="50" w:line="440" w:lineRule="exact"/>
              <w:rPr>
                <w:rFonts w:ascii="宋体" w:hAnsi="宋体" w:cs="宋体"/>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621BF941">
            <w:pPr>
              <w:snapToGrid w:val="0"/>
              <w:spacing w:before="120" w:beforeLines="50" w:line="440" w:lineRule="exact"/>
              <w:rPr>
                <w:rFonts w:ascii="宋体" w:hAnsi="宋体" w:cs="宋体"/>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4D0FCF26">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3F82222">
            <w:pPr>
              <w:snapToGrid w:val="0"/>
              <w:spacing w:before="120" w:beforeLines="50" w:line="440" w:lineRule="exact"/>
              <w:rPr>
                <w:rFonts w:ascii="宋体" w:hAnsi="宋体" w:cs="宋体"/>
                <w:sz w:val="24"/>
                <w:highlight w:val="none"/>
              </w:rPr>
            </w:pPr>
          </w:p>
        </w:tc>
      </w:tr>
      <w:tr w14:paraId="6BF0F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7018BD5C">
            <w:pPr>
              <w:snapToGrid w:val="0"/>
              <w:spacing w:before="120" w:beforeLines="50" w:line="440" w:lineRule="exact"/>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4959361">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883BE54">
            <w:pPr>
              <w:snapToGrid w:val="0"/>
              <w:spacing w:before="120" w:beforeLines="50" w:line="440" w:lineRule="exact"/>
              <w:rPr>
                <w:rFonts w:ascii="宋体" w:hAnsi="宋体" w:cs="宋体"/>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03DACA56">
            <w:pPr>
              <w:snapToGrid w:val="0"/>
              <w:spacing w:before="120" w:beforeLines="50" w:line="440" w:lineRule="exact"/>
              <w:ind w:left="86"/>
              <w:rPr>
                <w:rFonts w:ascii="宋体" w:hAnsi="宋体" w:cs="宋体"/>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3D3FB81E">
            <w:pPr>
              <w:snapToGrid w:val="0"/>
              <w:spacing w:before="120" w:beforeLines="50" w:line="440" w:lineRule="exact"/>
              <w:ind w:left="86"/>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D2D5140">
            <w:pPr>
              <w:snapToGrid w:val="0"/>
              <w:spacing w:before="120" w:beforeLines="50" w:line="440" w:lineRule="exact"/>
              <w:ind w:left="86"/>
              <w:rPr>
                <w:rFonts w:ascii="宋体" w:hAnsi="宋体" w:cs="宋体"/>
                <w:sz w:val="24"/>
                <w:highlight w:val="none"/>
              </w:rPr>
            </w:pPr>
          </w:p>
        </w:tc>
      </w:tr>
      <w:tr w14:paraId="3586E9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49156FF4">
            <w:pPr>
              <w:snapToGrid w:val="0"/>
              <w:spacing w:before="120" w:beforeLines="50" w:line="440" w:lineRule="exact"/>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328B476">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1DCB177">
            <w:pPr>
              <w:snapToGrid w:val="0"/>
              <w:spacing w:before="120" w:beforeLines="50" w:line="440" w:lineRule="exact"/>
              <w:rPr>
                <w:rFonts w:ascii="宋体" w:hAnsi="宋体" w:cs="宋体"/>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0C91BE18">
            <w:pPr>
              <w:snapToGrid w:val="0"/>
              <w:spacing w:before="120" w:beforeLines="50" w:line="440" w:lineRule="exact"/>
              <w:rPr>
                <w:rFonts w:ascii="宋体" w:hAnsi="宋体" w:cs="宋体"/>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24FDD673">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6278329">
            <w:pPr>
              <w:snapToGrid w:val="0"/>
              <w:spacing w:before="120" w:beforeLines="50" w:line="440" w:lineRule="exact"/>
              <w:rPr>
                <w:rFonts w:ascii="宋体" w:hAnsi="宋体" w:cs="宋体"/>
                <w:sz w:val="24"/>
                <w:highlight w:val="none"/>
              </w:rPr>
            </w:pPr>
          </w:p>
        </w:tc>
      </w:tr>
      <w:tr w14:paraId="09676F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7FC1932A">
            <w:pPr>
              <w:snapToGrid w:val="0"/>
              <w:spacing w:before="120" w:beforeLines="50" w:line="440" w:lineRule="exact"/>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C5753FF">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8DE3FCC">
            <w:pPr>
              <w:snapToGrid w:val="0"/>
              <w:spacing w:before="120" w:beforeLines="50" w:line="440" w:lineRule="exact"/>
              <w:rPr>
                <w:rFonts w:ascii="宋体" w:hAnsi="宋体" w:cs="宋体"/>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17BE2984">
            <w:pPr>
              <w:snapToGrid w:val="0"/>
              <w:spacing w:before="120" w:beforeLines="50" w:line="440" w:lineRule="exact"/>
              <w:rPr>
                <w:rFonts w:ascii="宋体" w:hAnsi="宋体" w:cs="宋体"/>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2C2F0670">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7722622">
            <w:pPr>
              <w:snapToGrid w:val="0"/>
              <w:spacing w:before="120" w:beforeLines="50" w:line="440" w:lineRule="exact"/>
              <w:rPr>
                <w:rFonts w:ascii="宋体" w:hAnsi="宋体" w:cs="宋体"/>
                <w:sz w:val="24"/>
                <w:highlight w:val="none"/>
              </w:rPr>
            </w:pPr>
          </w:p>
        </w:tc>
      </w:tr>
      <w:tr w14:paraId="1BB75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08EA23A2">
            <w:pPr>
              <w:snapToGrid w:val="0"/>
              <w:spacing w:before="120" w:beforeLines="50" w:line="440" w:lineRule="exact"/>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AEAA279">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5D51A99">
            <w:pPr>
              <w:snapToGrid w:val="0"/>
              <w:spacing w:before="120" w:beforeLines="50" w:line="440" w:lineRule="exact"/>
              <w:rPr>
                <w:rFonts w:ascii="宋体" w:hAnsi="宋体" w:cs="宋体"/>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05994597">
            <w:pPr>
              <w:snapToGrid w:val="0"/>
              <w:spacing w:before="120" w:beforeLines="50" w:line="440" w:lineRule="exact"/>
              <w:rPr>
                <w:rFonts w:ascii="宋体" w:hAnsi="宋体" w:cs="宋体"/>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6F147A05">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F2F982">
            <w:pPr>
              <w:snapToGrid w:val="0"/>
              <w:spacing w:before="120" w:beforeLines="50" w:line="440" w:lineRule="exact"/>
              <w:rPr>
                <w:rFonts w:ascii="宋体" w:hAnsi="宋体" w:cs="宋体"/>
                <w:sz w:val="24"/>
                <w:highlight w:val="none"/>
              </w:rPr>
            </w:pPr>
          </w:p>
        </w:tc>
      </w:tr>
      <w:tr w14:paraId="73644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FB050A0">
            <w:pPr>
              <w:snapToGrid w:val="0"/>
              <w:spacing w:before="120" w:beforeLines="50" w:line="440" w:lineRule="exact"/>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446789C">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86DE4A2">
            <w:pPr>
              <w:snapToGrid w:val="0"/>
              <w:spacing w:before="120" w:beforeLines="50" w:line="440" w:lineRule="exact"/>
              <w:rPr>
                <w:rFonts w:ascii="宋体" w:hAnsi="宋体" w:cs="宋体"/>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35ACEFB3">
            <w:pPr>
              <w:snapToGrid w:val="0"/>
              <w:spacing w:before="120" w:beforeLines="50" w:line="440" w:lineRule="exact"/>
              <w:rPr>
                <w:rFonts w:ascii="宋体" w:hAnsi="宋体" w:cs="宋体"/>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48376B53">
            <w:pPr>
              <w:snapToGrid w:val="0"/>
              <w:spacing w:before="120" w:beforeLines="50" w:line="440" w:lineRule="exact"/>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6CE0FF1">
            <w:pPr>
              <w:snapToGrid w:val="0"/>
              <w:spacing w:before="120" w:beforeLines="50" w:line="440" w:lineRule="exact"/>
              <w:rPr>
                <w:rFonts w:ascii="宋体" w:hAnsi="宋体" w:cs="宋体"/>
                <w:sz w:val="24"/>
                <w:highlight w:val="none"/>
              </w:rPr>
            </w:pPr>
          </w:p>
        </w:tc>
      </w:tr>
    </w:tbl>
    <w:p w14:paraId="4C5B0DEE">
      <w:pPr>
        <w:snapToGrid w:val="0"/>
        <w:spacing w:line="440" w:lineRule="exact"/>
        <w:rPr>
          <w:rFonts w:ascii="宋体" w:hAnsi="宋体" w:cs="宋体"/>
          <w:b/>
          <w:sz w:val="24"/>
          <w:highlight w:val="none"/>
          <w:u w:val="single"/>
        </w:rPr>
      </w:pPr>
      <w:r>
        <w:rPr>
          <w:rFonts w:hint="eastAsia" w:ascii="宋体" w:hAnsi="宋体" w:cs="宋体"/>
          <w:b/>
          <w:sz w:val="24"/>
          <w:highlight w:val="none"/>
          <w:u w:val="single"/>
        </w:rPr>
        <w:t>特别说明：</w:t>
      </w:r>
    </w:p>
    <w:p w14:paraId="05E7F9AC">
      <w:pPr>
        <w:snapToGrid w:val="0"/>
        <w:spacing w:line="440" w:lineRule="exact"/>
        <w:rPr>
          <w:rFonts w:ascii="宋体" w:hAnsi="宋体" w:cs="宋体"/>
          <w:b/>
          <w:sz w:val="24"/>
          <w:highlight w:val="none"/>
          <w:u w:val="single"/>
        </w:rPr>
      </w:pPr>
      <w:r>
        <w:rPr>
          <w:rFonts w:hint="eastAsia" w:ascii="宋体" w:hAnsi="宋体" w:cs="宋体"/>
          <w:b/>
          <w:sz w:val="24"/>
          <w:highlight w:val="none"/>
          <w:u w:val="single"/>
        </w:rPr>
        <w:t>投标人应在此表中将招标文件中列明</w:t>
      </w:r>
      <w:bookmarkStart w:id="91" w:name="_Hlk535995896"/>
      <w:r>
        <w:rPr>
          <w:rFonts w:hint="eastAsia" w:ascii="宋体" w:hAnsi="宋体" w:cs="宋体"/>
          <w:b/>
          <w:sz w:val="24"/>
          <w:highlight w:val="none"/>
          <w:u w:val="single"/>
        </w:rPr>
        <w:t>的商务要求和技术参数要求的正偏离或负偏离的应标内容详细写明，</w:t>
      </w:r>
      <w:bookmarkEnd w:id="91"/>
      <w:r>
        <w:rPr>
          <w:rFonts w:hint="eastAsia" w:ascii="宋体" w:hAnsi="宋体" w:cs="宋体"/>
          <w:b/>
          <w:sz w:val="24"/>
          <w:highlight w:val="none"/>
          <w:u w:val="single"/>
        </w:rPr>
        <w:t>特别是勿遗漏招标文件中打▲的商务和技术要求的应标内容。</w:t>
      </w:r>
    </w:p>
    <w:p w14:paraId="1B086D1B">
      <w:pPr>
        <w:pStyle w:val="30"/>
        <w:snapToGrid w:val="0"/>
        <w:spacing w:beforeLines="0" w:afterLines="0" w:line="440" w:lineRule="exact"/>
        <w:rPr>
          <w:rFonts w:hAnsi="宋体" w:cs="宋体"/>
          <w:spacing w:val="20"/>
          <w:highlight w:val="none"/>
        </w:rPr>
      </w:pPr>
    </w:p>
    <w:p w14:paraId="6072B148">
      <w:pPr>
        <w:pStyle w:val="30"/>
        <w:snapToGrid w:val="0"/>
        <w:spacing w:beforeLines="0" w:afterLines="0" w:line="440" w:lineRule="exact"/>
        <w:rPr>
          <w:rFonts w:hAnsi="宋体" w:cs="宋体"/>
          <w:b/>
          <w:highlight w:val="none"/>
        </w:rPr>
      </w:pPr>
      <w:r>
        <w:rPr>
          <w:rFonts w:hint="eastAsia" w:hAnsi="宋体" w:cs="宋体"/>
          <w:b/>
          <w:spacing w:val="20"/>
          <w:highlight w:val="none"/>
        </w:rPr>
        <w:t>法定代表人签字（或盖章）：            投标人（盖章）：</w:t>
      </w:r>
    </w:p>
    <w:p w14:paraId="73D4D246">
      <w:pPr>
        <w:widowControl/>
        <w:spacing w:line="440" w:lineRule="exact"/>
        <w:jc w:val="left"/>
        <w:rPr>
          <w:rFonts w:ascii="宋体" w:hAnsi="宋体" w:cs="宋体"/>
          <w:b/>
          <w:sz w:val="24"/>
          <w:highlight w:val="none"/>
        </w:rPr>
      </w:pPr>
    </w:p>
    <w:p w14:paraId="25092707">
      <w:pPr>
        <w:snapToGrid w:val="0"/>
        <w:spacing w:before="50" w:after="120" w:afterLines="50" w:line="440" w:lineRule="exact"/>
        <w:jc w:val="left"/>
        <w:rPr>
          <w:rFonts w:ascii="宋体" w:hAnsi="宋体" w:cs="宋体"/>
          <w:b/>
          <w:sz w:val="24"/>
          <w:highlight w:val="none"/>
        </w:rPr>
      </w:pPr>
      <w:r>
        <w:rPr>
          <w:rFonts w:hint="eastAsia" w:ascii="宋体" w:hAnsi="宋体" w:cs="宋体"/>
          <w:b/>
          <w:kern w:val="0"/>
          <w:sz w:val="24"/>
          <w:highlight w:val="none"/>
        </w:rPr>
        <w:t>日期：  _____年___月___日</w:t>
      </w:r>
    </w:p>
    <w:p w14:paraId="29A2E28D">
      <w:pPr>
        <w:snapToGrid w:val="0"/>
        <w:spacing w:line="440" w:lineRule="exact"/>
        <w:jc w:val="left"/>
        <w:rPr>
          <w:rFonts w:ascii="宋体" w:hAnsi="宋体" w:cs="宋体"/>
          <w:b/>
          <w:bCs/>
          <w:sz w:val="24"/>
          <w:highlight w:val="none"/>
        </w:rPr>
      </w:pPr>
      <w:r>
        <w:rPr>
          <w:rFonts w:hint="eastAsia" w:ascii="宋体" w:hAnsi="宋体" w:cs="宋体"/>
          <w:sz w:val="24"/>
          <w:highlight w:val="none"/>
        </w:rPr>
        <w:br w:type="page"/>
      </w:r>
      <w:bookmarkStart w:id="92" w:name="_Toc265669851"/>
    </w:p>
    <w:p w14:paraId="531227EF">
      <w:pPr>
        <w:snapToGrid w:val="0"/>
        <w:spacing w:before="50" w:after="120" w:afterLines="50" w:line="440" w:lineRule="exact"/>
        <w:jc w:val="center"/>
        <w:outlineLvl w:val="1"/>
        <w:rPr>
          <w:rFonts w:ascii="宋体" w:hAnsi="宋体" w:cs="宋体"/>
          <w:b/>
          <w:sz w:val="24"/>
          <w:highlight w:val="none"/>
        </w:rPr>
      </w:pPr>
      <w:bookmarkStart w:id="93" w:name="_Toc11354"/>
      <w:bookmarkStart w:id="94" w:name="_Toc16395"/>
      <w:bookmarkStart w:id="95" w:name="_Toc3506"/>
      <w:bookmarkStart w:id="96" w:name="_Toc466534754"/>
      <w:r>
        <w:rPr>
          <w:rFonts w:hint="eastAsia" w:ascii="宋体" w:hAnsi="宋体" w:cs="宋体"/>
          <w:b/>
          <w:sz w:val="24"/>
          <w:highlight w:val="none"/>
        </w:rPr>
        <w:t>三、报价文件格式</w:t>
      </w:r>
      <w:bookmarkEnd w:id="92"/>
      <w:bookmarkEnd w:id="93"/>
      <w:bookmarkEnd w:id="94"/>
      <w:bookmarkEnd w:id="95"/>
      <w:bookmarkEnd w:id="96"/>
    </w:p>
    <w:p w14:paraId="3235FBE0">
      <w:pPr>
        <w:snapToGrid w:val="0"/>
        <w:spacing w:before="120" w:beforeLines="50" w:after="50" w:line="440" w:lineRule="exact"/>
        <w:ind w:firstLine="645"/>
        <w:jc w:val="center"/>
        <w:rPr>
          <w:rFonts w:ascii="宋体" w:hAnsi="宋体" w:cs="宋体"/>
          <w:sz w:val="24"/>
          <w:highlight w:val="none"/>
        </w:rPr>
      </w:pPr>
      <w:r>
        <w:rPr>
          <w:rFonts w:hint="eastAsia" w:ascii="宋体" w:hAnsi="宋体" w:cs="宋体"/>
          <w:bCs/>
          <w:sz w:val="24"/>
          <w:highlight w:val="none"/>
        </w:rPr>
        <w:t xml:space="preserve"> </w:t>
      </w:r>
    </w:p>
    <w:p w14:paraId="74E73B34">
      <w:pPr>
        <w:snapToGrid w:val="0"/>
        <w:spacing w:before="120" w:beforeLines="50" w:after="50" w:line="440" w:lineRule="exact"/>
        <w:rPr>
          <w:rFonts w:ascii="宋体" w:hAnsi="宋体" w:cs="宋体"/>
          <w:sz w:val="24"/>
          <w:highlight w:val="none"/>
        </w:rPr>
      </w:pPr>
    </w:p>
    <w:p w14:paraId="1915C755">
      <w:pPr>
        <w:snapToGrid w:val="0"/>
        <w:spacing w:before="120" w:beforeLines="50" w:after="50" w:line="440" w:lineRule="exact"/>
        <w:rPr>
          <w:rFonts w:ascii="宋体" w:hAnsi="宋体" w:cs="宋体"/>
          <w:sz w:val="24"/>
          <w:highlight w:val="none"/>
        </w:rPr>
      </w:pPr>
    </w:p>
    <w:p w14:paraId="7B80F82C">
      <w:pPr>
        <w:snapToGrid w:val="0"/>
        <w:spacing w:before="120" w:beforeLines="50" w:after="50" w:line="440" w:lineRule="exact"/>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 xml:space="preserve">.报价文件封面格式： </w:t>
      </w:r>
    </w:p>
    <w:p w14:paraId="1B5F3CDA">
      <w:pPr>
        <w:snapToGrid w:val="0"/>
        <w:spacing w:before="120" w:beforeLines="50" w:after="50" w:line="440" w:lineRule="exact"/>
        <w:jc w:val="center"/>
        <w:rPr>
          <w:rFonts w:ascii="宋体" w:hAnsi="宋体" w:cs="宋体"/>
          <w:bCs/>
          <w:sz w:val="24"/>
          <w:highlight w:val="none"/>
        </w:rPr>
      </w:pPr>
      <w:r>
        <w:rPr>
          <w:rFonts w:hint="eastAsia" w:ascii="宋体" w:hAnsi="宋体" w:cs="宋体"/>
          <w:bCs/>
          <w:sz w:val="24"/>
          <w:highlight w:val="none"/>
        </w:rPr>
        <w:t>报 价 文 件</w:t>
      </w:r>
    </w:p>
    <w:p w14:paraId="36696C15">
      <w:pPr>
        <w:snapToGrid w:val="0"/>
        <w:spacing w:before="120" w:beforeLines="50" w:after="50" w:line="440" w:lineRule="exact"/>
        <w:jc w:val="center"/>
        <w:rPr>
          <w:rFonts w:ascii="宋体" w:hAnsi="宋体" w:cs="宋体"/>
          <w:b/>
          <w:bCs/>
          <w:sz w:val="24"/>
          <w:highlight w:val="none"/>
        </w:rPr>
      </w:pPr>
      <w:r>
        <w:rPr>
          <w:rFonts w:hint="eastAsia" w:ascii="宋体" w:hAnsi="宋体" w:cs="宋体"/>
          <w:b/>
          <w:bCs/>
          <w:sz w:val="24"/>
          <w:highlight w:val="none"/>
        </w:rPr>
        <w:t xml:space="preserve"> </w:t>
      </w:r>
    </w:p>
    <w:p w14:paraId="089B50E8">
      <w:pPr>
        <w:snapToGrid w:val="0"/>
        <w:spacing w:before="120" w:beforeLines="50" w:after="50" w:line="440" w:lineRule="exact"/>
        <w:jc w:val="center"/>
        <w:rPr>
          <w:rFonts w:ascii="宋体" w:hAnsi="宋体" w:cs="宋体"/>
          <w:bCs/>
          <w:sz w:val="24"/>
          <w:highlight w:val="none"/>
        </w:rPr>
      </w:pPr>
    </w:p>
    <w:p w14:paraId="0C1F6053">
      <w:pPr>
        <w:snapToGrid w:val="0"/>
        <w:spacing w:before="120" w:beforeLines="50" w:after="50" w:line="440" w:lineRule="exact"/>
        <w:ind w:firstLine="1068" w:firstLineChars="445"/>
        <w:rPr>
          <w:rFonts w:ascii="宋体" w:hAnsi="宋体" w:cs="宋体"/>
          <w:bCs/>
          <w:sz w:val="24"/>
          <w:highlight w:val="none"/>
        </w:rPr>
      </w:pPr>
      <w:r>
        <w:rPr>
          <w:rFonts w:hint="eastAsia" w:ascii="宋体" w:hAnsi="宋体" w:cs="宋体"/>
          <w:bCs/>
          <w:sz w:val="24"/>
          <w:highlight w:val="none"/>
        </w:rPr>
        <w:t>项目名称：</w:t>
      </w:r>
    </w:p>
    <w:p w14:paraId="051B37DE">
      <w:pPr>
        <w:snapToGrid w:val="0"/>
        <w:spacing w:before="120" w:beforeLines="50" w:after="50" w:line="440" w:lineRule="exact"/>
        <w:ind w:firstLine="480" w:firstLineChars="200"/>
        <w:rPr>
          <w:rFonts w:ascii="宋体" w:hAnsi="宋体" w:cs="宋体"/>
          <w:bCs/>
          <w:sz w:val="24"/>
          <w:highlight w:val="none"/>
        </w:rPr>
      </w:pPr>
      <w:r>
        <w:rPr>
          <w:rFonts w:hint="eastAsia" w:ascii="宋体" w:hAnsi="宋体" w:cs="宋体"/>
          <w:bCs/>
          <w:sz w:val="24"/>
          <w:highlight w:val="none"/>
        </w:rPr>
        <w:t xml:space="preserve">     项目编号：</w:t>
      </w:r>
    </w:p>
    <w:p w14:paraId="53D66E7D">
      <w:pPr>
        <w:pStyle w:val="15"/>
        <w:snapToGrid w:val="0"/>
        <w:spacing w:before="50" w:after="50" w:line="440" w:lineRule="exact"/>
        <w:ind w:firstLine="998" w:firstLineChars="416"/>
        <w:rPr>
          <w:rFonts w:ascii="宋体" w:hAnsi="宋体" w:cs="宋体"/>
          <w:bCs/>
          <w:sz w:val="24"/>
          <w:szCs w:val="24"/>
          <w:highlight w:val="none"/>
        </w:rPr>
      </w:pPr>
    </w:p>
    <w:p w14:paraId="27C3EA8C">
      <w:pPr>
        <w:pStyle w:val="15"/>
        <w:snapToGrid w:val="0"/>
        <w:spacing w:before="50" w:after="50" w:line="440" w:lineRule="exact"/>
        <w:ind w:firstLine="998" w:firstLineChars="416"/>
        <w:rPr>
          <w:rFonts w:ascii="宋体" w:hAnsi="宋体" w:cs="宋体"/>
          <w:bCs/>
          <w:sz w:val="24"/>
          <w:szCs w:val="24"/>
          <w:highlight w:val="none"/>
        </w:rPr>
      </w:pPr>
      <w:r>
        <w:rPr>
          <w:rFonts w:hint="eastAsia" w:ascii="宋体" w:hAnsi="宋体" w:cs="宋体"/>
          <w:bCs/>
          <w:sz w:val="24"/>
          <w:szCs w:val="24"/>
          <w:highlight w:val="none"/>
        </w:rPr>
        <w:t>投标人名称：</w:t>
      </w:r>
    </w:p>
    <w:p w14:paraId="7FB3E2A7">
      <w:pPr>
        <w:pStyle w:val="15"/>
        <w:snapToGrid w:val="0"/>
        <w:spacing w:before="50" w:after="50" w:line="440" w:lineRule="exact"/>
        <w:ind w:firstLine="998" w:firstLineChars="416"/>
        <w:rPr>
          <w:rFonts w:ascii="宋体" w:hAnsi="宋体" w:cs="宋体"/>
          <w:bCs/>
          <w:sz w:val="24"/>
          <w:szCs w:val="24"/>
          <w:highlight w:val="none"/>
        </w:rPr>
      </w:pPr>
      <w:r>
        <w:rPr>
          <w:rFonts w:hint="eastAsia" w:ascii="宋体" w:hAnsi="宋体" w:cs="宋体"/>
          <w:bCs/>
          <w:sz w:val="24"/>
          <w:szCs w:val="24"/>
          <w:highlight w:val="none"/>
        </w:rPr>
        <w:t>投标人地址：</w:t>
      </w:r>
    </w:p>
    <w:p w14:paraId="5B766EC6">
      <w:pPr>
        <w:snapToGrid w:val="0"/>
        <w:spacing w:before="120" w:beforeLines="50" w:after="50" w:line="440" w:lineRule="exact"/>
        <w:jc w:val="center"/>
        <w:rPr>
          <w:rFonts w:ascii="宋体" w:hAnsi="宋体" w:cs="宋体"/>
          <w:sz w:val="24"/>
          <w:highlight w:val="none"/>
        </w:rPr>
      </w:pPr>
      <w:r>
        <w:rPr>
          <w:rFonts w:hint="eastAsia" w:ascii="宋体" w:hAnsi="宋体" w:cs="宋体"/>
          <w:sz w:val="24"/>
          <w:highlight w:val="none"/>
        </w:rPr>
        <w:t xml:space="preserve">                        </w:t>
      </w:r>
    </w:p>
    <w:p w14:paraId="0C99D138">
      <w:pPr>
        <w:snapToGrid w:val="0"/>
        <w:spacing w:before="120" w:beforeLines="50" w:after="50" w:line="440" w:lineRule="exact"/>
        <w:jc w:val="center"/>
        <w:rPr>
          <w:rFonts w:ascii="宋体" w:hAnsi="宋体" w:cs="宋体"/>
          <w:sz w:val="24"/>
          <w:highlight w:val="none"/>
        </w:rPr>
      </w:pPr>
      <w:r>
        <w:rPr>
          <w:rFonts w:hint="eastAsia" w:ascii="宋体" w:hAnsi="宋体" w:cs="宋体"/>
          <w:sz w:val="24"/>
          <w:highlight w:val="none"/>
        </w:rPr>
        <w:t>年  月  日</w:t>
      </w:r>
    </w:p>
    <w:p w14:paraId="1E6C5674">
      <w:pPr>
        <w:pStyle w:val="30"/>
        <w:snapToGrid w:val="0"/>
        <w:spacing w:beforeLines="0" w:afterLines="0" w:line="440" w:lineRule="exact"/>
        <w:rPr>
          <w:rFonts w:hAnsi="宋体" w:cs="宋体"/>
          <w:highlight w:val="none"/>
        </w:rPr>
      </w:pPr>
      <w:r>
        <w:rPr>
          <w:rFonts w:hint="eastAsia" w:hAnsi="宋体" w:cs="宋体"/>
          <w:highlight w:val="none"/>
        </w:rPr>
        <w:br w:type="page"/>
      </w:r>
      <w:r>
        <w:rPr>
          <w:rFonts w:hint="eastAsia" w:hAnsi="宋体" w:cs="宋体"/>
          <w:highlight w:val="none"/>
        </w:rPr>
        <w:t>1</w:t>
      </w:r>
      <w:r>
        <w:rPr>
          <w:rFonts w:hint="eastAsia" w:hAnsi="宋体" w:cs="宋体"/>
          <w:highlight w:val="none"/>
          <w:lang w:val="en-US" w:eastAsia="zh-CN"/>
        </w:rPr>
        <w:t>3</w:t>
      </w:r>
      <w:r>
        <w:rPr>
          <w:rFonts w:hint="eastAsia" w:hAnsi="宋体" w:cs="宋体"/>
          <w:highlight w:val="none"/>
        </w:rPr>
        <w:t>.开标一览表格式：</w:t>
      </w:r>
    </w:p>
    <w:p w14:paraId="5EDFB6A0">
      <w:pPr>
        <w:pStyle w:val="30"/>
        <w:snapToGrid w:val="0"/>
        <w:spacing w:beforeLines="0" w:afterLines="0" w:line="440" w:lineRule="exact"/>
        <w:jc w:val="center"/>
        <w:rPr>
          <w:rFonts w:hAnsi="宋体" w:cs="宋体"/>
          <w:b/>
          <w:highlight w:val="none"/>
        </w:rPr>
      </w:pPr>
      <w:r>
        <w:rPr>
          <w:rFonts w:hint="eastAsia" w:hAnsi="宋体" w:cs="宋体"/>
          <w:b/>
          <w:highlight w:val="none"/>
        </w:rPr>
        <w:t>开标一览表</w:t>
      </w:r>
    </w:p>
    <w:p w14:paraId="64885E67">
      <w:pPr>
        <w:snapToGrid w:val="0"/>
        <w:spacing w:before="120" w:beforeLines="50" w:after="50" w:line="440" w:lineRule="exact"/>
        <w:rPr>
          <w:rFonts w:ascii="宋体" w:hAnsi="宋体" w:cs="宋体"/>
          <w:b/>
          <w:sz w:val="24"/>
          <w:highlight w:val="none"/>
        </w:rPr>
      </w:pPr>
    </w:p>
    <w:p w14:paraId="5307DA69">
      <w:pPr>
        <w:snapToGrid w:val="0"/>
        <w:spacing w:before="120" w:beforeLines="50" w:after="50" w:line="440" w:lineRule="exact"/>
        <w:ind w:firstLine="480" w:firstLineChars="200"/>
        <w:rPr>
          <w:rFonts w:ascii="宋体" w:hAnsi="宋体" w:cs="宋体"/>
          <w:bCs/>
          <w:sz w:val="24"/>
          <w:highlight w:val="none"/>
        </w:rPr>
      </w:pPr>
      <w:r>
        <w:rPr>
          <w:rFonts w:hint="eastAsia" w:ascii="宋体" w:hAnsi="宋体" w:cs="宋体"/>
          <w:bCs/>
          <w:sz w:val="24"/>
          <w:highlight w:val="none"/>
        </w:rPr>
        <w:t>项目名称：</w:t>
      </w:r>
    </w:p>
    <w:p w14:paraId="15F21196">
      <w:pPr>
        <w:snapToGrid w:val="0"/>
        <w:spacing w:before="120" w:beforeLines="50" w:after="50" w:line="440" w:lineRule="exact"/>
        <w:ind w:firstLine="480" w:firstLineChars="200"/>
        <w:rPr>
          <w:rFonts w:ascii="宋体" w:hAnsi="宋体" w:cs="宋体"/>
          <w:b/>
          <w:sz w:val="24"/>
          <w:highlight w:val="none"/>
        </w:rPr>
      </w:pPr>
      <w:r>
        <w:rPr>
          <w:rFonts w:hint="eastAsia" w:ascii="宋体" w:hAnsi="宋体" w:cs="宋体"/>
          <w:sz w:val="24"/>
          <w:highlight w:val="none"/>
        </w:rPr>
        <w:t>项目编号：</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3F08E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4C57E8DF">
            <w:pPr>
              <w:pStyle w:val="30"/>
              <w:snapToGrid w:val="0"/>
              <w:spacing w:beforeLines="0" w:afterLines="0" w:line="440" w:lineRule="exact"/>
              <w:jc w:val="center"/>
              <w:rPr>
                <w:rFonts w:hAnsi="宋体" w:cs="宋体"/>
                <w:b/>
                <w:highlight w:val="none"/>
              </w:rPr>
            </w:pPr>
            <w:r>
              <w:rPr>
                <w:rFonts w:hint="eastAsia" w:hAnsi="宋体" w:cs="宋体"/>
                <w:b/>
                <w:highlight w:val="none"/>
              </w:rPr>
              <w:t>名称</w:t>
            </w:r>
          </w:p>
        </w:tc>
        <w:tc>
          <w:tcPr>
            <w:tcW w:w="5760" w:type="dxa"/>
            <w:vAlign w:val="center"/>
          </w:tcPr>
          <w:p w14:paraId="0E7FE0C5">
            <w:pPr>
              <w:pStyle w:val="30"/>
              <w:snapToGrid w:val="0"/>
              <w:spacing w:beforeLines="0" w:afterLines="0" w:line="440" w:lineRule="exact"/>
              <w:jc w:val="center"/>
              <w:rPr>
                <w:rFonts w:hAnsi="宋体" w:cs="宋体"/>
                <w:b/>
                <w:highlight w:val="none"/>
              </w:rPr>
            </w:pPr>
            <w:r>
              <w:rPr>
                <w:rFonts w:hint="eastAsia" w:hAnsi="宋体" w:cs="宋体"/>
                <w:b/>
                <w:highlight w:val="none"/>
              </w:rPr>
              <w:t>内容</w:t>
            </w:r>
          </w:p>
        </w:tc>
        <w:tc>
          <w:tcPr>
            <w:tcW w:w="1620" w:type="dxa"/>
            <w:vAlign w:val="center"/>
          </w:tcPr>
          <w:p w14:paraId="2C357D13">
            <w:pPr>
              <w:pStyle w:val="30"/>
              <w:snapToGrid w:val="0"/>
              <w:spacing w:beforeLines="0" w:afterLines="0" w:line="440" w:lineRule="exact"/>
              <w:jc w:val="center"/>
              <w:rPr>
                <w:rFonts w:hAnsi="宋体" w:cs="宋体"/>
                <w:b/>
                <w:highlight w:val="none"/>
              </w:rPr>
            </w:pPr>
            <w:r>
              <w:rPr>
                <w:rFonts w:hint="eastAsia" w:hAnsi="宋体" w:cs="宋体"/>
                <w:b/>
                <w:highlight w:val="none"/>
              </w:rPr>
              <w:t>备注</w:t>
            </w:r>
          </w:p>
        </w:tc>
      </w:tr>
      <w:tr w14:paraId="3F3A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1A57E845">
            <w:pPr>
              <w:pStyle w:val="30"/>
              <w:snapToGrid w:val="0"/>
              <w:spacing w:beforeLines="0" w:afterLines="0" w:line="440" w:lineRule="exact"/>
              <w:jc w:val="center"/>
              <w:rPr>
                <w:rFonts w:hAnsi="宋体" w:cs="宋体"/>
                <w:b/>
                <w:highlight w:val="none"/>
              </w:rPr>
            </w:pPr>
          </w:p>
          <w:p w14:paraId="69F5FA11">
            <w:pPr>
              <w:pStyle w:val="30"/>
              <w:snapToGrid w:val="0"/>
              <w:spacing w:beforeLines="0" w:afterLines="0" w:line="440" w:lineRule="exact"/>
              <w:jc w:val="center"/>
              <w:rPr>
                <w:rFonts w:hAnsi="宋体" w:cs="宋体"/>
                <w:highlight w:val="none"/>
              </w:rPr>
            </w:pPr>
            <w:r>
              <w:rPr>
                <w:rFonts w:hint="eastAsia" w:hAnsi="宋体" w:cs="宋体"/>
                <w:highlight w:val="none"/>
              </w:rPr>
              <w:t>投标报价</w:t>
            </w:r>
          </w:p>
          <w:p w14:paraId="28D4A5F7">
            <w:pPr>
              <w:pStyle w:val="30"/>
              <w:snapToGrid w:val="0"/>
              <w:spacing w:beforeLines="0" w:afterLines="0" w:line="440" w:lineRule="exact"/>
              <w:jc w:val="center"/>
              <w:rPr>
                <w:rFonts w:hAnsi="宋体" w:cs="宋体"/>
                <w:b/>
                <w:highlight w:val="none"/>
              </w:rPr>
            </w:pPr>
          </w:p>
          <w:p w14:paraId="194C80C0">
            <w:pPr>
              <w:pStyle w:val="30"/>
              <w:snapToGrid w:val="0"/>
              <w:spacing w:beforeLines="0" w:afterLines="0" w:line="440" w:lineRule="exact"/>
              <w:jc w:val="center"/>
              <w:rPr>
                <w:rFonts w:hAnsi="宋体" w:cs="宋体"/>
                <w:b/>
                <w:highlight w:val="none"/>
              </w:rPr>
            </w:pPr>
          </w:p>
          <w:p w14:paraId="477D01F3">
            <w:pPr>
              <w:pStyle w:val="30"/>
              <w:snapToGrid w:val="0"/>
              <w:spacing w:beforeLines="0" w:afterLines="0" w:line="440" w:lineRule="exact"/>
              <w:jc w:val="center"/>
              <w:rPr>
                <w:rFonts w:hAnsi="宋体" w:cs="宋体"/>
                <w:b/>
                <w:highlight w:val="none"/>
              </w:rPr>
            </w:pPr>
          </w:p>
        </w:tc>
        <w:tc>
          <w:tcPr>
            <w:tcW w:w="5760" w:type="dxa"/>
            <w:vAlign w:val="center"/>
          </w:tcPr>
          <w:p w14:paraId="58601A3B">
            <w:pPr>
              <w:pStyle w:val="30"/>
              <w:snapToGrid w:val="0"/>
              <w:spacing w:beforeLines="0" w:afterLines="0" w:line="440" w:lineRule="exact"/>
              <w:rPr>
                <w:rFonts w:hAnsi="宋体" w:cs="宋体"/>
                <w:highlight w:val="none"/>
              </w:rPr>
            </w:pPr>
          </w:p>
          <w:p w14:paraId="4034E739">
            <w:pPr>
              <w:pStyle w:val="30"/>
              <w:snapToGrid w:val="0"/>
              <w:spacing w:beforeLines="0" w:afterLines="0" w:line="440" w:lineRule="exact"/>
              <w:ind w:left="1200" w:hanging="1200" w:hangingChars="500"/>
              <w:rPr>
                <w:rFonts w:hAnsi="宋体" w:cs="宋体"/>
                <w:highlight w:val="none"/>
              </w:rPr>
            </w:pPr>
            <w:r>
              <w:rPr>
                <w:rFonts w:hint="eastAsia" w:hAnsi="宋体" w:cs="宋体"/>
                <w:highlight w:val="none"/>
              </w:rPr>
              <w:t>大写：人民币</w:t>
            </w:r>
            <w:r>
              <w:rPr>
                <w:rFonts w:hint="eastAsia" w:hAnsi="宋体" w:cs="宋体"/>
                <w:highlight w:val="none"/>
                <w:u w:val="single"/>
              </w:rPr>
              <w:t xml:space="preserve">   </w:t>
            </w:r>
            <w:r>
              <w:rPr>
                <w:rFonts w:hint="eastAsia" w:hAnsi="宋体" w:cs="宋体"/>
                <w:highlight w:val="none"/>
              </w:rPr>
              <w:t>佰</w:t>
            </w:r>
            <w:r>
              <w:rPr>
                <w:rFonts w:hint="eastAsia" w:hAnsi="宋体" w:cs="宋体"/>
                <w:highlight w:val="none"/>
                <w:u w:val="single"/>
              </w:rPr>
              <w:t xml:space="preserve">   </w:t>
            </w:r>
            <w:r>
              <w:rPr>
                <w:rFonts w:hint="eastAsia" w:hAnsi="宋体" w:cs="宋体"/>
                <w:highlight w:val="none"/>
              </w:rPr>
              <w:t>拾</w:t>
            </w:r>
            <w:r>
              <w:rPr>
                <w:rFonts w:hint="eastAsia" w:hAnsi="宋体" w:cs="宋体"/>
                <w:highlight w:val="none"/>
                <w:u w:val="single"/>
              </w:rPr>
              <w:t xml:space="preserve">  </w:t>
            </w:r>
            <w:r>
              <w:rPr>
                <w:rFonts w:hint="eastAsia" w:hAnsi="宋体" w:cs="宋体"/>
                <w:highlight w:val="none"/>
              </w:rPr>
              <w:t>万</w:t>
            </w:r>
            <w:r>
              <w:rPr>
                <w:rFonts w:hint="eastAsia" w:hAnsi="宋体" w:cs="宋体"/>
                <w:highlight w:val="none"/>
                <w:u w:val="single"/>
              </w:rPr>
              <w:t xml:space="preserve">  </w:t>
            </w:r>
            <w:r>
              <w:rPr>
                <w:rFonts w:hint="eastAsia" w:hAnsi="宋体" w:cs="宋体"/>
                <w:highlight w:val="none"/>
              </w:rPr>
              <w:t>仟</w:t>
            </w:r>
            <w:r>
              <w:rPr>
                <w:rFonts w:hint="eastAsia" w:hAnsi="宋体" w:cs="宋体"/>
                <w:highlight w:val="none"/>
                <w:u w:val="single"/>
              </w:rPr>
              <w:t xml:space="preserve">   </w:t>
            </w:r>
            <w:r>
              <w:rPr>
                <w:rFonts w:hint="eastAsia" w:hAnsi="宋体" w:cs="宋体"/>
                <w:highlight w:val="none"/>
              </w:rPr>
              <w:t>佰</w:t>
            </w:r>
            <w:r>
              <w:rPr>
                <w:rFonts w:hint="eastAsia" w:hAnsi="宋体" w:cs="宋体"/>
                <w:highlight w:val="none"/>
                <w:u w:val="single"/>
              </w:rPr>
              <w:t xml:space="preserve">   </w:t>
            </w:r>
            <w:r>
              <w:rPr>
                <w:rFonts w:hint="eastAsia" w:hAnsi="宋体" w:cs="宋体"/>
                <w:highlight w:val="none"/>
              </w:rPr>
              <w:t>拾</w:t>
            </w:r>
            <w:r>
              <w:rPr>
                <w:rFonts w:hint="eastAsia" w:hAnsi="宋体" w:cs="宋体"/>
                <w:highlight w:val="none"/>
                <w:u w:val="single"/>
              </w:rPr>
              <w:t xml:space="preserve">   </w:t>
            </w:r>
            <w:r>
              <w:rPr>
                <w:rFonts w:hint="eastAsia" w:hAnsi="宋体" w:cs="宋体"/>
                <w:highlight w:val="none"/>
              </w:rPr>
              <w:t>元整</w:t>
            </w:r>
          </w:p>
          <w:p w14:paraId="6745AA33">
            <w:pPr>
              <w:pStyle w:val="30"/>
              <w:snapToGrid w:val="0"/>
              <w:spacing w:beforeLines="0" w:afterLines="0" w:line="440" w:lineRule="exact"/>
              <w:rPr>
                <w:rFonts w:hAnsi="宋体" w:cs="宋体"/>
                <w:highlight w:val="none"/>
              </w:rPr>
            </w:pPr>
          </w:p>
          <w:p w14:paraId="766C6D1F">
            <w:pPr>
              <w:pStyle w:val="30"/>
              <w:snapToGrid w:val="0"/>
              <w:spacing w:beforeLines="0" w:afterLines="0" w:line="440" w:lineRule="exact"/>
              <w:rPr>
                <w:rFonts w:hAnsi="宋体" w:cs="宋体"/>
                <w:highlight w:val="none"/>
              </w:rPr>
            </w:pPr>
            <w:r>
              <w:rPr>
                <w:rFonts w:hint="eastAsia" w:hAnsi="宋体" w:cs="宋体"/>
                <w:highlight w:val="none"/>
              </w:rPr>
              <w:t>小写（￥）：_______________________元整</w:t>
            </w:r>
          </w:p>
          <w:p w14:paraId="46E42255">
            <w:pPr>
              <w:pStyle w:val="30"/>
              <w:snapToGrid w:val="0"/>
              <w:spacing w:beforeLines="0" w:afterLines="0" w:line="440" w:lineRule="exact"/>
              <w:rPr>
                <w:rFonts w:hAnsi="宋体" w:cs="宋体"/>
                <w:b/>
                <w:highlight w:val="none"/>
              </w:rPr>
            </w:pPr>
          </w:p>
        </w:tc>
        <w:tc>
          <w:tcPr>
            <w:tcW w:w="1620" w:type="dxa"/>
          </w:tcPr>
          <w:p w14:paraId="0150D316">
            <w:pPr>
              <w:pStyle w:val="30"/>
              <w:snapToGrid w:val="0"/>
              <w:spacing w:beforeLines="0" w:afterLines="0" w:line="440" w:lineRule="exact"/>
              <w:rPr>
                <w:rFonts w:hAnsi="宋体" w:cs="宋体"/>
                <w:b/>
                <w:highlight w:val="none"/>
              </w:rPr>
            </w:pPr>
          </w:p>
        </w:tc>
      </w:tr>
    </w:tbl>
    <w:p w14:paraId="64D01BAB">
      <w:pPr>
        <w:pStyle w:val="30"/>
        <w:snapToGrid w:val="0"/>
        <w:spacing w:before="120" w:beforeLines="0" w:after="120" w:afterLines="0" w:line="440" w:lineRule="exact"/>
        <w:rPr>
          <w:rFonts w:hAnsi="宋体" w:cs="宋体"/>
          <w:b/>
          <w:highlight w:val="none"/>
        </w:rPr>
      </w:pPr>
    </w:p>
    <w:p w14:paraId="33F9DDDC">
      <w:pPr>
        <w:pStyle w:val="30"/>
        <w:snapToGrid w:val="0"/>
        <w:spacing w:before="120" w:beforeLines="0" w:after="120" w:afterLines="0" w:line="440" w:lineRule="exact"/>
        <w:rPr>
          <w:rFonts w:hAnsi="宋体" w:cs="宋体"/>
          <w:b/>
          <w:highlight w:val="none"/>
        </w:rPr>
      </w:pPr>
    </w:p>
    <w:p w14:paraId="3F1D3DB8">
      <w:pPr>
        <w:pStyle w:val="30"/>
        <w:snapToGrid w:val="0"/>
        <w:spacing w:beforeLines="0" w:afterLines="0" w:line="440" w:lineRule="exact"/>
        <w:rPr>
          <w:rFonts w:hAnsi="宋体" w:cs="宋体"/>
          <w:spacing w:val="20"/>
          <w:highlight w:val="none"/>
        </w:rPr>
      </w:pPr>
    </w:p>
    <w:p w14:paraId="3F75B0FF">
      <w:pPr>
        <w:pStyle w:val="30"/>
        <w:snapToGrid w:val="0"/>
        <w:spacing w:beforeLines="0" w:afterLines="0" w:line="440" w:lineRule="exact"/>
        <w:rPr>
          <w:rFonts w:hAnsi="宋体" w:cs="宋体"/>
          <w:spacing w:val="20"/>
          <w:highlight w:val="none"/>
        </w:rPr>
      </w:pPr>
    </w:p>
    <w:p w14:paraId="341601E7">
      <w:pPr>
        <w:pStyle w:val="30"/>
        <w:snapToGrid w:val="0"/>
        <w:spacing w:beforeLines="0" w:afterLines="0" w:line="440" w:lineRule="exact"/>
        <w:rPr>
          <w:rFonts w:hAnsi="宋体" w:cs="宋体"/>
          <w:b/>
          <w:spacing w:val="20"/>
          <w:highlight w:val="none"/>
        </w:rPr>
      </w:pPr>
      <w:r>
        <w:rPr>
          <w:rFonts w:hint="eastAsia" w:hAnsi="宋体" w:cs="宋体"/>
          <w:b/>
          <w:spacing w:val="20"/>
          <w:highlight w:val="none"/>
        </w:rPr>
        <w:t xml:space="preserve">法定代表人签字（或盖章）：            投标人（盖章）：  </w:t>
      </w:r>
    </w:p>
    <w:p w14:paraId="756666CA">
      <w:pPr>
        <w:pStyle w:val="30"/>
        <w:snapToGrid w:val="0"/>
        <w:spacing w:beforeLines="0" w:afterLines="0" w:line="440" w:lineRule="exact"/>
        <w:rPr>
          <w:rFonts w:hAnsi="宋体" w:cs="宋体"/>
          <w:b/>
          <w:highlight w:val="none"/>
        </w:rPr>
      </w:pPr>
    </w:p>
    <w:p w14:paraId="3176D30D">
      <w:pPr>
        <w:snapToGrid w:val="0"/>
        <w:spacing w:before="50" w:after="120" w:afterLines="50" w:line="440" w:lineRule="exact"/>
        <w:jc w:val="left"/>
        <w:rPr>
          <w:rFonts w:ascii="宋体" w:hAnsi="宋体" w:cs="宋体"/>
          <w:b/>
          <w:kern w:val="0"/>
          <w:sz w:val="24"/>
          <w:highlight w:val="none"/>
        </w:rPr>
      </w:pPr>
    </w:p>
    <w:p w14:paraId="284C0D29">
      <w:pPr>
        <w:spacing w:line="440" w:lineRule="exact"/>
        <w:rPr>
          <w:rFonts w:ascii="宋体" w:hAnsi="宋体" w:cs="宋体"/>
          <w:b/>
          <w:kern w:val="0"/>
          <w:sz w:val="24"/>
          <w:highlight w:val="none"/>
        </w:rPr>
        <w:sectPr>
          <w:pgSz w:w="11906" w:h="16838"/>
          <w:pgMar w:top="1021" w:right="1588" w:bottom="851" w:left="1588" w:header="851" w:footer="851" w:gutter="0"/>
          <w:cols w:space="720" w:num="1"/>
        </w:sectPr>
      </w:pPr>
      <w:r>
        <w:rPr>
          <w:rFonts w:hint="eastAsia" w:ascii="宋体" w:hAnsi="宋体" w:cs="宋体"/>
          <w:b/>
          <w:kern w:val="0"/>
          <w:sz w:val="24"/>
          <w:highlight w:val="none"/>
        </w:rPr>
        <w:t>日期：  _____年___月___日</w:t>
      </w:r>
    </w:p>
    <w:p w14:paraId="46069E30">
      <w:pPr>
        <w:pStyle w:val="30"/>
        <w:snapToGrid w:val="0"/>
        <w:spacing w:beforeLines="0" w:afterLines="0" w:line="440" w:lineRule="exact"/>
        <w:rPr>
          <w:rFonts w:hAnsi="宋体" w:cs="宋体"/>
          <w:highlight w:val="none"/>
        </w:rPr>
      </w:pPr>
      <w:r>
        <w:rPr>
          <w:rFonts w:hint="eastAsia" w:hAnsi="宋体" w:cs="宋体"/>
          <w:highlight w:val="none"/>
        </w:rPr>
        <w:t>1</w:t>
      </w:r>
      <w:r>
        <w:rPr>
          <w:rFonts w:hint="eastAsia" w:hAnsi="宋体" w:cs="宋体"/>
          <w:highlight w:val="none"/>
          <w:lang w:val="en-US" w:eastAsia="zh-CN"/>
        </w:rPr>
        <w:t>4</w:t>
      </w:r>
      <w:r>
        <w:rPr>
          <w:rFonts w:hint="eastAsia" w:hAnsi="宋体" w:cs="宋体"/>
          <w:highlight w:val="none"/>
        </w:rPr>
        <w:t>.报价明细表格式：</w:t>
      </w:r>
    </w:p>
    <w:p w14:paraId="1856ADDA">
      <w:pPr>
        <w:pStyle w:val="30"/>
        <w:snapToGrid w:val="0"/>
        <w:spacing w:beforeLines="0" w:afterLines="0" w:line="440" w:lineRule="exact"/>
        <w:jc w:val="center"/>
        <w:rPr>
          <w:rFonts w:hAnsi="宋体" w:cs="宋体"/>
          <w:b/>
          <w:highlight w:val="none"/>
        </w:rPr>
      </w:pPr>
      <w:r>
        <w:rPr>
          <w:rFonts w:hint="eastAsia" w:hAnsi="宋体" w:cs="宋体"/>
          <w:b/>
          <w:highlight w:val="none"/>
        </w:rPr>
        <w:t>报价明细表</w:t>
      </w:r>
    </w:p>
    <w:p w14:paraId="5F692098">
      <w:pPr>
        <w:snapToGrid w:val="0"/>
        <w:spacing w:before="120" w:beforeLines="50" w:after="50" w:line="440" w:lineRule="exact"/>
        <w:rPr>
          <w:rFonts w:ascii="宋体" w:hAnsi="宋体" w:cs="宋体"/>
          <w:bCs/>
          <w:sz w:val="24"/>
          <w:highlight w:val="none"/>
        </w:rPr>
      </w:pPr>
      <w:r>
        <w:rPr>
          <w:rFonts w:hint="eastAsia" w:ascii="宋体" w:hAnsi="宋体" w:cs="宋体"/>
          <w:bCs/>
          <w:sz w:val="24"/>
          <w:highlight w:val="none"/>
        </w:rPr>
        <w:t>项目名称：</w:t>
      </w:r>
    </w:p>
    <w:p w14:paraId="3C046AA3">
      <w:pPr>
        <w:snapToGrid w:val="0"/>
        <w:spacing w:before="120" w:beforeLines="50" w:after="50" w:line="440" w:lineRule="exact"/>
        <w:rPr>
          <w:rFonts w:ascii="宋体" w:hAnsi="宋体" w:cs="宋体"/>
          <w:sz w:val="24"/>
          <w:highlight w:val="none"/>
        </w:rPr>
      </w:pPr>
      <w:r>
        <w:rPr>
          <w:rFonts w:hint="eastAsia" w:ascii="宋体" w:hAnsi="宋体" w:cs="宋体"/>
          <w:sz w:val="24"/>
          <w:highlight w:val="none"/>
        </w:rPr>
        <w:t>项目编号：</w:t>
      </w:r>
    </w:p>
    <w:tbl>
      <w:tblPr>
        <w:tblStyle w:val="52"/>
        <w:tblW w:w="9311" w:type="dxa"/>
        <w:tblInd w:w="0" w:type="dxa"/>
        <w:tblLayout w:type="fixed"/>
        <w:tblCellMar>
          <w:top w:w="0" w:type="dxa"/>
          <w:left w:w="108" w:type="dxa"/>
          <w:bottom w:w="0" w:type="dxa"/>
          <w:right w:w="108" w:type="dxa"/>
        </w:tblCellMar>
      </w:tblPr>
      <w:tblGrid>
        <w:gridCol w:w="1677"/>
        <w:gridCol w:w="2954"/>
        <w:gridCol w:w="2325"/>
        <w:gridCol w:w="2355"/>
      </w:tblGrid>
      <w:tr w14:paraId="5F679C39">
        <w:tblPrEx>
          <w:tblCellMar>
            <w:top w:w="0" w:type="dxa"/>
            <w:left w:w="108" w:type="dxa"/>
            <w:bottom w:w="0" w:type="dxa"/>
            <w:right w:w="108" w:type="dxa"/>
          </w:tblCellMar>
        </w:tblPrEx>
        <w:trPr>
          <w:trHeight w:val="1290" w:hRule="atLeast"/>
        </w:trPr>
        <w:tc>
          <w:tcPr>
            <w:tcW w:w="9311" w:type="dxa"/>
            <w:gridSpan w:val="4"/>
            <w:tcBorders>
              <w:top w:val="nil"/>
              <w:left w:val="nil"/>
              <w:bottom w:val="nil"/>
              <w:right w:val="nil"/>
            </w:tcBorders>
            <w:vAlign w:val="center"/>
          </w:tcPr>
          <w:p w14:paraId="6DC6792A">
            <w:pPr>
              <w:widowControl/>
              <w:jc w:val="center"/>
              <w:rPr>
                <w:rFonts w:ascii="宋体" w:hAnsi="宋体" w:cs="宋体"/>
                <w:b/>
                <w:bCs/>
                <w:kern w:val="0"/>
                <w:sz w:val="24"/>
                <w:highlight w:val="none"/>
              </w:rPr>
            </w:pPr>
            <w:bookmarkStart w:id="97" w:name="_Hlk78207666"/>
            <w:r>
              <w:rPr>
                <w:rFonts w:hint="eastAsia" w:ascii="宋体" w:hAnsi="宋体" w:cs="宋体"/>
                <w:b/>
                <w:bCs/>
                <w:kern w:val="0"/>
                <w:sz w:val="24"/>
                <w:highlight w:val="none"/>
              </w:rPr>
              <w:t>报价明细表</w:t>
            </w:r>
          </w:p>
        </w:tc>
      </w:tr>
      <w:tr w14:paraId="57FF6F5B">
        <w:tblPrEx>
          <w:tblCellMar>
            <w:top w:w="0" w:type="dxa"/>
            <w:left w:w="108" w:type="dxa"/>
            <w:bottom w:w="0" w:type="dxa"/>
            <w:right w:w="108" w:type="dxa"/>
          </w:tblCellMar>
        </w:tblPrEx>
        <w:trPr>
          <w:trHeight w:val="570" w:hRule="atLeast"/>
        </w:trPr>
        <w:tc>
          <w:tcPr>
            <w:tcW w:w="1677" w:type="dxa"/>
            <w:tcBorders>
              <w:top w:val="single" w:color="auto" w:sz="4" w:space="0"/>
              <w:left w:val="single" w:color="auto" w:sz="4" w:space="0"/>
              <w:bottom w:val="single" w:color="auto" w:sz="4" w:space="0"/>
              <w:right w:val="single" w:color="auto" w:sz="4" w:space="0"/>
            </w:tcBorders>
            <w:vAlign w:val="center"/>
          </w:tcPr>
          <w:p w14:paraId="632585DD">
            <w:pPr>
              <w:widowControl/>
              <w:jc w:val="center"/>
              <w:rPr>
                <w:rFonts w:ascii="宋体" w:hAnsi="宋体" w:cs="宋体"/>
                <w:kern w:val="0"/>
                <w:sz w:val="24"/>
                <w:highlight w:val="none"/>
              </w:rPr>
            </w:pPr>
            <w:r>
              <w:rPr>
                <w:rFonts w:hint="eastAsia" w:ascii="宋体" w:hAnsi="宋体" w:cs="宋体"/>
                <w:kern w:val="0"/>
                <w:sz w:val="24"/>
                <w:highlight w:val="none"/>
              </w:rPr>
              <w:t>序号</w:t>
            </w:r>
          </w:p>
        </w:tc>
        <w:tc>
          <w:tcPr>
            <w:tcW w:w="2954" w:type="dxa"/>
            <w:tcBorders>
              <w:top w:val="single" w:color="auto" w:sz="4" w:space="0"/>
              <w:left w:val="nil"/>
              <w:bottom w:val="single" w:color="auto" w:sz="4" w:space="0"/>
              <w:right w:val="single" w:color="auto" w:sz="4" w:space="0"/>
            </w:tcBorders>
            <w:vAlign w:val="center"/>
          </w:tcPr>
          <w:p w14:paraId="6294D0C4">
            <w:pPr>
              <w:widowControl/>
              <w:jc w:val="center"/>
              <w:rPr>
                <w:rFonts w:ascii="宋体" w:hAnsi="宋体" w:cs="宋体"/>
                <w:kern w:val="0"/>
                <w:sz w:val="24"/>
                <w:highlight w:val="none"/>
              </w:rPr>
            </w:pPr>
            <w:r>
              <w:rPr>
                <w:rFonts w:hint="eastAsia" w:ascii="宋体" w:hAnsi="宋体" w:cs="宋体"/>
                <w:kern w:val="0"/>
                <w:sz w:val="24"/>
                <w:highlight w:val="none"/>
              </w:rPr>
              <w:t>项目</w:t>
            </w:r>
          </w:p>
        </w:tc>
        <w:tc>
          <w:tcPr>
            <w:tcW w:w="2325" w:type="dxa"/>
            <w:tcBorders>
              <w:top w:val="single" w:color="auto" w:sz="4" w:space="0"/>
              <w:left w:val="nil"/>
              <w:bottom w:val="single" w:color="auto" w:sz="4" w:space="0"/>
              <w:right w:val="single" w:color="auto" w:sz="4" w:space="0"/>
            </w:tcBorders>
            <w:vAlign w:val="center"/>
          </w:tcPr>
          <w:p w14:paraId="79BB726B">
            <w:pPr>
              <w:widowControl/>
              <w:jc w:val="center"/>
              <w:rPr>
                <w:rFonts w:ascii="宋体" w:hAnsi="宋体" w:cs="宋体"/>
                <w:kern w:val="0"/>
                <w:sz w:val="24"/>
                <w:highlight w:val="none"/>
              </w:rPr>
            </w:pPr>
            <w:r>
              <w:rPr>
                <w:rFonts w:hint="eastAsia" w:ascii="宋体" w:hAnsi="宋体" w:cs="宋体"/>
                <w:kern w:val="0"/>
                <w:sz w:val="24"/>
                <w:highlight w:val="none"/>
              </w:rPr>
              <w:t>报价（元）</w:t>
            </w:r>
          </w:p>
        </w:tc>
        <w:tc>
          <w:tcPr>
            <w:tcW w:w="2355" w:type="dxa"/>
            <w:tcBorders>
              <w:top w:val="single" w:color="auto" w:sz="4" w:space="0"/>
              <w:left w:val="nil"/>
              <w:bottom w:val="single" w:color="auto" w:sz="4" w:space="0"/>
              <w:right w:val="single" w:color="auto" w:sz="4" w:space="0"/>
            </w:tcBorders>
            <w:vAlign w:val="center"/>
          </w:tcPr>
          <w:p w14:paraId="01246F3B">
            <w:pPr>
              <w:widowControl/>
              <w:jc w:val="center"/>
              <w:rPr>
                <w:rFonts w:ascii="宋体" w:hAnsi="宋体" w:cs="宋体"/>
                <w:kern w:val="0"/>
                <w:sz w:val="24"/>
                <w:highlight w:val="none"/>
              </w:rPr>
            </w:pPr>
            <w:r>
              <w:rPr>
                <w:rFonts w:hint="eastAsia" w:ascii="宋体" w:hAnsi="宋体" w:cs="宋体"/>
                <w:kern w:val="0"/>
                <w:sz w:val="24"/>
                <w:highlight w:val="none"/>
              </w:rPr>
              <w:t>备注</w:t>
            </w:r>
          </w:p>
        </w:tc>
      </w:tr>
      <w:tr w14:paraId="48B6F69E">
        <w:tblPrEx>
          <w:tblCellMar>
            <w:top w:w="0" w:type="dxa"/>
            <w:left w:w="108" w:type="dxa"/>
            <w:bottom w:w="0" w:type="dxa"/>
            <w:right w:w="108" w:type="dxa"/>
          </w:tblCellMar>
        </w:tblPrEx>
        <w:trPr>
          <w:trHeight w:val="570" w:hRule="atLeast"/>
        </w:trPr>
        <w:tc>
          <w:tcPr>
            <w:tcW w:w="1677" w:type="dxa"/>
            <w:tcBorders>
              <w:top w:val="nil"/>
              <w:left w:val="single" w:color="auto" w:sz="4" w:space="0"/>
              <w:bottom w:val="single" w:color="auto" w:sz="4" w:space="0"/>
              <w:right w:val="single" w:color="auto" w:sz="4" w:space="0"/>
            </w:tcBorders>
            <w:vAlign w:val="center"/>
          </w:tcPr>
          <w:p w14:paraId="76F4A491">
            <w:pPr>
              <w:widowControl/>
              <w:jc w:val="center"/>
              <w:rPr>
                <w:rFonts w:ascii="宋体" w:hAnsi="宋体" w:cs="宋体"/>
                <w:kern w:val="0"/>
                <w:sz w:val="24"/>
                <w:highlight w:val="none"/>
              </w:rPr>
            </w:pPr>
            <w:r>
              <w:rPr>
                <w:rFonts w:hint="eastAsia" w:ascii="宋体" w:hAnsi="宋体" w:cs="宋体"/>
                <w:kern w:val="0"/>
                <w:sz w:val="24"/>
                <w:highlight w:val="none"/>
              </w:rPr>
              <w:t>一</w:t>
            </w:r>
          </w:p>
        </w:tc>
        <w:tc>
          <w:tcPr>
            <w:tcW w:w="2954" w:type="dxa"/>
            <w:tcBorders>
              <w:top w:val="nil"/>
              <w:left w:val="nil"/>
              <w:bottom w:val="single" w:color="auto" w:sz="4" w:space="0"/>
              <w:right w:val="single" w:color="auto" w:sz="4" w:space="0"/>
            </w:tcBorders>
            <w:vAlign w:val="center"/>
          </w:tcPr>
          <w:p w14:paraId="06F57E15">
            <w:pPr>
              <w:widowControl/>
              <w:jc w:val="center"/>
              <w:textAlignment w:val="center"/>
              <w:rPr>
                <w:rFonts w:ascii="宋体" w:hAnsi="宋体" w:cs="宋体"/>
                <w:kern w:val="0"/>
                <w:sz w:val="24"/>
                <w:highlight w:val="none"/>
              </w:rPr>
            </w:pPr>
            <w:r>
              <w:rPr>
                <w:rFonts w:hint="eastAsia" w:ascii="宋体" w:hAnsi="宋体" w:cs="宋体"/>
                <w:sz w:val="24"/>
                <w:highlight w:val="none"/>
              </w:rPr>
              <w:t>设备安装部分</w:t>
            </w:r>
          </w:p>
        </w:tc>
        <w:tc>
          <w:tcPr>
            <w:tcW w:w="2325" w:type="dxa"/>
            <w:tcBorders>
              <w:top w:val="nil"/>
              <w:left w:val="nil"/>
              <w:bottom w:val="single" w:color="auto" w:sz="4" w:space="0"/>
              <w:right w:val="single" w:color="auto" w:sz="4" w:space="0"/>
            </w:tcBorders>
            <w:vAlign w:val="center"/>
          </w:tcPr>
          <w:p w14:paraId="35979B59">
            <w:pPr>
              <w:widowControl/>
              <w:jc w:val="center"/>
              <w:rPr>
                <w:rFonts w:ascii="宋体" w:hAnsi="宋体" w:cs="宋体"/>
                <w:kern w:val="0"/>
                <w:sz w:val="24"/>
                <w:highlight w:val="none"/>
              </w:rPr>
            </w:pPr>
          </w:p>
        </w:tc>
        <w:tc>
          <w:tcPr>
            <w:tcW w:w="2355" w:type="dxa"/>
            <w:tcBorders>
              <w:top w:val="nil"/>
              <w:left w:val="nil"/>
              <w:bottom w:val="single" w:color="auto" w:sz="4" w:space="0"/>
              <w:right w:val="single" w:color="auto" w:sz="4" w:space="0"/>
            </w:tcBorders>
            <w:vAlign w:val="center"/>
          </w:tcPr>
          <w:p w14:paraId="23549DF8">
            <w:pPr>
              <w:widowControl/>
              <w:jc w:val="center"/>
              <w:rPr>
                <w:rFonts w:ascii="宋体" w:hAnsi="宋体" w:cs="宋体"/>
                <w:kern w:val="0"/>
                <w:sz w:val="24"/>
                <w:highlight w:val="none"/>
              </w:rPr>
            </w:pPr>
            <w:r>
              <w:rPr>
                <w:rFonts w:hint="eastAsia" w:ascii="宋体" w:hAnsi="宋体" w:cs="宋体"/>
                <w:kern w:val="0"/>
                <w:sz w:val="24"/>
                <w:highlight w:val="none"/>
              </w:rPr>
              <w:t>　</w:t>
            </w:r>
          </w:p>
        </w:tc>
      </w:tr>
      <w:tr w14:paraId="2D5F7DF0">
        <w:tblPrEx>
          <w:tblCellMar>
            <w:top w:w="0" w:type="dxa"/>
            <w:left w:w="108" w:type="dxa"/>
            <w:bottom w:w="0" w:type="dxa"/>
            <w:right w:w="108" w:type="dxa"/>
          </w:tblCellMar>
        </w:tblPrEx>
        <w:trPr>
          <w:trHeight w:val="570" w:hRule="atLeast"/>
        </w:trPr>
        <w:tc>
          <w:tcPr>
            <w:tcW w:w="1677" w:type="dxa"/>
            <w:tcBorders>
              <w:top w:val="nil"/>
              <w:left w:val="single" w:color="auto" w:sz="4" w:space="0"/>
              <w:bottom w:val="single" w:color="auto" w:sz="4" w:space="0"/>
              <w:right w:val="single" w:color="auto" w:sz="4" w:space="0"/>
            </w:tcBorders>
            <w:vAlign w:val="center"/>
          </w:tcPr>
          <w:p w14:paraId="5905CE1E">
            <w:pPr>
              <w:widowControl/>
              <w:jc w:val="center"/>
              <w:rPr>
                <w:rFonts w:ascii="宋体" w:hAnsi="宋体" w:cs="宋体"/>
                <w:kern w:val="0"/>
                <w:sz w:val="24"/>
                <w:highlight w:val="none"/>
              </w:rPr>
            </w:pPr>
            <w:r>
              <w:rPr>
                <w:rFonts w:hint="eastAsia" w:ascii="宋体" w:hAnsi="宋体" w:cs="宋体"/>
                <w:kern w:val="0"/>
                <w:sz w:val="24"/>
                <w:highlight w:val="none"/>
              </w:rPr>
              <w:t>二</w:t>
            </w:r>
          </w:p>
        </w:tc>
        <w:tc>
          <w:tcPr>
            <w:tcW w:w="2954" w:type="dxa"/>
            <w:tcBorders>
              <w:top w:val="nil"/>
              <w:left w:val="nil"/>
              <w:bottom w:val="single" w:color="auto" w:sz="4" w:space="0"/>
              <w:right w:val="single" w:color="auto" w:sz="4" w:space="0"/>
            </w:tcBorders>
            <w:vAlign w:val="center"/>
          </w:tcPr>
          <w:p w14:paraId="154CAA6B">
            <w:pPr>
              <w:widowControl/>
              <w:jc w:val="center"/>
              <w:textAlignment w:val="center"/>
              <w:rPr>
                <w:rFonts w:ascii="宋体" w:hAnsi="宋体" w:cs="宋体"/>
                <w:kern w:val="0"/>
                <w:sz w:val="24"/>
                <w:highlight w:val="none"/>
              </w:rPr>
            </w:pPr>
            <w:r>
              <w:rPr>
                <w:rFonts w:hint="eastAsia" w:ascii="宋体" w:hAnsi="宋体" w:cs="宋体"/>
                <w:kern w:val="0"/>
                <w:sz w:val="24"/>
                <w:highlight w:val="none"/>
              </w:rPr>
              <w:t>建筑及市政工程部分</w:t>
            </w:r>
          </w:p>
        </w:tc>
        <w:tc>
          <w:tcPr>
            <w:tcW w:w="2325" w:type="dxa"/>
            <w:tcBorders>
              <w:top w:val="nil"/>
              <w:left w:val="nil"/>
              <w:bottom w:val="single" w:color="auto" w:sz="4" w:space="0"/>
              <w:right w:val="single" w:color="auto" w:sz="4" w:space="0"/>
            </w:tcBorders>
            <w:vAlign w:val="center"/>
          </w:tcPr>
          <w:p w14:paraId="558174A7">
            <w:pPr>
              <w:widowControl/>
              <w:jc w:val="center"/>
              <w:rPr>
                <w:rFonts w:ascii="宋体" w:hAnsi="宋体" w:cs="宋体"/>
                <w:kern w:val="0"/>
                <w:sz w:val="24"/>
                <w:highlight w:val="none"/>
              </w:rPr>
            </w:pPr>
          </w:p>
        </w:tc>
        <w:tc>
          <w:tcPr>
            <w:tcW w:w="2355" w:type="dxa"/>
            <w:tcBorders>
              <w:top w:val="nil"/>
              <w:left w:val="nil"/>
              <w:bottom w:val="single" w:color="auto" w:sz="4" w:space="0"/>
              <w:right w:val="single" w:color="auto" w:sz="4" w:space="0"/>
            </w:tcBorders>
            <w:vAlign w:val="center"/>
          </w:tcPr>
          <w:p w14:paraId="1C326566">
            <w:pPr>
              <w:widowControl/>
              <w:jc w:val="center"/>
              <w:rPr>
                <w:rFonts w:ascii="宋体" w:hAnsi="宋体" w:cs="宋体"/>
                <w:kern w:val="0"/>
                <w:sz w:val="24"/>
                <w:highlight w:val="none"/>
              </w:rPr>
            </w:pPr>
          </w:p>
        </w:tc>
      </w:tr>
      <w:tr w14:paraId="507C92AE">
        <w:tblPrEx>
          <w:tblCellMar>
            <w:top w:w="0" w:type="dxa"/>
            <w:left w:w="108" w:type="dxa"/>
            <w:bottom w:w="0" w:type="dxa"/>
            <w:right w:w="108" w:type="dxa"/>
          </w:tblCellMar>
        </w:tblPrEx>
        <w:trPr>
          <w:trHeight w:val="570" w:hRule="atLeast"/>
        </w:trPr>
        <w:tc>
          <w:tcPr>
            <w:tcW w:w="4631" w:type="dxa"/>
            <w:gridSpan w:val="2"/>
            <w:tcBorders>
              <w:top w:val="nil"/>
              <w:left w:val="single" w:color="auto" w:sz="4" w:space="0"/>
              <w:bottom w:val="single" w:color="auto" w:sz="4" w:space="0"/>
              <w:right w:val="single" w:color="auto" w:sz="4" w:space="0"/>
            </w:tcBorders>
            <w:vAlign w:val="center"/>
          </w:tcPr>
          <w:p w14:paraId="3F6C36A2">
            <w:pPr>
              <w:widowControl/>
              <w:jc w:val="center"/>
              <w:rPr>
                <w:rFonts w:ascii="宋体" w:hAnsi="宋体" w:cs="宋体"/>
                <w:kern w:val="0"/>
                <w:sz w:val="24"/>
                <w:highlight w:val="none"/>
              </w:rPr>
            </w:pPr>
            <w:r>
              <w:rPr>
                <w:rFonts w:hint="eastAsia" w:ascii="宋体" w:hAnsi="宋体" w:cs="宋体"/>
                <w:kern w:val="0"/>
                <w:sz w:val="24"/>
                <w:highlight w:val="none"/>
              </w:rPr>
              <w:t>合计</w:t>
            </w:r>
          </w:p>
        </w:tc>
        <w:tc>
          <w:tcPr>
            <w:tcW w:w="2325" w:type="dxa"/>
            <w:tcBorders>
              <w:top w:val="nil"/>
              <w:left w:val="nil"/>
              <w:bottom w:val="single" w:color="auto" w:sz="4" w:space="0"/>
              <w:right w:val="single" w:color="auto" w:sz="4" w:space="0"/>
            </w:tcBorders>
            <w:vAlign w:val="center"/>
          </w:tcPr>
          <w:p w14:paraId="61C184D4">
            <w:pPr>
              <w:widowControl/>
              <w:jc w:val="center"/>
              <w:rPr>
                <w:rFonts w:ascii="宋体" w:hAnsi="宋体" w:cs="宋体"/>
                <w:kern w:val="0"/>
                <w:sz w:val="24"/>
                <w:highlight w:val="none"/>
              </w:rPr>
            </w:pPr>
          </w:p>
        </w:tc>
        <w:tc>
          <w:tcPr>
            <w:tcW w:w="2355" w:type="dxa"/>
            <w:tcBorders>
              <w:top w:val="nil"/>
              <w:left w:val="nil"/>
              <w:bottom w:val="single" w:color="auto" w:sz="4" w:space="0"/>
              <w:right w:val="single" w:color="auto" w:sz="4" w:space="0"/>
            </w:tcBorders>
            <w:vAlign w:val="center"/>
          </w:tcPr>
          <w:p w14:paraId="57E73B71">
            <w:pPr>
              <w:widowControl/>
              <w:jc w:val="center"/>
              <w:rPr>
                <w:rFonts w:ascii="宋体" w:hAnsi="宋体" w:cs="宋体"/>
                <w:kern w:val="0"/>
                <w:sz w:val="24"/>
                <w:highlight w:val="none"/>
              </w:rPr>
            </w:pPr>
            <w:r>
              <w:rPr>
                <w:rFonts w:hint="eastAsia" w:ascii="宋体" w:hAnsi="宋体" w:cs="宋体"/>
                <w:kern w:val="0"/>
                <w:sz w:val="24"/>
                <w:highlight w:val="none"/>
              </w:rPr>
              <w:t>　</w:t>
            </w:r>
          </w:p>
        </w:tc>
      </w:tr>
    </w:tbl>
    <w:p w14:paraId="171400BE">
      <w:pPr>
        <w:spacing w:line="320" w:lineRule="exact"/>
        <w:rPr>
          <w:rFonts w:ascii="楷体_GB2312" w:eastAsia="楷体_GB2312"/>
          <w:b/>
          <w:szCs w:val="21"/>
          <w:highlight w:val="none"/>
        </w:rPr>
      </w:pPr>
    </w:p>
    <w:p w14:paraId="342E00D4">
      <w:pPr>
        <w:spacing w:line="320" w:lineRule="exact"/>
        <w:rPr>
          <w:rFonts w:ascii="楷体_GB2312" w:eastAsia="楷体_GB2312"/>
          <w:b/>
          <w:szCs w:val="21"/>
          <w:highlight w:val="none"/>
        </w:rPr>
      </w:pPr>
    </w:p>
    <w:p w14:paraId="06669E29">
      <w:pPr>
        <w:snapToGrid w:val="0"/>
        <w:spacing w:before="50" w:after="50" w:line="420" w:lineRule="exact"/>
        <w:jc w:val="left"/>
        <w:rPr>
          <w:rFonts w:ascii="宋体" w:hAnsi="宋体"/>
          <w:b/>
          <w:bCs/>
          <w:sz w:val="24"/>
          <w:highlight w:val="none"/>
        </w:rPr>
      </w:pPr>
      <w:r>
        <w:rPr>
          <w:rFonts w:hint="eastAsia" w:ascii="宋体" w:hAnsi="宋体"/>
          <w:b/>
          <w:bCs/>
          <w:sz w:val="24"/>
          <w:highlight w:val="none"/>
        </w:rPr>
        <w:t>说明：</w:t>
      </w:r>
    </w:p>
    <w:p w14:paraId="6426AAEB">
      <w:pPr>
        <w:snapToGrid w:val="0"/>
        <w:spacing w:before="50" w:after="120" w:afterLines="50" w:line="360" w:lineRule="auto"/>
        <w:jc w:val="left"/>
        <w:rPr>
          <w:rFonts w:ascii="宋体" w:hAnsi="宋体"/>
          <w:b/>
          <w:sz w:val="24"/>
          <w:highlight w:val="none"/>
        </w:rPr>
      </w:pPr>
      <w:r>
        <w:rPr>
          <w:rFonts w:hint="eastAsia" w:ascii="宋体" w:hAnsi="宋体"/>
          <w:b/>
          <w:sz w:val="24"/>
          <w:highlight w:val="none"/>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3EEC0624">
      <w:pPr>
        <w:snapToGrid w:val="0"/>
        <w:spacing w:before="50" w:after="50" w:line="420" w:lineRule="exact"/>
        <w:jc w:val="left"/>
        <w:rPr>
          <w:rFonts w:ascii="宋体" w:hAnsi="宋体"/>
          <w:sz w:val="24"/>
          <w:highlight w:val="none"/>
        </w:rPr>
      </w:pPr>
      <w:r>
        <w:rPr>
          <w:rFonts w:hint="eastAsia" w:ascii="宋体" w:hAnsi="宋体"/>
          <w:sz w:val="24"/>
          <w:highlight w:val="none"/>
        </w:rPr>
        <w:t>2、报价一经涂改，应在涂改处加盖单位公章或者由法定代表人签字或盖章</w:t>
      </w:r>
      <w:r>
        <w:rPr>
          <w:rFonts w:hint="eastAsia" w:ascii="宋体" w:hAnsi="宋体"/>
          <w:b/>
          <w:sz w:val="24"/>
          <w:szCs w:val="20"/>
          <w:highlight w:val="none"/>
        </w:rPr>
        <w:t>或授权委托人签字或盖章</w:t>
      </w:r>
      <w:r>
        <w:rPr>
          <w:rFonts w:hint="eastAsia" w:ascii="宋体" w:hAnsi="宋体"/>
          <w:sz w:val="24"/>
          <w:highlight w:val="none"/>
        </w:rPr>
        <w:t>。</w:t>
      </w:r>
    </w:p>
    <w:p w14:paraId="0EBF0375">
      <w:pPr>
        <w:snapToGrid w:val="0"/>
        <w:spacing w:before="50" w:after="50" w:line="420" w:lineRule="exact"/>
        <w:jc w:val="left"/>
        <w:rPr>
          <w:rFonts w:ascii="宋体" w:hAnsi="宋体"/>
          <w:sz w:val="24"/>
          <w:highlight w:val="none"/>
        </w:rPr>
      </w:pPr>
      <w:r>
        <w:rPr>
          <w:rFonts w:hint="eastAsia" w:ascii="宋体" w:hAnsi="宋体"/>
          <w:sz w:val="24"/>
          <w:highlight w:val="none"/>
        </w:rPr>
        <w:t>3、合计应与开标一览表中的投标总报价相同。</w:t>
      </w:r>
    </w:p>
    <w:p w14:paraId="4352360F">
      <w:pPr>
        <w:snapToGrid w:val="0"/>
        <w:spacing w:line="440" w:lineRule="exact"/>
        <w:rPr>
          <w:rFonts w:ascii="宋体" w:hAnsi="宋体" w:cs="宋体"/>
          <w:b/>
          <w:sz w:val="24"/>
          <w:highlight w:val="none"/>
        </w:rPr>
      </w:pPr>
    </w:p>
    <w:p w14:paraId="02B5D754">
      <w:pPr>
        <w:snapToGrid w:val="0"/>
        <w:spacing w:before="50" w:after="120" w:afterLines="50" w:line="440" w:lineRule="exact"/>
        <w:rPr>
          <w:rFonts w:ascii="宋体" w:hAnsi="宋体" w:cs="宋体"/>
          <w:b/>
          <w:spacing w:val="20"/>
          <w:sz w:val="24"/>
          <w:highlight w:val="none"/>
        </w:rPr>
      </w:pPr>
    </w:p>
    <w:p w14:paraId="76A6B8A6">
      <w:pPr>
        <w:snapToGrid w:val="0"/>
        <w:spacing w:before="50" w:after="120" w:afterLines="50" w:line="440" w:lineRule="exact"/>
        <w:rPr>
          <w:rFonts w:ascii="宋体" w:hAnsi="宋体" w:cs="宋体"/>
          <w:b/>
          <w:spacing w:val="20"/>
          <w:sz w:val="24"/>
          <w:highlight w:val="none"/>
        </w:rPr>
      </w:pPr>
      <w:r>
        <w:rPr>
          <w:rFonts w:hint="eastAsia" w:ascii="宋体" w:hAnsi="宋体" w:cs="宋体"/>
          <w:b/>
          <w:spacing w:val="20"/>
          <w:sz w:val="24"/>
          <w:highlight w:val="none"/>
        </w:rPr>
        <w:t xml:space="preserve">法定代表人签字（或盖章）：            </w:t>
      </w:r>
      <w:r>
        <w:rPr>
          <w:rFonts w:hint="eastAsia" w:ascii="宋体" w:hAnsi="宋体" w:cs="宋体"/>
          <w:b/>
          <w:spacing w:val="20"/>
          <w:sz w:val="24"/>
          <w:highlight w:val="none"/>
          <w:lang w:val="en-US" w:eastAsia="zh-CN"/>
        </w:rPr>
        <w:t>投标人</w:t>
      </w:r>
      <w:r>
        <w:rPr>
          <w:rFonts w:hint="eastAsia" w:ascii="宋体" w:hAnsi="宋体" w:cs="宋体"/>
          <w:b/>
          <w:spacing w:val="20"/>
          <w:sz w:val="24"/>
          <w:highlight w:val="none"/>
        </w:rPr>
        <w:t>（盖章）：</w:t>
      </w:r>
    </w:p>
    <w:p w14:paraId="0C833261">
      <w:pPr>
        <w:snapToGrid w:val="0"/>
        <w:spacing w:before="50" w:after="50" w:line="440" w:lineRule="exact"/>
        <w:rPr>
          <w:rFonts w:ascii="宋体" w:hAnsi="宋体" w:cs="宋体"/>
          <w:sz w:val="24"/>
          <w:highlight w:val="none"/>
        </w:rPr>
      </w:pPr>
      <w:r>
        <w:rPr>
          <w:rFonts w:hint="eastAsia" w:ascii="宋体" w:hAnsi="宋体" w:cs="宋体"/>
          <w:b/>
          <w:spacing w:val="20"/>
          <w:sz w:val="24"/>
          <w:highlight w:val="none"/>
        </w:rPr>
        <w:t>日期：  _____年___月___日</w:t>
      </w:r>
      <w:bookmarkEnd w:id="97"/>
    </w:p>
    <w:p w14:paraId="3A4E4203">
      <w:pPr>
        <w:rPr>
          <w:rFonts w:asciiTheme="minorEastAsia" w:hAnsiTheme="minorEastAsia" w:eastAsiaTheme="minorEastAsia" w:cstheme="minorEastAsia"/>
          <w:b/>
          <w:kern w:val="0"/>
          <w:sz w:val="24"/>
          <w:highlight w:val="none"/>
        </w:rPr>
        <w:sectPr>
          <w:pgSz w:w="11906" w:h="16838"/>
          <w:pgMar w:top="1021" w:right="1588" w:bottom="851" w:left="1588" w:header="851" w:footer="851" w:gutter="0"/>
          <w:cols w:space="720" w:num="1"/>
        </w:sectPr>
      </w:pPr>
    </w:p>
    <w:p w14:paraId="1A5BA52C">
      <w:pPr>
        <w:pStyle w:val="21"/>
        <w:rPr>
          <w:b w:val="0"/>
          <w:bCs w:val="0"/>
          <w:highlight w:val="none"/>
        </w:rPr>
      </w:pPr>
      <w:r>
        <w:rPr>
          <w:rFonts w:hint="eastAsia" w:ascii="宋体" w:eastAsia="宋体" w:cs="宋体"/>
          <w:b w:val="0"/>
          <w:bCs w:val="0"/>
          <w:szCs w:val="24"/>
          <w:highlight w:val="none"/>
        </w:rPr>
        <w:t>1</w:t>
      </w:r>
      <w:r>
        <w:rPr>
          <w:rFonts w:hint="eastAsia" w:ascii="宋体" w:eastAsia="宋体" w:cs="宋体"/>
          <w:b w:val="0"/>
          <w:bCs w:val="0"/>
          <w:szCs w:val="24"/>
          <w:highlight w:val="none"/>
          <w:lang w:val="en-US" w:eastAsia="zh-CN"/>
        </w:rPr>
        <w:t>5</w:t>
      </w:r>
      <w:r>
        <w:rPr>
          <w:rFonts w:hint="eastAsia" w:ascii="宋体" w:eastAsia="宋体" w:cs="宋体"/>
          <w:b w:val="0"/>
          <w:bCs w:val="0"/>
          <w:szCs w:val="24"/>
          <w:highlight w:val="none"/>
        </w:rPr>
        <w:t>.</w:t>
      </w:r>
      <w:r>
        <w:rPr>
          <w:rFonts w:hint="eastAsia" w:ascii="宋体" w:eastAsia="宋体" w:cs="宋体"/>
          <w:b w:val="0"/>
          <w:bCs w:val="0"/>
          <w:szCs w:val="24"/>
          <w:highlight w:val="none"/>
          <w:lang w:val="en-US" w:eastAsia="zh-CN"/>
        </w:rPr>
        <w:t>报价明细表2</w:t>
      </w:r>
      <w:r>
        <w:rPr>
          <w:rFonts w:hint="eastAsia" w:ascii="宋体" w:eastAsia="宋体" w:cs="宋体"/>
          <w:b w:val="0"/>
          <w:bCs w:val="0"/>
          <w:szCs w:val="24"/>
          <w:highlight w:val="none"/>
        </w:rPr>
        <w:br w:type="textWrapping"/>
      </w:r>
    </w:p>
    <w:tbl>
      <w:tblPr>
        <w:tblStyle w:val="52"/>
        <w:tblW w:w="5012" w:type="pct"/>
        <w:tblInd w:w="0" w:type="dxa"/>
        <w:tblLayout w:type="fixed"/>
        <w:tblCellMar>
          <w:top w:w="0" w:type="dxa"/>
          <w:left w:w="108" w:type="dxa"/>
          <w:bottom w:w="0" w:type="dxa"/>
          <w:right w:w="108" w:type="dxa"/>
        </w:tblCellMar>
      </w:tblPr>
      <w:tblGrid>
        <w:gridCol w:w="584"/>
        <w:gridCol w:w="1469"/>
        <w:gridCol w:w="3988"/>
        <w:gridCol w:w="1006"/>
        <w:gridCol w:w="480"/>
        <w:gridCol w:w="375"/>
        <w:gridCol w:w="479"/>
        <w:gridCol w:w="587"/>
      </w:tblGrid>
      <w:tr w14:paraId="449B329A">
        <w:tblPrEx>
          <w:tblCellMar>
            <w:top w:w="0" w:type="dxa"/>
            <w:left w:w="108" w:type="dxa"/>
            <w:bottom w:w="0" w:type="dxa"/>
            <w:right w:w="108" w:type="dxa"/>
          </w:tblCellMar>
        </w:tblPrEx>
        <w:trPr>
          <w:trHeight w:val="90" w:hRule="atLeast"/>
        </w:trPr>
        <w:tc>
          <w:tcPr>
            <w:tcW w:w="325"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6288A5E">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819" w:type="pct"/>
            <w:tcBorders>
              <w:top w:val="single" w:color="auto" w:sz="4" w:space="0"/>
              <w:left w:val="nil"/>
              <w:bottom w:val="single" w:color="auto" w:sz="4" w:space="0"/>
              <w:right w:val="single" w:color="auto" w:sz="4" w:space="0"/>
            </w:tcBorders>
            <w:shd w:val="clear" w:color="000000" w:fill="FFFFFF"/>
            <w:noWrap/>
            <w:vAlign w:val="center"/>
          </w:tcPr>
          <w:p w14:paraId="6BD81E23">
            <w:pPr>
              <w:widowControl/>
              <w:spacing w:line="440" w:lineRule="exact"/>
              <w:jc w:val="left"/>
              <w:rPr>
                <w:rFonts w:ascii="宋体" w:hAnsi="宋体" w:cs="宋体"/>
                <w:b/>
                <w:bCs/>
                <w:kern w:val="0"/>
                <w:sz w:val="24"/>
                <w:highlight w:val="none"/>
              </w:rPr>
            </w:pPr>
            <w:r>
              <w:rPr>
                <w:rFonts w:hint="eastAsia" w:ascii="宋体" w:hAnsi="宋体" w:cs="宋体"/>
                <w:b/>
                <w:bCs/>
                <w:kern w:val="0"/>
                <w:sz w:val="24"/>
                <w:highlight w:val="none"/>
              </w:rPr>
              <w:t>设备名称</w:t>
            </w:r>
          </w:p>
        </w:tc>
        <w:tc>
          <w:tcPr>
            <w:tcW w:w="2223" w:type="pct"/>
            <w:tcBorders>
              <w:top w:val="single" w:color="auto" w:sz="4" w:space="0"/>
              <w:left w:val="nil"/>
              <w:bottom w:val="single" w:color="auto" w:sz="4" w:space="0"/>
              <w:right w:val="single" w:color="auto" w:sz="4" w:space="0"/>
            </w:tcBorders>
            <w:shd w:val="clear" w:color="000000" w:fill="FFFFFF"/>
            <w:vAlign w:val="center"/>
          </w:tcPr>
          <w:p w14:paraId="187FC0E2">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规格型号及主要技术参数</w:t>
            </w:r>
          </w:p>
        </w:tc>
        <w:tc>
          <w:tcPr>
            <w:tcW w:w="560" w:type="pct"/>
            <w:tcBorders>
              <w:top w:val="single" w:color="auto" w:sz="4" w:space="0"/>
              <w:left w:val="nil"/>
              <w:bottom w:val="single" w:color="auto" w:sz="4" w:space="0"/>
              <w:right w:val="single" w:color="auto" w:sz="4" w:space="0"/>
            </w:tcBorders>
            <w:shd w:val="clear" w:color="000000" w:fill="FFFFFF"/>
            <w:noWrap/>
            <w:vAlign w:val="center"/>
          </w:tcPr>
          <w:p w14:paraId="4B004C51">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数量</w:t>
            </w:r>
          </w:p>
        </w:tc>
        <w:tc>
          <w:tcPr>
            <w:tcW w:w="267" w:type="pct"/>
            <w:tcBorders>
              <w:top w:val="single" w:color="auto" w:sz="4" w:space="0"/>
              <w:left w:val="nil"/>
              <w:bottom w:val="single" w:color="auto" w:sz="4" w:space="0"/>
              <w:right w:val="single" w:color="auto" w:sz="4" w:space="0"/>
            </w:tcBorders>
            <w:shd w:val="clear" w:color="000000" w:fill="FFFFFF"/>
            <w:noWrap/>
            <w:vAlign w:val="center"/>
          </w:tcPr>
          <w:p w14:paraId="1E5CEF95">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单位</w:t>
            </w:r>
          </w:p>
        </w:tc>
        <w:tc>
          <w:tcPr>
            <w:tcW w:w="209" w:type="pct"/>
            <w:tcBorders>
              <w:top w:val="single" w:color="auto" w:sz="4" w:space="0"/>
              <w:left w:val="nil"/>
              <w:bottom w:val="single" w:color="auto" w:sz="4" w:space="0"/>
              <w:right w:val="single" w:color="auto" w:sz="4" w:space="0"/>
            </w:tcBorders>
            <w:shd w:val="clear" w:color="000000" w:fill="FFFFFF"/>
            <w:noWrap/>
            <w:vAlign w:val="center"/>
          </w:tcPr>
          <w:p w14:paraId="30C13F34">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单价</w:t>
            </w:r>
          </w:p>
        </w:tc>
        <w:tc>
          <w:tcPr>
            <w:tcW w:w="267" w:type="pct"/>
            <w:tcBorders>
              <w:top w:val="single" w:color="auto" w:sz="4" w:space="0"/>
              <w:left w:val="nil"/>
              <w:bottom w:val="single" w:color="auto" w:sz="4" w:space="0"/>
              <w:right w:val="single" w:color="auto" w:sz="4" w:space="0"/>
            </w:tcBorders>
            <w:shd w:val="clear" w:color="000000" w:fill="FFFFFF"/>
            <w:noWrap/>
            <w:vAlign w:val="center"/>
          </w:tcPr>
          <w:p w14:paraId="4103AA2F">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小计</w:t>
            </w:r>
          </w:p>
        </w:tc>
        <w:tc>
          <w:tcPr>
            <w:tcW w:w="327" w:type="pct"/>
            <w:tcBorders>
              <w:top w:val="single" w:color="auto" w:sz="4" w:space="0"/>
              <w:left w:val="nil"/>
              <w:bottom w:val="single" w:color="auto" w:sz="4" w:space="0"/>
              <w:right w:val="single" w:color="auto" w:sz="4" w:space="0"/>
            </w:tcBorders>
            <w:shd w:val="clear" w:color="000000" w:fill="FFFFFF"/>
            <w:noWrap/>
            <w:vAlign w:val="center"/>
          </w:tcPr>
          <w:p w14:paraId="28FB5AE8">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品牌</w:t>
            </w:r>
          </w:p>
        </w:tc>
      </w:tr>
      <w:tr w14:paraId="72B130E9">
        <w:tblPrEx>
          <w:tblCellMar>
            <w:top w:w="0" w:type="dxa"/>
            <w:left w:w="108" w:type="dxa"/>
            <w:bottom w:w="0" w:type="dxa"/>
            <w:right w:w="108" w:type="dxa"/>
          </w:tblCellMar>
        </w:tblPrEx>
        <w:trPr>
          <w:trHeight w:val="406" w:hRule="atLeast"/>
        </w:trPr>
        <w:tc>
          <w:tcPr>
            <w:tcW w:w="5000" w:type="pct"/>
            <w:gridSpan w:val="8"/>
            <w:tcBorders>
              <w:top w:val="single" w:color="auto" w:sz="4" w:space="0"/>
              <w:left w:val="single" w:color="auto" w:sz="4" w:space="0"/>
              <w:bottom w:val="single" w:color="auto" w:sz="4" w:space="0"/>
              <w:right w:val="single" w:color="auto" w:sz="4" w:space="0"/>
            </w:tcBorders>
            <w:shd w:val="clear" w:color="000000" w:fill="FFFFFF"/>
            <w:noWrap/>
            <w:vAlign w:val="center"/>
          </w:tcPr>
          <w:p w14:paraId="550228DA">
            <w:pPr>
              <w:widowControl/>
              <w:spacing w:line="440" w:lineRule="exact"/>
              <w:jc w:val="center"/>
              <w:rPr>
                <w:rFonts w:ascii="宋体" w:hAnsi="宋体" w:cs="宋体"/>
                <w:b/>
                <w:bCs/>
                <w:kern w:val="0"/>
                <w:sz w:val="24"/>
                <w:highlight w:val="none"/>
              </w:rPr>
            </w:pPr>
            <w:r>
              <w:rPr>
                <w:rFonts w:hint="eastAsia" w:ascii="宋体" w:hAnsi="宋体" w:cs="宋体"/>
                <w:b/>
                <w:bCs/>
                <w:kern w:val="0"/>
                <w:sz w:val="24"/>
                <w:highlight w:val="none"/>
              </w:rPr>
              <w:t>一、设备安装部分</w:t>
            </w:r>
          </w:p>
        </w:tc>
      </w:tr>
      <w:tr w14:paraId="71A86220">
        <w:tblPrEx>
          <w:tblCellMar>
            <w:top w:w="0" w:type="dxa"/>
            <w:left w:w="108" w:type="dxa"/>
            <w:bottom w:w="0" w:type="dxa"/>
            <w:right w:w="108" w:type="dxa"/>
          </w:tblCellMar>
        </w:tblPrEx>
        <w:trPr>
          <w:trHeight w:val="2537" w:hRule="atLeast"/>
        </w:trPr>
        <w:tc>
          <w:tcPr>
            <w:tcW w:w="584" w:type="dxa"/>
            <w:tcBorders>
              <w:top w:val="nil"/>
              <w:left w:val="single" w:color="auto" w:sz="4" w:space="0"/>
              <w:bottom w:val="single" w:color="auto" w:sz="4" w:space="0"/>
              <w:right w:val="single" w:color="auto" w:sz="4" w:space="0"/>
            </w:tcBorders>
            <w:noWrap/>
            <w:vAlign w:val="center"/>
          </w:tcPr>
          <w:p w14:paraId="5983EB6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1469" w:type="dxa"/>
            <w:tcBorders>
              <w:top w:val="nil"/>
              <w:left w:val="nil"/>
              <w:bottom w:val="single" w:color="auto" w:sz="4" w:space="0"/>
              <w:right w:val="single" w:color="auto" w:sz="4" w:space="0"/>
            </w:tcBorders>
            <w:noWrap/>
            <w:vAlign w:val="center"/>
          </w:tcPr>
          <w:p w14:paraId="06CADB59">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一体化净水设备</w:t>
            </w:r>
          </w:p>
        </w:tc>
        <w:tc>
          <w:tcPr>
            <w:tcW w:w="3988" w:type="dxa"/>
            <w:tcBorders>
              <w:top w:val="nil"/>
              <w:left w:val="nil"/>
              <w:bottom w:val="single" w:color="auto" w:sz="4" w:space="0"/>
              <w:right w:val="single" w:color="auto" w:sz="4" w:space="0"/>
            </w:tcBorders>
            <w:vAlign w:val="center"/>
          </w:tcPr>
          <w:p w14:paraId="5825FC04">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1.名称：一体化净水设备</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2.型号：设计规模5000t/d</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3.</w:t>
            </w:r>
            <w:r>
              <w:rPr>
                <w:rFonts w:hint="eastAsia" w:ascii="宋体" w:hAnsi="宋体" w:cs="宋体"/>
                <w:color w:val="000000"/>
                <w:kern w:val="0"/>
                <w:sz w:val="24"/>
                <w:highlight w:val="none"/>
                <w:lang w:bidi="ar"/>
              </w:rPr>
              <w:t>尺寸</w:t>
            </w:r>
            <w:r>
              <w:rPr>
                <w:rFonts w:hint="eastAsia" w:ascii="宋体" w:hAnsi="宋体" w:cs="宋体"/>
                <w:color w:val="000000"/>
                <w:kern w:val="0"/>
                <w:sz w:val="24"/>
                <w:highlight w:val="none"/>
                <w:lang w:val="en-US" w:eastAsia="zh-CN" w:bidi="ar"/>
              </w:rPr>
              <w:t>:长×宽×高=</w:t>
            </w:r>
            <w:r>
              <w:rPr>
                <w:rFonts w:hint="eastAsia" w:ascii="宋体" w:hAnsi="宋体" w:cs="宋体"/>
                <w:color w:val="000000"/>
                <w:kern w:val="0"/>
                <w:sz w:val="24"/>
                <w:highlight w:val="none"/>
                <w:lang w:bidi="ar"/>
              </w:rPr>
              <w:t xml:space="preserve">11.8m×8.6m×5.6m </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4</w:t>
            </w:r>
            <w:r>
              <w:rPr>
                <w:rFonts w:hint="eastAsia" w:ascii="宋体" w:hAnsi="宋体" w:cs="宋体"/>
                <w:color w:val="000000"/>
                <w:kern w:val="0"/>
                <w:sz w:val="24"/>
                <w:highlight w:val="none"/>
                <w:lang w:bidi="ar"/>
              </w:rPr>
              <w:t>.材质：材质304不锈钢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5</w:t>
            </w:r>
            <w:r>
              <w:rPr>
                <w:rFonts w:hint="eastAsia" w:ascii="宋体" w:hAnsi="宋体" w:cs="宋体"/>
                <w:color w:val="000000"/>
                <w:kern w:val="0"/>
                <w:sz w:val="24"/>
                <w:highlight w:val="none"/>
                <w:lang w:bidi="ar"/>
              </w:rPr>
              <w:t>.其他：含网格絮凝区及斜管沉淀区、无阀滤池区、反冲洗系统、排泥管路等，配套不锈钢网格高效絮凝反应器、不锈钢斜管、长柄滤头等，含本体设施的对接管路</w:t>
            </w:r>
          </w:p>
        </w:tc>
        <w:tc>
          <w:tcPr>
            <w:tcW w:w="560" w:type="pct"/>
            <w:tcBorders>
              <w:top w:val="nil"/>
              <w:left w:val="nil"/>
              <w:bottom w:val="single" w:color="auto" w:sz="4" w:space="0"/>
              <w:right w:val="single" w:color="auto" w:sz="4" w:space="0"/>
            </w:tcBorders>
            <w:noWrap/>
            <w:vAlign w:val="center"/>
          </w:tcPr>
          <w:p w14:paraId="78A6A561">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nil"/>
              <w:left w:val="nil"/>
              <w:bottom w:val="single" w:color="auto" w:sz="4" w:space="0"/>
              <w:right w:val="single" w:color="auto" w:sz="4" w:space="0"/>
            </w:tcBorders>
            <w:noWrap/>
            <w:vAlign w:val="center"/>
          </w:tcPr>
          <w:p w14:paraId="4B901AFB">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座</w:t>
            </w:r>
          </w:p>
        </w:tc>
        <w:tc>
          <w:tcPr>
            <w:tcW w:w="209" w:type="pct"/>
            <w:tcBorders>
              <w:top w:val="nil"/>
              <w:left w:val="nil"/>
              <w:bottom w:val="single" w:color="auto" w:sz="4" w:space="0"/>
              <w:right w:val="single" w:color="auto" w:sz="4" w:space="0"/>
            </w:tcBorders>
            <w:noWrap/>
            <w:vAlign w:val="center"/>
          </w:tcPr>
          <w:p w14:paraId="268C4174">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33E62D23">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3DF183A2">
            <w:pPr>
              <w:widowControl/>
              <w:jc w:val="center"/>
              <w:textAlignment w:val="center"/>
              <w:rPr>
                <w:rFonts w:ascii="宋体" w:hAnsi="宋体" w:cs="宋体"/>
                <w:color w:val="000000"/>
                <w:kern w:val="0"/>
                <w:sz w:val="24"/>
                <w:highlight w:val="none"/>
                <w:lang w:bidi="ar"/>
              </w:rPr>
            </w:pPr>
          </w:p>
        </w:tc>
      </w:tr>
      <w:tr w14:paraId="4BF41FB4">
        <w:tblPrEx>
          <w:tblCellMar>
            <w:top w:w="0" w:type="dxa"/>
            <w:left w:w="108" w:type="dxa"/>
            <w:bottom w:w="0" w:type="dxa"/>
            <w:right w:w="108" w:type="dxa"/>
          </w:tblCellMar>
        </w:tblPrEx>
        <w:trPr>
          <w:trHeight w:val="851" w:hRule="atLeast"/>
        </w:trPr>
        <w:tc>
          <w:tcPr>
            <w:tcW w:w="584" w:type="dxa"/>
            <w:tcBorders>
              <w:top w:val="nil"/>
              <w:left w:val="single" w:color="auto" w:sz="4" w:space="0"/>
              <w:bottom w:val="single" w:color="auto" w:sz="4" w:space="0"/>
              <w:right w:val="single" w:color="auto" w:sz="4" w:space="0"/>
            </w:tcBorders>
            <w:noWrap/>
            <w:vAlign w:val="center"/>
          </w:tcPr>
          <w:p w14:paraId="6079CF6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w:t>
            </w:r>
          </w:p>
        </w:tc>
        <w:tc>
          <w:tcPr>
            <w:tcW w:w="1469" w:type="dxa"/>
            <w:tcBorders>
              <w:top w:val="nil"/>
              <w:left w:val="nil"/>
              <w:bottom w:val="single" w:color="auto" w:sz="4" w:space="0"/>
              <w:right w:val="single" w:color="auto" w:sz="4" w:space="0"/>
            </w:tcBorders>
            <w:noWrap/>
            <w:vAlign w:val="center"/>
          </w:tcPr>
          <w:p w14:paraId="405747DA">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水力快开排泥阀</w:t>
            </w:r>
          </w:p>
        </w:tc>
        <w:tc>
          <w:tcPr>
            <w:tcW w:w="3988" w:type="dxa"/>
            <w:tcBorders>
              <w:top w:val="nil"/>
              <w:left w:val="nil"/>
              <w:bottom w:val="single" w:color="auto" w:sz="4" w:space="0"/>
              <w:right w:val="single" w:color="auto" w:sz="4" w:space="0"/>
            </w:tcBorders>
            <w:vAlign w:val="center"/>
          </w:tcPr>
          <w:p w14:paraId="4D0C3D65">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1.名称：水力快开排泥阀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w:t>
            </w:r>
            <w:r>
              <w:rPr>
                <w:rFonts w:hint="eastAsia" w:ascii="宋体" w:hAnsi="宋体" w:cs="宋体"/>
                <w:color w:val="000000"/>
                <w:kern w:val="0"/>
                <w:sz w:val="24"/>
                <w:highlight w:val="none"/>
                <w:lang w:val="en-US" w:eastAsia="zh-CN" w:bidi="ar"/>
              </w:rPr>
              <w:t>DN150,PN10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60" w:type="pct"/>
            <w:tcBorders>
              <w:top w:val="nil"/>
              <w:left w:val="nil"/>
              <w:bottom w:val="single" w:color="auto" w:sz="4" w:space="0"/>
              <w:right w:val="single" w:color="auto" w:sz="4" w:space="0"/>
            </w:tcBorders>
            <w:noWrap/>
            <w:vAlign w:val="center"/>
          </w:tcPr>
          <w:p w14:paraId="1066951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267" w:type="pct"/>
            <w:tcBorders>
              <w:top w:val="nil"/>
              <w:left w:val="nil"/>
              <w:bottom w:val="single" w:color="auto" w:sz="4" w:space="0"/>
              <w:right w:val="single" w:color="auto" w:sz="4" w:space="0"/>
            </w:tcBorders>
            <w:noWrap/>
            <w:vAlign w:val="center"/>
          </w:tcPr>
          <w:p w14:paraId="7F212694">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61376FB7">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777EA9CE">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46FE6100">
            <w:pPr>
              <w:widowControl/>
              <w:jc w:val="center"/>
              <w:textAlignment w:val="center"/>
              <w:rPr>
                <w:rFonts w:ascii="宋体" w:hAnsi="宋体" w:cs="宋体"/>
                <w:color w:val="000000"/>
                <w:kern w:val="0"/>
                <w:sz w:val="24"/>
                <w:highlight w:val="none"/>
                <w:lang w:bidi="ar"/>
              </w:rPr>
            </w:pPr>
          </w:p>
        </w:tc>
      </w:tr>
      <w:tr w14:paraId="16A0A169">
        <w:tblPrEx>
          <w:tblCellMar>
            <w:top w:w="0" w:type="dxa"/>
            <w:left w:w="108" w:type="dxa"/>
            <w:bottom w:w="0" w:type="dxa"/>
            <w:right w:w="108" w:type="dxa"/>
          </w:tblCellMar>
        </w:tblPrEx>
        <w:trPr>
          <w:trHeight w:val="406" w:hRule="atLeast"/>
        </w:trPr>
        <w:tc>
          <w:tcPr>
            <w:tcW w:w="584" w:type="dxa"/>
            <w:tcBorders>
              <w:top w:val="nil"/>
              <w:left w:val="single" w:color="auto" w:sz="4" w:space="0"/>
              <w:bottom w:val="single" w:color="auto" w:sz="4" w:space="0"/>
              <w:right w:val="single" w:color="auto" w:sz="4" w:space="0"/>
            </w:tcBorders>
            <w:noWrap/>
            <w:vAlign w:val="center"/>
          </w:tcPr>
          <w:p w14:paraId="631E48E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3</w:t>
            </w:r>
          </w:p>
        </w:tc>
        <w:tc>
          <w:tcPr>
            <w:tcW w:w="1469" w:type="dxa"/>
            <w:tcBorders>
              <w:top w:val="nil"/>
              <w:left w:val="nil"/>
              <w:bottom w:val="single" w:color="auto" w:sz="4" w:space="0"/>
              <w:right w:val="single" w:color="auto" w:sz="4" w:space="0"/>
            </w:tcBorders>
            <w:noWrap/>
            <w:vAlign w:val="center"/>
          </w:tcPr>
          <w:p w14:paraId="417397DF">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电磁阀</w:t>
            </w:r>
          </w:p>
        </w:tc>
        <w:tc>
          <w:tcPr>
            <w:tcW w:w="3988" w:type="dxa"/>
            <w:tcBorders>
              <w:top w:val="nil"/>
              <w:left w:val="nil"/>
              <w:bottom w:val="single" w:color="auto" w:sz="4" w:space="0"/>
              <w:right w:val="single" w:color="auto" w:sz="4" w:space="0"/>
            </w:tcBorders>
            <w:vAlign w:val="center"/>
          </w:tcPr>
          <w:p w14:paraId="5DFA4EE6">
            <w:pPr>
              <w:widowControl/>
              <w:numPr>
                <w:ilvl w:val="0"/>
                <w:numId w:val="6"/>
              </w:numPr>
              <w:jc w:val="left"/>
              <w:textAlignment w:val="center"/>
              <w:rPr>
                <w:rFonts w:hint="eastAsia" w:ascii="宋体" w:hAnsi="宋体" w:cs="宋体"/>
                <w:color w:val="000000"/>
                <w:kern w:val="0"/>
                <w:sz w:val="24"/>
                <w:highlight w:val="none"/>
                <w:lang w:bidi="ar"/>
              </w:rPr>
            </w:pPr>
            <w:r>
              <w:rPr>
                <w:rFonts w:hint="eastAsia" w:ascii="宋体" w:hAnsi="宋体" w:cs="宋体"/>
                <w:color w:val="000000"/>
                <w:kern w:val="0"/>
                <w:sz w:val="24"/>
                <w:highlight w:val="none"/>
                <w:lang w:bidi="ar"/>
              </w:rPr>
              <w:t>名 称：电磁阀</w:t>
            </w:r>
          </w:p>
          <w:p w14:paraId="38857514">
            <w:pPr>
              <w:widowControl/>
              <w:numPr>
                <w:ilvl w:val="0"/>
                <w:numId w:val="6"/>
              </w:numPr>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水力快开排泥阀</w:t>
            </w:r>
            <w:r>
              <w:rPr>
                <w:rFonts w:hint="eastAsia" w:ascii="宋体" w:hAnsi="宋体" w:cs="宋体"/>
                <w:color w:val="000000"/>
                <w:kern w:val="0"/>
                <w:sz w:val="24"/>
                <w:highlight w:val="none"/>
                <w:lang w:val="en-US" w:eastAsia="zh-CN" w:bidi="ar"/>
              </w:rPr>
              <w:t xml:space="preserve">配套 </w:t>
            </w:r>
          </w:p>
        </w:tc>
        <w:tc>
          <w:tcPr>
            <w:tcW w:w="560" w:type="pct"/>
            <w:tcBorders>
              <w:top w:val="nil"/>
              <w:left w:val="nil"/>
              <w:bottom w:val="single" w:color="auto" w:sz="4" w:space="0"/>
              <w:right w:val="single" w:color="auto" w:sz="4" w:space="0"/>
            </w:tcBorders>
            <w:noWrap/>
            <w:vAlign w:val="center"/>
          </w:tcPr>
          <w:p w14:paraId="1D9CBED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267" w:type="pct"/>
            <w:tcBorders>
              <w:top w:val="nil"/>
              <w:left w:val="nil"/>
              <w:bottom w:val="single" w:color="auto" w:sz="4" w:space="0"/>
              <w:right w:val="single" w:color="auto" w:sz="4" w:space="0"/>
            </w:tcBorders>
            <w:noWrap/>
            <w:vAlign w:val="center"/>
          </w:tcPr>
          <w:p w14:paraId="3CB6926D">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78D1B519">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0A01C205">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2E0AD24F">
            <w:pPr>
              <w:widowControl/>
              <w:jc w:val="center"/>
              <w:textAlignment w:val="center"/>
              <w:rPr>
                <w:rFonts w:ascii="宋体" w:hAnsi="宋体" w:cs="宋体"/>
                <w:color w:val="000000"/>
                <w:kern w:val="0"/>
                <w:sz w:val="24"/>
                <w:highlight w:val="none"/>
                <w:lang w:bidi="ar"/>
              </w:rPr>
            </w:pPr>
          </w:p>
        </w:tc>
      </w:tr>
      <w:tr w14:paraId="2780B56D">
        <w:tblPrEx>
          <w:tblCellMar>
            <w:top w:w="0" w:type="dxa"/>
            <w:left w:w="108" w:type="dxa"/>
            <w:bottom w:w="0" w:type="dxa"/>
            <w:right w:w="108" w:type="dxa"/>
          </w:tblCellMar>
        </w:tblPrEx>
        <w:trPr>
          <w:trHeight w:val="851" w:hRule="atLeast"/>
        </w:trPr>
        <w:tc>
          <w:tcPr>
            <w:tcW w:w="584" w:type="dxa"/>
            <w:tcBorders>
              <w:top w:val="nil"/>
              <w:left w:val="single" w:color="auto" w:sz="4" w:space="0"/>
              <w:bottom w:val="single" w:color="auto" w:sz="4" w:space="0"/>
              <w:right w:val="single" w:color="auto" w:sz="4" w:space="0"/>
            </w:tcBorders>
            <w:noWrap/>
            <w:vAlign w:val="center"/>
          </w:tcPr>
          <w:p w14:paraId="39C846B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1469" w:type="dxa"/>
            <w:tcBorders>
              <w:top w:val="nil"/>
              <w:left w:val="nil"/>
              <w:bottom w:val="single" w:color="auto" w:sz="4" w:space="0"/>
              <w:right w:val="single" w:color="auto" w:sz="4" w:space="0"/>
            </w:tcBorders>
            <w:noWrap/>
            <w:vAlign w:val="center"/>
          </w:tcPr>
          <w:p w14:paraId="7519EDD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手动闸阀</w:t>
            </w:r>
          </w:p>
        </w:tc>
        <w:tc>
          <w:tcPr>
            <w:tcW w:w="3988" w:type="dxa"/>
            <w:tcBorders>
              <w:top w:val="nil"/>
              <w:left w:val="nil"/>
              <w:bottom w:val="single" w:color="auto" w:sz="4" w:space="0"/>
              <w:right w:val="single" w:color="auto" w:sz="4" w:space="0"/>
            </w:tcBorders>
            <w:vAlign w:val="center"/>
          </w:tcPr>
          <w:p w14:paraId="78A0FC0E">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1.名称：手动闸阀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2.规格：DN150，PN10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60" w:type="pct"/>
            <w:tcBorders>
              <w:top w:val="nil"/>
              <w:left w:val="nil"/>
              <w:bottom w:val="single" w:color="auto" w:sz="4" w:space="0"/>
              <w:right w:val="single" w:color="auto" w:sz="4" w:space="0"/>
            </w:tcBorders>
            <w:noWrap/>
            <w:vAlign w:val="center"/>
          </w:tcPr>
          <w:p w14:paraId="312B509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267" w:type="pct"/>
            <w:tcBorders>
              <w:top w:val="nil"/>
              <w:left w:val="nil"/>
              <w:bottom w:val="single" w:color="auto" w:sz="4" w:space="0"/>
              <w:right w:val="single" w:color="auto" w:sz="4" w:space="0"/>
            </w:tcBorders>
            <w:noWrap/>
            <w:vAlign w:val="center"/>
          </w:tcPr>
          <w:p w14:paraId="13841CB8">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2CADB0B8">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026F299D">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747BBD5C">
            <w:pPr>
              <w:widowControl/>
              <w:jc w:val="center"/>
              <w:textAlignment w:val="center"/>
              <w:rPr>
                <w:rFonts w:ascii="宋体" w:hAnsi="宋体" w:cs="宋体"/>
                <w:color w:val="000000"/>
                <w:kern w:val="0"/>
                <w:sz w:val="24"/>
                <w:highlight w:val="none"/>
                <w:lang w:bidi="ar"/>
              </w:rPr>
            </w:pPr>
          </w:p>
        </w:tc>
      </w:tr>
      <w:tr w14:paraId="76AB3D9A">
        <w:tblPrEx>
          <w:tblCellMar>
            <w:top w:w="0" w:type="dxa"/>
            <w:left w:w="108" w:type="dxa"/>
            <w:bottom w:w="0" w:type="dxa"/>
            <w:right w:w="108" w:type="dxa"/>
          </w:tblCellMar>
        </w:tblPrEx>
        <w:trPr>
          <w:trHeight w:val="851" w:hRule="atLeast"/>
        </w:trPr>
        <w:tc>
          <w:tcPr>
            <w:tcW w:w="584" w:type="dxa"/>
            <w:tcBorders>
              <w:top w:val="nil"/>
              <w:left w:val="single" w:color="auto" w:sz="4" w:space="0"/>
              <w:bottom w:val="single" w:color="auto" w:sz="4" w:space="0"/>
              <w:right w:val="single" w:color="auto" w:sz="4" w:space="0"/>
            </w:tcBorders>
            <w:noWrap/>
            <w:vAlign w:val="center"/>
          </w:tcPr>
          <w:p w14:paraId="401941E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5</w:t>
            </w:r>
          </w:p>
        </w:tc>
        <w:tc>
          <w:tcPr>
            <w:tcW w:w="1469" w:type="dxa"/>
            <w:tcBorders>
              <w:top w:val="nil"/>
              <w:left w:val="nil"/>
              <w:bottom w:val="single" w:color="auto" w:sz="4" w:space="0"/>
              <w:right w:val="single" w:color="auto" w:sz="4" w:space="0"/>
            </w:tcBorders>
            <w:noWrap/>
            <w:vAlign w:val="center"/>
          </w:tcPr>
          <w:p w14:paraId="4062D1F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手动蝶阀</w:t>
            </w:r>
          </w:p>
        </w:tc>
        <w:tc>
          <w:tcPr>
            <w:tcW w:w="3988" w:type="dxa"/>
            <w:tcBorders>
              <w:top w:val="nil"/>
              <w:left w:val="nil"/>
              <w:bottom w:val="single" w:color="auto" w:sz="4" w:space="0"/>
              <w:right w:val="single" w:color="auto" w:sz="4" w:space="0"/>
            </w:tcBorders>
            <w:vAlign w:val="center"/>
          </w:tcPr>
          <w:p w14:paraId="3891D147">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1.名称：手动蝶阀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2.规格：DN100，PN10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60" w:type="pct"/>
            <w:tcBorders>
              <w:top w:val="nil"/>
              <w:left w:val="nil"/>
              <w:bottom w:val="single" w:color="auto" w:sz="4" w:space="0"/>
              <w:right w:val="single" w:color="auto" w:sz="4" w:space="0"/>
            </w:tcBorders>
            <w:noWrap/>
            <w:vAlign w:val="center"/>
          </w:tcPr>
          <w:p w14:paraId="054DDC5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267" w:type="pct"/>
            <w:tcBorders>
              <w:top w:val="nil"/>
              <w:left w:val="nil"/>
              <w:bottom w:val="single" w:color="auto" w:sz="4" w:space="0"/>
              <w:right w:val="single" w:color="auto" w:sz="4" w:space="0"/>
            </w:tcBorders>
            <w:noWrap/>
            <w:vAlign w:val="center"/>
          </w:tcPr>
          <w:p w14:paraId="15367B1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2D47C3AC">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7163F506">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2A6C73BB">
            <w:pPr>
              <w:widowControl/>
              <w:jc w:val="center"/>
              <w:textAlignment w:val="center"/>
              <w:rPr>
                <w:rFonts w:ascii="宋体" w:hAnsi="宋体" w:cs="宋体"/>
                <w:color w:val="000000"/>
                <w:kern w:val="0"/>
                <w:sz w:val="24"/>
                <w:highlight w:val="none"/>
                <w:lang w:bidi="ar"/>
              </w:rPr>
            </w:pPr>
          </w:p>
        </w:tc>
      </w:tr>
      <w:tr w14:paraId="28D5366E">
        <w:tblPrEx>
          <w:tblCellMar>
            <w:top w:w="0" w:type="dxa"/>
            <w:left w:w="108" w:type="dxa"/>
            <w:bottom w:w="0" w:type="dxa"/>
            <w:right w:w="108" w:type="dxa"/>
          </w:tblCellMar>
        </w:tblPrEx>
        <w:trPr>
          <w:trHeight w:val="851" w:hRule="atLeast"/>
        </w:trPr>
        <w:tc>
          <w:tcPr>
            <w:tcW w:w="584" w:type="dxa"/>
            <w:tcBorders>
              <w:top w:val="nil"/>
              <w:left w:val="single" w:color="auto" w:sz="4" w:space="0"/>
              <w:bottom w:val="single" w:color="auto" w:sz="4" w:space="0"/>
              <w:right w:val="single" w:color="auto" w:sz="4" w:space="0"/>
            </w:tcBorders>
            <w:noWrap/>
            <w:vAlign w:val="center"/>
          </w:tcPr>
          <w:p w14:paraId="0013135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6</w:t>
            </w:r>
          </w:p>
        </w:tc>
        <w:tc>
          <w:tcPr>
            <w:tcW w:w="1469" w:type="dxa"/>
            <w:tcBorders>
              <w:top w:val="nil"/>
              <w:left w:val="nil"/>
              <w:bottom w:val="single" w:color="auto" w:sz="4" w:space="0"/>
              <w:right w:val="single" w:color="auto" w:sz="4" w:space="0"/>
            </w:tcBorders>
            <w:noWrap/>
            <w:vAlign w:val="center"/>
          </w:tcPr>
          <w:p w14:paraId="5CF82F1D">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双法兰传力伸缩接头</w:t>
            </w:r>
          </w:p>
        </w:tc>
        <w:tc>
          <w:tcPr>
            <w:tcW w:w="3988" w:type="dxa"/>
            <w:tcBorders>
              <w:top w:val="nil"/>
              <w:left w:val="nil"/>
              <w:bottom w:val="single" w:color="auto" w:sz="4" w:space="0"/>
              <w:right w:val="single" w:color="auto" w:sz="4" w:space="0"/>
            </w:tcBorders>
            <w:vAlign w:val="center"/>
          </w:tcPr>
          <w:p w14:paraId="774467A9">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1.名称：双法兰传力伸缩接头</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2.规格：DN100，PN10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60" w:type="pct"/>
            <w:tcBorders>
              <w:top w:val="nil"/>
              <w:left w:val="nil"/>
              <w:bottom w:val="single" w:color="auto" w:sz="4" w:space="0"/>
              <w:right w:val="single" w:color="auto" w:sz="4" w:space="0"/>
            </w:tcBorders>
            <w:noWrap/>
            <w:vAlign w:val="center"/>
          </w:tcPr>
          <w:p w14:paraId="0999F721">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267" w:type="pct"/>
            <w:tcBorders>
              <w:top w:val="nil"/>
              <w:left w:val="nil"/>
              <w:bottom w:val="single" w:color="auto" w:sz="4" w:space="0"/>
              <w:right w:val="single" w:color="auto" w:sz="4" w:space="0"/>
            </w:tcBorders>
            <w:noWrap/>
            <w:vAlign w:val="center"/>
          </w:tcPr>
          <w:p w14:paraId="3160F661">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2B201AA4">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11BF2080">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51E3A840">
            <w:pPr>
              <w:widowControl/>
              <w:jc w:val="center"/>
              <w:textAlignment w:val="center"/>
              <w:rPr>
                <w:rFonts w:ascii="宋体" w:hAnsi="宋体" w:cs="宋体"/>
                <w:color w:val="000000"/>
                <w:kern w:val="0"/>
                <w:sz w:val="24"/>
                <w:highlight w:val="none"/>
                <w:lang w:bidi="ar"/>
              </w:rPr>
            </w:pPr>
          </w:p>
        </w:tc>
      </w:tr>
      <w:tr w14:paraId="1A087F1D">
        <w:tblPrEx>
          <w:tblCellMar>
            <w:top w:w="0" w:type="dxa"/>
            <w:left w:w="108" w:type="dxa"/>
            <w:bottom w:w="0" w:type="dxa"/>
            <w:right w:w="108" w:type="dxa"/>
          </w:tblCellMar>
        </w:tblPrEx>
        <w:trPr>
          <w:trHeight w:val="851" w:hRule="atLeast"/>
        </w:trPr>
        <w:tc>
          <w:tcPr>
            <w:tcW w:w="584" w:type="dxa"/>
            <w:tcBorders>
              <w:top w:val="nil"/>
              <w:left w:val="single" w:color="auto" w:sz="4" w:space="0"/>
              <w:bottom w:val="single" w:color="auto" w:sz="4" w:space="0"/>
              <w:right w:val="single" w:color="auto" w:sz="4" w:space="0"/>
            </w:tcBorders>
            <w:noWrap/>
            <w:vAlign w:val="center"/>
          </w:tcPr>
          <w:p w14:paraId="1F25A491">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7</w:t>
            </w:r>
          </w:p>
        </w:tc>
        <w:tc>
          <w:tcPr>
            <w:tcW w:w="1469" w:type="dxa"/>
            <w:tcBorders>
              <w:top w:val="nil"/>
              <w:left w:val="nil"/>
              <w:bottom w:val="single" w:color="auto" w:sz="4" w:space="0"/>
              <w:right w:val="single" w:color="auto" w:sz="4" w:space="0"/>
            </w:tcBorders>
            <w:noWrap/>
            <w:vAlign w:val="center"/>
          </w:tcPr>
          <w:p w14:paraId="54542EA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排泥管</w:t>
            </w:r>
          </w:p>
        </w:tc>
        <w:tc>
          <w:tcPr>
            <w:tcW w:w="3988" w:type="dxa"/>
            <w:tcBorders>
              <w:top w:val="nil"/>
              <w:left w:val="nil"/>
              <w:bottom w:val="single" w:color="auto" w:sz="4" w:space="0"/>
              <w:right w:val="single" w:color="auto" w:sz="4" w:space="0"/>
            </w:tcBorders>
            <w:vAlign w:val="center"/>
          </w:tcPr>
          <w:p w14:paraId="0F956536">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1.规格、压力等级：DN150，PN10，304不锈钢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2.其他：含DN200法兰18片</w:t>
            </w:r>
          </w:p>
        </w:tc>
        <w:tc>
          <w:tcPr>
            <w:tcW w:w="560" w:type="pct"/>
            <w:tcBorders>
              <w:top w:val="nil"/>
              <w:left w:val="nil"/>
              <w:bottom w:val="single" w:color="auto" w:sz="4" w:space="0"/>
              <w:right w:val="single" w:color="auto" w:sz="4" w:space="0"/>
            </w:tcBorders>
            <w:noWrap/>
            <w:vAlign w:val="center"/>
          </w:tcPr>
          <w:p w14:paraId="3BFAF58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60</w:t>
            </w:r>
          </w:p>
        </w:tc>
        <w:tc>
          <w:tcPr>
            <w:tcW w:w="267" w:type="pct"/>
            <w:tcBorders>
              <w:top w:val="nil"/>
              <w:left w:val="nil"/>
              <w:bottom w:val="single" w:color="auto" w:sz="4" w:space="0"/>
              <w:right w:val="single" w:color="auto" w:sz="4" w:space="0"/>
            </w:tcBorders>
            <w:noWrap/>
            <w:vAlign w:val="center"/>
          </w:tcPr>
          <w:p w14:paraId="0A4862E8">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209" w:type="pct"/>
            <w:tcBorders>
              <w:top w:val="nil"/>
              <w:left w:val="nil"/>
              <w:bottom w:val="single" w:color="auto" w:sz="4" w:space="0"/>
              <w:right w:val="single" w:color="auto" w:sz="4" w:space="0"/>
            </w:tcBorders>
            <w:noWrap/>
            <w:vAlign w:val="center"/>
          </w:tcPr>
          <w:p w14:paraId="2AC1C3EF">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051EBF63">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1F5A09AF">
            <w:pPr>
              <w:widowControl/>
              <w:jc w:val="center"/>
              <w:textAlignment w:val="center"/>
              <w:rPr>
                <w:rFonts w:ascii="宋体" w:hAnsi="宋体" w:cs="宋体"/>
                <w:color w:val="000000"/>
                <w:kern w:val="0"/>
                <w:sz w:val="24"/>
                <w:highlight w:val="none"/>
                <w:lang w:bidi="ar"/>
              </w:rPr>
            </w:pPr>
          </w:p>
        </w:tc>
      </w:tr>
      <w:tr w14:paraId="45F4A07E">
        <w:tblPrEx>
          <w:tblCellMar>
            <w:top w:w="0" w:type="dxa"/>
            <w:left w:w="108" w:type="dxa"/>
            <w:bottom w:w="0" w:type="dxa"/>
            <w:right w:w="108" w:type="dxa"/>
          </w:tblCellMar>
        </w:tblPrEx>
        <w:trPr>
          <w:trHeight w:val="571" w:hRule="atLeast"/>
        </w:trPr>
        <w:tc>
          <w:tcPr>
            <w:tcW w:w="584" w:type="dxa"/>
            <w:tcBorders>
              <w:top w:val="nil"/>
              <w:left w:val="single" w:color="auto" w:sz="4" w:space="0"/>
              <w:bottom w:val="single" w:color="auto" w:sz="4" w:space="0"/>
              <w:right w:val="single" w:color="auto" w:sz="4" w:space="0"/>
            </w:tcBorders>
            <w:noWrap/>
            <w:vAlign w:val="center"/>
          </w:tcPr>
          <w:p w14:paraId="56AA557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8</w:t>
            </w:r>
          </w:p>
        </w:tc>
        <w:tc>
          <w:tcPr>
            <w:tcW w:w="1469" w:type="dxa"/>
            <w:tcBorders>
              <w:top w:val="nil"/>
              <w:left w:val="nil"/>
              <w:bottom w:val="single" w:color="auto" w:sz="4" w:space="0"/>
              <w:right w:val="single" w:color="auto" w:sz="4" w:space="0"/>
            </w:tcBorders>
            <w:noWrap/>
            <w:vAlign w:val="center"/>
          </w:tcPr>
          <w:p w14:paraId="337688B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90°弯头</w:t>
            </w:r>
          </w:p>
        </w:tc>
        <w:tc>
          <w:tcPr>
            <w:tcW w:w="3988" w:type="dxa"/>
            <w:tcBorders>
              <w:top w:val="nil"/>
              <w:left w:val="nil"/>
              <w:bottom w:val="single" w:color="auto" w:sz="4" w:space="0"/>
              <w:right w:val="single" w:color="auto" w:sz="4" w:space="0"/>
            </w:tcBorders>
            <w:vAlign w:val="center"/>
          </w:tcPr>
          <w:p w14:paraId="3F5BE970">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1.材质及规格：DN150，PN10；304不锈钢90°弯头</w:t>
            </w:r>
          </w:p>
        </w:tc>
        <w:tc>
          <w:tcPr>
            <w:tcW w:w="560" w:type="pct"/>
            <w:tcBorders>
              <w:top w:val="nil"/>
              <w:left w:val="nil"/>
              <w:bottom w:val="single" w:color="auto" w:sz="4" w:space="0"/>
              <w:right w:val="single" w:color="auto" w:sz="4" w:space="0"/>
            </w:tcBorders>
            <w:noWrap/>
            <w:vAlign w:val="center"/>
          </w:tcPr>
          <w:p w14:paraId="7E140F4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13</w:t>
            </w:r>
          </w:p>
        </w:tc>
        <w:tc>
          <w:tcPr>
            <w:tcW w:w="267" w:type="pct"/>
            <w:tcBorders>
              <w:top w:val="nil"/>
              <w:left w:val="nil"/>
              <w:bottom w:val="single" w:color="auto" w:sz="4" w:space="0"/>
              <w:right w:val="single" w:color="auto" w:sz="4" w:space="0"/>
            </w:tcBorders>
            <w:noWrap/>
            <w:vAlign w:val="center"/>
          </w:tcPr>
          <w:p w14:paraId="398C2533">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11FC5162">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5D88E740">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7E209FA2">
            <w:pPr>
              <w:widowControl/>
              <w:jc w:val="center"/>
              <w:textAlignment w:val="center"/>
              <w:rPr>
                <w:rFonts w:ascii="宋体" w:hAnsi="宋体" w:cs="宋体"/>
                <w:color w:val="000000"/>
                <w:kern w:val="0"/>
                <w:sz w:val="24"/>
                <w:highlight w:val="none"/>
                <w:lang w:bidi="ar"/>
              </w:rPr>
            </w:pPr>
          </w:p>
        </w:tc>
      </w:tr>
      <w:tr w14:paraId="75650845">
        <w:tblPrEx>
          <w:tblCellMar>
            <w:top w:w="0" w:type="dxa"/>
            <w:left w:w="108" w:type="dxa"/>
            <w:bottom w:w="0" w:type="dxa"/>
            <w:right w:w="108" w:type="dxa"/>
          </w:tblCellMar>
        </w:tblPrEx>
        <w:trPr>
          <w:trHeight w:val="571" w:hRule="atLeast"/>
        </w:trPr>
        <w:tc>
          <w:tcPr>
            <w:tcW w:w="584" w:type="dxa"/>
            <w:tcBorders>
              <w:top w:val="nil"/>
              <w:left w:val="single" w:color="auto" w:sz="4" w:space="0"/>
              <w:bottom w:val="single" w:color="auto" w:sz="4" w:space="0"/>
              <w:right w:val="single" w:color="auto" w:sz="4" w:space="0"/>
            </w:tcBorders>
            <w:noWrap/>
            <w:vAlign w:val="center"/>
          </w:tcPr>
          <w:p w14:paraId="1184240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9</w:t>
            </w:r>
          </w:p>
        </w:tc>
        <w:tc>
          <w:tcPr>
            <w:tcW w:w="1469" w:type="dxa"/>
            <w:tcBorders>
              <w:top w:val="nil"/>
              <w:left w:val="nil"/>
              <w:bottom w:val="single" w:color="auto" w:sz="4" w:space="0"/>
              <w:right w:val="single" w:color="auto" w:sz="4" w:space="0"/>
            </w:tcBorders>
            <w:noWrap/>
            <w:vAlign w:val="center"/>
          </w:tcPr>
          <w:p w14:paraId="30B74D67">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滤池进水管</w:t>
            </w:r>
          </w:p>
        </w:tc>
        <w:tc>
          <w:tcPr>
            <w:tcW w:w="3988" w:type="dxa"/>
            <w:tcBorders>
              <w:top w:val="nil"/>
              <w:left w:val="nil"/>
              <w:bottom w:val="single" w:color="auto" w:sz="4" w:space="0"/>
              <w:right w:val="single" w:color="auto" w:sz="4" w:space="0"/>
            </w:tcBorders>
            <w:vAlign w:val="center"/>
          </w:tcPr>
          <w:p w14:paraId="64B3374C">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1.规格、压力等级：DN250，304不锈钢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2.连接形式：法兰连接</w:t>
            </w:r>
          </w:p>
        </w:tc>
        <w:tc>
          <w:tcPr>
            <w:tcW w:w="560" w:type="pct"/>
            <w:tcBorders>
              <w:top w:val="nil"/>
              <w:left w:val="nil"/>
              <w:bottom w:val="single" w:color="auto" w:sz="4" w:space="0"/>
              <w:right w:val="single" w:color="auto" w:sz="4" w:space="0"/>
            </w:tcBorders>
            <w:noWrap/>
            <w:vAlign w:val="center"/>
          </w:tcPr>
          <w:p w14:paraId="05F34768">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20</w:t>
            </w:r>
          </w:p>
        </w:tc>
        <w:tc>
          <w:tcPr>
            <w:tcW w:w="267" w:type="pct"/>
            <w:tcBorders>
              <w:top w:val="nil"/>
              <w:left w:val="nil"/>
              <w:bottom w:val="single" w:color="auto" w:sz="4" w:space="0"/>
              <w:right w:val="single" w:color="auto" w:sz="4" w:space="0"/>
            </w:tcBorders>
            <w:noWrap/>
            <w:vAlign w:val="center"/>
          </w:tcPr>
          <w:p w14:paraId="6FCB9A45">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209" w:type="pct"/>
            <w:tcBorders>
              <w:top w:val="nil"/>
              <w:left w:val="nil"/>
              <w:bottom w:val="single" w:color="auto" w:sz="4" w:space="0"/>
              <w:right w:val="single" w:color="auto" w:sz="4" w:space="0"/>
            </w:tcBorders>
            <w:noWrap/>
            <w:vAlign w:val="center"/>
          </w:tcPr>
          <w:p w14:paraId="6C026CE5">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32F40BEF">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1D384841">
            <w:pPr>
              <w:widowControl/>
              <w:jc w:val="center"/>
              <w:textAlignment w:val="center"/>
              <w:rPr>
                <w:rFonts w:ascii="宋体" w:hAnsi="宋体" w:cs="宋体"/>
                <w:color w:val="000000"/>
                <w:kern w:val="0"/>
                <w:sz w:val="24"/>
                <w:highlight w:val="none"/>
                <w:lang w:bidi="ar"/>
              </w:rPr>
            </w:pPr>
          </w:p>
        </w:tc>
      </w:tr>
      <w:tr w14:paraId="5199518B">
        <w:tblPrEx>
          <w:tblCellMar>
            <w:top w:w="0" w:type="dxa"/>
            <w:left w:w="108" w:type="dxa"/>
            <w:bottom w:w="0" w:type="dxa"/>
            <w:right w:w="108" w:type="dxa"/>
          </w:tblCellMar>
        </w:tblPrEx>
        <w:trPr>
          <w:trHeight w:val="851" w:hRule="atLeast"/>
        </w:trPr>
        <w:tc>
          <w:tcPr>
            <w:tcW w:w="584" w:type="dxa"/>
            <w:tcBorders>
              <w:top w:val="nil"/>
              <w:left w:val="single" w:color="auto" w:sz="4" w:space="0"/>
              <w:bottom w:val="single" w:color="auto" w:sz="4" w:space="0"/>
              <w:right w:val="single" w:color="auto" w:sz="4" w:space="0"/>
            </w:tcBorders>
            <w:noWrap/>
            <w:vAlign w:val="center"/>
          </w:tcPr>
          <w:p w14:paraId="53D38A51">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10</w:t>
            </w:r>
          </w:p>
        </w:tc>
        <w:tc>
          <w:tcPr>
            <w:tcW w:w="1469" w:type="dxa"/>
            <w:tcBorders>
              <w:top w:val="nil"/>
              <w:left w:val="nil"/>
              <w:bottom w:val="single" w:color="auto" w:sz="4" w:space="0"/>
              <w:right w:val="single" w:color="auto" w:sz="4" w:space="0"/>
            </w:tcBorders>
            <w:noWrap/>
            <w:vAlign w:val="center"/>
          </w:tcPr>
          <w:p w14:paraId="7FC2AB2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滤池出水管</w:t>
            </w:r>
          </w:p>
        </w:tc>
        <w:tc>
          <w:tcPr>
            <w:tcW w:w="3988" w:type="dxa"/>
            <w:tcBorders>
              <w:top w:val="nil"/>
              <w:left w:val="nil"/>
              <w:bottom w:val="single" w:color="auto" w:sz="4" w:space="0"/>
              <w:right w:val="single" w:color="auto" w:sz="4" w:space="0"/>
            </w:tcBorders>
            <w:vAlign w:val="center"/>
          </w:tcPr>
          <w:p w14:paraId="0AEDE708">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1.规格、压力等级：DN300，304不锈钢</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2.连接形式：法兰连接</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3.其他：含法兰、三通、弯头等配件</w:t>
            </w:r>
          </w:p>
        </w:tc>
        <w:tc>
          <w:tcPr>
            <w:tcW w:w="560" w:type="pct"/>
            <w:tcBorders>
              <w:top w:val="nil"/>
              <w:left w:val="nil"/>
              <w:bottom w:val="single" w:color="auto" w:sz="4" w:space="0"/>
              <w:right w:val="single" w:color="auto" w:sz="4" w:space="0"/>
            </w:tcBorders>
            <w:noWrap/>
            <w:vAlign w:val="center"/>
          </w:tcPr>
          <w:p w14:paraId="3C27337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30</w:t>
            </w:r>
          </w:p>
        </w:tc>
        <w:tc>
          <w:tcPr>
            <w:tcW w:w="267" w:type="pct"/>
            <w:tcBorders>
              <w:top w:val="nil"/>
              <w:left w:val="nil"/>
              <w:bottom w:val="single" w:color="auto" w:sz="4" w:space="0"/>
              <w:right w:val="single" w:color="auto" w:sz="4" w:space="0"/>
            </w:tcBorders>
            <w:noWrap/>
            <w:vAlign w:val="center"/>
          </w:tcPr>
          <w:p w14:paraId="2710B5D7">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209" w:type="pct"/>
            <w:tcBorders>
              <w:top w:val="nil"/>
              <w:left w:val="nil"/>
              <w:bottom w:val="single" w:color="auto" w:sz="4" w:space="0"/>
              <w:right w:val="single" w:color="auto" w:sz="4" w:space="0"/>
            </w:tcBorders>
            <w:noWrap/>
            <w:vAlign w:val="center"/>
          </w:tcPr>
          <w:p w14:paraId="46463E7E">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19620535">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524D0AA1">
            <w:pPr>
              <w:widowControl/>
              <w:jc w:val="center"/>
              <w:textAlignment w:val="center"/>
              <w:rPr>
                <w:rFonts w:ascii="宋体" w:hAnsi="宋体" w:cs="宋体"/>
                <w:color w:val="000000"/>
                <w:kern w:val="0"/>
                <w:sz w:val="24"/>
                <w:highlight w:val="none"/>
                <w:lang w:bidi="ar"/>
              </w:rPr>
            </w:pPr>
          </w:p>
        </w:tc>
      </w:tr>
      <w:tr w14:paraId="77351164">
        <w:tblPrEx>
          <w:tblCellMar>
            <w:top w:w="0" w:type="dxa"/>
            <w:left w:w="108" w:type="dxa"/>
            <w:bottom w:w="0" w:type="dxa"/>
            <w:right w:w="108" w:type="dxa"/>
          </w:tblCellMar>
        </w:tblPrEx>
        <w:trPr>
          <w:trHeight w:val="1413" w:hRule="atLeast"/>
        </w:trPr>
        <w:tc>
          <w:tcPr>
            <w:tcW w:w="584" w:type="dxa"/>
            <w:tcBorders>
              <w:top w:val="nil"/>
              <w:left w:val="single" w:color="auto" w:sz="4" w:space="0"/>
              <w:bottom w:val="single" w:color="auto" w:sz="4" w:space="0"/>
              <w:right w:val="single" w:color="auto" w:sz="4" w:space="0"/>
            </w:tcBorders>
            <w:noWrap/>
            <w:vAlign w:val="center"/>
          </w:tcPr>
          <w:p w14:paraId="0B41C4A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11</w:t>
            </w:r>
          </w:p>
        </w:tc>
        <w:tc>
          <w:tcPr>
            <w:tcW w:w="1469" w:type="dxa"/>
            <w:tcBorders>
              <w:top w:val="nil"/>
              <w:left w:val="nil"/>
              <w:bottom w:val="single" w:color="auto" w:sz="4" w:space="0"/>
              <w:right w:val="single" w:color="auto" w:sz="4" w:space="0"/>
            </w:tcBorders>
            <w:noWrap/>
            <w:vAlign w:val="center"/>
          </w:tcPr>
          <w:p w14:paraId="5D6A872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不锈钢清水池</w:t>
            </w:r>
          </w:p>
        </w:tc>
        <w:tc>
          <w:tcPr>
            <w:tcW w:w="3988" w:type="dxa"/>
            <w:tcBorders>
              <w:top w:val="nil"/>
              <w:left w:val="nil"/>
              <w:bottom w:val="single" w:color="auto" w:sz="4" w:space="0"/>
              <w:right w:val="single" w:color="auto" w:sz="4" w:space="0"/>
            </w:tcBorders>
            <w:vAlign w:val="center"/>
          </w:tcPr>
          <w:p w14:paraId="3915BFDC">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1.材质、类型：304不锈钢（含进、出水对接管路、人孔、放空管、溢流管、通气管、检修爬梯等）</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2.规格：长×宽×高</w:t>
            </w:r>
            <w:r>
              <w:rPr>
                <w:rFonts w:hint="eastAsia" w:ascii="宋体" w:hAnsi="宋体" w:cs="宋体"/>
                <w:color w:val="000000"/>
                <w:kern w:val="0"/>
                <w:sz w:val="24"/>
                <w:highlight w:val="none"/>
                <w:lang w:val="en-US" w:eastAsia="zh-CN" w:bidi="ar"/>
              </w:rPr>
              <w:t>=</w:t>
            </w:r>
            <w:r>
              <w:rPr>
                <w:rFonts w:hint="eastAsia" w:ascii="宋体" w:hAnsi="宋体" w:cs="宋体"/>
                <w:color w:val="000000"/>
                <w:kern w:val="0"/>
                <w:sz w:val="24"/>
                <w:highlight w:val="none"/>
                <w:lang w:bidi="ar"/>
              </w:rPr>
              <w:t>21m×10m×4.5m，有效容积≥850m3</w:t>
            </w:r>
          </w:p>
        </w:tc>
        <w:tc>
          <w:tcPr>
            <w:tcW w:w="560" w:type="pct"/>
            <w:tcBorders>
              <w:top w:val="nil"/>
              <w:left w:val="nil"/>
              <w:bottom w:val="single" w:color="auto" w:sz="4" w:space="0"/>
              <w:right w:val="single" w:color="auto" w:sz="4" w:space="0"/>
            </w:tcBorders>
            <w:noWrap/>
            <w:vAlign w:val="center"/>
          </w:tcPr>
          <w:p w14:paraId="75BCBAE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nil"/>
              <w:left w:val="nil"/>
              <w:bottom w:val="single" w:color="auto" w:sz="4" w:space="0"/>
              <w:right w:val="single" w:color="auto" w:sz="4" w:space="0"/>
            </w:tcBorders>
            <w:noWrap/>
            <w:vAlign w:val="center"/>
          </w:tcPr>
          <w:p w14:paraId="5849B09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座</w:t>
            </w:r>
          </w:p>
        </w:tc>
        <w:tc>
          <w:tcPr>
            <w:tcW w:w="209" w:type="pct"/>
            <w:tcBorders>
              <w:top w:val="nil"/>
              <w:left w:val="nil"/>
              <w:bottom w:val="single" w:color="auto" w:sz="4" w:space="0"/>
              <w:right w:val="single" w:color="auto" w:sz="4" w:space="0"/>
            </w:tcBorders>
            <w:noWrap/>
            <w:vAlign w:val="center"/>
          </w:tcPr>
          <w:p w14:paraId="0D4AA498">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4EB2104A">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07EE8F85">
            <w:pPr>
              <w:widowControl/>
              <w:jc w:val="center"/>
              <w:textAlignment w:val="center"/>
              <w:rPr>
                <w:rFonts w:ascii="宋体" w:hAnsi="宋体" w:cs="宋体"/>
                <w:color w:val="000000"/>
                <w:kern w:val="0"/>
                <w:sz w:val="24"/>
                <w:highlight w:val="none"/>
                <w:lang w:bidi="ar"/>
              </w:rPr>
            </w:pPr>
          </w:p>
        </w:tc>
      </w:tr>
      <w:tr w14:paraId="649446B4">
        <w:tblPrEx>
          <w:tblCellMar>
            <w:top w:w="0" w:type="dxa"/>
            <w:left w:w="108" w:type="dxa"/>
            <w:bottom w:w="0" w:type="dxa"/>
            <w:right w:w="108" w:type="dxa"/>
          </w:tblCellMar>
        </w:tblPrEx>
        <w:trPr>
          <w:trHeight w:val="851" w:hRule="atLeast"/>
        </w:trPr>
        <w:tc>
          <w:tcPr>
            <w:tcW w:w="584" w:type="dxa"/>
            <w:tcBorders>
              <w:top w:val="nil"/>
              <w:left w:val="single" w:color="auto" w:sz="4" w:space="0"/>
              <w:bottom w:val="single" w:color="auto" w:sz="4" w:space="0"/>
              <w:right w:val="single" w:color="auto" w:sz="4" w:space="0"/>
            </w:tcBorders>
            <w:noWrap/>
            <w:vAlign w:val="center"/>
          </w:tcPr>
          <w:p w14:paraId="734AE98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12</w:t>
            </w:r>
          </w:p>
        </w:tc>
        <w:tc>
          <w:tcPr>
            <w:tcW w:w="1469" w:type="dxa"/>
            <w:tcBorders>
              <w:top w:val="nil"/>
              <w:left w:val="nil"/>
              <w:bottom w:val="single" w:color="auto" w:sz="4" w:space="0"/>
              <w:right w:val="single" w:color="auto" w:sz="4" w:space="0"/>
            </w:tcBorders>
            <w:noWrap/>
            <w:vAlign w:val="center"/>
          </w:tcPr>
          <w:p w14:paraId="2E33BAC8">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电磁流量计</w:t>
            </w:r>
          </w:p>
        </w:tc>
        <w:tc>
          <w:tcPr>
            <w:tcW w:w="3988" w:type="dxa"/>
            <w:tcBorders>
              <w:top w:val="nil"/>
              <w:left w:val="nil"/>
              <w:bottom w:val="single" w:color="auto" w:sz="4" w:space="0"/>
              <w:right w:val="single" w:color="auto" w:sz="4" w:space="0"/>
            </w:tcBorders>
            <w:vAlign w:val="center"/>
          </w:tcPr>
          <w:p w14:paraId="71C71F2A">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1.名称：电磁流量计</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3.类型：分体式，AC220V，ModBus输出</w:t>
            </w:r>
          </w:p>
        </w:tc>
        <w:tc>
          <w:tcPr>
            <w:tcW w:w="560" w:type="pct"/>
            <w:tcBorders>
              <w:top w:val="nil"/>
              <w:left w:val="nil"/>
              <w:bottom w:val="single" w:color="auto" w:sz="4" w:space="0"/>
              <w:right w:val="single" w:color="auto" w:sz="4" w:space="0"/>
            </w:tcBorders>
            <w:noWrap/>
            <w:vAlign w:val="center"/>
          </w:tcPr>
          <w:p w14:paraId="4165CD8B">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w:t>
            </w:r>
          </w:p>
        </w:tc>
        <w:tc>
          <w:tcPr>
            <w:tcW w:w="267" w:type="pct"/>
            <w:tcBorders>
              <w:top w:val="nil"/>
              <w:left w:val="nil"/>
              <w:bottom w:val="single" w:color="auto" w:sz="4" w:space="0"/>
              <w:right w:val="single" w:color="auto" w:sz="4" w:space="0"/>
            </w:tcBorders>
            <w:noWrap/>
            <w:vAlign w:val="center"/>
          </w:tcPr>
          <w:p w14:paraId="0B3D0BC9">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只</w:t>
            </w:r>
          </w:p>
        </w:tc>
        <w:tc>
          <w:tcPr>
            <w:tcW w:w="209" w:type="pct"/>
            <w:tcBorders>
              <w:top w:val="nil"/>
              <w:left w:val="nil"/>
              <w:bottom w:val="single" w:color="auto" w:sz="4" w:space="0"/>
              <w:right w:val="single" w:color="auto" w:sz="4" w:space="0"/>
            </w:tcBorders>
            <w:noWrap/>
            <w:vAlign w:val="center"/>
          </w:tcPr>
          <w:p w14:paraId="6628783A">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097F2480">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2FEBE60F">
            <w:pPr>
              <w:widowControl/>
              <w:jc w:val="center"/>
              <w:textAlignment w:val="center"/>
              <w:rPr>
                <w:rFonts w:ascii="宋体" w:hAnsi="宋体" w:cs="宋体"/>
                <w:color w:val="000000"/>
                <w:kern w:val="0"/>
                <w:sz w:val="24"/>
                <w:highlight w:val="none"/>
                <w:lang w:bidi="ar"/>
              </w:rPr>
            </w:pPr>
          </w:p>
        </w:tc>
      </w:tr>
      <w:tr w14:paraId="784B066A">
        <w:tblPrEx>
          <w:tblCellMar>
            <w:top w:w="0" w:type="dxa"/>
            <w:left w:w="108" w:type="dxa"/>
            <w:bottom w:w="0" w:type="dxa"/>
            <w:right w:w="108" w:type="dxa"/>
          </w:tblCellMar>
        </w:tblPrEx>
        <w:trPr>
          <w:trHeight w:val="851" w:hRule="atLeast"/>
        </w:trPr>
        <w:tc>
          <w:tcPr>
            <w:tcW w:w="584" w:type="dxa"/>
            <w:tcBorders>
              <w:top w:val="nil"/>
              <w:left w:val="single" w:color="auto" w:sz="4" w:space="0"/>
              <w:bottom w:val="single" w:color="auto" w:sz="4" w:space="0"/>
              <w:right w:val="single" w:color="auto" w:sz="4" w:space="0"/>
            </w:tcBorders>
            <w:noWrap/>
            <w:vAlign w:val="center"/>
          </w:tcPr>
          <w:p w14:paraId="71E9631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13</w:t>
            </w:r>
          </w:p>
        </w:tc>
        <w:tc>
          <w:tcPr>
            <w:tcW w:w="1469" w:type="dxa"/>
            <w:tcBorders>
              <w:top w:val="nil"/>
              <w:left w:val="nil"/>
              <w:bottom w:val="single" w:color="auto" w:sz="4" w:space="0"/>
              <w:right w:val="single" w:color="auto" w:sz="4" w:space="0"/>
            </w:tcBorders>
            <w:noWrap/>
            <w:vAlign w:val="center"/>
          </w:tcPr>
          <w:p w14:paraId="2FA506C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超声波液位计</w:t>
            </w:r>
          </w:p>
        </w:tc>
        <w:tc>
          <w:tcPr>
            <w:tcW w:w="3988" w:type="dxa"/>
            <w:tcBorders>
              <w:top w:val="nil"/>
              <w:left w:val="nil"/>
              <w:bottom w:val="single" w:color="auto" w:sz="4" w:space="0"/>
              <w:right w:val="single" w:color="auto" w:sz="4" w:space="0"/>
            </w:tcBorders>
            <w:vAlign w:val="center"/>
          </w:tcPr>
          <w:p w14:paraId="41FD43DC">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1.名称：超声波液位计</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2.规格：0-5m，二线制，输出4-20ma，带显示</w:t>
            </w:r>
          </w:p>
        </w:tc>
        <w:tc>
          <w:tcPr>
            <w:tcW w:w="560" w:type="pct"/>
            <w:tcBorders>
              <w:top w:val="nil"/>
              <w:left w:val="nil"/>
              <w:bottom w:val="single" w:color="auto" w:sz="4" w:space="0"/>
              <w:right w:val="single" w:color="auto" w:sz="4" w:space="0"/>
            </w:tcBorders>
            <w:noWrap/>
            <w:vAlign w:val="center"/>
          </w:tcPr>
          <w:p w14:paraId="26FCFB5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nil"/>
              <w:left w:val="nil"/>
              <w:bottom w:val="single" w:color="auto" w:sz="4" w:space="0"/>
              <w:right w:val="single" w:color="auto" w:sz="4" w:space="0"/>
            </w:tcBorders>
            <w:noWrap/>
            <w:vAlign w:val="center"/>
          </w:tcPr>
          <w:p w14:paraId="11182809">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只</w:t>
            </w:r>
          </w:p>
        </w:tc>
        <w:tc>
          <w:tcPr>
            <w:tcW w:w="209" w:type="pct"/>
            <w:tcBorders>
              <w:top w:val="nil"/>
              <w:left w:val="nil"/>
              <w:bottom w:val="single" w:color="auto" w:sz="4" w:space="0"/>
              <w:right w:val="single" w:color="auto" w:sz="4" w:space="0"/>
            </w:tcBorders>
            <w:noWrap/>
            <w:vAlign w:val="center"/>
          </w:tcPr>
          <w:p w14:paraId="399CE605">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07E1E6D6">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543352F7">
            <w:pPr>
              <w:widowControl/>
              <w:jc w:val="center"/>
              <w:textAlignment w:val="center"/>
              <w:rPr>
                <w:rFonts w:ascii="宋体" w:hAnsi="宋体" w:cs="宋体"/>
                <w:color w:val="000000"/>
                <w:kern w:val="0"/>
                <w:sz w:val="24"/>
                <w:highlight w:val="none"/>
                <w:lang w:bidi="ar"/>
              </w:rPr>
            </w:pPr>
          </w:p>
        </w:tc>
      </w:tr>
      <w:tr w14:paraId="0D40DF04">
        <w:tblPrEx>
          <w:tblCellMar>
            <w:top w:w="0" w:type="dxa"/>
            <w:left w:w="108" w:type="dxa"/>
            <w:bottom w:w="0" w:type="dxa"/>
            <w:right w:w="108" w:type="dxa"/>
          </w:tblCellMar>
        </w:tblPrEx>
        <w:trPr>
          <w:trHeight w:val="571" w:hRule="atLeast"/>
        </w:trPr>
        <w:tc>
          <w:tcPr>
            <w:tcW w:w="584" w:type="dxa"/>
            <w:tcBorders>
              <w:top w:val="nil"/>
              <w:left w:val="single" w:color="auto" w:sz="4" w:space="0"/>
              <w:bottom w:val="single" w:color="auto" w:sz="4" w:space="0"/>
              <w:right w:val="single" w:color="auto" w:sz="4" w:space="0"/>
            </w:tcBorders>
            <w:noWrap/>
            <w:vAlign w:val="center"/>
          </w:tcPr>
          <w:p w14:paraId="042B6A4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14</w:t>
            </w:r>
          </w:p>
        </w:tc>
        <w:tc>
          <w:tcPr>
            <w:tcW w:w="1469" w:type="dxa"/>
            <w:tcBorders>
              <w:top w:val="nil"/>
              <w:left w:val="nil"/>
              <w:bottom w:val="single" w:color="auto" w:sz="4" w:space="0"/>
              <w:right w:val="single" w:color="auto" w:sz="4" w:space="0"/>
            </w:tcBorders>
            <w:noWrap/>
            <w:vAlign w:val="center"/>
          </w:tcPr>
          <w:p w14:paraId="3D94CFA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在线浊度仪</w:t>
            </w:r>
          </w:p>
        </w:tc>
        <w:tc>
          <w:tcPr>
            <w:tcW w:w="3988" w:type="dxa"/>
            <w:tcBorders>
              <w:top w:val="nil"/>
              <w:left w:val="nil"/>
              <w:bottom w:val="single" w:color="auto" w:sz="4" w:space="0"/>
              <w:right w:val="single" w:color="auto" w:sz="4" w:space="0"/>
            </w:tcBorders>
            <w:vAlign w:val="center"/>
          </w:tcPr>
          <w:p w14:paraId="1E0D73D1">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 称：在线浊度仪</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 号：0-10NTU，含取样管路及取样泵</w:t>
            </w:r>
          </w:p>
        </w:tc>
        <w:tc>
          <w:tcPr>
            <w:tcW w:w="560" w:type="pct"/>
            <w:tcBorders>
              <w:top w:val="nil"/>
              <w:left w:val="nil"/>
              <w:bottom w:val="single" w:color="auto" w:sz="4" w:space="0"/>
              <w:right w:val="single" w:color="auto" w:sz="4" w:space="0"/>
            </w:tcBorders>
            <w:noWrap/>
            <w:vAlign w:val="center"/>
          </w:tcPr>
          <w:p w14:paraId="15223FB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nil"/>
              <w:left w:val="nil"/>
              <w:bottom w:val="single" w:color="auto" w:sz="4" w:space="0"/>
              <w:right w:val="single" w:color="auto" w:sz="4" w:space="0"/>
            </w:tcBorders>
            <w:noWrap/>
            <w:vAlign w:val="center"/>
          </w:tcPr>
          <w:p w14:paraId="779A57EE">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c>
          <w:tcPr>
            <w:tcW w:w="209" w:type="pct"/>
            <w:tcBorders>
              <w:top w:val="nil"/>
              <w:left w:val="nil"/>
              <w:bottom w:val="single" w:color="auto" w:sz="4" w:space="0"/>
              <w:right w:val="single" w:color="auto" w:sz="4" w:space="0"/>
            </w:tcBorders>
            <w:noWrap/>
            <w:vAlign w:val="center"/>
          </w:tcPr>
          <w:p w14:paraId="73F28F89">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6D55C365">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45D097FA">
            <w:pPr>
              <w:widowControl/>
              <w:jc w:val="center"/>
              <w:textAlignment w:val="center"/>
              <w:rPr>
                <w:rFonts w:ascii="宋体" w:hAnsi="宋体" w:cs="宋体"/>
                <w:color w:val="000000"/>
                <w:kern w:val="0"/>
                <w:sz w:val="24"/>
                <w:highlight w:val="none"/>
                <w:lang w:bidi="ar"/>
              </w:rPr>
            </w:pPr>
          </w:p>
        </w:tc>
      </w:tr>
      <w:tr w14:paraId="2F3FBE45">
        <w:tblPrEx>
          <w:tblCellMar>
            <w:top w:w="0" w:type="dxa"/>
            <w:left w:w="108" w:type="dxa"/>
            <w:bottom w:w="0" w:type="dxa"/>
            <w:right w:w="108" w:type="dxa"/>
          </w:tblCellMar>
        </w:tblPrEx>
        <w:trPr>
          <w:trHeight w:val="571" w:hRule="atLeast"/>
        </w:trPr>
        <w:tc>
          <w:tcPr>
            <w:tcW w:w="584" w:type="dxa"/>
            <w:tcBorders>
              <w:top w:val="nil"/>
              <w:left w:val="single" w:color="auto" w:sz="4" w:space="0"/>
              <w:bottom w:val="single" w:color="auto" w:sz="4" w:space="0"/>
              <w:right w:val="single" w:color="auto" w:sz="4" w:space="0"/>
            </w:tcBorders>
            <w:noWrap/>
            <w:vAlign w:val="center"/>
          </w:tcPr>
          <w:p w14:paraId="380AB76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15</w:t>
            </w:r>
          </w:p>
        </w:tc>
        <w:tc>
          <w:tcPr>
            <w:tcW w:w="1469" w:type="dxa"/>
            <w:tcBorders>
              <w:top w:val="nil"/>
              <w:left w:val="nil"/>
              <w:bottom w:val="single" w:color="auto" w:sz="4" w:space="0"/>
              <w:right w:val="single" w:color="auto" w:sz="4" w:space="0"/>
            </w:tcBorders>
            <w:noWrap/>
            <w:vAlign w:val="center"/>
          </w:tcPr>
          <w:p w14:paraId="6ABC599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在线余氯仪</w:t>
            </w:r>
          </w:p>
        </w:tc>
        <w:tc>
          <w:tcPr>
            <w:tcW w:w="3988" w:type="dxa"/>
            <w:tcBorders>
              <w:top w:val="nil"/>
              <w:left w:val="nil"/>
              <w:bottom w:val="single" w:color="auto" w:sz="4" w:space="0"/>
              <w:right w:val="single" w:color="auto" w:sz="4" w:space="0"/>
            </w:tcBorders>
            <w:vAlign w:val="center"/>
          </w:tcPr>
          <w:p w14:paraId="610D889A">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 称：在线余氯仪</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2.型 号：0~3PPM，含取样管路及取样泵</w:t>
            </w:r>
          </w:p>
        </w:tc>
        <w:tc>
          <w:tcPr>
            <w:tcW w:w="560" w:type="pct"/>
            <w:tcBorders>
              <w:top w:val="nil"/>
              <w:left w:val="nil"/>
              <w:bottom w:val="single" w:color="auto" w:sz="4" w:space="0"/>
              <w:right w:val="single" w:color="auto" w:sz="4" w:space="0"/>
            </w:tcBorders>
            <w:noWrap/>
            <w:vAlign w:val="center"/>
          </w:tcPr>
          <w:p w14:paraId="70B7C9D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nil"/>
              <w:left w:val="nil"/>
              <w:bottom w:val="single" w:color="auto" w:sz="4" w:space="0"/>
              <w:right w:val="single" w:color="auto" w:sz="4" w:space="0"/>
            </w:tcBorders>
            <w:noWrap/>
            <w:vAlign w:val="center"/>
          </w:tcPr>
          <w:p w14:paraId="7913CB10">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c>
          <w:tcPr>
            <w:tcW w:w="209" w:type="pct"/>
            <w:tcBorders>
              <w:top w:val="nil"/>
              <w:left w:val="nil"/>
              <w:bottom w:val="single" w:color="auto" w:sz="4" w:space="0"/>
              <w:right w:val="single" w:color="auto" w:sz="4" w:space="0"/>
            </w:tcBorders>
            <w:noWrap/>
            <w:vAlign w:val="center"/>
          </w:tcPr>
          <w:p w14:paraId="04CEBA25">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1BC5CCE3">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4A9271BD">
            <w:pPr>
              <w:widowControl/>
              <w:jc w:val="center"/>
              <w:textAlignment w:val="center"/>
              <w:rPr>
                <w:rFonts w:ascii="宋体" w:hAnsi="宋体" w:cs="宋体"/>
                <w:color w:val="000000"/>
                <w:kern w:val="0"/>
                <w:sz w:val="24"/>
                <w:highlight w:val="none"/>
                <w:lang w:bidi="ar"/>
              </w:rPr>
            </w:pPr>
          </w:p>
        </w:tc>
      </w:tr>
      <w:tr w14:paraId="06A7648C">
        <w:tblPrEx>
          <w:tblCellMar>
            <w:top w:w="0" w:type="dxa"/>
            <w:left w:w="108" w:type="dxa"/>
            <w:bottom w:w="0" w:type="dxa"/>
            <w:right w:w="108" w:type="dxa"/>
          </w:tblCellMar>
        </w:tblPrEx>
        <w:trPr>
          <w:trHeight w:val="3098" w:hRule="atLeast"/>
        </w:trPr>
        <w:tc>
          <w:tcPr>
            <w:tcW w:w="584" w:type="dxa"/>
            <w:tcBorders>
              <w:top w:val="nil"/>
              <w:left w:val="single" w:color="auto" w:sz="4" w:space="0"/>
              <w:bottom w:val="single" w:color="auto" w:sz="4" w:space="0"/>
              <w:right w:val="single" w:color="auto" w:sz="4" w:space="0"/>
            </w:tcBorders>
            <w:noWrap/>
            <w:vAlign w:val="center"/>
          </w:tcPr>
          <w:p w14:paraId="71FAB7A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16</w:t>
            </w:r>
          </w:p>
        </w:tc>
        <w:tc>
          <w:tcPr>
            <w:tcW w:w="1469" w:type="dxa"/>
            <w:tcBorders>
              <w:top w:val="nil"/>
              <w:left w:val="nil"/>
              <w:bottom w:val="single" w:color="auto" w:sz="4" w:space="0"/>
              <w:right w:val="single" w:color="auto" w:sz="4" w:space="0"/>
            </w:tcBorders>
            <w:noWrap/>
            <w:vAlign w:val="center"/>
          </w:tcPr>
          <w:p w14:paraId="784A00A7">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PLC系统控制柜</w:t>
            </w:r>
          </w:p>
        </w:tc>
        <w:tc>
          <w:tcPr>
            <w:tcW w:w="3988" w:type="dxa"/>
            <w:tcBorders>
              <w:top w:val="nil"/>
              <w:left w:val="nil"/>
              <w:bottom w:val="single" w:color="auto" w:sz="4" w:space="0"/>
              <w:right w:val="single" w:color="auto" w:sz="4" w:space="0"/>
            </w:tcBorders>
            <w:vAlign w:val="center"/>
          </w:tcPr>
          <w:p w14:paraId="4D6B5D50">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1.名称：PLC系统控制柜</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 格：根据现场定制，材质：不锈钢S304，防护等级：IP65；CPU不低于施耐德M340、AB1769L71，西门子S7-1200，I/O点按需配置，预留20%点位。含8个排泥阀，2个电动阀手自动控制回路，实现远程控制。柜内配套双电源开关、信号避雷器、隔离器、电气元器件、线缆及辅材等；</w:t>
            </w:r>
          </w:p>
        </w:tc>
        <w:tc>
          <w:tcPr>
            <w:tcW w:w="560" w:type="pct"/>
            <w:tcBorders>
              <w:top w:val="nil"/>
              <w:left w:val="nil"/>
              <w:bottom w:val="single" w:color="auto" w:sz="4" w:space="0"/>
              <w:right w:val="single" w:color="auto" w:sz="4" w:space="0"/>
            </w:tcBorders>
            <w:noWrap/>
            <w:vAlign w:val="center"/>
          </w:tcPr>
          <w:p w14:paraId="4350A72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nil"/>
              <w:left w:val="nil"/>
              <w:bottom w:val="single" w:color="auto" w:sz="4" w:space="0"/>
              <w:right w:val="single" w:color="auto" w:sz="4" w:space="0"/>
            </w:tcBorders>
            <w:noWrap/>
            <w:vAlign w:val="center"/>
          </w:tcPr>
          <w:p w14:paraId="15DB8923">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台</w:t>
            </w:r>
          </w:p>
        </w:tc>
        <w:tc>
          <w:tcPr>
            <w:tcW w:w="209" w:type="pct"/>
            <w:tcBorders>
              <w:top w:val="nil"/>
              <w:left w:val="nil"/>
              <w:bottom w:val="single" w:color="auto" w:sz="4" w:space="0"/>
              <w:right w:val="single" w:color="auto" w:sz="4" w:space="0"/>
            </w:tcBorders>
            <w:noWrap/>
            <w:vAlign w:val="center"/>
          </w:tcPr>
          <w:p w14:paraId="6D2F15BB">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6BF95ACD">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773110CF">
            <w:pPr>
              <w:widowControl/>
              <w:jc w:val="center"/>
              <w:textAlignment w:val="center"/>
              <w:rPr>
                <w:rFonts w:ascii="宋体" w:hAnsi="宋体" w:cs="宋体"/>
                <w:color w:val="000000"/>
                <w:kern w:val="0"/>
                <w:sz w:val="24"/>
                <w:highlight w:val="none"/>
                <w:lang w:bidi="ar"/>
              </w:rPr>
            </w:pPr>
          </w:p>
        </w:tc>
      </w:tr>
      <w:tr w14:paraId="7DA4EA83">
        <w:tblPrEx>
          <w:tblCellMar>
            <w:top w:w="0" w:type="dxa"/>
            <w:left w:w="108" w:type="dxa"/>
            <w:bottom w:w="0" w:type="dxa"/>
            <w:right w:w="108" w:type="dxa"/>
          </w:tblCellMar>
        </w:tblPrEx>
        <w:trPr>
          <w:trHeight w:val="1597" w:hRule="atLeast"/>
        </w:trPr>
        <w:tc>
          <w:tcPr>
            <w:tcW w:w="584" w:type="dxa"/>
            <w:vMerge w:val="restart"/>
            <w:tcBorders>
              <w:top w:val="single" w:color="auto" w:sz="4" w:space="0"/>
              <w:left w:val="single" w:color="auto" w:sz="4" w:space="0"/>
              <w:right w:val="single" w:color="auto" w:sz="4" w:space="0"/>
            </w:tcBorders>
            <w:shd w:val="clear" w:color="auto" w:fill="FFFFFF"/>
            <w:noWrap/>
            <w:vAlign w:val="center"/>
          </w:tcPr>
          <w:p w14:paraId="1FC768E2">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17</w:t>
            </w:r>
          </w:p>
        </w:tc>
        <w:tc>
          <w:tcPr>
            <w:tcW w:w="1469" w:type="dxa"/>
            <w:vMerge w:val="restart"/>
            <w:tcBorders>
              <w:top w:val="single" w:color="auto" w:sz="4" w:space="0"/>
              <w:left w:val="nil"/>
              <w:right w:val="single" w:color="auto" w:sz="4" w:space="0"/>
            </w:tcBorders>
            <w:shd w:val="clear" w:color="auto" w:fill="FFFFFF"/>
            <w:noWrap/>
            <w:vAlign w:val="center"/>
          </w:tcPr>
          <w:p w14:paraId="18D88D97">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电动调节型蝶阀</w:t>
            </w:r>
          </w:p>
        </w:tc>
        <w:tc>
          <w:tcPr>
            <w:tcW w:w="3988" w:type="dxa"/>
            <w:tcBorders>
              <w:top w:val="single" w:color="auto" w:sz="4" w:space="0"/>
              <w:left w:val="nil"/>
              <w:bottom w:val="single" w:color="auto" w:sz="4" w:space="0"/>
              <w:right w:val="single" w:color="auto" w:sz="4" w:space="0"/>
            </w:tcBorders>
            <w:shd w:val="clear" w:color="auto" w:fill="FFFFFF"/>
            <w:vAlign w:val="center"/>
          </w:tcPr>
          <w:p w14:paraId="2B476DC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1.名称：电动调节型蝶阀</w:t>
            </w:r>
          </w:p>
          <w:p w14:paraId="3CF768C0">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2.规格：DN300</w:t>
            </w:r>
          </w:p>
          <w:p w14:paraId="1A30E1E8">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3.连接形式：法兰连接</w:t>
            </w:r>
            <w:r>
              <w:rPr>
                <w:rFonts w:hint="eastAsia" w:ascii="宋体" w:hAnsi="宋体" w:cs="宋体"/>
                <w:kern w:val="0"/>
                <w:sz w:val="24"/>
                <w:highlight w:val="none"/>
              </w:rPr>
              <w:br w:type="textWrapping"/>
            </w:r>
            <w:r>
              <w:rPr>
                <w:rFonts w:hint="eastAsia" w:ascii="宋体" w:hAnsi="宋体" w:cs="宋体"/>
                <w:kern w:val="0"/>
                <w:sz w:val="24"/>
                <w:highlight w:val="none"/>
              </w:rPr>
              <w:t>4.各附法兰1片</w:t>
            </w:r>
          </w:p>
        </w:tc>
        <w:tc>
          <w:tcPr>
            <w:tcW w:w="560" w:type="pct"/>
            <w:vMerge w:val="restart"/>
            <w:tcBorders>
              <w:top w:val="single" w:color="auto" w:sz="4" w:space="0"/>
              <w:left w:val="nil"/>
              <w:right w:val="single" w:color="auto" w:sz="4" w:space="0"/>
            </w:tcBorders>
            <w:shd w:val="clear" w:color="auto" w:fill="FFFFFF"/>
            <w:noWrap/>
            <w:vAlign w:val="center"/>
          </w:tcPr>
          <w:p w14:paraId="30AF55B7">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vMerge w:val="restart"/>
            <w:tcBorders>
              <w:top w:val="single" w:color="auto" w:sz="4" w:space="0"/>
              <w:left w:val="nil"/>
              <w:right w:val="single" w:color="auto" w:sz="4" w:space="0"/>
            </w:tcBorders>
            <w:shd w:val="clear" w:color="auto" w:fill="FFFFFF"/>
            <w:noWrap/>
            <w:vAlign w:val="center"/>
          </w:tcPr>
          <w:p w14:paraId="1D05EF4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个</w:t>
            </w:r>
          </w:p>
        </w:tc>
        <w:tc>
          <w:tcPr>
            <w:tcW w:w="209" w:type="pct"/>
            <w:vMerge w:val="restart"/>
            <w:tcBorders>
              <w:top w:val="single" w:color="auto" w:sz="4" w:space="0"/>
              <w:left w:val="nil"/>
              <w:right w:val="single" w:color="auto" w:sz="4" w:space="0"/>
            </w:tcBorders>
            <w:shd w:val="clear" w:color="auto" w:fill="FFFFFF"/>
            <w:noWrap/>
            <w:vAlign w:val="center"/>
          </w:tcPr>
          <w:p w14:paraId="7384F837">
            <w:pPr>
              <w:widowControl/>
              <w:spacing w:line="440" w:lineRule="exact"/>
              <w:jc w:val="center"/>
              <w:rPr>
                <w:rFonts w:ascii="宋体" w:hAnsi="宋体" w:cs="宋体"/>
                <w:kern w:val="0"/>
                <w:sz w:val="24"/>
                <w:highlight w:val="none"/>
              </w:rPr>
            </w:pPr>
          </w:p>
        </w:tc>
        <w:tc>
          <w:tcPr>
            <w:tcW w:w="267" w:type="pct"/>
            <w:vMerge w:val="restart"/>
            <w:tcBorders>
              <w:top w:val="single" w:color="auto" w:sz="4" w:space="0"/>
              <w:left w:val="nil"/>
              <w:right w:val="single" w:color="auto" w:sz="4" w:space="0"/>
            </w:tcBorders>
            <w:shd w:val="clear" w:color="auto" w:fill="FFFFFF"/>
            <w:noWrap/>
            <w:vAlign w:val="center"/>
          </w:tcPr>
          <w:p w14:paraId="0518C8A3">
            <w:pPr>
              <w:widowControl/>
              <w:spacing w:line="440" w:lineRule="exact"/>
              <w:jc w:val="center"/>
              <w:rPr>
                <w:rFonts w:ascii="宋体" w:hAnsi="宋体" w:cs="宋体"/>
                <w:kern w:val="0"/>
                <w:sz w:val="24"/>
                <w:highlight w:val="none"/>
              </w:rPr>
            </w:pPr>
          </w:p>
        </w:tc>
        <w:tc>
          <w:tcPr>
            <w:tcW w:w="32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B30E147">
            <w:pPr>
              <w:widowControl/>
              <w:spacing w:line="440" w:lineRule="exact"/>
              <w:jc w:val="center"/>
              <w:rPr>
                <w:rFonts w:ascii="宋体" w:hAnsi="宋体" w:cs="宋体"/>
                <w:kern w:val="0"/>
                <w:sz w:val="24"/>
                <w:highlight w:val="none"/>
              </w:rPr>
            </w:pPr>
          </w:p>
        </w:tc>
      </w:tr>
      <w:tr w14:paraId="03223251">
        <w:tblPrEx>
          <w:tblCellMar>
            <w:top w:w="0" w:type="dxa"/>
            <w:left w:w="108" w:type="dxa"/>
            <w:bottom w:w="0" w:type="dxa"/>
            <w:right w:w="108" w:type="dxa"/>
          </w:tblCellMar>
        </w:tblPrEx>
        <w:trPr>
          <w:trHeight w:val="406" w:hRule="atLeast"/>
        </w:trPr>
        <w:tc>
          <w:tcPr>
            <w:tcW w:w="584" w:type="dxa"/>
            <w:vMerge w:val="continue"/>
            <w:tcBorders>
              <w:left w:val="single" w:color="auto" w:sz="4" w:space="0"/>
              <w:bottom w:val="single" w:color="auto" w:sz="4" w:space="0"/>
              <w:right w:val="single" w:color="auto" w:sz="4" w:space="0"/>
            </w:tcBorders>
            <w:shd w:val="clear" w:color="auto" w:fill="FFFFFF"/>
            <w:noWrap/>
            <w:vAlign w:val="center"/>
          </w:tcPr>
          <w:p w14:paraId="32F014CF">
            <w:pPr>
              <w:widowControl/>
              <w:spacing w:line="440" w:lineRule="exact"/>
              <w:jc w:val="center"/>
              <w:rPr>
                <w:rFonts w:ascii="宋体" w:hAnsi="宋体" w:cs="宋体"/>
                <w:kern w:val="0"/>
                <w:sz w:val="24"/>
                <w:highlight w:val="none"/>
              </w:rPr>
            </w:pPr>
          </w:p>
        </w:tc>
        <w:tc>
          <w:tcPr>
            <w:tcW w:w="1469" w:type="dxa"/>
            <w:vMerge w:val="continue"/>
            <w:tcBorders>
              <w:left w:val="nil"/>
              <w:bottom w:val="single" w:color="auto" w:sz="4" w:space="0"/>
              <w:right w:val="single" w:color="auto" w:sz="4" w:space="0"/>
            </w:tcBorders>
            <w:shd w:val="clear" w:color="auto" w:fill="FFFFFF"/>
            <w:noWrap/>
            <w:vAlign w:val="center"/>
          </w:tcPr>
          <w:p w14:paraId="1A59C307">
            <w:pPr>
              <w:widowControl/>
              <w:spacing w:line="440" w:lineRule="exact"/>
              <w:jc w:val="left"/>
              <w:rPr>
                <w:rFonts w:ascii="宋体" w:hAnsi="宋体" w:cs="宋体"/>
                <w:kern w:val="0"/>
                <w:sz w:val="24"/>
                <w:highlight w:val="none"/>
              </w:rPr>
            </w:pPr>
          </w:p>
        </w:tc>
        <w:tc>
          <w:tcPr>
            <w:tcW w:w="3988" w:type="dxa"/>
            <w:tcBorders>
              <w:top w:val="single" w:color="auto" w:sz="4" w:space="0"/>
              <w:left w:val="nil"/>
              <w:bottom w:val="single" w:color="auto" w:sz="4" w:space="0"/>
              <w:right w:val="single" w:color="auto" w:sz="4" w:space="0"/>
            </w:tcBorders>
            <w:shd w:val="clear" w:color="auto" w:fill="FFFFFF"/>
            <w:vAlign w:val="center"/>
          </w:tcPr>
          <w:p w14:paraId="334E01E4">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电动执行机构</w:t>
            </w:r>
          </w:p>
        </w:tc>
        <w:tc>
          <w:tcPr>
            <w:tcW w:w="560" w:type="pct"/>
            <w:vMerge w:val="continue"/>
            <w:tcBorders>
              <w:left w:val="nil"/>
              <w:bottom w:val="single" w:color="auto" w:sz="4" w:space="0"/>
              <w:right w:val="single" w:color="auto" w:sz="4" w:space="0"/>
            </w:tcBorders>
            <w:shd w:val="clear" w:color="auto" w:fill="FFFFFF"/>
            <w:noWrap/>
            <w:vAlign w:val="center"/>
          </w:tcPr>
          <w:p w14:paraId="29EBF52B">
            <w:pPr>
              <w:widowControl/>
              <w:spacing w:line="440" w:lineRule="exact"/>
              <w:jc w:val="center"/>
              <w:rPr>
                <w:rFonts w:ascii="宋体" w:hAnsi="宋体" w:cs="宋体"/>
                <w:kern w:val="0"/>
                <w:sz w:val="24"/>
                <w:highlight w:val="none"/>
              </w:rPr>
            </w:pPr>
          </w:p>
        </w:tc>
        <w:tc>
          <w:tcPr>
            <w:tcW w:w="267" w:type="pct"/>
            <w:vMerge w:val="continue"/>
            <w:tcBorders>
              <w:left w:val="nil"/>
              <w:bottom w:val="single" w:color="auto" w:sz="4" w:space="0"/>
              <w:right w:val="single" w:color="auto" w:sz="4" w:space="0"/>
            </w:tcBorders>
            <w:shd w:val="clear" w:color="auto" w:fill="FFFFFF"/>
            <w:noWrap/>
            <w:vAlign w:val="center"/>
          </w:tcPr>
          <w:p w14:paraId="31C88BCD">
            <w:pPr>
              <w:widowControl/>
              <w:spacing w:line="440" w:lineRule="exact"/>
              <w:jc w:val="center"/>
              <w:rPr>
                <w:rFonts w:ascii="宋体" w:hAnsi="宋体" w:cs="宋体"/>
                <w:kern w:val="0"/>
                <w:sz w:val="24"/>
                <w:highlight w:val="none"/>
              </w:rPr>
            </w:pPr>
          </w:p>
        </w:tc>
        <w:tc>
          <w:tcPr>
            <w:tcW w:w="209" w:type="pct"/>
            <w:vMerge w:val="continue"/>
            <w:tcBorders>
              <w:left w:val="nil"/>
              <w:bottom w:val="single" w:color="auto" w:sz="4" w:space="0"/>
              <w:right w:val="single" w:color="auto" w:sz="4" w:space="0"/>
            </w:tcBorders>
            <w:shd w:val="clear" w:color="auto" w:fill="FFFFFF"/>
            <w:noWrap/>
            <w:vAlign w:val="center"/>
          </w:tcPr>
          <w:p w14:paraId="471D2C9A">
            <w:pPr>
              <w:widowControl/>
              <w:spacing w:line="440" w:lineRule="exact"/>
              <w:jc w:val="center"/>
              <w:rPr>
                <w:rFonts w:ascii="宋体" w:hAnsi="宋体" w:cs="宋体"/>
                <w:kern w:val="0"/>
                <w:sz w:val="24"/>
                <w:highlight w:val="none"/>
              </w:rPr>
            </w:pPr>
          </w:p>
        </w:tc>
        <w:tc>
          <w:tcPr>
            <w:tcW w:w="267" w:type="pct"/>
            <w:vMerge w:val="continue"/>
            <w:tcBorders>
              <w:left w:val="nil"/>
              <w:bottom w:val="single" w:color="auto" w:sz="4" w:space="0"/>
              <w:right w:val="single" w:color="auto" w:sz="4" w:space="0"/>
            </w:tcBorders>
            <w:shd w:val="clear" w:color="auto" w:fill="FFFFFF"/>
            <w:noWrap/>
            <w:vAlign w:val="center"/>
          </w:tcPr>
          <w:p w14:paraId="33D1C8E7">
            <w:pPr>
              <w:widowControl/>
              <w:spacing w:line="440" w:lineRule="exact"/>
              <w:jc w:val="center"/>
              <w:rPr>
                <w:rFonts w:ascii="宋体" w:hAnsi="宋体" w:cs="宋体"/>
                <w:kern w:val="0"/>
                <w:sz w:val="24"/>
                <w:highlight w:val="none"/>
              </w:rPr>
            </w:pPr>
          </w:p>
        </w:tc>
        <w:tc>
          <w:tcPr>
            <w:tcW w:w="32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FC39155">
            <w:pPr>
              <w:widowControl/>
              <w:spacing w:line="440" w:lineRule="exact"/>
              <w:jc w:val="center"/>
              <w:rPr>
                <w:rFonts w:ascii="宋体" w:hAnsi="宋体" w:cs="宋体"/>
                <w:kern w:val="0"/>
                <w:sz w:val="24"/>
                <w:highlight w:val="none"/>
              </w:rPr>
            </w:pPr>
          </w:p>
        </w:tc>
      </w:tr>
      <w:tr w14:paraId="484F12CD">
        <w:tblPrEx>
          <w:tblCellMar>
            <w:top w:w="0" w:type="dxa"/>
            <w:left w:w="108" w:type="dxa"/>
            <w:bottom w:w="0" w:type="dxa"/>
            <w:right w:w="108" w:type="dxa"/>
          </w:tblCellMar>
        </w:tblPrEx>
        <w:trPr>
          <w:trHeight w:val="851" w:hRule="atLeast"/>
        </w:trPr>
        <w:tc>
          <w:tcPr>
            <w:tcW w:w="58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51D27F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18</w:t>
            </w:r>
          </w:p>
        </w:tc>
        <w:tc>
          <w:tcPr>
            <w:tcW w:w="1469" w:type="dxa"/>
            <w:tcBorders>
              <w:top w:val="single" w:color="auto" w:sz="4" w:space="0"/>
              <w:left w:val="nil"/>
              <w:bottom w:val="single" w:color="auto" w:sz="4" w:space="0"/>
              <w:right w:val="single" w:color="auto" w:sz="4" w:space="0"/>
            </w:tcBorders>
            <w:shd w:val="clear" w:color="auto" w:fill="FFFFFF"/>
            <w:noWrap/>
            <w:vAlign w:val="center"/>
          </w:tcPr>
          <w:p w14:paraId="13F2747D">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单法兰限位伸缩接头</w:t>
            </w:r>
          </w:p>
        </w:tc>
        <w:tc>
          <w:tcPr>
            <w:tcW w:w="3988" w:type="dxa"/>
            <w:tcBorders>
              <w:top w:val="single" w:color="auto" w:sz="4" w:space="0"/>
              <w:left w:val="nil"/>
              <w:bottom w:val="single" w:color="auto" w:sz="4" w:space="0"/>
              <w:right w:val="single" w:color="auto" w:sz="4" w:space="0"/>
            </w:tcBorders>
            <w:shd w:val="clear" w:color="auto" w:fill="FFFFFF"/>
            <w:vAlign w:val="center"/>
          </w:tcPr>
          <w:p w14:paraId="4E6BCE85">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1.名称：单法兰限位伸缩接头</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2.规格：BF 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w:t>
            </w:r>
          </w:p>
        </w:tc>
        <w:tc>
          <w:tcPr>
            <w:tcW w:w="560" w:type="pct"/>
            <w:tcBorders>
              <w:top w:val="single" w:color="auto" w:sz="4" w:space="0"/>
              <w:left w:val="nil"/>
              <w:bottom w:val="single" w:color="auto" w:sz="4" w:space="0"/>
              <w:right w:val="single" w:color="auto" w:sz="4" w:space="0"/>
            </w:tcBorders>
            <w:shd w:val="clear" w:color="auto" w:fill="FFFFFF"/>
            <w:noWrap/>
            <w:vAlign w:val="center"/>
          </w:tcPr>
          <w:p w14:paraId="743D70B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7</w:t>
            </w: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4297E52F">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single" w:color="auto" w:sz="4" w:space="0"/>
              <w:left w:val="nil"/>
              <w:bottom w:val="single" w:color="auto" w:sz="4" w:space="0"/>
              <w:right w:val="single" w:color="auto" w:sz="4" w:space="0"/>
            </w:tcBorders>
            <w:shd w:val="clear" w:color="auto" w:fill="FFFFFF"/>
            <w:noWrap/>
            <w:vAlign w:val="center"/>
          </w:tcPr>
          <w:p w14:paraId="7DF1F9B9">
            <w:pPr>
              <w:widowControl/>
              <w:jc w:val="center"/>
              <w:textAlignment w:val="center"/>
              <w:rPr>
                <w:rFonts w:ascii="宋体" w:hAnsi="宋体" w:cs="宋体"/>
                <w:color w:val="000000"/>
                <w:kern w:val="0"/>
                <w:sz w:val="24"/>
                <w:highlight w:val="none"/>
                <w:lang w:bidi="ar"/>
              </w:rPr>
            </w:pP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7C2A2084">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nil"/>
              <w:bottom w:val="single" w:color="auto" w:sz="4" w:space="0"/>
              <w:right w:val="single" w:color="auto" w:sz="4" w:space="0"/>
            </w:tcBorders>
            <w:shd w:val="clear" w:color="auto" w:fill="FFFFFF"/>
            <w:noWrap/>
            <w:vAlign w:val="center"/>
          </w:tcPr>
          <w:p w14:paraId="7EAD308C">
            <w:pPr>
              <w:widowControl/>
              <w:jc w:val="center"/>
              <w:textAlignment w:val="center"/>
              <w:rPr>
                <w:rFonts w:ascii="宋体" w:hAnsi="宋体" w:cs="宋体"/>
                <w:color w:val="000000"/>
                <w:kern w:val="0"/>
                <w:sz w:val="24"/>
                <w:highlight w:val="none"/>
                <w:lang w:bidi="ar"/>
              </w:rPr>
            </w:pPr>
          </w:p>
        </w:tc>
      </w:tr>
      <w:tr w14:paraId="2FE6825F">
        <w:tblPrEx>
          <w:tblCellMar>
            <w:top w:w="0" w:type="dxa"/>
            <w:left w:w="108" w:type="dxa"/>
            <w:bottom w:w="0" w:type="dxa"/>
            <w:right w:w="108" w:type="dxa"/>
          </w:tblCellMar>
        </w:tblPrEx>
        <w:trPr>
          <w:trHeight w:val="1133" w:hRule="atLeast"/>
        </w:trPr>
        <w:tc>
          <w:tcPr>
            <w:tcW w:w="58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36C8EB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19</w:t>
            </w:r>
          </w:p>
        </w:tc>
        <w:tc>
          <w:tcPr>
            <w:tcW w:w="1469" w:type="dxa"/>
            <w:tcBorders>
              <w:top w:val="single" w:color="auto" w:sz="4" w:space="0"/>
              <w:left w:val="nil"/>
              <w:bottom w:val="single" w:color="auto" w:sz="4" w:space="0"/>
              <w:right w:val="single" w:color="auto" w:sz="4" w:space="0"/>
            </w:tcBorders>
            <w:shd w:val="clear" w:color="auto" w:fill="FFFFFF"/>
            <w:noWrap/>
            <w:vAlign w:val="center"/>
          </w:tcPr>
          <w:p w14:paraId="0B28DEAF">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手动蝶阀</w:t>
            </w:r>
          </w:p>
        </w:tc>
        <w:tc>
          <w:tcPr>
            <w:tcW w:w="3988" w:type="dxa"/>
            <w:tcBorders>
              <w:top w:val="single" w:color="auto" w:sz="4" w:space="0"/>
              <w:left w:val="nil"/>
              <w:bottom w:val="single" w:color="auto" w:sz="4" w:space="0"/>
              <w:right w:val="single" w:color="auto" w:sz="4" w:space="0"/>
            </w:tcBorders>
            <w:shd w:val="clear" w:color="auto" w:fill="FFFFFF"/>
            <w:vAlign w:val="center"/>
          </w:tcPr>
          <w:p w14:paraId="201CBBF0">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1.名称：手动蝶阀</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2.规格：DN300</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3.连接形式：法兰连接             4.其他：各附法兰1片</w:t>
            </w:r>
          </w:p>
        </w:tc>
        <w:tc>
          <w:tcPr>
            <w:tcW w:w="560" w:type="pct"/>
            <w:tcBorders>
              <w:top w:val="single" w:color="auto" w:sz="4" w:space="0"/>
              <w:left w:val="nil"/>
              <w:bottom w:val="single" w:color="auto" w:sz="4" w:space="0"/>
              <w:right w:val="single" w:color="auto" w:sz="4" w:space="0"/>
            </w:tcBorders>
            <w:shd w:val="clear" w:color="auto" w:fill="FFFFFF"/>
            <w:noWrap/>
            <w:vAlign w:val="center"/>
          </w:tcPr>
          <w:p w14:paraId="1AFD444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368A8248">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single" w:color="auto" w:sz="4" w:space="0"/>
              <w:left w:val="nil"/>
              <w:bottom w:val="single" w:color="auto" w:sz="4" w:space="0"/>
              <w:right w:val="single" w:color="auto" w:sz="4" w:space="0"/>
            </w:tcBorders>
            <w:shd w:val="clear" w:color="auto" w:fill="FFFFFF"/>
            <w:noWrap/>
            <w:vAlign w:val="center"/>
          </w:tcPr>
          <w:p w14:paraId="0C5B350C">
            <w:pPr>
              <w:widowControl/>
              <w:jc w:val="center"/>
              <w:textAlignment w:val="center"/>
              <w:rPr>
                <w:rFonts w:ascii="宋体" w:hAnsi="宋体" w:cs="宋体"/>
                <w:color w:val="000000"/>
                <w:kern w:val="0"/>
                <w:sz w:val="24"/>
                <w:highlight w:val="none"/>
                <w:lang w:bidi="ar"/>
              </w:rPr>
            </w:pP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1AA7ACD2">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nil"/>
              <w:bottom w:val="single" w:color="auto" w:sz="4" w:space="0"/>
              <w:right w:val="single" w:color="auto" w:sz="4" w:space="0"/>
            </w:tcBorders>
            <w:shd w:val="clear" w:color="auto" w:fill="FFFFFF"/>
            <w:noWrap/>
            <w:vAlign w:val="center"/>
          </w:tcPr>
          <w:p w14:paraId="71835457">
            <w:pPr>
              <w:widowControl/>
              <w:jc w:val="center"/>
              <w:textAlignment w:val="center"/>
              <w:rPr>
                <w:rFonts w:ascii="宋体" w:hAnsi="宋体" w:cs="宋体"/>
                <w:color w:val="000000"/>
                <w:kern w:val="0"/>
                <w:sz w:val="24"/>
                <w:highlight w:val="none"/>
                <w:lang w:bidi="ar"/>
              </w:rPr>
            </w:pPr>
          </w:p>
        </w:tc>
      </w:tr>
      <w:tr w14:paraId="68F9C302">
        <w:tblPrEx>
          <w:tblCellMar>
            <w:top w:w="0" w:type="dxa"/>
            <w:left w:w="108" w:type="dxa"/>
            <w:bottom w:w="0" w:type="dxa"/>
            <w:right w:w="108" w:type="dxa"/>
          </w:tblCellMar>
        </w:tblPrEx>
        <w:trPr>
          <w:trHeight w:val="406" w:hRule="atLeast"/>
        </w:trPr>
        <w:tc>
          <w:tcPr>
            <w:tcW w:w="58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0BCECA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20</w:t>
            </w:r>
          </w:p>
        </w:tc>
        <w:tc>
          <w:tcPr>
            <w:tcW w:w="1469" w:type="dxa"/>
            <w:tcBorders>
              <w:top w:val="single" w:color="auto" w:sz="4" w:space="0"/>
              <w:left w:val="nil"/>
              <w:bottom w:val="single" w:color="auto" w:sz="4" w:space="0"/>
              <w:right w:val="single" w:color="auto" w:sz="4" w:space="0"/>
            </w:tcBorders>
            <w:shd w:val="clear" w:color="auto" w:fill="FFFFFF"/>
            <w:noWrap/>
            <w:vAlign w:val="center"/>
          </w:tcPr>
          <w:p w14:paraId="5B280F62">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三通</w:t>
            </w:r>
          </w:p>
        </w:tc>
        <w:tc>
          <w:tcPr>
            <w:tcW w:w="3988" w:type="dxa"/>
            <w:tcBorders>
              <w:top w:val="single" w:color="auto" w:sz="4" w:space="0"/>
              <w:left w:val="nil"/>
              <w:bottom w:val="single" w:color="auto" w:sz="4" w:space="0"/>
              <w:right w:val="single" w:color="auto" w:sz="4" w:space="0"/>
            </w:tcBorders>
            <w:shd w:val="clear" w:color="auto" w:fill="FFFFFF"/>
            <w:vAlign w:val="center"/>
          </w:tcPr>
          <w:p w14:paraId="326A3696">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1.材质及规格：DN600×DN600，钢三通</w:t>
            </w:r>
          </w:p>
        </w:tc>
        <w:tc>
          <w:tcPr>
            <w:tcW w:w="560" w:type="pct"/>
            <w:tcBorders>
              <w:top w:val="single" w:color="auto" w:sz="4" w:space="0"/>
              <w:left w:val="nil"/>
              <w:bottom w:val="single" w:color="auto" w:sz="4" w:space="0"/>
              <w:right w:val="single" w:color="auto" w:sz="4" w:space="0"/>
            </w:tcBorders>
            <w:shd w:val="clear" w:color="auto" w:fill="FFFFFF"/>
            <w:noWrap/>
            <w:vAlign w:val="center"/>
          </w:tcPr>
          <w:p w14:paraId="52B51F0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499556F4">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single" w:color="auto" w:sz="4" w:space="0"/>
              <w:left w:val="nil"/>
              <w:bottom w:val="single" w:color="auto" w:sz="4" w:space="0"/>
              <w:right w:val="single" w:color="auto" w:sz="4" w:space="0"/>
            </w:tcBorders>
            <w:shd w:val="clear" w:color="auto" w:fill="FFFFFF"/>
            <w:noWrap/>
            <w:vAlign w:val="center"/>
          </w:tcPr>
          <w:p w14:paraId="3F5DF514">
            <w:pPr>
              <w:widowControl/>
              <w:jc w:val="center"/>
              <w:textAlignment w:val="center"/>
              <w:rPr>
                <w:rFonts w:ascii="宋体" w:hAnsi="宋体" w:cs="宋体"/>
                <w:color w:val="000000"/>
                <w:kern w:val="0"/>
                <w:sz w:val="24"/>
                <w:highlight w:val="none"/>
                <w:lang w:bidi="ar"/>
              </w:rPr>
            </w:pP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79231B6F">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nil"/>
              <w:bottom w:val="single" w:color="auto" w:sz="4" w:space="0"/>
              <w:right w:val="single" w:color="auto" w:sz="4" w:space="0"/>
            </w:tcBorders>
            <w:shd w:val="clear" w:color="auto" w:fill="FFFFFF"/>
            <w:noWrap/>
            <w:vAlign w:val="center"/>
          </w:tcPr>
          <w:p w14:paraId="265BBC50">
            <w:pPr>
              <w:widowControl/>
              <w:jc w:val="center"/>
              <w:textAlignment w:val="center"/>
              <w:rPr>
                <w:rFonts w:ascii="宋体" w:hAnsi="宋体" w:cs="宋体"/>
                <w:color w:val="000000"/>
                <w:kern w:val="0"/>
                <w:sz w:val="24"/>
                <w:highlight w:val="none"/>
                <w:lang w:bidi="ar"/>
              </w:rPr>
            </w:pPr>
          </w:p>
        </w:tc>
      </w:tr>
      <w:tr w14:paraId="44D7EEA6">
        <w:tblPrEx>
          <w:tblCellMar>
            <w:top w:w="0" w:type="dxa"/>
            <w:left w:w="108" w:type="dxa"/>
            <w:bottom w:w="0" w:type="dxa"/>
            <w:right w:w="108" w:type="dxa"/>
          </w:tblCellMar>
        </w:tblPrEx>
        <w:trPr>
          <w:trHeight w:val="571" w:hRule="atLeast"/>
        </w:trPr>
        <w:tc>
          <w:tcPr>
            <w:tcW w:w="58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524CE9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21</w:t>
            </w:r>
          </w:p>
        </w:tc>
        <w:tc>
          <w:tcPr>
            <w:tcW w:w="1469" w:type="dxa"/>
            <w:tcBorders>
              <w:top w:val="single" w:color="auto" w:sz="4" w:space="0"/>
              <w:left w:val="nil"/>
              <w:bottom w:val="single" w:color="auto" w:sz="4" w:space="0"/>
              <w:right w:val="single" w:color="auto" w:sz="4" w:space="0"/>
            </w:tcBorders>
            <w:shd w:val="clear" w:color="auto" w:fill="FFFFFF"/>
            <w:noWrap/>
            <w:vAlign w:val="center"/>
          </w:tcPr>
          <w:p w14:paraId="3BCE8019">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同心异径管</w:t>
            </w:r>
          </w:p>
        </w:tc>
        <w:tc>
          <w:tcPr>
            <w:tcW w:w="3988" w:type="dxa"/>
            <w:tcBorders>
              <w:top w:val="single" w:color="auto" w:sz="4" w:space="0"/>
              <w:left w:val="nil"/>
              <w:bottom w:val="single" w:color="auto" w:sz="4" w:space="0"/>
              <w:right w:val="single" w:color="auto" w:sz="4" w:space="0"/>
            </w:tcBorders>
            <w:shd w:val="clear" w:color="auto" w:fill="FFFFFF"/>
            <w:vAlign w:val="center"/>
          </w:tcPr>
          <w:p w14:paraId="70D9B972">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1.材质及规格：同心异径管，DN600×DN300，钢制同心异径管</w:t>
            </w:r>
          </w:p>
        </w:tc>
        <w:tc>
          <w:tcPr>
            <w:tcW w:w="560" w:type="pct"/>
            <w:tcBorders>
              <w:top w:val="single" w:color="auto" w:sz="4" w:space="0"/>
              <w:left w:val="nil"/>
              <w:bottom w:val="single" w:color="auto" w:sz="4" w:space="0"/>
              <w:right w:val="single" w:color="auto" w:sz="4" w:space="0"/>
            </w:tcBorders>
            <w:shd w:val="clear" w:color="auto" w:fill="FFFFFF"/>
            <w:noWrap/>
            <w:vAlign w:val="center"/>
          </w:tcPr>
          <w:p w14:paraId="5E8527F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27235442">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single" w:color="auto" w:sz="4" w:space="0"/>
              <w:left w:val="nil"/>
              <w:bottom w:val="single" w:color="auto" w:sz="4" w:space="0"/>
              <w:right w:val="single" w:color="auto" w:sz="4" w:space="0"/>
            </w:tcBorders>
            <w:shd w:val="clear" w:color="auto" w:fill="FFFFFF"/>
            <w:noWrap/>
            <w:vAlign w:val="center"/>
          </w:tcPr>
          <w:p w14:paraId="035B22FC">
            <w:pPr>
              <w:widowControl/>
              <w:jc w:val="center"/>
              <w:textAlignment w:val="center"/>
              <w:rPr>
                <w:rFonts w:ascii="宋体" w:hAnsi="宋体" w:cs="宋体"/>
                <w:color w:val="000000"/>
                <w:kern w:val="0"/>
                <w:sz w:val="24"/>
                <w:highlight w:val="none"/>
                <w:lang w:bidi="ar"/>
              </w:rPr>
            </w:pP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7C6B32DB">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nil"/>
              <w:bottom w:val="single" w:color="auto" w:sz="4" w:space="0"/>
              <w:right w:val="single" w:color="auto" w:sz="4" w:space="0"/>
            </w:tcBorders>
            <w:shd w:val="clear" w:color="auto" w:fill="FFFFFF"/>
            <w:noWrap/>
            <w:vAlign w:val="center"/>
          </w:tcPr>
          <w:p w14:paraId="6B919854">
            <w:pPr>
              <w:widowControl/>
              <w:jc w:val="center"/>
              <w:textAlignment w:val="center"/>
              <w:rPr>
                <w:rFonts w:ascii="宋体" w:hAnsi="宋体" w:cs="宋体"/>
                <w:color w:val="000000"/>
                <w:kern w:val="0"/>
                <w:sz w:val="24"/>
                <w:highlight w:val="none"/>
                <w:lang w:bidi="ar"/>
              </w:rPr>
            </w:pPr>
          </w:p>
        </w:tc>
      </w:tr>
      <w:tr w14:paraId="2267744D">
        <w:tblPrEx>
          <w:tblCellMar>
            <w:top w:w="0" w:type="dxa"/>
            <w:left w:w="108" w:type="dxa"/>
            <w:bottom w:w="0" w:type="dxa"/>
            <w:right w:w="108" w:type="dxa"/>
          </w:tblCellMar>
        </w:tblPrEx>
        <w:trPr>
          <w:trHeight w:val="406" w:hRule="atLeast"/>
        </w:trPr>
        <w:tc>
          <w:tcPr>
            <w:tcW w:w="58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D1E396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22</w:t>
            </w:r>
          </w:p>
        </w:tc>
        <w:tc>
          <w:tcPr>
            <w:tcW w:w="1469" w:type="dxa"/>
            <w:tcBorders>
              <w:top w:val="single" w:color="auto" w:sz="4" w:space="0"/>
              <w:left w:val="nil"/>
              <w:bottom w:val="single" w:color="auto" w:sz="4" w:space="0"/>
              <w:right w:val="single" w:color="auto" w:sz="4" w:space="0"/>
            </w:tcBorders>
            <w:shd w:val="clear" w:color="auto" w:fill="FFFFFF"/>
            <w:noWrap/>
            <w:vAlign w:val="center"/>
          </w:tcPr>
          <w:p w14:paraId="52E1315B">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3988" w:type="dxa"/>
            <w:tcBorders>
              <w:top w:val="single" w:color="auto" w:sz="4" w:space="0"/>
              <w:left w:val="nil"/>
              <w:bottom w:val="single" w:color="auto" w:sz="4" w:space="0"/>
              <w:right w:val="single" w:color="auto" w:sz="4" w:space="0"/>
            </w:tcBorders>
            <w:shd w:val="clear" w:color="auto" w:fill="FFFFFF"/>
            <w:vAlign w:val="center"/>
          </w:tcPr>
          <w:p w14:paraId="1594D4A9">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1.材质及规格：DN300×90°；钢制弯头</w:t>
            </w:r>
          </w:p>
        </w:tc>
        <w:tc>
          <w:tcPr>
            <w:tcW w:w="560" w:type="pct"/>
            <w:tcBorders>
              <w:top w:val="single" w:color="auto" w:sz="4" w:space="0"/>
              <w:left w:val="nil"/>
              <w:bottom w:val="single" w:color="auto" w:sz="4" w:space="0"/>
              <w:right w:val="single" w:color="auto" w:sz="4" w:space="0"/>
            </w:tcBorders>
            <w:shd w:val="clear" w:color="auto" w:fill="FFFFFF"/>
            <w:noWrap/>
            <w:vAlign w:val="center"/>
          </w:tcPr>
          <w:p w14:paraId="0B4680A5">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4C977E06">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single" w:color="auto" w:sz="4" w:space="0"/>
              <w:left w:val="nil"/>
              <w:bottom w:val="single" w:color="auto" w:sz="4" w:space="0"/>
              <w:right w:val="single" w:color="auto" w:sz="4" w:space="0"/>
            </w:tcBorders>
            <w:shd w:val="clear" w:color="auto" w:fill="FFFFFF"/>
            <w:noWrap/>
            <w:vAlign w:val="center"/>
          </w:tcPr>
          <w:p w14:paraId="3B796A31">
            <w:pPr>
              <w:widowControl/>
              <w:jc w:val="center"/>
              <w:textAlignment w:val="center"/>
              <w:rPr>
                <w:rFonts w:ascii="宋体" w:hAnsi="宋体" w:cs="宋体"/>
                <w:color w:val="000000"/>
                <w:kern w:val="0"/>
                <w:sz w:val="24"/>
                <w:highlight w:val="none"/>
                <w:lang w:bidi="ar"/>
              </w:rPr>
            </w:pP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2DFD5B75">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nil"/>
              <w:bottom w:val="single" w:color="auto" w:sz="4" w:space="0"/>
              <w:right w:val="single" w:color="auto" w:sz="4" w:space="0"/>
            </w:tcBorders>
            <w:shd w:val="clear" w:color="auto" w:fill="FFFFFF"/>
            <w:noWrap/>
            <w:vAlign w:val="center"/>
          </w:tcPr>
          <w:p w14:paraId="69C2FF13">
            <w:pPr>
              <w:widowControl/>
              <w:jc w:val="center"/>
              <w:textAlignment w:val="center"/>
              <w:rPr>
                <w:rFonts w:ascii="宋体" w:hAnsi="宋体" w:cs="宋体"/>
                <w:color w:val="000000"/>
                <w:kern w:val="0"/>
                <w:sz w:val="24"/>
                <w:highlight w:val="none"/>
                <w:lang w:bidi="ar"/>
              </w:rPr>
            </w:pPr>
          </w:p>
        </w:tc>
      </w:tr>
      <w:tr w14:paraId="0C3B5B21">
        <w:tblPrEx>
          <w:tblCellMar>
            <w:top w:w="0" w:type="dxa"/>
            <w:left w:w="108" w:type="dxa"/>
            <w:bottom w:w="0" w:type="dxa"/>
            <w:right w:w="108" w:type="dxa"/>
          </w:tblCellMar>
        </w:tblPrEx>
        <w:trPr>
          <w:trHeight w:val="571" w:hRule="atLeast"/>
        </w:trPr>
        <w:tc>
          <w:tcPr>
            <w:tcW w:w="58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87CA87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23</w:t>
            </w:r>
          </w:p>
        </w:tc>
        <w:tc>
          <w:tcPr>
            <w:tcW w:w="1469" w:type="dxa"/>
            <w:tcBorders>
              <w:top w:val="single" w:color="auto" w:sz="4" w:space="0"/>
              <w:left w:val="nil"/>
              <w:bottom w:val="single" w:color="auto" w:sz="4" w:space="0"/>
              <w:right w:val="single" w:color="auto" w:sz="4" w:space="0"/>
            </w:tcBorders>
            <w:shd w:val="clear" w:color="auto" w:fill="FFFFFF"/>
            <w:noWrap/>
            <w:vAlign w:val="center"/>
          </w:tcPr>
          <w:p w14:paraId="7DD29D6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3988" w:type="dxa"/>
            <w:tcBorders>
              <w:top w:val="single" w:color="auto" w:sz="4" w:space="0"/>
              <w:left w:val="nil"/>
              <w:bottom w:val="single" w:color="auto" w:sz="4" w:space="0"/>
              <w:right w:val="single" w:color="auto" w:sz="4" w:space="0"/>
            </w:tcBorders>
            <w:shd w:val="clear" w:color="auto" w:fill="FFFFFF"/>
            <w:vAlign w:val="center"/>
          </w:tcPr>
          <w:p w14:paraId="3162FF8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1.材质及规格：DN300×90°(焊口找平7°)，钢制弯头</w:t>
            </w:r>
          </w:p>
        </w:tc>
        <w:tc>
          <w:tcPr>
            <w:tcW w:w="560" w:type="pct"/>
            <w:tcBorders>
              <w:top w:val="single" w:color="auto" w:sz="4" w:space="0"/>
              <w:left w:val="nil"/>
              <w:bottom w:val="single" w:color="auto" w:sz="4" w:space="0"/>
              <w:right w:val="single" w:color="auto" w:sz="4" w:space="0"/>
            </w:tcBorders>
            <w:shd w:val="clear" w:color="auto" w:fill="FFFFFF"/>
            <w:noWrap/>
            <w:vAlign w:val="center"/>
          </w:tcPr>
          <w:p w14:paraId="4511759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5A47CDB6">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single" w:color="auto" w:sz="4" w:space="0"/>
              <w:left w:val="nil"/>
              <w:bottom w:val="single" w:color="auto" w:sz="4" w:space="0"/>
              <w:right w:val="single" w:color="auto" w:sz="4" w:space="0"/>
            </w:tcBorders>
            <w:shd w:val="clear" w:color="auto" w:fill="FFFFFF"/>
            <w:noWrap/>
            <w:vAlign w:val="center"/>
          </w:tcPr>
          <w:p w14:paraId="6AB1B15B">
            <w:pPr>
              <w:widowControl/>
              <w:jc w:val="center"/>
              <w:textAlignment w:val="center"/>
              <w:rPr>
                <w:rFonts w:ascii="宋体" w:hAnsi="宋体" w:cs="宋体"/>
                <w:color w:val="000000"/>
                <w:kern w:val="0"/>
                <w:sz w:val="24"/>
                <w:highlight w:val="none"/>
                <w:lang w:bidi="ar"/>
              </w:rPr>
            </w:pPr>
          </w:p>
        </w:tc>
        <w:tc>
          <w:tcPr>
            <w:tcW w:w="267" w:type="pct"/>
            <w:tcBorders>
              <w:top w:val="single" w:color="auto" w:sz="4" w:space="0"/>
              <w:left w:val="nil"/>
              <w:bottom w:val="single" w:color="auto" w:sz="4" w:space="0"/>
              <w:right w:val="single" w:color="auto" w:sz="4" w:space="0"/>
            </w:tcBorders>
            <w:shd w:val="clear" w:color="auto" w:fill="FFFFFF"/>
            <w:noWrap/>
            <w:vAlign w:val="center"/>
          </w:tcPr>
          <w:p w14:paraId="36CFA33C">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nil"/>
              <w:bottom w:val="single" w:color="auto" w:sz="4" w:space="0"/>
              <w:right w:val="single" w:color="auto" w:sz="4" w:space="0"/>
            </w:tcBorders>
            <w:shd w:val="clear" w:color="auto" w:fill="FFFFFF"/>
            <w:noWrap/>
            <w:vAlign w:val="center"/>
          </w:tcPr>
          <w:p w14:paraId="026D8546">
            <w:pPr>
              <w:widowControl/>
              <w:jc w:val="center"/>
              <w:textAlignment w:val="center"/>
              <w:rPr>
                <w:rFonts w:ascii="宋体" w:hAnsi="宋体" w:cs="宋体"/>
                <w:color w:val="000000"/>
                <w:kern w:val="0"/>
                <w:sz w:val="24"/>
                <w:highlight w:val="none"/>
                <w:lang w:bidi="ar"/>
              </w:rPr>
            </w:pPr>
          </w:p>
        </w:tc>
      </w:tr>
      <w:tr w14:paraId="0B29E850">
        <w:tblPrEx>
          <w:tblCellMar>
            <w:top w:w="0" w:type="dxa"/>
            <w:left w:w="108" w:type="dxa"/>
            <w:bottom w:w="0" w:type="dxa"/>
            <w:right w:w="108" w:type="dxa"/>
          </w:tblCellMar>
        </w:tblPrEx>
        <w:trPr>
          <w:trHeight w:val="406" w:hRule="atLeast"/>
        </w:trPr>
        <w:tc>
          <w:tcPr>
            <w:tcW w:w="584" w:type="dxa"/>
            <w:tcBorders>
              <w:top w:val="nil"/>
              <w:left w:val="single" w:color="auto" w:sz="4" w:space="0"/>
              <w:bottom w:val="single" w:color="auto" w:sz="4" w:space="0"/>
              <w:right w:val="single" w:color="auto" w:sz="4" w:space="0"/>
            </w:tcBorders>
            <w:noWrap/>
            <w:vAlign w:val="center"/>
          </w:tcPr>
          <w:p w14:paraId="3BD11320">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24</w:t>
            </w:r>
          </w:p>
        </w:tc>
        <w:tc>
          <w:tcPr>
            <w:tcW w:w="1469" w:type="dxa"/>
            <w:tcBorders>
              <w:top w:val="nil"/>
              <w:left w:val="nil"/>
              <w:bottom w:val="single" w:color="auto" w:sz="4" w:space="0"/>
              <w:right w:val="single" w:color="auto" w:sz="4" w:space="0"/>
            </w:tcBorders>
            <w:noWrap/>
            <w:vAlign w:val="center"/>
          </w:tcPr>
          <w:p w14:paraId="2251C89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3988" w:type="dxa"/>
            <w:tcBorders>
              <w:top w:val="nil"/>
              <w:left w:val="nil"/>
              <w:bottom w:val="single" w:color="auto" w:sz="4" w:space="0"/>
              <w:right w:val="single" w:color="auto" w:sz="4" w:space="0"/>
            </w:tcBorders>
            <w:vAlign w:val="center"/>
          </w:tcPr>
          <w:p w14:paraId="42A5BBD6">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1.材质及规格：DN300×7°，钢制弯头</w:t>
            </w:r>
          </w:p>
        </w:tc>
        <w:tc>
          <w:tcPr>
            <w:tcW w:w="560" w:type="pct"/>
            <w:tcBorders>
              <w:top w:val="nil"/>
              <w:left w:val="nil"/>
              <w:bottom w:val="single" w:color="auto" w:sz="4" w:space="0"/>
              <w:right w:val="single" w:color="auto" w:sz="4" w:space="0"/>
            </w:tcBorders>
            <w:noWrap/>
            <w:vAlign w:val="center"/>
          </w:tcPr>
          <w:p w14:paraId="07F8349D">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nil"/>
              <w:left w:val="nil"/>
              <w:bottom w:val="single" w:color="auto" w:sz="4" w:space="0"/>
              <w:right w:val="single" w:color="auto" w:sz="4" w:space="0"/>
            </w:tcBorders>
            <w:noWrap/>
            <w:vAlign w:val="center"/>
          </w:tcPr>
          <w:p w14:paraId="6B967F6D">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6E9A928F">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692F7FC5">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52E3E5BB">
            <w:pPr>
              <w:widowControl/>
              <w:jc w:val="center"/>
              <w:textAlignment w:val="center"/>
              <w:rPr>
                <w:rFonts w:ascii="宋体" w:hAnsi="宋体" w:cs="宋体"/>
                <w:color w:val="000000"/>
                <w:kern w:val="0"/>
                <w:sz w:val="24"/>
                <w:highlight w:val="none"/>
                <w:lang w:bidi="ar"/>
              </w:rPr>
            </w:pPr>
          </w:p>
        </w:tc>
      </w:tr>
      <w:tr w14:paraId="4DD3C6DC">
        <w:tblPrEx>
          <w:tblCellMar>
            <w:top w:w="0" w:type="dxa"/>
            <w:left w:w="108" w:type="dxa"/>
            <w:bottom w:w="0" w:type="dxa"/>
            <w:right w:w="108" w:type="dxa"/>
          </w:tblCellMar>
        </w:tblPrEx>
        <w:trPr>
          <w:trHeight w:val="406" w:hRule="atLeast"/>
        </w:trPr>
        <w:tc>
          <w:tcPr>
            <w:tcW w:w="584" w:type="dxa"/>
            <w:tcBorders>
              <w:top w:val="nil"/>
              <w:left w:val="single" w:color="auto" w:sz="4" w:space="0"/>
              <w:bottom w:val="single" w:color="auto" w:sz="4" w:space="0"/>
              <w:right w:val="single" w:color="auto" w:sz="4" w:space="0"/>
            </w:tcBorders>
            <w:noWrap/>
            <w:vAlign w:val="center"/>
          </w:tcPr>
          <w:p w14:paraId="52F16454">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25</w:t>
            </w:r>
          </w:p>
        </w:tc>
        <w:tc>
          <w:tcPr>
            <w:tcW w:w="1469" w:type="dxa"/>
            <w:tcBorders>
              <w:top w:val="nil"/>
              <w:left w:val="nil"/>
              <w:bottom w:val="single" w:color="auto" w:sz="4" w:space="0"/>
              <w:right w:val="single" w:color="auto" w:sz="4" w:space="0"/>
            </w:tcBorders>
            <w:noWrap/>
            <w:vAlign w:val="center"/>
          </w:tcPr>
          <w:p w14:paraId="32402BA3">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弯头</w:t>
            </w:r>
          </w:p>
        </w:tc>
        <w:tc>
          <w:tcPr>
            <w:tcW w:w="3988" w:type="dxa"/>
            <w:tcBorders>
              <w:top w:val="nil"/>
              <w:left w:val="nil"/>
              <w:bottom w:val="single" w:color="auto" w:sz="4" w:space="0"/>
              <w:right w:val="single" w:color="auto" w:sz="4" w:space="0"/>
            </w:tcBorders>
            <w:vAlign w:val="center"/>
          </w:tcPr>
          <w:p w14:paraId="0321EEEB">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1.材质及规格：DN300×45°；钢制弯头</w:t>
            </w:r>
          </w:p>
        </w:tc>
        <w:tc>
          <w:tcPr>
            <w:tcW w:w="560" w:type="pct"/>
            <w:tcBorders>
              <w:top w:val="nil"/>
              <w:left w:val="nil"/>
              <w:bottom w:val="single" w:color="auto" w:sz="4" w:space="0"/>
              <w:right w:val="single" w:color="auto" w:sz="4" w:space="0"/>
            </w:tcBorders>
            <w:noWrap/>
            <w:vAlign w:val="center"/>
          </w:tcPr>
          <w:p w14:paraId="79428CCC">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4</w:t>
            </w:r>
          </w:p>
        </w:tc>
        <w:tc>
          <w:tcPr>
            <w:tcW w:w="267" w:type="pct"/>
            <w:tcBorders>
              <w:top w:val="nil"/>
              <w:left w:val="nil"/>
              <w:bottom w:val="single" w:color="auto" w:sz="4" w:space="0"/>
              <w:right w:val="single" w:color="auto" w:sz="4" w:space="0"/>
            </w:tcBorders>
            <w:noWrap/>
            <w:vAlign w:val="center"/>
          </w:tcPr>
          <w:p w14:paraId="544F910E">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2DC7A6F9">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573E1A20">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2E7545E6">
            <w:pPr>
              <w:widowControl/>
              <w:jc w:val="center"/>
              <w:textAlignment w:val="center"/>
              <w:rPr>
                <w:rFonts w:ascii="宋体" w:hAnsi="宋体" w:cs="宋体"/>
                <w:color w:val="000000"/>
                <w:kern w:val="0"/>
                <w:sz w:val="24"/>
                <w:highlight w:val="none"/>
                <w:lang w:bidi="ar"/>
              </w:rPr>
            </w:pPr>
          </w:p>
        </w:tc>
      </w:tr>
      <w:tr w14:paraId="3D9F9A91">
        <w:tblPrEx>
          <w:tblCellMar>
            <w:top w:w="0" w:type="dxa"/>
            <w:left w:w="108" w:type="dxa"/>
            <w:bottom w:w="0" w:type="dxa"/>
            <w:right w:w="108" w:type="dxa"/>
          </w:tblCellMar>
        </w:tblPrEx>
        <w:trPr>
          <w:trHeight w:val="406" w:hRule="atLeast"/>
        </w:trPr>
        <w:tc>
          <w:tcPr>
            <w:tcW w:w="584" w:type="dxa"/>
            <w:tcBorders>
              <w:top w:val="nil"/>
              <w:left w:val="single" w:color="auto" w:sz="4" w:space="0"/>
              <w:bottom w:val="single" w:color="auto" w:sz="4" w:space="0"/>
              <w:right w:val="single" w:color="auto" w:sz="4" w:space="0"/>
            </w:tcBorders>
            <w:noWrap/>
            <w:vAlign w:val="center"/>
          </w:tcPr>
          <w:p w14:paraId="24C9EF8F">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26</w:t>
            </w:r>
          </w:p>
        </w:tc>
        <w:tc>
          <w:tcPr>
            <w:tcW w:w="1469" w:type="dxa"/>
            <w:tcBorders>
              <w:top w:val="nil"/>
              <w:left w:val="nil"/>
              <w:bottom w:val="single" w:color="auto" w:sz="4" w:space="0"/>
              <w:right w:val="single" w:color="auto" w:sz="4" w:space="0"/>
            </w:tcBorders>
            <w:noWrap/>
            <w:vAlign w:val="center"/>
          </w:tcPr>
          <w:p w14:paraId="74AA31B5">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异径三通</w:t>
            </w:r>
          </w:p>
        </w:tc>
        <w:tc>
          <w:tcPr>
            <w:tcW w:w="3988" w:type="dxa"/>
            <w:tcBorders>
              <w:top w:val="nil"/>
              <w:left w:val="nil"/>
              <w:bottom w:val="single" w:color="auto" w:sz="4" w:space="0"/>
              <w:right w:val="single" w:color="auto" w:sz="4" w:space="0"/>
            </w:tcBorders>
            <w:vAlign w:val="center"/>
          </w:tcPr>
          <w:p w14:paraId="181FFEAE">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1.材质及规格：DN600×DN300，钢制三通</w:t>
            </w:r>
          </w:p>
        </w:tc>
        <w:tc>
          <w:tcPr>
            <w:tcW w:w="560" w:type="pct"/>
            <w:tcBorders>
              <w:top w:val="nil"/>
              <w:left w:val="nil"/>
              <w:bottom w:val="single" w:color="auto" w:sz="4" w:space="0"/>
              <w:right w:val="single" w:color="auto" w:sz="4" w:space="0"/>
            </w:tcBorders>
            <w:noWrap/>
            <w:vAlign w:val="center"/>
          </w:tcPr>
          <w:p w14:paraId="7C70882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267" w:type="pct"/>
            <w:tcBorders>
              <w:top w:val="nil"/>
              <w:left w:val="nil"/>
              <w:bottom w:val="single" w:color="auto" w:sz="4" w:space="0"/>
              <w:right w:val="single" w:color="auto" w:sz="4" w:space="0"/>
            </w:tcBorders>
            <w:noWrap/>
            <w:vAlign w:val="center"/>
          </w:tcPr>
          <w:p w14:paraId="61FE864E">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个</w:t>
            </w:r>
          </w:p>
        </w:tc>
        <w:tc>
          <w:tcPr>
            <w:tcW w:w="209" w:type="pct"/>
            <w:tcBorders>
              <w:top w:val="nil"/>
              <w:left w:val="nil"/>
              <w:bottom w:val="single" w:color="auto" w:sz="4" w:space="0"/>
              <w:right w:val="single" w:color="auto" w:sz="4" w:space="0"/>
            </w:tcBorders>
            <w:noWrap/>
            <w:vAlign w:val="center"/>
          </w:tcPr>
          <w:p w14:paraId="1000075A">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176ADEF8">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1FA538D7">
            <w:pPr>
              <w:widowControl/>
              <w:jc w:val="center"/>
              <w:textAlignment w:val="center"/>
              <w:rPr>
                <w:rFonts w:ascii="宋体" w:hAnsi="宋体" w:cs="宋体"/>
                <w:color w:val="000000"/>
                <w:kern w:val="0"/>
                <w:sz w:val="24"/>
                <w:highlight w:val="none"/>
                <w:lang w:bidi="ar"/>
              </w:rPr>
            </w:pPr>
          </w:p>
        </w:tc>
      </w:tr>
      <w:tr w14:paraId="101B6FCF">
        <w:tblPrEx>
          <w:tblCellMar>
            <w:top w:w="0" w:type="dxa"/>
            <w:left w:w="108" w:type="dxa"/>
            <w:bottom w:w="0" w:type="dxa"/>
            <w:right w:w="108" w:type="dxa"/>
          </w:tblCellMar>
        </w:tblPrEx>
        <w:trPr>
          <w:trHeight w:val="406" w:hRule="atLeast"/>
        </w:trPr>
        <w:tc>
          <w:tcPr>
            <w:tcW w:w="584" w:type="dxa"/>
            <w:tcBorders>
              <w:top w:val="nil"/>
              <w:left w:val="single" w:color="auto" w:sz="4" w:space="0"/>
              <w:bottom w:val="single" w:color="auto" w:sz="4" w:space="0"/>
              <w:right w:val="single" w:color="auto" w:sz="4" w:space="0"/>
            </w:tcBorders>
            <w:noWrap/>
            <w:vAlign w:val="center"/>
          </w:tcPr>
          <w:p w14:paraId="69F92A2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27</w:t>
            </w:r>
          </w:p>
        </w:tc>
        <w:tc>
          <w:tcPr>
            <w:tcW w:w="1469" w:type="dxa"/>
            <w:tcBorders>
              <w:top w:val="nil"/>
              <w:left w:val="nil"/>
              <w:bottom w:val="single" w:color="auto" w:sz="4" w:space="0"/>
              <w:right w:val="single" w:color="auto" w:sz="4" w:space="0"/>
            </w:tcBorders>
            <w:noWrap/>
            <w:vAlign w:val="center"/>
          </w:tcPr>
          <w:p w14:paraId="19E1C961">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钢管</w:t>
            </w:r>
          </w:p>
        </w:tc>
        <w:tc>
          <w:tcPr>
            <w:tcW w:w="3988" w:type="dxa"/>
            <w:tcBorders>
              <w:top w:val="nil"/>
              <w:left w:val="nil"/>
              <w:bottom w:val="single" w:color="auto" w:sz="4" w:space="0"/>
              <w:right w:val="single" w:color="auto" w:sz="4" w:space="0"/>
            </w:tcBorders>
            <w:vAlign w:val="center"/>
          </w:tcPr>
          <w:p w14:paraId="3BD4961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1.规格、压力等级：DN300</w:t>
            </w:r>
          </w:p>
        </w:tc>
        <w:tc>
          <w:tcPr>
            <w:tcW w:w="560" w:type="pct"/>
            <w:tcBorders>
              <w:top w:val="nil"/>
              <w:left w:val="nil"/>
              <w:bottom w:val="single" w:color="auto" w:sz="4" w:space="0"/>
              <w:right w:val="single" w:color="auto" w:sz="4" w:space="0"/>
            </w:tcBorders>
            <w:noWrap/>
            <w:vAlign w:val="center"/>
          </w:tcPr>
          <w:p w14:paraId="0DFC5BA9">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90</w:t>
            </w:r>
          </w:p>
        </w:tc>
        <w:tc>
          <w:tcPr>
            <w:tcW w:w="267" w:type="pct"/>
            <w:tcBorders>
              <w:top w:val="nil"/>
              <w:left w:val="nil"/>
              <w:bottom w:val="single" w:color="auto" w:sz="4" w:space="0"/>
              <w:right w:val="single" w:color="auto" w:sz="4" w:space="0"/>
            </w:tcBorders>
            <w:noWrap/>
            <w:vAlign w:val="center"/>
          </w:tcPr>
          <w:p w14:paraId="001F96B9">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209" w:type="pct"/>
            <w:tcBorders>
              <w:top w:val="nil"/>
              <w:left w:val="nil"/>
              <w:bottom w:val="single" w:color="auto" w:sz="4" w:space="0"/>
              <w:right w:val="single" w:color="auto" w:sz="4" w:space="0"/>
            </w:tcBorders>
            <w:noWrap/>
            <w:vAlign w:val="center"/>
          </w:tcPr>
          <w:p w14:paraId="7D1371DC">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03F9EEE9">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63C55D6D">
            <w:pPr>
              <w:widowControl/>
              <w:jc w:val="center"/>
              <w:textAlignment w:val="center"/>
              <w:rPr>
                <w:rFonts w:ascii="宋体" w:hAnsi="宋体" w:cs="宋体"/>
                <w:color w:val="000000"/>
                <w:kern w:val="0"/>
                <w:sz w:val="24"/>
                <w:highlight w:val="none"/>
                <w:lang w:bidi="ar"/>
              </w:rPr>
            </w:pPr>
          </w:p>
        </w:tc>
      </w:tr>
      <w:tr w14:paraId="4CD56208">
        <w:tblPrEx>
          <w:tblCellMar>
            <w:top w:w="0" w:type="dxa"/>
            <w:left w:w="108" w:type="dxa"/>
            <w:bottom w:w="0" w:type="dxa"/>
            <w:right w:w="108" w:type="dxa"/>
          </w:tblCellMar>
        </w:tblPrEx>
        <w:trPr>
          <w:trHeight w:val="406" w:hRule="atLeast"/>
        </w:trPr>
        <w:tc>
          <w:tcPr>
            <w:tcW w:w="584" w:type="dxa"/>
            <w:tcBorders>
              <w:top w:val="nil"/>
              <w:left w:val="single" w:color="auto" w:sz="4" w:space="0"/>
              <w:bottom w:val="single" w:color="auto" w:sz="4" w:space="0"/>
              <w:right w:val="single" w:color="auto" w:sz="4" w:space="0"/>
            </w:tcBorders>
            <w:noWrap/>
            <w:vAlign w:val="center"/>
          </w:tcPr>
          <w:p w14:paraId="3D20C2AA">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28</w:t>
            </w:r>
          </w:p>
        </w:tc>
        <w:tc>
          <w:tcPr>
            <w:tcW w:w="1469" w:type="dxa"/>
            <w:tcBorders>
              <w:top w:val="nil"/>
              <w:left w:val="nil"/>
              <w:bottom w:val="single" w:color="auto" w:sz="4" w:space="0"/>
              <w:right w:val="single" w:color="auto" w:sz="4" w:space="0"/>
            </w:tcBorders>
            <w:noWrap/>
            <w:vAlign w:val="center"/>
          </w:tcPr>
          <w:p w14:paraId="06FB3027">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钢管</w:t>
            </w:r>
          </w:p>
        </w:tc>
        <w:tc>
          <w:tcPr>
            <w:tcW w:w="3988" w:type="dxa"/>
            <w:tcBorders>
              <w:top w:val="nil"/>
              <w:left w:val="nil"/>
              <w:bottom w:val="single" w:color="auto" w:sz="4" w:space="0"/>
              <w:right w:val="single" w:color="auto" w:sz="4" w:space="0"/>
            </w:tcBorders>
            <w:vAlign w:val="center"/>
          </w:tcPr>
          <w:p w14:paraId="1571F9D0">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1.规格、压力等级：DN600</w:t>
            </w:r>
          </w:p>
        </w:tc>
        <w:tc>
          <w:tcPr>
            <w:tcW w:w="560" w:type="pct"/>
            <w:tcBorders>
              <w:top w:val="nil"/>
              <w:left w:val="nil"/>
              <w:bottom w:val="single" w:color="auto" w:sz="4" w:space="0"/>
              <w:right w:val="single" w:color="auto" w:sz="4" w:space="0"/>
            </w:tcBorders>
            <w:noWrap/>
            <w:vAlign w:val="center"/>
          </w:tcPr>
          <w:p w14:paraId="242BE7C3">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5</w:t>
            </w:r>
          </w:p>
        </w:tc>
        <w:tc>
          <w:tcPr>
            <w:tcW w:w="267" w:type="pct"/>
            <w:tcBorders>
              <w:top w:val="nil"/>
              <w:left w:val="nil"/>
              <w:bottom w:val="single" w:color="auto" w:sz="4" w:space="0"/>
              <w:right w:val="single" w:color="auto" w:sz="4" w:space="0"/>
            </w:tcBorders>
            <w:noWrap/>
            <w:vAlign w:val="center"/>
          </w:tcPr>
          <w:p w14:paraId="496473EA">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209" w:type="pct"/>
            <w:tcBorders>
              <w:top w:val="nil"/>
              <w:left w:val="nil"/>
              <w:bottom w:val="single" w:color="auto" w:sz="4" w:space="0"/>
              <w:right w:val="single" w:color="auto" w:sz="4" w:space="0"/>
            </w:tcBorders>
            <w:noWrap/>
            <w:vAlign w:val="center"/>
          </w:tcPr>
          <w:p w14:paraId="43859B7C">
            <w:pPr>
              <w:widowControl/>
              <w:jc w:val="center"/>
              <w:textAlignment w:val="center"/>
              <w:rPr>
                <w:rFonts w:ascii="宋体" w:hAnsi="宋体" w:cs="宋体"/>
                <w:color w:val="000000"/>
                <w:kern w:val="0"/>
                <w:sz w:val="24"/>
                <w:highlight w:val="none"/>
                <w:lang w:bidi="ar"/>
              </w:rPr>
            </w:pPr>
          </w:p>
        </w:tc>
        <w:tc>
          <w:tcPr>
            <w:tcW w:w="267" w:type="pct"/>
            <w:tcBorders>
              <w:top w:val="nil"/>
              <w:left w:val="nil"/>
              <w:bottom w:val="single" w:color="auto" w:sz="4" w:space="0"/>
              <w:right w:val="single" w:color="auto" w:sz="4" w:space="0"/>
            </w:tcBorders>
            <w:noWrap/>
            <w:vAlign w:val="center"/>
          </w:tcPr>
          <w:p w14:paraId="0B7BDE40">
            <w:pPr>
              <w:widowControl/>
              <w:jc w:val="center"/>
              <w:textAlignment w:val="center"/>
              <w:rPr>
                <w:rFonts w:ascii="宋体" w:hAnsi="宋体" w:cs="宋体"/>
                <w:color w:val="000000"/>
                <w:kern w:val="0"/>
                <w:sz w:val="24"/>
                <w:highlight w:val="none"/>
                <w:lang w:bidi="ar"/>
              </w:rPr>
            </w:pPr>
          </w:p>
        </w:tc>
        <w:tc>
          <w:tcPr>
            <w:tcW w:w="327" w:type="pct"/>
            <w:tcBorders>
              <w:top w:val="nil"/>
              <w:left w:val="nil"/>
              <w:bottom w:val="single" w:color="auto" w:sz="4" w:space="0"/>
              <w:right w:val="single" w:color="auto" w:sz="4" w:space="0"/>
            </w:tcBorders>
            <w:noWrap/>
            <w:vAlign w:val="center"/>
          </w:tcPr>
          <w:p w14:paraId="59C395DE">
            <w:pPr>
              <w:widowControl/>
              <w:jc w:val="center"/>
              <w:textAlignment w:val="center"/>
              <w:rPr>
                <w:rFonts w:ascii="宋体" w:hAnsi="宋体" w:cs="宋体"/>
                <w:color w:val="000000"/>
                <w:kern w:val="0"/>
                <w:sz w:val="24"/>
                <w:highlight w:val="none"/>
                <w:lang w:bidi="ar"/>
              </w:rPr>
            </w:pPr>
          </w:p>
        </w:tc>
      </w:tr>
      <w:tr w14:paraId="6A90255F">
        <w:tblPrEx>
          <w:tblCellMar>
            <w:top w:w="0" w:type="dxa"/>
            <w:left w:w="108" w:type="dxa"/>
            <w:bottom w:w="0" w:type="dxa"/>
            <w:right w:w="108" w:type="dxa"/>
          </w:tblCellMar>
        </w:tblPrEx>
        <w:trPr>
          <w:trHeight w:val="415" w:hRule="atLeast"/>
        </w:trPr>
        <w:tc>
          <w:tcPr>
            <w:tcW w:w="584" w:type="dxa"/>
            <w:tcBorders>
              <w:top w:val="single" w:color="auto" w:sz="4" w:space="0"/>
              <w:left w:val="single" w:color="auto" w:sz="4" w:space="0"/>
              <w:bottom w:val="single" w:color="auto" w:sz="4" w:space="0"/>
              <w:right w:val="single" w:color="auto" w:sz="4" w:space="0"/>
            </w:tcBorders>
            <w:noWrap/>
            <w:vAlign w:val="center"/>
          </w:tcPr>
          <w:p w14:paraId="6DC84096">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29</w:t>
            </w:r>
          </w:p>
        </w:tc>
        <w:tc>
          <w:tcPr>
            <w:tcW w:w="1469" w:type="dxa"/>
            <w:tcBorders>
              <w:top w:val="single" w:color="auto" w:sz="4" w:space="0"/>
              <w:left w:val="single" w:color="auto" w:sz="4" w:space="0"/>
              <w:bottom w:val="single" w:color="auto" w:sz="4" w:space="0"/>
              <w:right w:val="single" w:color="auto" w:sz="4" w:space="0"/>
            </w:tcBorders>
            <w:noWrap/>
            <w:vAlign w:val="center"/>
          </w:tcPr>
          <w:p w14:paraId="1FA7E609">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UPVC管</w:t>
            </w:r>
          </w:p>
        </w:tc>
        <w:tc>
          <w:tcPr>
            <w:tcW w:w="3988" w:type="dxa"/>
            <w:tcBorders>
              <w:top w:val="single" w:color="auto" w:sz="4" w:space="0"/>
              <w:left w:val="single" w:color="auto" w:sz="4" w:space="0"/>
              <w:bottom w:val="single" w:color="auto" w:sz="4" w:space="0"/>
              <w:right w:val="single" w:color="auto" w:sz="4" w:space="0"/>
            </w:tcBorders>
            <w:vAlign w:val="center"/>
          </w:tcPr>
          <w:p w14:paraId="5327E433">
            <w:pPr>
              <w:widowControl/>
              <w:jc w:val="left"/>
              <w:textAlignment w:val="center"/>
              <w:rPr>
                <w:rFonts w:ascii="宋体" w:hAnsi="宋体" w:cs="宋体"/>
                <w:kern w:val="0"/>
                <w:sz w:val="24"/>
                <w:highlight w:val="none"/>
              </w:rPr>
            </w:pPr>
            <w:r>
              <w:rPr>
                <w:rFonts w:hint="eastAsia" w:ascii="宋体" w:hAnsi="宋体" w:cs="宋体"/>
                <w:color w:val="000000"/>
                <w:kern w:val="0"/>
                <w:sz w:val="24"/>
                <w:highlight w:val="none"/>
                <w:lang w:bidi="ar"/>
              </w:rPr>
              <w:t>1.材质、规格：UPVC De220</w:t>
            </w:r>
          </w:p>
        </w:tc>
        <w:tc>
          <w:tcPr>
            <w:tcW w:w="560" w:type="pct"/>
            <w:tcBorders>
              <w:top w:val="single" w:color="auto" w:sz="4" w:space="0"/>
              <w:left w:val="single" w:color="auto" w:sz="4" w:space="0"/>
              <w:bottom w:val="single" w:color="auto" w:sz="4" w:space="0"/>
              <w:right w:val="single" w:color="auto" w:sz="4" w:space="0"/>
            </w:tcBorders>
            <w:noWrap/>
            <w:vAlign w:val="center"/>
          </w:tcPr>
          <w:p w14:paraId="22BF7D3E">
            <w:pPr>
              <w:widowControl/>
              <w:spacing w:line="440" w:lineRule="exact"/>
              <w:jc w:val="center"/>
              <w:rPr>
                <w:rFonts w:ascii="宋体" w:hAnsi="宋体" w:cs="宋体"/>
                <w:kern w:val="0"/>
                <w:sz w:val="24"/>
                <w:highlight w:val="none"/>
              </w:rPr>
            </w:pPr>
            <w:r>
              <w:rPr>
                <w:rFonts w:hint="eastAsia" w:ascii="宋体" w:hAnsi="宋体" w:cs="宋体"/>
                <w:kern w:val="0"/>
                <w:sz w:val="24"/>
                <w:highlight w:val="none"/>
              </w:rPr>
              <w:t>10</w:t>
            </w:r>
          </w:p>
        </w:tc>
        <w:tc>
          <w:tcPr>
            <w:tcW w:w="267" w:type="pct"/>
            <w:tcBorders>
              <w:top w:val="single" w:color="auto" w:sz="4" w:space="0"/>
              <w:left w:val="single" w:color="auto" w:sz="4" w:space="0"/>
              <w:bottom w:val="single" w:color="auto" w:sz="4" w:space="0"/>
              <w:right w:val="single" w:color="auto" w:sz="4" w:space="0"/>
            </w:tcBorders>
            <w:noWrap/>
            <w:vAlign w:val="center"/>
          </w:tcPr>
          <w:p w14:paraId="2FCB6EF0">
            <w:pPr>
              <w:widowControl/>
              <w:jc w:val="center"/>
              <w:textAlignment w:val="center"/>
              <w:rPr>
                <w:rFonts w:ascii="宋体" w:hAnsi="宋体" w:cs="宋体"/>
                <w:kern w:val="0"/>
                <w:sz w:val="24"/>
                <w:highlight w:val="none"/>
              </w:rPr>
            </w:pPr>
            <w:r>
              <w:rPr>
                <w:rFonts w:hint="eastAsia" w:ascii="宋体" w:hAnsi="宋体" w:cs="宋体"/>
                <w:color w:val="000000"/>
                <w:kern w:val="0"/>
                <w:sz w:val="24"/>
                <w:highlight w:val="none"/>
                <w:lang w:bidi="ar"/>
              </w:rPr>
              <w:t>m</w:t>
            </w:r>
          </w:p>
        </w:tc>
        <w:tc>
          <w:tcPr>
            <w:tcW w:w="209" w:type="pct"/>
            <w:tcBorders>
              <w:top w:val="single" w:color="auto" w:sz="4" w:space="0"/>
              <w:left w:val="single" w:color="auto" w:sz="4" w:space="0"/>
              <w:bottom w:val="single" w:color="auto" w:sz="4" w:space="0"/>
              <w:right w:val="single" w:color="auto" w:sz="4" w:space="0"/>
            </w:tcBorders>
            <w:noWrap/>
            <w:vAlign w:val="center"/>
          </w:tcPr>
          <w:p w14:paraId="35140A93">
            <w:pPr>
              <w:widowControl/>
              <w:jc w:val="center"/>
              <w:textAlignment w:val="center"/>
              <w:rPr>
                <w:rFonts w:ascii="宋体" w:hAnsi="宋体" w:cs="宋体"/>
                <w:color w:val="000000"/>
                <w:kern w:val="0"/>
                <w:sz w:val="24"/>
                <w:highlight w:val="none"/>
                <w:lang w:bidi="ar"/>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6450727">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433FA390">
            <w:pPr>
              <w:widowControl/>
              <w:jc w:val="center"/>
              <w:textAlignment w:val="center"/>
              <w:rPr>
                <w:rFonts w:ascii="宋体" w:hAnsi="宋体" w:cs="宋体"/>
                <w:color w:val="000000"/>
                <w:kern w:val="0"/>
                <w:sz w:val="24"/>
                <w:highlight w:val="none"/>
                <w:lang w:bidi="ar"/>
              </w:rPr>
            </w:pPr>
          </w:p>
        </w:tc>
      </w:tr>
      <w:tr w14:paraId="3A8BB45E">
        <w:tblPrEx>
          <w:tblCellMar>
            <w:top w:w="0" w:type="dxa"/>
            <w:left w:w="108" w:type="dxa"/>
            <w:bottom w:w="0" w:type="dxa"/>
            <w:right w:w="108" w:type="dxa"/>
          </w:tblCellMar>
        </w:tblPrEx>
        <w:trPr>
          <w:trHeight w:val="415" w:hRule="atLeast"/>
        </w:trPr>
        <w:tc>
          <w:tcPr>
            <w:tcW w:w="5000" w:type="pct"/>
            <w:gridSpan w:val="8"/>
            <w:tcBorders>
              <w:top w:val="single" w:color="auto" w:sz="4" w:space="0"/>
              <w:left w:val="single" w:color="auto" w:sz="4" w:space="0"/>
              <w:bottom w:val="single" w:color="auto" w:sz="4" w:space="0"/>
              <w:right w:val="single" w:color="auto" w:sz="4" w:space="0"/>
            </w:tcBorders>
            <w:shd w:val="clear" w:color="auto" w:fill="auto"/>
            <w:noWrap/>
            <w:vAlign w:val="center"/>
          </w:tcPr>
          <w:p w14:paraId="4B14CE06">
            <w:pPr>
              <w:widowControl/>
              <w:spacing w:line="440" w:lineRule="exact"/>
              <w:jc w:val="center"/>
              <w:rPr>
                <w:rFonts w:ascii="宋体" w:hAnsi="宋体" w:eastAsia="宋体" w:cs="宋体"/>
                <w:kern w:val="0"/>
                <w:sz w:val="24"/>
                <w:szCs w:val="24"/>
                <w:highlight w:val="none"/>
                <w:lang w:val="en-US" w:eastAsia="zh-CN" w:bidi="ar-SA"/>
              </w:rPr>
            </w:pPr>
            <w:r>
              <w:rPr>
                <w:rFonts w:hint="eastAsia" w:ascii="宋体" w:hAnsi="宋体" w:cs="宋体"/>
                <w:b/>
                <w:bCs/>
                <w:kern w:val="0"/>
                <w:sz w:val="24"/>
                <w:highlight w:val="none"/>
              </w:rPr>
              <w:t>二、建筑及市政工程部分</w:t>
            </w:r>
          </w:p>
        </w:tc>
      </w:tr>
      <w:tr w14:paraId="43A34EBE">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CCF4B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68D01A">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场地平整</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0C0B194D">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场地平整清除地上地下障碍物(大块石、树根和草皮等杂物)</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F39677">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6BB8C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项</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720CDE">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27CE5E9D">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1CD1B8DC">
            <w:pPr>
              <w:widowControl/>
              <w:jc w:val="center"/>
              <w:textAlignment w:val="center"/>
              <w:rPr>
                <w:rFonts w:ascii="宋体" w:hAnsi="宋体" w:cs="宋体"/>
                <w:color w:val="000000"/>
                <w:kern w:val="0"/>
                <w:sz w:val="24"/>
                <w:highlight w:val="none"/>
                <w:lang w:bidi="ar"/>
              </w:rPr>
            </w:pPr>
          </w:p>
        </w:tc>
      </w:tr>
      <w:tr w14:paraId="52A8B6DE">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0A724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7E7847">
            <w:pPr>
              <w:spacing w:before="62" w:line="220" w:lineRule="auto"/>
              <w:ind w:left="2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挖基坑土方</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7817CBB5">
            <w:pPr>
              <w:spacing w:before="14" w:line="215" w:lineRule="auto"/>
              <w:ind w:left="2" w:leftChars="0" w:right="39" w:righ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1.挖设备基础干土，不装车，土方类 别综合考虑，就近堆方用于回填</w:t>
            </w:r>
            <w:r>
              <w:rPr>
                <w:rFonts w:hint="eastAsia" w:ascii="宋体" w:hAnsi="宋体" w:cs="宋体"/>
                <w:kern w:val="0"/>
                <w:sz w:val="24"/>
                <w:szCs w:val="24"/>
                <w:highlight w:val="none"/>
                <w:lang w:val="en-US" w:eastAsia="zh-CN" w:bidi="ar-SA"/>
              </w:rPr>
              <w:t>。</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32917E">
            <w:pPr>
              <w:spacing w:before="62" w:line="239" w:lineRule="auto"/>
              <w:ind w:right="34"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504.38</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884A06">
            <w:pPr>
              <w:spacing w:before="62"/>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0DA543">
            <w:pPr>
              <w:spacing w:before="62"/>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3D42595E">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55B8E68B">
            <w:pPr>
              <w:widowControl/>
              <w:jc w:val="center"/>
              <w:textAlignment w:val="center"/>
              <w:rPr>
                <w:rFonts w:ascii="宋体" w:hAnsi="宋体" w:cs="宋体"/>
                <w:color w:val="000000"/>
                <w:kern w:val="0"/>
                <w:sz w:val="24"/>
                <w:highlight w:val="none"/>
                <w:lang w:bidi="ar"/>
              </w:rPr>
            </w:pPr>
          </w:p>
        </w:tc>
      </w:tr>
      <w:tr w14:paraId="24BA07FB">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DF6C7E">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3</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1CAF0F">
            <w:pPr>
              <w:spacing w:before="62" w:line="220" w:lineRule="auto"/>
              <w:ind w:left="2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挖基坑土方</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4A0F6D9D">
            <w:pPr>
              <w:spacing w:before="4" w:line="210" w:lineRule="auto"/>
              <w:ind w:left="11" w:leftChars="0" w:right="29" w:righ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1.挖设备基础干土，装车，土方类别综合考虑，就近堆方用于回填</w:t>
            </w:r>
            <w:r>
              <w:rPr>
                <w:rFonts w:hint="eastAsia" w:ascii="宋体" w:hAnsi="宋体" w:cs="宋体"/>
                <w:kern w:val="0"/>
                <w:sz w:val="24"/>
                <w:szCs w:val="24"/>
                <w:highlight w:val="none"/>
                <w:lang w:val="en-US" w:eastAsia="zh-CN" w:bidi="ar-SA"/>
              </w:rPr>
              <w:t>。</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FC65FD">
            <w:pPr>
              <w:spacing w:before="62" w:line="239" w:lineRule="auto"/>
              <w:ind w:right="34"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779.83</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FA547E8">
            <w:pPr>
              <w:spacing w:before="62"/>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DCA39F">
            <w:pPr>
              <w:spacing w:before="62"/>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BE7DDB6">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1FF0F662">
            <w:pPr>
              <w:widowControl/>
              <w:jc w:val="center"/>
              <w:textAlignment w:val="center"/>
              <w:rPr>
                <w:rFonts w:ascii="宋体" w:hAnsi="宋体" w:cs="宋体"/>
                <w:color w:val="000000"/>
                <w:kern w:val="0"/>
                <w:sz w:val="24"/>
                <w:highlight w:val="none"/>
                <w:lang w:bidi="ar"/>
              </w:rPr>
            </w:pPr>
          </w:p>
        </w:tc>
      </w:tr>
      <w:tr w14:paraId="6390A395">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1BD23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4</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A64EB9">
            <w:pPr>
              <w:spacing w:before="62" w:line="220" w:lineRule="auto"/>
              <w:ind w:left="2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回填方</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50558235">
            <w:pPr>
              <w:spacing w:before="84" w:line="209" w:lineRule="auto"/>
              <w:ind w:left="2" w:right="45"/>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1.原土回填分层夯实，密实度按图纸要求 ；</w:t>
            </w:r>
          </w:p>
          <w:p w14:paraId="36CB8E8A">
            <w:pPr>
              <w:spacing w:line="223" w:lineRule="auto"/>
              <w:ind w:left="2" w:right="55" w:firstLine="9"/>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2.回填用土方调运，运距根据现场实际情况综合取定；</w:t>
            </w:r>
          </w:p>
          <w:p w14:paraId="3D859523">
            <w:pPr>
              <w:spacing w:line="218" w:lineRule="auto"/>
              <w:ind w:left="1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3.土方临时堆置场地费用自行考虑。</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53068D">
            <w:pPr>
              <w:spacing w:before="62" w:line="239" w:lineRule="auto"/>
              <w:ind w:right="30"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438.59</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6EC9E70">
            <w:pPr>
              <w:spacing w:before="62"/>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AEDEE1">
            <w:pPr>
              <w:spacing w:before="62"/>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6FB09BD3">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4114B8A7">
            <w:pPr>
              <w:widowControl/>
              <w:jc w:val="center"/>
              <w:textAlignment w:val="center"/>
              <w:rPr>
                <w:rFonts w:ascii="宋体" w:hAnsi="宋体" w:cs="宋体"/>
                <w:color w:val="000000"/>
                <w:kern w:val="0"/>
                <w:sz w:val="24"/>
                <w:highlight w:val="none"/>
                <w:lang w:bidi="ar"/>
              </w:rPr>
            </w:pPr>
          </w:p>
        </w:tc>
      </w:tr>
      <w:tr w14:paraId="41AE4C28">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61BADF">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5</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392417">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余方弃置</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55C6AFAD">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余土外运，运距根据现场实际情况综合取定。</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70268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859.84</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E9E173C">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19C5B1">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E72508C">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2FAF15E0">
            <w:pPr>
              <w:widowControl/>
              <w:jc w:val="center"/>
              <w:textAlignment w:val="center"/>
              <w:rPr>
                <w:rFonts w:ascii="宋体" w:hAnsi="宋体" w:cs="宋体"/>
                <w:color w:val="000000"/>
                <w:kern w:val="0"/>
                <w:sz w:val="24"/>
                <w:highlight w:val="none"/>
                <w:lang w:bidi="ar"/>
              </w:rPr>
            </w:pPr>
          </w:p>
        </w:tc>
      </w:tr>
      <w:tr w14:paraId="0472754B">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EC1774">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6</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42945C7">
            <w:pPr>
              <w:spacing w:before="62" w:line="219" w:lineRule="auto"/>
              <w:ind w:left="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深层搅拌桩</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1270E732">
            <w:pPr>
              <w:spacing w:before="66" w:line="218" w:lineRule="auto"/>
              <w:ind w:left="2" w:right="56"/>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1.单轴水泥搅拌桩，桩径700mm,桩长详见图纸</w:t>
            </w:r>
          </w:p>
          <w:p w14:paraId="12201277">
            <w:pPr>
              <w:spacing w:before="13" w:line="219" w:lineRule="auto"/>
              <w:ind w:left="2"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2.涌土按20%考虑</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50755B">
            <w:pPr>
              <w:spacing w:before="61" w:line="239" w:lineRule="auto"/>
              <w:ind w:right="28"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2678.00</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D214F9">
            <w:pPr>
              <w:spacing w:before="62" w:line="241"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6FC9F9">
            <w:pPr>
              <w:spacing w:before="62" w:line="241" w:lineRule="auto"/>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7D30C54E">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51B66DEA">
            <w:pPr>
              <w:widowControl/>
              <w:jc w:val="center"/>
              <w:textAlignment w:val="center"/>
              <w:rPr>
                <w:rFonts w:ascii="宋体" w:hAnsi="宋体" w:cs="宋体"/>
                <w:color w:val="000000"/>
                <w:kern w:val="0"/>
                <w:sz w:val="24"/>
                <w:highlight w:val="none"/>
                <w:lang w:bidi="ar"/>
              </w:rPr>
            </w:pPr>
          </w:p>
        </w:tc>
      </w:tr>
      <w:tr w14:paraId="2E77E293">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97EA2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7</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26C027">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截(凿)桩头</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4BA6C2A5">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凿水泥搅拌桩桩头</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FB09E8">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40.82</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017B31">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B73C0E">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22D3864E">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67633032">
            <w:pPr>
              <w:widowControl/>
              <w:jc w:val="center"/>
              <w:textAlignment w:val="center"/>
              <w:rPr>
                <w:rFonts w:ascii="宋体" w:hAnsi="宋体" w:cs="宋体"/>
                <w:color w:val="000000"/>
                <w:kern w:val="0"/>
                <w:sz w:val="24"/>
                <w:highlight w:val="none"/>
                <w:lang w:bidi="ar"/>
              </w:rPr>
            </w:pPr>
          </w:p>
        </w:tc>
      </w:tr>
      <w:tr w14:paraId="06BD7A9E">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F43530">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8</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11A107">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余方弃置</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00B07670">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凿出桩头外运，运距根据现场实际情况综合取定。</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DD326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40.82</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8C3D3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FC0D41">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32F96B2A">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5BEDE6F7">
            <w:pPr>
              <w:widowControl/>
              <w:jc w:val="center"/>
              <w:textAlignment w:val="center"/>
              <w:rPr>
                <w:rFonts w:ascii="宋体" w:hAnsi="宋体" w:cs="宋体"/>
                <w:color w:val="000000"/>
                <w:kern w:val="0"/>
                <w:sz w:val="24"/>
                <w:highlight w:val="none"/>
                <w:lang w:bidi="ar"/>
              </w:rPr>
            </w:pPr>
          </w:p>
        </w:tc>
      </w:tr>
      <w:tr w14:paraId="4519D547">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168E0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9</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B5834C">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垫层</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52452687">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300厚级配秒石将垫层，最大粒径不大于20mm,夯填度不大于0.90</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3AE88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177.03</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D592F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F7311F7">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1E771F49">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449C53B6">
            <w:pPr>
              <w:widowControl/>
              <w:jc w:val="center"/>
              <w:textAlignment w:val="center"/>
              <w:rPr>
                <w:rFonts w:ascii="宋体" w:hAnsi="宋体" w:cs="宋体"/>
                <w:color w:val="000000"/>
                <w:kern w:val="0"/>
                <w:sz w:val="24"/>
                <w:highlight w:val="none"/>
                <w:lang w:bidi="ar"/>
              </w:rPr>
            </w:pPr>
          </w:p>
        </w:tc>
      </w:tr>
      <w:tr w14:paraId="7F7847C4">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4A1A67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10</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6835E6">
            <w:pPr>
              <w:pStyle w:val="374"/>
              <w:spacing w:line="270" w:lineRule="auto"/>
              <w:jc w:val="left"/>
              <w:rPr>
                <w:rFonts w:hint="eastAsia" w:ascii="宋体" w:hAnsi="宋体" w:eastAsia="宋体" w:cs="宋体"/>
                <w:kern w:val="0"/>
                <w:sz w:val="24"/>
                <w:szCs w:val="24"/>
                <w:highlight w:val="none"/>
                <w:lang w:val="en-US" w:eastAsia="zh-CN" w:bidi="ar-SA"/>
              </w:rPr>
            </w:pPr>
          </w:p>
          <w:p w14:paraId="75F38636">
            <w:pPr>
              <w:spacing w:before="62" w:line="219" w:lineRule="auto"/>
              <w:ind w:left="1"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垫层</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1CCC4C67">
            <w:pPr>
              <w:spacing w:before="82" w:line="217" w:lineRule="auto"/>
              <w:ind w:left="2" w:firstLine="9"/>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1、混凝土种类：非泵送商品砼基础垫层</w:t>
            </w:r>
          </w:p>
          <w:p w14:paraId="33AC64E6">
            <w:pPr>
              <w:spacing w:before="4" w:line="219" w:lineRule="auto"/>
              <w:ind w:left="12" w:leftChars="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2、混凝土强度等级：C20</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AFC465">
            <w:pPr>
              <w:pStyle w:val="374"/>
              <w:spacing w:line="289" w:lineRule="auto"/>
              <w:rPr>
                <w:rFonts w:hint="eastAsia" w:ascii="宋体" w:hAnsi="宋体" w:eastAsia="宋体" w:cs="宋体"/>
                <w:kern w:val="0"/>
                <w:sz w:val="24"/>
                <w:szCs w:val="24"/>
                <w:highlight w:val="none"/>
                <w:lang w:val="en-US" w:eastAsia="zh-CN" w:bidi="ar-SA"/>
              </w:rPr>
            </w:pPr>
          </w:p>
          <w:p w14:paraId="1B4166DE">
            <w:pPr>
              <w:spacing w:before="61" w:line="239" w:lineRule="auto"/>
              <w:ind w:right="25" w:rightChars="0"/>
              <w:jc w:val="righ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47.91</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9DB6FD">
            <w:pPr>
              <w:spacing w:before="62"/>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DFEC00">
            <w:pPr>
              <w:spacing w:before="62"/>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59893DD3">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6419FE16">
            <w:pPr>
              <w:widowControl/>
              <w:jc w:val="center"/>
              <w:textAlignment w:val="center"/>
              <w:rPr>
                <w:rFonts w:ascii="宋体" w:hAnsi="宋体" w:cs="宋体"/>
                <w:color w:val="000000"/>
                <w:kern w:val="0"/>
                <w:sz w:val="24"/>
                <w:highlight w:val="none"/>
                <w:lang w:bidi="ar"/>
              </w:rPr>
            </w:pPr>
          </w:p>
        </w:tc>
      </w:tr>
      <w:tr w14:paraId="32705D95">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5760A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11</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2E5F52">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满堂基础</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3758E7CC">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1、混凝土种类：泵送商品砼满堂基础</w:t>
            </w:r>
          </w:p>
          <w:p w14:paraId="44B2F265">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2、混凝土强度等级：C30/P6</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5CE4C6">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279.98</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C2D2B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B25EEE">
            <w:pPr>
              <w:widowControl/>
              <w:spacing w:line="440" w:lineRule="exact"/>
              <w:jc w:val="both"/>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483A181">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7C239BEA">
            <w:pPr>
              <w:widowControl/>
              <w:jc w:val="center"/>
              <w:textAlignment w:val="center"/>
              <w:rPr>
                <w:rFonts w:ascii="宋体" w:hAnsi="宋体" w:cs="宋体"/>
                <w:color w:val="000000"/>
                <w:kern w:val="0"/>
                <w:sz w:val="24"/>
                <w:highlight w:val="none"/>
                <w:lang w:bidi="ar"/>
              </w:rPr>
            </w:pPr>
          </w:p>
        </w:tc>
      </w:tr>
      <w:tr w14:paraId="34EDB43E">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69093F">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12</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70520A">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直形墙</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62997A08">
            <w:pPr>
              <w:widowControl/>
              <w:spacing w:line="440" w:lineRule="exact"/>
              <w:jc w:val="left"/>
              <w:rPr>
                <w:rFonts w:hint="eastAsia" w:ascii="宋体" w:hAnsi="宋体" w:cs="宋体"/>
                <w:kern w:val="0"/>
                <w:sz w:val="24"/>
                <w:highlight w:val="none"/>
                <w:lang w:val="en-US" w:eastAsia="zh-CN"/>
              </w:rPr>
            </w:pPr>
            <w:r>
              <w:rPr>
                <w:rFonts w:hint="eastAsia" w:ascii="宋体" w:hAnsi="宋体" w:cs="宋体"/>
                <w:kern w:val="0"/>
                <w:sz w:val="24"/>
                <w:highlight w:val="none"/>
                <w:lang w:val="en-US" w:eastAsia="zh-CN"/>
              </w:rPr>
              <w:t>1、混凝土种类：泵送商品砼直形墙</w:t>
            </w:r>
          </w:p>
          <w:p w14:paraId="272D6F4B">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2、混凝土强度等级：C30/P6</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750853">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32.58</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90DEA1">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m3</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F600A2">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62C62378">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32E4842B">
            <w:pPr>
              <w:widowControl/>
              <w:jc w:val="center"/>
              <w:textAlignment w:val="center"/>
              <w:rPr>
                <w:rFonts w:ascii="宋体" w:hAnsi="宋体" w:cs="宋体"/>
                <w:color w:val="000000"/>
                <w:kern w:val="0"/>
                <w:sz w:val="24"/>
                <w:highlight w:val="none"/>
                <w:lang w:bidi="ar"/>
              </w:rPr>
            </w:pPr>
          </w:p>
        </w:tc>
      </w:tr>
      <w:tr w14:paraId="7E825D9F">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F1F4E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13</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D9CFE9">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5B45F251">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1、箍筋带肋钢筋HRB400Eφ10制作安装</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EBABB7">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2.000</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3C0A5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9421E3F">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1D1B3013">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07F8782D">
            <w:pPr>
              <w:widowControl/>
              <w:jc w:val="center"/>
              <w:textAlignment w:val="center"/>
              <w:rPr>
                <w:rFonts w:ascii="宋体" w:hAnsi="宋体" w:cs="宋体"/>
                <w:color w:val="000000"/>
                <w:kern w:val="0"/>
                <w:sz w:val="24"/>
                <w:highlight w:val="none"/>
                <w:lang w:bidi="ar"/>
              </w:rPr>
            </w:pPr>
          </w:p>
        </w:tc>
      </w:tr>
      <w:tr w14:paraId="6BAFB753">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14393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14</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5221D8">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0E325B7A">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1、箍筋带肋钢筋HRB400Eφ12制作安装</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19210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1.672</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DC61B4">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29CADC">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A5EB45D">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16368D86">
            <w:pPr>
              <w:widowControl/>
              <w:jc w:val="center"/>
              <w:textAlignment w:val="center"/>
              <w:rPr>
                <w:rFonts w:ascii="宋体" w:hAnsi="宋体" w:cs="宋体"/>
                <w:color w:val="000000"/>
                <w:kern w:val="0"/>
                <w:sz w:val="24"/>
                <w:highlight w:val="none"/>
                <w:lang w:bidi="ar"/>
              </w:rPr>
            </w:pPr>
          </w:p>
        </w:tc>
      </w:tr>
      <w:tr w14:paraId="63C1841D">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F8B24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15</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C23247">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30226FD8">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1、箍筋带肋钢筋HRB400Eφ14制作安装</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53D10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3.240</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B89DA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23C8B1">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201DB5FF">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68571CD9">
            <w:pPr>
              <w:widowControl/>
              <w:jc w:val="center"/>
              <w:textAlignment w:val="center"/>
              <w:rPr>
                <w:rFonts w:ascii="宋体" w:hAnsi="宋体" w:cs="宋体"/>
                <w:color w:val="000000"/>
                <w:kern w:val="0"/>
                <w:sz w:val="24"/>
                <w:highlight w:val="none"/>
                <w:lang w:bidi="ar"/>
              </w:rPr>
            </w:pPr>
          </w:p>
        </w:tc>
      </w:tr>
      <w:tr w14:paraId="12775819">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B55A55">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16</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90BB20">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013CFF6A">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1、热轧带肋钢筋HRB400Eφ10制作安装</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92E02C">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0.200</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EEE326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C755F2">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5CCDF3D">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1FA53A7E">
            <w:pPr>
              <w:widowControl/>
              <w:jc w:val="center"/>
              <w:textAlignment w:val="center"/>
              <w:rPr>
                <w:rFonts w:ascii="宋体" w:hAnsi="宋体" w:cs="宋体"/>
                <w:color w:val="000000"/>
                <w:kern w:val="0"/>
                <w:sz w:val="24"/>
                <w:highlight w:val="none"/>
                <w:lang w:bidi="ar"/>
              </w:rPr>
            </w:pPr>
          </w:p>
        </w:tc>
      </w:tr>
      <w:tr w14:paraId="5E3A0CB0">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C8FB61">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17</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0CC9B1">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089EB225">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1、热轧带肋钢筋HRB400Eφ12制作安装</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9E155B">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1.820</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A4C9B9">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681C5E">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D259DC7">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54C7057E">
            <w:pPr>
              <w:widowControl/>
              <w:jc w:val="center"/>
              <w:textAlignment w:val="center"/>
              <w:rPr>
                <w:rFonts w:ascii="宋体" w:hAnsi="宋体" w:cs="宋体"/>
                <w:color w:val="000000"/>
                <w:kern w:val="0"/>
                <w:sz w:val="24"/>
                <w:highlight w:val="none"/>
                <w:lang w:bidi="ar"/>
              </w:rPr>
            </w:pPr>
          </w:p>
        </w:tc>
      </w:tr>
      <w:tr w14:paraId="1E600EF0">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3CB501">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18</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4251F8">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33FD65CF">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1、热轧带肋钢筋HRB400Eφ14制作安装</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C54F38">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16.850</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C4D224">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4E73E9">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7FAFAB89">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68D97603">
            <w:pPr>
              <w:widowControl/>
              <w:jc w:val="center"/>
              <w:textAlignment w:val="center"/>
              <w:rPr>
                <w:rFonts w:ascii="宋体" w:hAnsi="宋体" w:cs="宋体"/>
                <w:color w:val="000000"/>
                <w:kern w:val="0"/>
                <w:sz w:val="24"/>
                <w:highlight w:val="none"/>
                <w:lang w:bidi="ar"/>
              </w:rPr>
            </w:pPr>
          </w:p>
        </w:tc>
      </w:tr>
      <w:tr w14:paraId="175ED92A">
        <w:tblPrEx>
          <w:tblCellMar>
            <w:top w:w="0" w:type="dxa"/>
            <w:left w:w="108" w:type="dxa"/>
            <w:bottom w:w="0" w:type="dxa"/>
            <w:right w:w="108" w:type="dxa"/>
          </w:tblCellMar>
        </w:tblPrEx>
        <w:trPr>
          <w:trHeight w:val="415"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5214FD">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19</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127215">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现浇构件钢筋</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3294D296">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1、热轧带肋钢筋HRB400Eφ18制作安装</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0661B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6.856</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A8C64A">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t</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9E811B">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87E0572">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409E0BFC">
            <w:pPr>
              <w:widowControl/>
              <w:jc w:val="center"/>
              <w:textAlignment w:val="center"/>
              <w:rPr>
                <w:rFonts w:ascii="宋体" w:hAnsi="宋体" w:cs="宋体"/>
                <w:color w:val="000000"/>
                <w:kern w:val="0"/>
                <w:sz w:val="24"/>
                <w:highlight w:val="none"/>
                <w:lang w:bidi="ar"/>
              </w:rPr>
            </w:pPr>
          </w:p>
        </w:tc>
      </w:tr>
      <w:tr w14:paraId="5CA23B71">
        <w:tblPrEx>
          <w:tblCellMar>
            <w:top w:w="0" w:type="dxa"/>
            <w:left w:w="108" w:type="dxa"/>
            <w:bottom w:w="0" w:type="dxa"/>
            <w:right w:w="108" w:type="dxa"/>
          </w:tblCellMar>
        </w:tblPrEx>
        <w:trPr>
          <w:trHeight w:val="414" w:hRule="atLeast"/>
        </w:trPr>
        <w:tc>
          <w:tcPr>
            <w:tcW w:w="32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E32F23">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20</w:t>
            </w:r>
          </w:p>
        </w:tc>
        <w:tc>
          <w:tcPr>
            <w:tcW w:w="81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2F88395">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套管制作安装</w:t>
            </w:r>
          </w:p>
        </w:tc>
        <w:tc>
          <w:tcPr>
            <w:tcW w:w="2223" w:type="pct"/>
            <w:tcBorders>
              <w:top w:val="single" w:color="auto" w:sz="4" w:space="0"/>
              <w:left w:val="single" w:color="auto" w:sz="4" w:space="0"/>
              <w:bottom w:val="single" w:color="auto" w:sz="4" w:space="0"/>
              <w:right w:val="single" w:color="auto" w:sz="4" w:space="0"/>
            </w:tcBorders>
            <w:shd w:val="clear" w:color="auto" w:fill="auto"/>
            <w:vAlign w:val="center"/>
          </w:tcPr>
          <w:p w14:paraId="66606ABE">
            <w:pPr>
              <w:widowControl/>
              <w:spacing w:line="440" w:lineRule="exact"/>
              <w:jc w:val="left"/>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1.集水坑侧壁预埋DN600套管</w:t>
            </w:r>
          </w:p>
        </w:tc>
        <w:tc>
          <w:tcPr>
            <w:tcW w:w="10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7F2872">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1</w:t>
            </w:r>
          </w:p>
        </w:tc>
        <w:tc>
          <w:tcPr>
            <w:tcW w:w="2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4D7F29">
            <w:pPr>
              <w:widowControl/>
              <w:spacing w:line="440" w:lineRule="exact"/>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lang w:val="en-US" w:eastAsia="zh-CN"/>
              </w:rPr>
              <w:t>个</w:t>
            </w:r>
          </w:p>
        </w:tc>
        <w:tc>
          <w:tcPr>
            <w:tcW w:w="20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E49E5D">
            <w:pPr>
              <w:widowControl/>
              <w:spacing w:line="440" w:lineRule="exact"/>
              <w:jc w:val="center"/>
              <w:rPr>
                <w:rFonts w:hint="eastAsia" w:ascii="宋体" w:hAnsi="宋体" w:eastAsia="宋体" w:cs="宋体"/>
                <w:kern w:val="0"/>
                <w:sz w:val="24"/>
                <w:szCs w:val="24"/>
                <w:highlight w:val="none"/>
                <w:lang w:val="en-US" w:eastAsia="zh-CN" w:bidi="ar-SA"/>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E15EF43">
            <w:pPr>
              <w:widowControl/>
              <w:jc w:val="center"/>
              <w:textAlignment w:val="center"/>
              <w:rPr>
                <w:rFonts w:ascii="宋体" w:hAnsi="宋体" w:cs="宋体"/>
                <w:color w:val="000000"/>
                <w:kern w:val="0"/>
                <w:sz w:val="24"/>
                <w:highlight w:val="none"/>
                <w:lang w:bidi="ar"/>
              </w:rPr>
            </w:pPr>
          </w:p>
        </w:tc>
        <w:tc>
          <w:tcPr>
            <w:tcW w:w="327" w:type="pct"/>
            <w:tcBorders>
              <w:top w:val="single" w:color="auto" w:sz="4" w:space="0"/>
              <w:left w:val="single" w:color="auto" w:sz="4" w:space="0"/>
              <w:bottom w:val="single" w:color="auto" w:sz="4" w:space="0"/>
              <w:right w:val="single" w:color="auto" w:sz="4" w:space="0"/>
            </w:tcBorders>
            <w:noWrap/>
            <w:vAlign w:val="center"/>
          </w:tcPr>
          <w:p w14:paraId="269BF97E">
            <w:pPr>
              <w:widowControl/>
              <w:jc w:val="center"/>
              <w:textAlignment w:val="center"/>
              <w:rPr>
                <w:rFonts w:ascii="宋体" w:hAnsi="宋体" w:cs="宋体"/>
                <w:color w:val="000000"/>
                <w:kern w:val="0"/>
                <w:sz w:val="24"/>
                <w:highlight w:val="none"/>
                <w:lang w:bidi="ar"/>
              </w:rPr>
            </w:pPr>
          </w:p>
        </w:tc>
      </w:tr>
      <w:tr w14:paraId="5F3C68E6">
        <w:tblPrEx>
          <w:tblCellMar>
            <w:top w:w="0" w:type="dxa"/>
            <w:left w:w="108" w:type="dxa"/>
            <w:bottom w:w="0" w:type="dxa"/>
            <w:right w:w="108" w:type="dxa"/>
          </w:tblCellMar>
        </w:tblPrEx>
        <w:trPr>
          <w:trHeight w:val="665" w:hRule="atLeast"/>
        </w:trPr>
        <w:tc>
          <w:tcPr>
            <w:tcW w:w="1144" w:type="pct"/>
            <w:gridSpan w:val="2"/>
            <w:tcBorders>
              <w:top w:val="single" w:color="auto" w:sz="4" w:space="0"/>
              <w:left w:val="single" w:color="auto" w:sz="4" w:space="0"/>
              <w:bottom w:val="single" w:color="auto" w:sz="4" w:space="0"/>
              <w:right w:val="single" w:color="auto" w:sz="4" w:space="0"/>
            </w:tcBorders>
            <w:noWrap/>
            <w:vAlign w:val="center"/>
          </w:tcPr>
          <w:p w14:paraId="7305DD0A">
            <w:pPr>
              <w:widowControl/>
              <w:spacing w:line="440" w:lineRule="exact"/>
              <w:jc w:val="left"/>
              <w:rPr>
                <w:rFonts w:ascii="宋体" w:hAnsi="宋体" w:cs="宋体"/>
                <w:kern w:val="0"/>
                <w:sz w:val="24"/>
                <w:highlight w:val="none"/>
              </w:rPr>
            </w:pPr>
            <w:r>
              <w:rPr>
                <w:rFonts w:hint="eastAsia" w:ascii="宋体" w:hAnsi="宋体" w:cs="宋体"/>
                <w:kern w:val="0"/>
                <w:sz w:val="24"/>
                <w:highlight w:val="none"/>
              </w:rPr>
              <w:t>合计</w:t>
            </w:r>
          </w:p>
        </w:tc>
        <w:tc>
          <w:tcPr>
            <w:tcW w:w="3855" w:type="pct"/>
            <w:gridSpan w:val="6"/>
            <w:tcBorders>
              <w:top w:val="single" w:color="auto" w:sz="4" w:space="0"/>
              <w:left w:val="nil"/>
              <w:bottom w:val="single" w:color="auto" w:sz="4" w:space="0"/>
              <w:right w:val="single" w:color="auto" w:sz="4" w:space="0"/>
            </w:tcBorders>
            <w:vAlign w:val="center"/>
          </w:tcPr>
          <w:p w14:paraId="680A0351">
            <w:pPr>
              <w:widowControl/>
              <w:textAlignment w:val="center"/>
              <w:rPr>
                <w:rFonts w:ascii="宋体" w:hAnsi="宋体" w:cs="宋体"/>
                <w:color w:val="000000"/>
                <w:kern w:val="0"/>
                <w:sz w:val="24"/>
                <w:highlight w:val="none"/>
                <w:lang w:bidi="ar"/>
              </w:rPr>
            </w:pPr>
            <w:r>
              <w:rPr>
                <w:rFonts w:hint="eastAsia" w:ascii="宋体" w:hAnsi="宋体" w:cs="宋体"/>
                <w:color w:val="000000"/>
                <w:kern w:val="0"/>
                <w:sz w:val="24"/>
                <w:highlight w:val="none"/>
                <w:lang w:bidi="ar"/>
              </w:rPr>
              <w:t>大写：                    小写：</w:t>
            </w:r>
          </w:p>
        </w:tc>
      </w:tr>
    </w:tbl>
    <w:p w14:paraId="260181D9">
      <w:pPr>
        <w:keepNext w:val="0"/>
        <w:keepLines w:val="0"/>
        <w:pageBreakBefore w:val="0"/>
        <w:widowControl w:val="0"/>
        <w:kinsoku/>
        <w:wordWrap/>
        <w:overflowPunct/>
        <w:topLinePunct w:val="0"/>
        <w:autoSpaceDE/>
        <w:autoSpaceDN/>
        <w:bidi w:val="0"/>
        <w:adjustRightInd/>
        <w:snapToGrid w:val="0"/>
        <w:spacing w:before="50" w:after="50" w:line="44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b w:val="0"/>
          <w:bCs w:val="0"/>
          <w:highlight w:val="none"/>
        </w:rPr>
        <w:t xml:space="preserve"> </w:t>
      </w: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报价一</w:t>
      </w:r>
      <w:r>
        <w:rPr>
          <w:rFonts w:hint="eastAsia" w:ascii="宋体" w:hAnsi="宋体" w:eastAsia="宋体" w:cs="宋体"/>
          <w:color w:val="auto"/>
          <w:sz w:val="24"/>
          <w:szCs w:val="24"/>
          <w:highlight w:val="none"/>
          <w:lang w:val="en-US" w:eastAsia="zh-CN"/>
        </w:rPr>
        <w:t>经涂改，应在涂改处加盖单位公章或者由法定代表人签字或盖章或授权委托人签字或盖章。</w:t>
      </w:r>
    </w:p>
    <w:p w14:paraId="5EA4549F">
      <w:pPr>
        <w:pStyle w:val="21"/>
        <w:keepNext w:val="0"/>
        <w:keepLines w:val="0"/>
        <w:pageBreakBefore w:val="0"/>
        <w:widowControl w:val="0"/>
        <w:numPr>
          <w:ilvl w:val="0"/>
          <w:numId w:val="0"/>
        </w:numPr>
        <w:kinsoku/>
        <w:wordWrap/>
        <w:overflowPunct/>
        <w:topLinePunct w:val="0"/>
        <w:autoSpaceDE/>
        <w:autoSpaceDN/>
        <w:bidi w:val="0"/>
        <w:adjustRightInd/>
        <w:snapToGrid w:val="0"/>
        <w:spacing w:line="440" w:lineRule="exact"/>
        <w:textAlignment w:val="auto"/>
        <w:rPr>
          <w:rFonts w:hint="eastAsia" w:ascii="宋体" w:hAnsi="宋体" w:eastAsia="宋体" w:cs="宋体"/>
          <w:b w:val="0"/>
          <w:bCs w:val="0"/>
          <w:highlight w:val="none"/>
          <w:lang w:val="en-US" w:eastAsia="zh-CN"/>
        </w:rPr>
      </w:pPr>
      <w:r>
        <w:rPr>
          <w:rFonts w:hint="eastAsia" w:ascii="宋体" w:hAnsi="宋体" w:eastAsia="宋体" w:cs="宋体"/>
          <w:b w:val="0"/>
          <w:color w:val="auto"/>
          <w:sz w:val="24"/>
          <w:szCs w:val="24"/>
          <w:highlight w:val="none"/>
          <w:lang w:val="en-US" w:eastAsia="zh-CN"/>
        </w:rPr>
        <w:t>2、</w:t>
      </w:r>
      <w:r>
        <w:rPr>
          <w:rFonts w:hint="eastAsia" w:ascii="宋体" w:hAnsi="宋体" w:eastAsia="宋体" w:cs="宋体"/>
          <w:b w:val="0"/>
          <w:color w:val="auto"/>
          <w:sz w:val="24"/>
          <w:szCs w:val="24"/>
          <w:highlight w:val="none"/>
          <w:lang w:eastAsia="zh-CN"/>
        </w:rPr>
        <w:t>最终结算</w:t>
      </w:r>
      <w:r>
        <w:rPr>
          <w:rFonts w:hint="eastAsia" w:ascii="宋体" w:hAnsi="宋体" w:eastAsia="宋体" w:cs="宋体"/>
          <w:b w:val="0"/>
          <w:color w:val="auto"/>
          <w:sz w:val="24"/>
          <w:szCs w:val="24"/>
          <w:highlight w:val="none"/>
        </w:rPr>
        <w:t>按实际发生的工作内容和工作量结算</w:t>
      </w:r>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lang w:val="en-US" w:eastAsia="zh-CN"/>
        </w:rPr>
        <w:t>投标时</w:t>
      </w:r>
      <w:r>
        <w:rPr>
          <w:rFonts w:hint="eastAsia" w:ascii="宋体" w:hAnsi="宋体" w:eastAsia="宋体" w:cs="宋体"/>
          <w:b w:val="0"/>
          <w:color w:val="auto"/>
          <w:sz w:val="24"/>
          <w:szCs w:val="24"/>
          <w:highlight w:val="none"/>
          <w:lang w:eastAsia="zh-CN"/>
        </w:rPr>
        <w:t>数量按照招标文件提供的数量报价，不得增减；清单未列入的视为已考虑在内，结算时，不在另行增加。</w:t>
      </w:r>
    </w:p>
    <w:p w14:paraId="5EA641F3">
      <w:pPr>
        <w:pStyle w:val="21"/>
        <w:keepNext w:val="0"/>
        <w:keepLines w:val="0"/>
        <w:pageBreakBefore w:val="0"/>
        <w:widowControl w:val="0"/>
        <w:numPr>
          <w:ilvl w:val="0"/>
          <w:numId w:val="0"/>
        </w:numPr>
        <w:kinsoku/>
        <w:wordWrap/>
        <w:overflowPunct/>
        <w:topLinePunct w:val="0"/>
        <w:autoSpaceDE/>
        <w:autoSpaceDN/>
        <w:bidi w:val="0"/>
        <w:adjustRightInd/>
        <w:snapToGrid w:val="0"/>
        <w:spacing w:line="440" w:lineRule="exact"/>
        <w:textAlignment w:val="auto"/>
        <w:rPr>
          <w:rFonts w:hint="eastAsia"/>
          <w:b w:val="0"/>
          <w:bCs w:val="0"/>
          <w:highlight w:val="none"/>
          <w:lang w:val="en-US" w:eastAsia="zh-CN"/>
        </w:rPr>
      </w:pPr>
      <w:r>
        <w:rPr>
          <w:rFonts w:hint="eastAsia" w:ascii="宋体" w:hAnsi="宋体" w:eastAsia="宋体" w:cs="宋体"/>
          <w:b w:val="0"/>
          <w:bCs w:val="0"/>
          <w:highlight w:val="none"/>
          <w:lang w:val="en-US" w:eastAsia="zh-CN"/>
        </w:rPr>
        <w:t>3、投标人的报价应包含人工、材料、辅料、设备、运输、装卸、安装、机械、二次搬运、产品保护、水电费、上位机开发费用（含上位机画面、数据库、报表等）、调试、措施费、综合管理、售后服务、保险、规费、利润、税金、风险费及其他工程费等一切费用。</w:t>
      </w:r>
    </w:p>
    <w:p w14:paraId="6F14404F">
      <w:pPr>
        <w:snapToGrid w:val="0"/>
        <w:spacing w:before="50" w:after="120" w:afterLines="50" w:line="440" w:lineRule="exact"/>
        <w:rPr>
          <w:rFonts w:ascii="宋体" w:hAnsi="宋体" w:cs="宋体"/>
          <w:b/>
          <w:spacing w:val="20"/>
          <w:sz w:val="24"/>
          <w:highlight w:val="none"/>
        </w:rPr>
      </w:pPr>
      <w:r>
        <w:rPr>
          <w:rFonts w:hint="eastAsia" w:ascii="宋体" w:hAnsi="宋体" w:cs="宋体"/>
          <w:b/>
          <w:spacing w:val="20"/>
          <w:sz w:val="24"/>
          <w:highlight w:val="none"/>
        </w:rPr>
        <w:t xml:space="preserve">法定代表人签字（或盖章）：            </w:t>
      </w:r>
      <w:r>
        <w:rPr>
          <w:rFonts w:hint="eastAsia" w:ascii="宋体" w:hAnsi="宋体" w:cs="宋体"/>
          <w:b/>
          <w:spacing w:val="20"/>
          <w:sz w:val="24"/>
          <w:highlight w:val="none"/>
          <w:lang w:val="en-US" w:eastAsia="zh-CN"/>
        </w:rPr>
        <w:t>投标人</w:t>
      </w:r>
      <w:r>
        <w:rPr>
          <w:rFonts w:hint="eastAsia" w:ascii="宋体" w:hAnsi="宋体" w:cs="宋体"/>
          <w:b/>
          <w:spacing w:val="20"/>
          <w:sz w:val="24"/>
          <w:highlight w:val="none"/>
        </w:rPr>
        <w:t>（盖章）：</w:t>
      </w:r>
    </w:p>
    <w:p w14:paraId="6D71A279">
      <w:pPr>
        <w:snapToGrid w:val="0"/>
        <w:spacing w:before="50" w:after="50" w:line="440" w:lineRule="exact"/>
        <w:rPr>
          <w:rFonts w:hint="eastAsia"/>
          <w:b w:val="0"/>
          <w:bCs w:val="0"/>
          <w:highlight w:val="none"/>
          <w:lang w:val="en-US" w:eastAsia="zh-CN"/>
        </w:rPr>
      </w:pPr>
      <w:r>
        <w:rPr>
          <w:rFonts w:hint="eastAsia" w:ascii="宋体" w:hAnsi="宋体" w:cs="宋体"/>
          <w:b/>
          <w:spacing w:val="20"/>
          <w:sz w:val="24"/>
          <w:highlight w:val="none"/>
        </w:rPr>
        <w:t>日期：  _____年___月___日</w:t>
      </w:r>
    </w:p>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4DC9E85-7126-47A4-AB4C-925F1BC999AE}"/>
  </w:font>
  <w:font w:name="黑体">
    <w:panose1 w:val="02010609060101010101"/>
    <w:charset w:val="86"/>
    <w:family w:val="auto"/>
    <w:pitch w:val="default"/>
    <w:sig w:usb0="800002BF" w:usb1="38CF7CFA" w:usb2="00000016" w:usb3="00000000" w:csb0="00040001" w:csb1="00000000"/>
    <w:embedRegular r:id="rId2" w:fontKey="{06B32FB8-F60D-44B1-A2B8-D227B124DB9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embedRegular r:id="rId3" w:fontKey="{B66AAF55-1F5A-4734-8AAD-87D558CBE2ED}"/>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4" w:fontKey="{80017620-1E9B-466A-ABF0-51A9A8C7E0A7}"/>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003F01FF" w:csb1="00000000"/>
  </w:font>
  <w:font w:name="Swis721 Lt BT">
    <w:altName w:val="Yu Gothic UI Semilight"/>
    <w:panose1 w:val="020B0403020202020204"/>
    <w:charset w:val="00"/>
    <w:family w:val="swiss"/>
    <w:pitch w:val="default"/>
    <w:sig w:usb0="00000000" w:usb1="00000000" w:usb2="00000000" w:usb3="00000000" w:csb0="0000001B"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宋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embedRegular r:id="rId5" w:fontKey="{35673596-CC50-4BE0-AA3D-1A2396BFBC71}"/>
  </w:font>
  <w:font w:name="华文仿宋">
    <w:panose1 w:val="02010600040101010101"/>
    <w:charset w:val="86"/>
    <w:family w:val="auto"/>
    <w:pitch w:val="default"/>
    <w:sig w:usb0="00000287" w:usb1="080F0000" w:usb2="00000000" w:usb3="00000000" w:csb0="0004009F" w:csb1="DFD70000"/>
    <w:embedRegular r:id="rId6" w:fontKey="{10D4E98E-5D51-41EB-8144-0127B46D2A9A}"/>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76984">
    <w:pPr>
      <w:pStyle w:val="35"/>
      <w:jc w:val="right"/>
    </w:pPr>
  </w:p>
  <w:p w14:paraId="78416A86">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3E519">
    <w:pPr>
      <w:pStyle w:val="35"/>
      <w:framePr w:wrap="around" w:vAnchor="text" w:hAnchor="margin" w:xAlign="right" w:y="1"/>
      <w:rPr>
        <w:rStyle w:val="56"/>
      </w:rPr>
    </w:pPr>
    <w:r>
      <w:fldChar w:fldCharType="begin"/>
    </w:r>
    <w:r>
      <w:rPr>
        <w:rStyle w:val="56"/>
      </w:rPr>
      <w:instrText xml:space="preserve">PAGE  </w:instrText>
    </w:r>
    <w:r>
      <w:fldChar w:fldCharType="end"/>
    </w:r>
  </w:p>
  <w:p w14:paraId="356DC0FB">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78279">
    <w:pPr>
      <w:pStyle w:val="35"/>
      <w:jc w:val="right"/>
    </w:pPr>
  </w:p>
  <w:p w14:paraId="122ACCCB">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4C886">
    <w:pPr>
      <w:snapToGrid w:val="0"/>
      <w:ind w:right="360"/>
      <w:jc w:val="left"/>
      <w:rPr>
        <w:rFonts w:eastAsia="黑体"/>
        <w:kern w:val="0"/>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C2E14F">
                          <w:pPr>
                            <w:pStyle w:val="3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BC2E14F">
                    <w:pPr>
                      <w:pStyle w:val="3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3F7A8">
    <w:pPr>
      <w:pStyle w:val="3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874A99">
                          <w:pPr>
                            <w:pStyle w:val="35"/>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43874A99">
                    <w:pPr>
                      <w:pStyle w:val="3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53456">
    <w:pPr>
      <w:pStyle w:val="35"/>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2CC3D8">
                          <w:pPr>
                            <w:pStyle w:val="3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4E2CC3D8">
                    <w:pPr>
                      <w:pStyle w:val="3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355D7">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1BC27299">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8FC7B">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4550B">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F912B4"/>
    <w:multiLevelType w:val="singleLevel"/>
    <w:tmpl w:val="E6F912B4"/>
    <w:lvl w:ilvl="0" w:tentative="0">
      <w:start w:val="1"/>
      <w:numFmt w:val="chineseCounting"/>
      <w:suff w:val="nothing"/>
      <w:lvlText w:val="%1、"/>
      <w:lvlJc w:val="left"/>
      <w:rPr>
        <w:rFonts w:hint="eastAsia"/>
      </w:r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19D14DF6"/>
    <w:multiLevelType w:val="singleLevel"/>
    <w:tmpl w:val="19D14DF6"/>
    <w:lvl w:ilvl="0" w:tentative="0">
      <w:start w:val="13"/>
      <w:numFmt w:val="decimal"/>
      <w:suff w:val="nothing"/>
      <w:lvlText w:val="%1、"/>
      <w:lvlJc w:val="left"/>
    </w:lvl>
  </w:abstractNum>
  <w:abstractNum w:abstractNumId="6">
    <w:nsid w:val="49D4FC5A"/>
    <w:multiLevelType w:val="singleLevel"/>
    <w:tmpl w:val="49D4FC5A"/>
    <w:lvl w:ilvl="0" w:tentative="0">
      <w:start w:val="1"/>
      <w:numFmt w:val="decimal"/>
      <w:lvlText w:val="%1."/>
      <w:lvlJc w:val="left"/>
      <w:pPr>
        <w:tabs>
          <w:tab w:val="left" w:pos="312"/>
        </w:tabs>
      </w:pPr>
    </w:lvl>
  </w:abstractNum>
  <w:num w:numId="1">
    <w:abstractNumId w:val="3"/>
  </w:num>
  <w:num w:numId="2">
    <w:abstractNumId w:val="1"/>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2"/>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mZDg5NDBmODU4ZTIyN2NlYzQwMWZmOTcwZjJhM2Q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54A2"/>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6CEF"/>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166A"/>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37"/>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1F96"/>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5BBB"/>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2C18"/>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9FC"/>
    <w:rsid w:val="00490D34"/>
    <w:rsid w:val="00490F0C"/>
    <w:rsid w:val="00490FEB"/>
    <w:rsid w:val="00491C8A"/>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2FD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1CF"/>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016"/>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754"/>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2A3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069"/>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45F9"/>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50B"/>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D7D3C"/>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049"/>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47E7E"/>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7E2"/>
    <w:rsid w:val="00A74EB2"/>
    <w:rsid w:val="00A74F0C"/>
    <w:rsid w:val="00A757CD"/>
    <w:rsid w:val="00A75A5A"/>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6E0B"/>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EDA"/>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6322"/>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2A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2CE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C7D04"/>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3C246A"/>
    <w:rsid w:val="018819F8"/>
    <w:rsid w:val="01A819DB"/>
    <w:rsid w:val="01D717C3"/>
    <w:rsid w:val="028D7421"/>
    <w:rsid w:val="02900CBF"/>
    <w:rsid w:val="02A05D72"/>
    <w:rsid w:val="02D63C01"/>
    <w:rsid w:val="03A03184"/>
    <w:rsid w:val="03FF6272"/>
    <w:rsid w:val="042E05E9"/>
    <w:rsid w:val="048D195A"/>
    <w:rsid w:val="04FF037E"/>
    <w:rsid w:val="054D733B"/>
    <w:rsid w:val="05570C31"/>
    <w:rsid w:val="05A94843"/>
    <w:rsid w:val="05B80C59"/>
    <w:rsid w:val="05F132AE"/>
    <w:rsid w:val="05FE23E4"/>
    <w:rsid w:val="06190FCC"/>
    <w:rsid w:val="072A7934"/>
    <w:rsid w:val="07341146"/>
    <w:rsid w:val="077C5CB6"/>
    <w:rsid w:val="08057A5A"/>
    <w:rsid w:val="081A0E00"/>
    <w:rsid w:val="09041F23"/>
    <w:rsid w:val="092760BD"/>
    <w:rsid w:val="093C74AB"/>
    <w:rsid w:val="09CB4CD3"/>
    <w:rsid w:val="09E71B0D"/>
    <w:rsid w:val="0A014251"/>
    <w:rsid w:val="0A0C2E9C"/>
    <w:rsid w:val="0A81021C"/>
    <w:rsid w:val="0AC7170A"/>
    <w:rsid w:val="0AF92FFD"/>
    <w:rsid w:val="0B093D05"/>
    <w:rsid w:val="0B2509F6"/>
    <w:rsid w:val="0B492353"/>
    <w:rsid w:val="0BDB6711"/>
    <w:rsid w:val="0C2C32DA"/>
    <w:rsid w:val="0C476CDF"/>
    <w:rsid w:val="0C4E2658"/>
    <w:rsid w:val="0CBD0903"/>
    <w:rsid w:val="0D140B37"/>
    <w:rsid w:val="0D611BD6"/>
    <w:rsid w:val="0DA10224"/>
    <w:rsid w:val="0DA61673"/>
    <w:rsid w:val="0EAB3CCD"/>
    <w:rsid w:val="0ED87D67"/>
    <w:rsid w:val="0EE15B77"/>
    <w:rsid w:val="0F1F19FA"/>
    <w:rsid w:val="0F3F1AA3"/>
    <w:rsid w:val="0F4E1B75"/>
    <w:rsid w:val="0F7A3A4E"/>
    <w:rsid w:val="0F931DEF"/>
    <w:rsid w:val="0FB155D7"/>
    <w:rsid w:val="101D0397"/>
    <w:rsid w:val="101E5B5C"/>
    <w:rsid w:val="104F3F68"/>
    <w:rsid w:val="105A7CF8"/>
    <w:rsid w:val="10EB0324"/>
    <w:rsid w:val="112C7AF5"/>
    <w:rsid w:val="11E5626B"/>
    <w:rsid w:val="11E9219A"/>
    <w:rsid w:val="121216F1"/>
    <w:rsid w:val="12185FA1"/>
    <w:rsid w:val="122338FE"/>
    <w:rsid w:val="12266F4A"/>
    <w:rsid w:val="12DB5F87"/>
    <w:rsid w:val="12FC7CAB"/>
    <w:rsid w:val="134C4AD5"/>
    <w:rsid w:val="136E3146"/>
    <w:rsid w:val="139E738B"/>
    <w:rsid w:val="13D84274"/>
    <w:rsid w:val="13E16B2F"/>
    <w:rsid w:val="141C6857"/>
    <w:rsid w:val="142E658A"/>
    <w:rsid w:val="143F0797"/>
    <w:rsid w:val="144C7353"/>
    <w:rsid w:val="14773A8D"/>
    <w:rsid w:val="147A532B"/>
    <w:rsid w:val="14926B19"/>
    <w:rsid w:val="152564B7"/>
    <w:rsid w:val="154F0566"/>
    <w:rsid w:val="16257519"/>
    <w:rsid w:val="168406E3"/>
    <w:rsid w:val="16BF34C9"/>
    <w:rsid w:val="17575DF8"/>
    <w:rsid w:val="178169D1"/>
    <w:rsid w:val="17AE3C6A"/>
    <w:rsid w:val="17E05DED"/>
    <w:rsid w:val="17E51656"/>
    <w:rsid w:val="181D2B9D"/>
    <w:rsid w:val="188E75F7"/>
    <w:rsid w:val="18924A5A"/>
    <w:rsid w:val="189E6FDE"/>
    <w:rsid w:val="19A215AC"/>
    <w:rsid w:val="19A73AF9"/>
    <w:rsid w:val="1A0D25AF"/>
    <w:rsid w:val="1A6B28FD"/>
    <w:rsid w:val="1AA32570"/>
    <w:rsid w:val="1AA84695"/>
    <w:rsid w:val="1AC612CA"/>
    <w:rsid w:val="1AC94917"/>
    <w:rsid w:val="1B192484"/>
    <w:rsid w:val="1B581B76"/>
    <w:rsid w:val="1B754A9E"/>
    <w:rsid w:val="1BB13D28"/>
    <w:rsid w:val="1BB46B4E"/>
    <w:rsid w:val="1BF73705"/>
    <w:rsid w:val="1BF956CF"/>
    <w:rsid w:val="1C3E4704"/>
    <w:rsid w:val="1C516087"/>
    <w:rsid w:val="1C551074"/>
    <w:rsid w:val="1C960F7B"/>
    <w:rsid w:val="1CC34FA1"/>
    <w:rsid w:val="1CE1063D"/>
    <w:rsid w:val="1D1327C1"/>
    <w:rsid w:val="1D651A4C"/>
    <w:rsid w:val="1D7F002D"/>
    <w:rsid w:val="1D935D50"/>
    <w:rsid w:val="1DA8115B"/>
    <w:rsid w:val="1DB765D0"/>
    <w:rsid w:val="1DBB0E8E"/>
    <w:rsid w:val="1DCA09C2"/>
    <w:rsid w:val="1DEC6CC2"/>
    <w:rsid w:val="1DF779ED"/>
    <w:rsid w:val="1E58492F"/>
    <w:rsid w:val="1E5F6569"/>
    <w:rsid w:val="1EDF44F4"/>
    <w:rsid w:val="1F070103"/>
    <w:rsid w:val="1F42113B"/>
    <w:rsid w:val="1F5E479D"/>
    <w:rsid w:val="1F9049FF"/>
    <w:rsid w:val="1FD34ADE"/>
    <w:rsid w:val="1FEB076F"/>
    <w:rsid w:val="1FEE2C02"/>
    <w:rsid w:val="205A00D9"/>
    <w:rsid w:val="20B224FC"/>
    <w:rsid w:val="20C22534"/>
    <w:rsid w:val="2120285A"/>
    <w:rsid w:val="212A2C33"/>
    <w:rsid w:val="21A12149"/>
    <w:rsid w:val="21D76010"/>
    <w:rsid w:val="220307A9"/>
    <w:rsid w:val="220F17A9"/>
    <w:rsid w:val="222409A4"/>
    <w:rsid w:val="22904F3D"/>
    <w:rsid w:val="22AB790B"/>
    <w:rsid w:val="22E65BCC"/>
    <w:rsid w:val="232A3BB5"/>
    <w:rsid w:val="233858F3"/>
    <w:rsid w:val="233E43F8"/>
    <w:rsid w:val="235B024D"/>
    <w:rsid w:val="23696C97"/>
    <w:rsid w:val="238C5C8C"/>
    <w:rsid w:val="23B64327"/>
    <w:rsid w:val="23BD6FE3"/>
    <w:rsid w:val="23D902C0"/>
    <w:rsid w:val="24446A71"/>
    <w:rsid w:val="24612AB0"/>
    <w:rsid w:val="247E154C"/>
    <w:rsid w:val="24C83E91"/>
    <w:rsid w:val="24FB6AC3"/>
    <w:rsid w:val="25485BB9"/>
    <w:rsid w:val="25627E42"/>
    <w:rsid w:val="25973F8F"/>
    <w:rsid w:val="25C66622"/>
    <w:rsid w:val="25D32AED"/>
    <w:rsid w:val="264B4D7A"/>
    <w:rsid w:val="266D6A9E"/>
    <w:rsid w:val="26970113"/>
    <w:rsid w:val="26A1499A"/>
    <w:rsid w:val="272C055E"/>
    <w:rsid w:val="276460F3"/>
    <w:rsid w:val="27680ACF"/>
    <w:rsid w:val="27AA0124"/>
    <w:rsid w:val="27F37477"/>
    <w:rsid w:val="27FA0D7D"/>
    <w:rsid w:val="280B25FD"/>
    <w:rsid w:val="28100029"/>
    <w:rsid w:val="283F41D5"/>
    <w:rsid w:val="284B1061"/>
    <w:rsid w:val="28E76FDC"/>
    <w:rsid w:val="290D2324"/>
    <w:rsid w:val="296A19BB"/>
    <w:rsid w:val="2970528B"/>
    <w:rsid w:val="29DA08EE"/>
    <w:rsid w:val="29DB01C2"/>
    <w:rsid w:val="29E503DA"/>
    <w:rsid w:val="2A0140CD"/>
    <w:rsid w:val="2A033781"/>
    <w:rsid w:val="2A663F30"/>
    <w:rsid w:val="2A777809"/>
    <w:rsid w:val="2A7D7F8A"/>
    <w:rsid w:val="2A81520E"/>
    <w:rsid w:val="2A9A62D0"/>
    <w:rsid w:val="2AC1560A"/>
    <w:rsid w:val="2AD46BC9"/>
    <w:rsid w:val="2B376D5B"/>
    <w:rsid w:val="2B41735E"/>
    <w:rsid w:val="2B594CD1"/>
    <w:rsid w:val="2B7B5A7B"/>
    <w:rsid w:val="2B9B51FD"/>
    <w:rsid w:val="2BA94A1C"/>
    <w:rsid w:val="2BE617CC"/>
    <w:rsid w:val="2C182496"/>
    <w:rsid w:val="2C4209CD"/>
    <w:rsid w:val="2C6824E9"/>
    <w:rsid w:val="2CBF201D"/>
    <w:rsid w:val="2CC15D95"/>
    <w:rsid w:val="2CE13D42"/>
    <w:rsid w:val="2D173C07"/>
    <w:rsid w:val="2D263E4A"/>
    <w:rsid w:val="2D7E5A35"/>
    <w:rsid w:val="2DDF4725"/>
    <w:rsid w:val="2E050196"/>
    <w:rsid w:val="2E2A30F0"/>
    <w:rsid w:val="2E2C36E3"/>
    <w:rsid w:val="2E894691"/>
    <w:rsid w:val="2EAA0E53"/>
    <w:rsid w:val="2F0E58D1"/>
    <w:rsid w:val="2F202F8D"/>
    <w:rsid w:val="2F33417F"/>
    <w:rsid w:val="2F3407C1"/>
    <w:rsid w:val="2FDB6CCC"/>
    <w:rsid w:val="2FEE3F46"/>
    <w:rsid w:val="300F0BC6"/>
    <w:rsid w:val="308C0468"/>
    <w:rsid w:val="30FB47C6"/>
    <w:rsid w:val="314E571E"/>
    <w:rsid w:val="315A0567"/>
    <w:rsid w:val="317A6513"/>
    <w:rsid w:val="317C672F"/>
    <w:rsid w:val="31FC517A"/>
    <w:rsid w:val="327F2033"/>
    <w:rsid w:val="32CC2D9E"/>
    <w:rsid w:val="331309CD"/>
    <w:rsid w:val="336B25B7"/>
    <w:rsid w:val="3372752B"/>
    <w:rsid w:val="338F23F1"/>
    <w:rsid w:val="33A36954"/>
    <w:rsid w:val="33A45AC9"/>
    <w:rsid w:val="33EB2DC4"/>
    <w:rsid w:val="340A1715"/>
    <w:rsid w:val="34D67F04"/>
    <w:rsid w:val="350031D3"/>
    <w:rsid w:val="35605EF6"/>
    <w:rsid w:val="357610E1"/>
    <w:rsid w:val="35AD5109"/>
    <w:rsid w:val="35B64D8A"/>
    <w:rsid w:val="360C62D3"/>
    <w:rsid w:val="36107446"/>
    <w:rsid w:val="36681030"/>
    <w:rsid w:val="367774C5"/>
    <w:rsid w:val="36E80182"/>
    <w:rsid w:val="370C2303"/>
    <w:rsid w:val="37697B70"/>
    <w:rsid w:val="378D4986"/>
    <w:rsid w:val="37B9780A"/>
    <w:rsid w:val="3843006F"/>
    <w:rsid w:val="386C12AB"/>
    <w:rsid w:val="388016B8"/>
    <w:rsid w:val="3885236D"/>
    <w:rsid w:val="38AE3672"/>
    <w:rsid w:val="38DD5D05"/>
    <w:rsid w:val="38F1355F"/>
    <w:rsid w:val="39AC0688"/>
    <w:rsid w:val="3A190FBF"/>
    <w:rsid w:val="3A217D68"/>
    <w:rsid w:val="3A540E29"/>
    <w:rsid w:val="3A67294A"/>
    <w:rsid w:val="3A695377"/>
    <w:rsid w:val="3A7B57D6"/>
    <w:rsid w:val="3AFF6407"/>
    <w:rsid w:val="3B3C5342"/>
    <w:rsid w:val="3BF70E8C"/>
    <w:rsid w:val="3BFF5F92"/>
    <w:rsid w:val="3C412738"/>
    <w:rsid w:val="3C4147FD"/>
    <w:rsid w:val="3CFF6EF1"/>
    <w:rsid w:val="3D103A6D"/>
    <w:rsid w:val="3D232155"/>
    <w:rsid w:val="3D9B618F"/>
    <w:rsid w:val="3DB159B2"/>
    <w:rsid w:val="3DDA2813"/>
    <w:rsid w:val="3E123C6F"/>
    <w:rsid w:val="3E6F0EB2"/>
    <w:rsid w:val="3E8A248B"/>
    <w:rsid w:val="3ED2798E"/>
    <w:rsid w:val="3ED5122D"/>
    <w:rsid w:val="3F2006FA"/>
    <w:rsid w:val="3F8C4B5D"/>
    <w:rsid w:val="3F9410E8"/>
    <w:rsid w:val="3F9603FC"/>
    <w:rsid w:val="3F9B5FD2"/>
    <w:rsid w:val="3FA532F5"/>
    <w:rsid w:val="405E2CDC"/>
    <w:rsid w:val="410858E9"/>
    <w:rsid w:val="415B010F"/>
    <w:rsid w:val="419E624E"/>
    <w:rsid w:val="41A25D3E"/>
    <w:rsid w:val="42367955"/>
    <w:rsid w:val="428C42F8"/>
    <w:rsid w:val="42997141"/>
    <w:rsid w:val="429C278D"/>
    <w:rsid w:val="42CD3359"/>
    <w:rsid w:val="42EF72DD"/>
    <w:rsid w:val="42F535F3"/>
    <w:rsid w:val="42FD6B7E"/>
    <w:rsid w:val="432509D4"/>
    <w:rsid w:val="433429C6"/>
    <w:rsid w:val="434B5F61"/>
    <w:rsid w:val="438029E5"/>
    <w:rsid w:val="43AC4C52"/>
    <w:rsid w:val="4404683C"/>
    <w:rsid w:val="441B1DD7"/>
    <w:rsid w:val="44964404"/>
    <w:rsid w:val="44D75CFE"/>
    <w:rsid w:val="44DB6B05"/>
    <w:rsid w:val="451E392D"/>
    <w:rsid w:val="452024AE"/>
    <w:rsid w:val="455E28D4"/>
    <w:rsid w:val="45752CFC"/>
    <w:rsid w:val="45FC15D9"/>
    <w:rsid w:val="4605689B"/>
    <w:rsid w:val="46517D32"/>
    <w:rsid w:val="467779B3"/>
    <w:rsid w:val="467F03FC"/>
    <w:rsid w:val="467F21AA"/>
    <w:rsid w:val="46F95763"/>
    <w:rsid w:val="472676A2"/>
    <w:rsid w:val="474B6480"/>
    <w:rsid w:val="4755115C"/>
    <w:rsid w:val="479B74B7"/>
    <w:rsid w:val="47F210A1"/>
    <w:rsid w:val="483E6094"/>
    <w:rsid w:val="48677399"/>
    <w:rsid w:val="48877A3B"/>
    <w:rsid w:val="48A028AB"/>
    <w:rsid w:val="491F2D2B"/>
    <w:rsid w:val="4948541D"/>
    <w:rsid w:val="49A563CB"/>
    <w:rsid w:val="49B616A7"/>
    <w:rsid w:val="49C7262C"/>
    <w:rsid w:val="49FE7E9D"/>
    <w:rsid w:val="4A4E6A63"/>
    <w:rsid w:val="4A98367F"/>
    <w:rsid w:val="4B4B2FA2"/>
    <w:rsid w:val="4B5064C4"/>
    <w:rsid w:val="4B5F07FC"/>
    <w:rsid w:val="4B6776B0"/>
    <w:rsid w:val="4BF36A46"/>
    <w:rsid w:val="4CAA3C95"/>
    <w:rsid w:val="4CD3324F"/>
    <w:rsid w:val="4CE74F4D"/>
    <w:rsid w:val="4CE94821"/>
    <w:rsid w:val="4D292E6F"/>
    <w:rsid w:val="4D3C354E"/>
    <w:rsid w:val="4D7A191D"/>
    <w:rsid w:val="4D8602C2"/>
    <w:rsid w:val="4DDA23BB"/>
    <w:rsid w:val="4DE4148C"/>
    <w:rsid w:val="4E465C3F"/>
    <w:rsid w:val="4E7520E4"/>
    <w:rsid w:val="4EA56E6D"/>
    <w:rsid w:val="4ECF5C98"/>
    <w:rsid w:val="4EFD45B3"/>
    <w:rsid w:val="4EFD5288"/>
    <w:rsid w:val="4FC30FBB"/>
    <w:rsid w:val="501E0C85"/>
    <w:rsid w:val="50760AC1"/>
    <w:rsid w:val="509B709F"/>
    <w:rsid w:val="50DF0465"/>
    <w:rsid w:val="50FA2CEF"/>
    <w:rsid w:val="510E100C"/>
    <w:rsid w:val="515D3A2F"/>
    <w:rsid w:val="516347CA"/>
    <w:rsid w:val="517930ED"/>
    <w:rsid w:val="51825244"/>
    <w:rsid w:val="51A96C75"/>
    <w:rsid w:val="522602C5"/>
    <w:rsid w:val="52292F71"/>
    <w:rsid w:val="529C5901"/>
    <w:rsid w:val="5358625C"/>
    <w:rsid w:val="53597E6E"/>
    <w:rsid w:val="535B3F9E"/>
    <w:rsid w:val="536E3CD2"/>
    <w:rsid w:val="53A0483E"/>
    <w:rsid w:val="53AF3E86"/>
    <w:rsid w:val="53C25DCC"/>
    <w:rsid w:val="5423620A"/>
    <w:rsid w:val="549A0089"/>
    <w:rsid w:val="55812D9D"/>
    <w:rsid w:val="55CC1183"/>
    <w:rsid w:val="55CC59F0"/>
    <w:rsid w:val="564A442F"/>
    <w:rsid w:val="566F5B68"/>
    <w:rsid w:val="567439A3"/>
    <w:rsid w:val="56B04287"/>
    <w:rsid w:val="56C634EA"/>
    <w:rsid w:val="56E86247"/>
    <w:rsid w:val="57405985"/>
    <w:rsid w:val="5757215D"/>
    <w:rsid w:val="578F0BB8"/>
    <w:rsid w:val="57C6377C"/>
    <w:rsid w:val="57CA34A1"/>
    <w:rsid w:val="581E3DE2"/>
    <w:rsid w:val="58296622"/>
    <w:rsid w:val="583E166D"/>
    <w:rsid w:val="585D60C3"/>
    <w:rsid w:val="58D04AE7"/>
    <w:rsid w:val="58E42340"/>
    <w:rsid w:val="59561AE4"/>
    <w:rsid w:val="598E457A"/>
    <w:rsid w:val="599C0150"/>
    <w:rsid w:val="59BD150F"/>
    <w:rsid w:val="59E17BDA"/>
    <w:rsid w:val="59F566A9"/>
    <w:rsid w:val="59FF3E39"/>
    <w:rsid w:val="5A1F7AD4"/>
    <w:rsid w:val="5A6E0A5B"/>
    <w:rsid w:val="5AAC3332"/>
    <w:rsid w:val="5B7571DA"/>
    <w:rsid w:val="5B8D6CBF"/>
    <w:rsid w:val="5B9B5880"/>
    <w:rsid w:val="5BCF552A"/>
    <w:rsid w:val="5BD743DE"/>
    <w:rsid w:val="5C630AC7"/>
    <w:rsid w:val="5C8D6B99"/>
    <w:rsid w:val="5C981DBF"/>
    <w:rsid w:val="5D303DA6"/>
    <w:rsid w:val="5D8B36D2"/>
    <w:rsid w:val="5D8B5480"/>
    <w:rsid w:val="5DAF0D3C"/>
    <w:rsid w:val="5DDE1391"/>
    <w:rsid w:val="5F131888"/>
    <w:rsid w:val="5F9A775B"/>
    <w:rsid w:val="5FC66CD9"/>
    <w:rsid w:val="60237BF2"/>
    <w:rsid w:val="602776E2"/>
    <w:rsid w:val="602D770F"/>
    <w:rsid w:val="60341DFF"/>
    <w:rsid w:val="60C874D3"/>
    <w:rsid w:val="61300818"/>
    <w:rsid w:val="61ED495B"/>
    <w:rsid w:val="61F84B2E"/>
    <w:rsid w:val="625E4788"/>
    <w:rsid w:val="62724E61"/>
    <w:rsid w:val="627D7A8D"/>
    <w:rsid w:val="62946B85"/>
    <w:rsid w:val="62AE4F84"/>
    <w:rsid w:val="62CC58A4"/>
    <w:rsid w:val="62F45876"/>
    <w:rsid w:val="635B7B66"/>
    <w:rsid w:val="63BC0104"/>
    <w:rsid w:val="63FD6D48"/>
    <w:rsid w:val="640D306A"/>
    <w:rsid w:val="64202DC6"/>
    <w:rsid w:val="642B176B"/>
    <w:rsid w:val="64AD2CE9"/>
    <w:rsid w:val="64E536C8"/>
    <w:rsid w:val="64F7641F"/>
    <w:rsid w:val="65092451"/>
    <w:rsid w:val="65206C7A"/>
    <w:rsid w:val="653F75B2"/>
    <w:rsid w:val="65876FD5"/>
    <w:rsid w:val="65B0017A"/>
    <w:rsid w:val="65BF6F8A"/>
    <w:rsid w:val="65DD6A95"/>
    <w:rsid w:val="668442B7"/>
    <w:rsid w:val="66996E60"/>
    <w:rsid w:val="66C043ED"/>
    <w:rsid w:val="670858C3"/>
    <w:rsid w:val="67237C90"/>
    <w:rsid w:val="672B359B"/>
    <w:rsid w:val="67BA708E"/>
    <w:rsid w:val="67CE4ADF"/>
    <w:rsid w:val="67E20393"/>
    <w:rsid w:val="67F51E74"/>
    <w:rsid w:val="68175719"/>
    <w:rsid w:val="687E00BB"/>
    <w:rsid w:val="689B6EBF"/>
    <w:rsid w:val="69746F8A"/>
    <w:rsid w:val="69A04061"/>
    <w:rsid w:val="69B45116"/>
    <w:rsid w:val="69C77840"/>
    <w:rsid w:val="69E00902"/>
    <w:rsid w:val="69E3799C"/>
    <w:rsid w:val="69E403F2"/>
    <w:rsid w:val="69F85C4B"/>
    <w:rsid w:val="6A317CCE"/>
    <w:rsid w:val="6A797C7E"/>
    <w:rsid w:val="6B7F0AD3"/>
    <w:rsid w:val="6BF47849"/>
    <w:rsid w:val="6BFD7E8E"/>
    <w:rsid w:val="6C833BE9"/>
    <w:rsid w:val="6CB73B9C"/>
    <w:rsid w:val="6CC30793"/>
    <w:rsid w:val="6D3738CD"/>
    <w:rsid w:val="6D4D45DB"/>
    <w:rsid w:val="6D83764B"/>
    <w:rsid w:val="6DC02F24"/>
    <w:rsid w:val="6DD8026E"/>
    <w:rsid w:val="6E2C2368"/>
    <w:rsid w:val="6E320A3F"/>
    <w:rsid w:val="6E6B2E90"/>
    <w:rsid w:val="6E927F5A"/>
    <w:rsid w:val="6EB96950"/>
    <w:rsid w:val="6EE4427D"/>
    <w:rsid w:val="6EF235B1"/>
    <w:rsid w:val="6F3A66CB"/>
    <w:rsid w:val="70530BB4"/>
    <w:rsid w:val="705942C0"/>
    <w:rsid w:val="709D085A"/>
    <w:rsid w:val="70A266F9"/>
    <w:rsid w:val="71481A14"/>
    <w:rsid w:val="7149093A"/>
    <w:rsid w:val="717F6C52"/>
    <w:rsid w:val="71827242"/>
    <w:rsid w:val="719455A1"/>
    <w:rsid w:val="71A30B93"/>
    <w:rsid w:val="71E60A7F"/>
    <w:rsid w:val="720A0C12"/>
    <w:rsid w:val="72685A78"/>
    <w:rsid w:val="728F0BD4"/>
    <w:rsid w:val="72A51148"/>
    <w:rsid w:val="72BD513B"/>
    <w:rsid w:val="730438B3"/>
    <w:rsid w:val="73330B3B"/>
    <w:rsid w:val="733720F1"/>
    <w:rsid w:val="73AB1F81"/>
    <w:rsid w:val="742C30C1"/>
    <w:rsid w:val="744321B9"/>
    <w:rsid w:val="74A964C0"/>
    <w:rsid w:val="74CA6436"/>
    <w:rsid w:val="74E05C5A"/>
    <w:rsid w:val="75047B9A"/>
    <w:rsid w:val="75357D54"/>
    <w:rsid w:val="75412D70"/>
    <w:rsid w:val="754E2671"/>
    <w:rsid w:val="755060BC"/>
    <w:rsid w:val="756920F3"/>
    <w:rsid w:val="75CA0DE4"/>
    <w:rsid w:val="75CF342A"/>
    <w:rsid w:val="75DF2C54"/>
    <w:rsid w:val="75F4035E"/>
    <w:rsid w:val="7621477C"/>
    <w:rsid w:val="76500BBD"/>
    <w:rsid w:val="76516E0F"/>
    <w:rsid w:val="76805D81"/>
    <w:rsid w:val="76897EF9"/>
    <w:rsid w:val="76A43C1D"/>
    <w:rsid w:val="770C2D36"/>
    <w:rsid w:val="777059BB"/>
    <w:rsid w:val="777B4640"/>
    <w:rsid w:val="77AB0A92"/>
    <w:rsid w:val="77C7654C"/>
    <w:rsid w:val="77D64360"/>
    <w:rsid w:val="782567A5"/>
    <w:rsid w:val="78727511"/>
    <w:rsid w:val="78C07865"/>
    <w:rsid w:val="78C4483E"/>
    <w:rsid w:val="78CA10FB"/>
    <w:rsid w:val="792720A9"/>
    <w:rsid w:val="795409C4"/>
    <w:rsid w:val="797572B9"/>
    <w:rsid w:val="79B02EFD"/>
    <w:rsid w:val="7A2068AC"/>
    <w:rsid w:val="7AC5601E"/>
    <w:rsid w:val="7AD22127"/>
    <w:rsid w:val="7AD973D3"/>
    <w:rsid w:val="7B056808"/>
    <w:rsid w:val="7B582C81"/>
    <w:rsid w:val="7BAB5214"/>
    <w:rsid w:val="7BC13764"/>
    <w:rsid w:val="7C5C028F"/>
    <w:rsid w:val="7CAE3564"/>
    <w:rsid w:val="7D00333D"/>
    <w:rsid w:val="7D3D3F06"/>
    <w:rsid w:val="7D44147C"/>
    <w:rsid w:val="7D935CBD"/>
    <w:rsid w:val="7DB75CAC"/>
    <w:rsid w:val="7DD02D0F"/>
    <w:rsid w:val="7DF60F6D"/>
    <w:rsid w:val="7E0221BA"/>
    <w:rsid w:val="7E3F3C59"/>
    <w:rsid w:val="7F030EC3"/>
    <w:rsid w:val="7F442A23"/>
    <w:rsid w:val="7F671451"/>
    <w:rsid w:val="7F9E2999"/>
    <w:rsid w:val="7FAA7590"/>
    <w:rsid w:val="7FC00B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19"/>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2"/>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3"/>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0"/>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0"/>
    <w:autoRedefine/>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1"/>
    <w:autoRedefine/>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5"/>
    <w:autoRedefine/>
    <w:qFormat/>
    <w:uiPriority w:val="0"/>
    <w:pPr>
      <w:keepNext/>
      <w:keepLines/>
      <w:spacing w:before="240" w:after="64" w:line="320" w:lineRule="auto"/>
      <w:outlineLvl w:val="6"/>
    </w:pPr>
    <w:rPr>
      <w:b/>
      <w:bCs/>
      <w:kern w:val="0"/>
      <w:sz w:val="24"/>
    </w:rPr>
  </w:style>
  <w:style w:type="paragraph" w:styleId="11">
    <w:name w:val="heading 8"/>
    <w:basedOn w:val="1"/>
    <w:next w:val="1"/>
    <w:link w:val="144"/>
    <w:autoRedefine/>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1"/>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17"/>
    <w:autoRedefine/>
    <w:qFormat/>
    <w:uiPriority w:val="0"/>
    <w:pPr>
      <w:spacing w:after="120"/>
    </w:pPr>
    <w:rPr>
      <w:kern w:val="0"/>
      <w:sz w:val="28"/>
    </w:rPr>
  </w:style>
  <w:style w:type="paragraph" w:styleId="3">
    <w:name w:val="Body Text First Indent"/>
    <w:basedOn w:val="2"/>
    <w:next w:val="1"/>
    <w:link w:val="161"/>
    <w:autoRedefine/>
    <w:qFormat/>
    <w:uiPriority w:val="0"/>
    <w:pPr>
      <w:spacing w:beforeLines="50" w:afterLines="50" w:line="360" w:lineRule="auto"/>
      <w:ind w:firstLine="480" w:firstLineChars="200"/>
    </w:pPr>
    <w:rPr>
      <w:sz w:val="24"/>
    </w:rPr>
  </w:style>
  <w:style w:type="paragraph" w:styleId="13">
    <w:name w:val="toc 7"/>
    <w:basedOn w:val="1"/>
    <w:next w:val="1"/>
    <w:autoRedefine/>
    <w:qFormat/>
    <w:uiPriority w:val="39"/>
    <w:pPr>
      <w:ind w:left="2520" w:leftChars="1200"/>
    </w:pPr>
  </w:style>
  <w:style w:type="paragraph" w:styleId="14">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4"/>
    <w:autoRedefine/>
    <w:qFormat/>
    <w:uiPriority w:val="0"/>
    <w:pPr>
      <w:ind w:firstLine="420"/>
    </w:pPr>
    <w:rPr>
      <w:kern w:val="0"/>
      <w:sz w:val="20"/>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List Bullet"/>
    <w:basedOn w:val="1"/>
    <w:autoRedefine/>
    <w:qFormat/>
    <w:uiPriority w:val="0"/>
    <w:pPr>
      <w:spacing w:line="360" w:lineRule="auto"/>
      <w:jc w:val="left"/>
    </w:pPr>
    <w:rPr>
      <w:rFonts w:ascii="宋体"/>
      <w:b/>
      <w:sz w:val="24"/>
    </w:rPr>
  </w:style>
  <w:style w:type="paragraph" w:styleId="18">
    <w:name w:val="Document Map"/>
    <w:basedOn w:val="1"/>
    <w:link w:val="139"/>
    <w:autoRedefine/>
    <w:qFormat/>
    <w:uiPriority w:val="99"/>
    <w:pPr>
      <w:shd w:val="clear" w:color="auto" w:fill="000080"/>
    </w:pPr>
    <w:rPr>
      <w:kern w:val="0"/>
      <w:sz w:val="20"/>
    </w:rPr>
  </w:style>
  <w:style w:type="paragraph" w:styleId="19">
    <w:name w:val="toa heading"/>
    <w:basedOn w:val="1"/>
    <w:next w:val="1"/>
    <w:link w:val="169"/>
    <w:autoRedefine/>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6"/>
    <w:autoRedefine/>
    <w:qFormat/>
    <w:uiPriority w:val="0"/>
    <w:pPr>
      <w:jc w:val="left"/>
    </w:pPr>
    <w:rPr>
      <w:kern w:val="0"/>
      <w:sz w:val="20"/>
    </w:rPr>
  </w:style>
  <w:style w:type="paragraph" w:styleId="21">
    <w:name w:val="Body Text 3"/>
    <w:basedOn w:val="1"/>
    <w:link w:val="109"/>
    <w:autoRedefine/>
    <w:qFormat/>
    <w:uiPriority w:val="0"/>
    <w:pPr>
      <w:snapToGrid w:val="0"/>
      <w:spacing w:before="50" w:after="50"/>
    </w:pPr>
    <w:rPr>
      <w:rFonts w:hAnsi="宋体" w:eastAsia="仿宋_GB2312"/>
      <w:b/>
      <w:bCs/>
      <w:kern w:val="0"/>
      <w:sz w:val="24"/>
      <w:szCs w:val="20"/>
    </w:rPr>
  </w:style>
  <w:style w:type="paragraph" w:styleId="22">
    <w:name w:val="Body Text Indent"/>
    <w:basedOn w:val="1"/>
    <w:link w:val="188"/>
    <w:autoRedefine/>
    <w:qFormat/>
    <w:uiPriority w:val="0"/>
    <w:pPr>
      <w:spacing w:line="200" w:lineRule="exact"/>
      <w:ind w:firstLine="301"/>
    </w:pPr>
    <w:rPr>
      <w:rFonts w:ascii="宋体" w:hAnsi="Courier New"/>
      <w:spacing w:val="-4"/>
      <w:kern w:val="0"/>
      <w:sz w:val="18"/>
      <w:szCs w:val="20"/>
    </w:rPr>
  </w:style>
  <w:style w:type="paragraph" w:styleId="23">
    <w:name w:val="List Number 3"/>
    <w:basedOn w:val="1"/>
    <w:autoRedefine/>
    <w:qFormat/>
    <w:uiPriority w:val="0"/>
    <w:pPr>
      <w:tabs>
        <w:tab w:val="left" w:pos="1200"/>
      </w:tabs>
      <w:ind w:left="1200" w:hanging="360"/>
    </w:pPr>
  </w:style>
  <w:style w:type="paragraph" w:styleId="24">
    <w:name w:val="List 2"/>
    <w:basedOn w:val="1"/>
    <w:autoRedefine/>
    <w:qFormat/>
    <w:uiPriority w:val="0"/>
    <w:pPr>
      <w:ind w:left="100" w:leftChars="200" w:hanging="200" w:hangingChars="200"/>
    </w:pPr>
    <w:rPr>
      <w:sz w:val="28"/>
    </w:rPr>
  </w:style>
  <w:style w:type="paragraph" w:styleId="25">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autoRedefine/>
    <w:semiHidden/>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next w:val="31"/>
    <w:link w:val="176"/>
    <w:autoRedefine/>
    <w:qFormat/>
    <w:uiPriority w:val="0"/>
    <w:pPr>
      <w:spacing w:beforeLines="50" w:afterLines="50" w:line="400" w:lineRule="exact"/>
    </w:pPr>
    <w:rPr>
      <w:rFonts w:ascii="宋体" w:hAnsi="Courier New"/>
      <w:kern w:val="0"/>
      <w:sz w:val="24"/>
    </w:rPr>
  </w:style>
  <w:style w:type="paragraph" w:styleId="31">
    <w:name w:val="Date"/>
    <w:basedOn w:val="1"/>
    <w:next w:val="1"/>
    <w:link w:val="172"/>
    <w:autoRedefine/>
    <w:qFormat/>
    <w:uiPriority w:val="0"/>
    <w:pPr>
      <w:ind w:left="2500" w:leftChars="2500"/>
    </w:pPr>
    <w:rPr>
      <w:rFonts w:eastAsia="楷体_GB2312"/>
      <w:kern w:val="0"/>
      <w:sz w:val="32"/>
      <w:szCs w:val="20"/>
    </w:rPr>
  </w:style>
  <w:style w:type="paragraph" w:styleId="32">
    <w:name w:val="toc 8"/>
    <w:basedOn w:val="1"/>
    <w:next w:val="1"/>
    <w:autoRedefine/>
    <w:unhideWhenUsed/>
    <w:qFormat/>
    <w:uiPriority w:val="39"/>
    <w:pPr>
      <w:ind w:left="2940" w:leftChars="1400"/>
    </w:pPr>
    <w:rPr>
      <w:rFonts w:ascii="Calibri" w:hAnsi="Calibri"/>
      <w:szCs w:val="22"/>
    </w:rPr>
  </w:style>
  <w:style w:type="paragraph" w:styleId="33">
    <w:name w:val="Body Text Indent 2"/>
    <w:basedOn w:val="1"/>
    <w:link w:val="182"/>
    <w:autoRedefine/>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4"/>
    <w:autoRedefine/>
    <w:qFormat/>
    <w:uiPriority w:val="99"/>
    <w:rPr>
      <w:kern w:val="0"/>
      <w:sz w:val="18"/>
      <w:szCs w:val="18"/>
    </w:rPr>
  </w:style>
  <w:style w:type="paragraph" w:styleId="35">
    <w:name w:val="footer"/>
    <w:basedOn w:val="1"/>
    <w:link w:val="171"/>
    <w:autoRedefine/>
    <w:qFormat/>
    <w:uiPriority w:val="99"/>
    <w:pPr>
      <w:tabs>
        <w:tab w:val="center" w:pos="4153"/>
        <w:tab w:val="right" w:pos="8306"/>
      </w:tabs>
      <w:snapToGrid w:val="0"/>
      <w:jc w:val="left"/>
    </w:pPr>
    <w:rPr>
      <w:rFonts w:eastAsia="黑体"/>
      <w:kern w:val="0"/>
      <w:sz w:val="18"/>
      <w:szCs w:val="18"/>
    </w:rPr>
  </w:style>
  <w:style w:type="paragraph" w:styleId="36">
    <w:name w:val="envelope return"/>
    <w:basedOn w:val="1"/>
    <w:autoRedefine/>
    <w:unhideWhenUsed/>
    <w:qFormat/>
    <w:uiPriority w:val="99"/>
    <w:pPr>
      <w:snapToGrid w:val="0"/>
    </w:pPr>
    <w:rPr>
      <w:rFonts w:ascii="Arial" w:hAnsi="Arial"/>
    </w:rPr>
  </w:style>
  <w:style w:type="paragraph" w:styleId="37">
    <w:name w:val="header"/>
    <w:basedOn w:val="1"/>
    <w:link w:val="205"/>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autoRedefine/>
    <w:qFormat/>
    <w:uiPriority w:val="39"/>
  </w:style>
  <w:style w:type="paragraph" w:styleId="39">
    <w:name w:val="toc 4"/>
    <w:basedOn w:val="1"/>
    <w:next w:val="1"/>
    <w:autoRedefine/>
    <w:unhideWhenUsed/>
    <w:qFormat/>
    <w:uiPriority w:val="39"/>
    <w:pPr>
      <w:ind w:left="1260" w:leftChars="600"/>
    </w:pPr>
    <w:rPr>
      <w:rFonts w:ascii="Calibri" w:hAnsi="Calibri"/>
      <w:szCs w:val="22"/>
    </w:rPr>
  </w:style>
  <w:style w:type="paragraph" w:styleId="40">
    <w:name w:val="List"/>
    <w:basedOn w:val="1"/>
    <w:autoRedefine/>
    <w:qFormat/>
    <w:uiPriority w:val="0"/>
    <w:pPr>
      <w:ind w:left="200" w:hanging="200" w:hangingChars="200"/>
    </w:pPr>
    <w:rPr>
      <w:sz w:val="28"/>
    </w:rPr>
  </w:style>
  <w:style w:type="paragraph" w:styleId="41">
    <w:name w:val="toc 6"/>
    <w:basedOn w:val="1"/>
    <w:next w:val="1"/>
    <w:autoRedefine/>
    <w:unhideWhenUsed/>
    <w:qFormat/>
    <w:uiPriority w:val="39"/>
    <w:pPr>
      <w:ind w:left="2100" w:leftChars="1000"/>
    </w:pPr>
    <w:rPr>
      <w:rFonts w:ascii="Calibri" w:hAnsi="Calibri"/>
      <w:szCs w:val="22"/>
    </w:rPr>
  </w:style>
  <w:style w:type="paragraph" w:styleId="42">
    <w:name w:val="Body Text Indent 3"/>
    <w:basedOn w:val="1"/>
    <w:link w:val="91"/>
    <w:autoRedefine/>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autoRedefine/>
    <w:qFormat/>
    <w:uiPriority w:val="39"/>
    <w:pPr>
      <w:ind w:left="420" w:leftChars="200"/>
    </w:pPr>
  </w:style>
  <w:style w:type="paragraph" w:styleId="45">
    <w:name w:val="toc 9"/>
    <w:basedOn w:val="1"/>
    <w:next w:val="1"/>
    <w:autoRedefine/>
    <w:unhideWhenUsed/>
    <w:qFormat/>
    <w:uiPriority w:val="39"/>
    <w:pPr>
      <w:ind w:left="3360" w:leftChars="1600"/>
    </w:pPr>
    <w:rPr>
      <w:rFonts w:ascii="Calibri" w:hAnsi="Calibri"/>
      <w:szCs w:val="22"/>
    </w:rPr>
  </w:style>
  <w:style w:type="paragraph" w:styleId="46">
    <w:name w:val="Body Text 2"/>
    <w:basedOn w:val="1"/>
    <w:link w:val="214"/>
    <w:autoRedefine/>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4"/>
    <w:autoRedefine/>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autoRedefine/>
    <w:qFormat/>
    <w:uiPriority w:val="0"/>
    <w:pPr>
      <w:spacing w:line="360" w:lineRule="auto"/>
      <w:jc w:val="center"/>
    </w:pPr>
    <w:rPr>
      <w:rFonts w:ascii="宋体" w:hAnsi="宋体"/>
      <w:bCs/>
    </w:rPr>
  </w:style>
  <w:style w:type="paragraph" w:styleId="49">
    <w:name w:val="Title"/>
    <w:basedOn w:val="1"/>
    <w:next w:val="1"/>
    <w:link w:val="133"/>
    <w:autoRedefine/>
    <w:qFormat/>
    <w:uiPriority w:val="0"/>
    <w:pPr>
      <w:spacing w:before="240" w:after="60"/>
      <w:jc w:val="center"/>
      <w:outlineLvl w:val="0"/>
    </w:pPr>
    <w:rPr>
      <w:rFonts w:ascii="Cambria" w:hAnsi="Cambria"/>
      <w:b/>
      <w:bCs/>
      <w:kern w:val="0"/>
      <w:sz w:val="32"/>
      <w:szCs w:val="32"/>
    </w:rPr>
  </w:style>
  <w:style w:type="paragraph" w:styleId="50">
    <w:name w:val="annotation subject"/>
    <w:basedOn w:val="20"/>
    <w:next w:val="20"/>
    <w:link w:val="235"/>
    <w:autoRedefine/>
    <w:qFormat/>
    <w:uiPriority w:val="99"/>
    <w:rPr>
      <w:b/>
      <w:bCs/>
    </w:rPr>
  </w:style>
  <w:style w:type="paragraph" w:styleId="51">
    <w:name w:val="Body Text First Indent 2"/>
    <w:basedOn w:val="22"/>
    <w:autoRedefine/>
    <w:qFormat/>
    <w:uiPriority w:val="0"/>
    <w:pPr>
      <w:spacing w:after="120" w:line="240" w:lineRule="auto"/>
      <w:ind w:left="420" w:leftChars="200"/>
    </w:pPr>
    <w:rPr>
      <w:rFonts w:ascii="Calibri" w:hAnsi="Calibri"/>
      <w:kern w:val="2"/>
      <w:sz w:val="21"/>
    </w:rPr>
  </w:style>
  <w:style w:type="table" w:styleId="53">
    <w:name w:val="Table Grid"/>
    <w:basedOn w:val="5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autoRedefine/>
    <w:qFormat/>
    <w:uiPriority w:val="0"/>
    <w:rPr>
      <w:b/>
      <w:bCs/>
      <w:color w:val="000000"/>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autoRedefine/>
    <w:qFormat/>
    <w:uiPriority w:val="0"/>
  </w:style>
  <w:style w:type="character" w:styleId="59">
    <w:name w:val="Hyperlink"/>
    <w:autoRedefine/>
    <w:qFormat/>
    <w:uiPriority w:val="99"/>
    <w:rPr>
      <w:color w:val="0000FF"/>
      <w:u w:val="single"/>
    </w:rPr>
  </w:style>
  <w:style w:type="character" w:styleId="60">
    <w:name w:val="annotation reference"/>
    <w:autoRedefine/>
    <w:qFormat/>
    <w:uiPriority w:val="0"/>
    <w:rPr>
      <w:sz w:val="21"/>
      <w:szCs w:val="21"/>
    </w:rPr>
  </w:style>
  <w:style w:type="character" w:customStyle="1" w:styleId="61">
    <w:name w:val="标题 1 字符"/>
    <w:autoRedefine/>
    <w:qFormat/>
    <w:uiPriority w:val="9"/>
    <w:rPr>
      <w:b/>
      <w:bCs/>
      <w:kern w:val="44"/>
      <w:sz w:val="30"/>
      <w:szCs w:val="44"/>
    </w:rPr>
  </w:style>
  <w:style w:type="character" w:customStyle="1" w:styleId="62">
    <w:name w:val="页眉 Char1"/>
    <w:autoRedefine/>
    <w:semiHidden/>
    <w:qFormat/>
    <w:uiPriority w:val="99"/>
    <w:rPr>
      <w:rFonts w:ascii="Times New Roman" w:hAnsi="Times New Roman" w:eastAsia="宋体" w:cs="Times New Roman"/>
      <w:sz w:val="18"/>
      <w:szCs w:val="18"/>
    </w:rPr>
  </w:style>
  <w:style w:type="character" w:customStyle="1" w:styleId="63">
    <w:name w:val="H2 Char"/>
    <w:autoRedefine/>
    <w:qFormat/>
    <w:uiPriority w:val="0"/>
    <w:rPr>
      <w:rFonts w:ascii="Cambria" w:hAnsi="Cambria" w:eastAsia="宋体" w:cs="Times New Roman"/>
      <w:b/>
      <w:bCs/>
      <w:sz w:val="32"/>
      <w:szCs w:val="32"/>
    </w:rPr>
  </w:style>
  <w:style w:type="character" w:customStyle="1" w:styleId="64">
    <w:name w:val="* table text Char"/>
    <w:link w:val="65"/>
    <w:autoRedefine/>
    <w:qFormat/>
    <w:locked/>
    <w:uiPriority w:val="0"/>
    <w:rPr>
      <w:rFonts w:ascii="Arial" w:hAnsi="Arial" w:eastAsia="宋体"/>
      <w:color w:val="333333"/>
      <w:sz w:val="18"/>
      <w:szCs w:val="18"/>
      <w:lang w:bidi="ar-SA"/>
    </w:rPr>
  </w:style>
  <w:style w:type="paragraph" w:customStyle="1" w:styleId="65">
    <w:name w:val="* table text"/>
    <w:basedOn w:val="1"/>
    <w:link w:val="64"/>
    <w:autoRedefine/>
    <w:qFormat/>
    <w:uiPriority w:val="0"/>
    <w:pPr>
      <w:widowControl/>
    </w:pPr>
    <w:rPr>
      <w:rFonts w:ascii="Arial" w:hAnsi="Arial"/>
      <w:color w:val="333333"/>
      <w:kern w:val="0"/>
      <w:sz w:val="18"/>
      <w:szCs w:val="18"/>
    </w:rPr>
  </w:style>
  <w:style w:type="character" w:customStyle="1" w:styleId="66">
    <w:name w:val="批注文字 Char"/>
    <w:link w:val="20"/>
    <w:autoRedefine/>
    <w:qFormat/>
    <w:uiPriority w:val="0"/>
    <w:rPr>
      <w:szCs w:val="24"/>
    </w:rPr>
  </w:style>
  <w:style w:type="character" w:customStyle="1" w:styleId="67">
    <w:name w:val="Char Char12"/>
    <w:autoRedefine/>
    <w:qFormat/>
    <w:uiPriority w:val="0"/>
    <w:rPr>
      <w:rFonts w:ascii="仿宋_GB2312" w:hAnsi="宋体" w:eastAsia="仿宋_GB2312"/>
      <w:color w:val="000000"/>
      <w:kern w:val="2"/>
      <w:sz w:val="24"/>
      <w:szCs w:val="24"/>
    </w:rPr>
  </w:style>
  <w:style w:type="character" w:customStyle="1" w:styleId="68">
    <w:name w:val="Char Char23"/>
    <w:autoRedefine/>
    <w:qFormat/>
    <w:uiPriority w:val="0"/>
    <w:rPr>
      <w:b/>
      <w:bCs/>
      <w:kern w:val="2"/>
      <w:sz w:val="28"/>
      <w:szCs w:val="28"/>
    </w:rPr>
  </w:style>
  <w:style w:type="character" w:customStyle="1" w:styleId="69">
    <w:name w:val="Char Char27"/>
    <w:autoRedefine/>
    <w:qFormat/>
    <w:uiPriority w:val="0"/>
    <w:rPr>
      <w:b/>
      <w:bCs/>
      <w:kern w:val="44"/>
      <w:sz w:val="44"/>
      <w:szCs w:val="44"/>
    </w:rPr>
  </w:style>
  <w:style w:type="character" w:customStyle="1" w:styleId="70">
    <w:name w:val="Char Char1111"/>
    <w:autoRedefine/>
    <w:qFormat/>
    <w:uiPriority w:val="0"/>
    <w:rPr>
      <w:kern w:val="2"/>
      <w:sz w:val="28"/>
      <w:szCs w:val="24"/>
    </w:rPr>
  </w:style>
  <w:style w:type="character" w:customStyle="1" w:styleId="71">
    <w:name w:val="正文文本 字符"/>
    <w:autoRedefine/>
    <w:qFormat/>
    <w:uiPriority w:val="0"/>
    <w:rPr>
      <w:rFonts w:ascii="Times New Roman" w:hAnsi="Times New Roman" w:eastAsia="宋体" w:cs="Times New Roman"/>
      <w:kern w:val="0"/>
      <w:sz w:val="28"/>
      <w:szCs w:val="24"/>
    </w:rPr>
  </w:style>
  <w:style w:type="character" w:customStyle="1" w:styleId="72">
    <w:name w:val="无格式标题 Char"/>
    <w:link w:val="73"/>
    <w:autoRedefine/>
    <w:qFormat/>
    <w:uiPriority w:val="0"/>
    <w:rPr>
      <w:rFonts w:ascii="微软雅黑" w:hAnsi="微软雅黑" w:eastAsia="微软雅黑"/>
      <w:b/>
      <w:szCs w:val="24"/>
      <w:lang w:bidi="ar-SA"/>
    </w:rPr>
  </w:style>
  <w:style w:type="paragraph" w:customStyle="1" w:styleId="73">
    <w:name w:val="无格式标题"/>
    <w:basedOn w:val="1"/>
    <w:link w:val="72"/>
    <w:autoRedefine/>
    <w:qFormat/>
    <w:uiPriority w:val="0"/>
    <w:pPr>
      <w:spacing w:line="360" w:lineRule="auto"/>
    </w:pPr>
    <w:rPr>
      <w:rFonts w:ascii="微软雅黑" w:hAnsi="微软雅黑" w:eastAsia="微软雅黑"/>
      <w:b/>
      <w:kern w:val="0"/>
      <w:sz w:val="20"/>
    </w:rPr>
  </w:style>
  <w:style w:type="character" w:customStyle="1" w:styleId="74">
    <w:name w:val="普通(网站) Char"/>
    <w:link w:val="47"/>
    <w:autoRedefine/>
    <w:qFormat/>
    <w:uiPriority w:val="0"/>
    <w:rPr>
      <w:rFonts w:ascii="宋体" w:hAnsi="宋体"/>
      <w:sz w:val="24"/>
      <w:szCs w:val="24"/>
    </w:rPr>
  </w:style>
  <w:style w:type="character" w:customStyle="1" w:styleId="75">
    <w:name w:val="标题 3 Char1"/>
    <w:autoRedefine/>
    <w:qFormat/>
    <w:uiPriority w:val="0"/>
    <w:rPr>
      <w:rFonts w:ascii="Times New Roman" w:hAnsi="Times New Roman" w:eastAsia="宋体" w:cs="Times New Roman"/>
      <w:b/>
      <w:bCs/>
      <w:sz w:val="32"/>
      <w:szCs w:val="32"/>
    </w:rPr>
  </w:style>
  <w:style w:type="character" w:customStyle="1" w:styleId="76">
    <w:name w:val="Heading 9 Char"/>
    <w:autoRedefine/>
    <w:semiHidden/>
    <w:qFormat/>
    <w:locked/>
    <w:uiPriority w:val="0"/>
    <w:rPr>
      <w:rFonts w:ascii="Cambria" w:hAnsi="Cambria" w:eastAsia="宋体" w:cs="Times New Roman"/>
      <w:kern w:val="0"/>
      <w:sz w:val="21"/>
      <w:szCs w:val="21"/>
    </w:rPr>
  </w:style>
  <w:style w:type="character" w:customStyle="1" w:styleId="77">
    <w:name w:val="中等深浅网格 2 字符"/>
    <w:link w:val="78"/>
    <w:autoRedefine/>
    <w:qFormat/>
    <w:uiPriority w:val="1"/>
    <w:rPr>
      <w:kern w:val="2"/>
      <w:sz w:val="21"/>
      <w:szCs w:val="24"/>
      <w:lang w:val="en-US" w:eastAsia="zh-CN" w:bidi="ar-SA"/>
    </w:rPr>
  </w:style>
  <w:style w:type="paragraph" w:customStyle="1" w:styleId="78">
    <w:name w:val="中等深浅网格 21"/>
    <w:link w:val="77"/>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段落文本 Char"/>
    <w:link w:val="80"/>
    <w:autoRedefine/>
    <w:qFormat/>
    <w:uiPriority w:val="0"/>
    <w:rPr>
      <w:rFonts w:eastAsia="宋体"/>
      <w:szCs w:val="21"/>
      <w:lang w:bidi="ar-SA"/>
    </w:rPr>
  </w:style>
  <w:style w:type="paragraph" w:customStyle="1" w:styleId="80">
    <w:name w:val="段落文本"/>
    <w:basedOn w:val="1"/>
    <w:link w:val="79"/>
    <w:autoRedefine/>
    <w:qFormat/>
    <w:uiPriority w:val="0"/>
    <w:pPr>
      <w:spacing w:line="360" w:lineRule="auto"/>
      <w:ind w:firstLine="420"/>
    </w:pPr>
    <w:rPr>
      <w:kern w:val="0"/>
      <w:sz w:val="20"/>
      <w:szCs w:val="21"/>
    </w:rPr>
  </w:style>
  <w:style w:type="character" w:customStyle="1" w:styleId="81">
    <w:name w:val="批注文字 Char1"/>
    <w:autoRedefine/>
    <w:semiHidden/>
    <w:qFormat/>
    <w:uiPriority w:val="99"/>
    <w:rPr>
      <w:rFonts w:ascii="Times New Roman" w:hAnsi="Times New Roman" w:eastAsia="宋体" w:cs="Times New Roman"/>
      <w:szCs w:val="24"/>
    </w:rPr>
  </w:style>
  <w:style w:type="character" w:customStyle="1" w:styleId="82">
    <w:name w:val="￥正文 Char Char"/>
    <w:autoRedefine/>
    <w:qFormat/>
    <w:uiPriority w:val="0"/>
    <w:rPr>
      <w:rFonts w:ascii="Calibri" w:hAnsi="Calibri"/>
      <w:sz w:val="24"/>
    </w:rPr>
  </w:style>
  <w:style w:type="character" w:customStyle="1" w:styleId="83">
    <w:name w:val="Char Char5"/>
    <w:autoRedefine/>
    <w:qFormat/>
    <w:uiPriority w:val="0"/>
    <w:rPr>
      <w:rFonts w:ascii="宋体" w:hAnsi="宋体"/>
      <w:sz w:val="24"/>
      <w:szCs w:val="24"/>
    </w:rPr>
  </w:style>
  <w:style w:type="character" w:customStyle="1" w:styleId="84">
    <w:name w:val="Heading 3 Char"/>
    <w:autoRedefine/>
    <w:semiHidden/>
    <w:qFormat/>
    <w:locked/>
    <w:uiPriority w:val="0"/>
    <w:rPr>
      <w:rFonts w:cs="Times New Roman"/>
      <w:b/>
      <w:bCs/>
      <w:kern w:val="0"/>
      <w:sz w:val="32"/>
      <w:szCs w:val="32"/>
    </w:rPr>
  </w:style>
  <w:style w:type="character" w:customStyle="1" w:styleId="85">
    <w:name w:val="Char Char21"/>
    <w:autoRedefine/>
    <w:qFormat/>
    <w:uiPriority w:val="0"/>
    <w:rPr>
      <w:b/>
      <w:bCs/>
      <w:kern w:val="2"/>
      <w:sz w:val="24"/>
      <w:szCs w:val="24"/>
    </w:rPr>
  </w:style>
  <w:style w:type="character" w:customStyle="1" w:styleId="86">
    <w:name w:val="正文样式 Char"/>
    <w:link w:val="87"/>
    <w:autoRedefine/>
    <w:qFormat/>
    <w:uiPriority w:val="0"/>
    <w:rPr>
      <w:rFonts w:ascii="宋体" w:hAnsi="Calibri" w:eastAsia="宋体" w:cs="宋体"/>
      <w:sz w:val="24"/>
      <w:szCs w:val="24"/>
      <w:lang w:val="zh-CN" w:eastAsia="en-US" w:bidi="he-IL"/>
    </w:rPr>
  </w:style>
  <w:style w:type="paragraph" w:customStyle="1" w:styleId="87">
    <w:name w:val="正文样式"/>
    <w:basedOn w:val="1"/>
    <w:link w:val="86"/>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8">
    <w:name w:val="Heading 8 Char"/>
    <w:autoRedefine/>
    <w:semiHidden/>
    <w:qFormat/>
    <w:locked/>
    <w:uiPriority w:val="0"/>
    <w:rPr>
      <w:rFonts w:ascii="Cambria" w:hAnsi="Cambria" w:eastAsia="宋体" w:cs="Times New Roman"/>
      <w:kern w:val="0"/>
      <w:sz w:val="24"/>
      <w:szCs w:val="24"/>
    </w:rPr>
  </w:style>
  <w:style w:type="character" w:customStyle="1" w:styleId="89">
    <w:name w:val="内容文本 Char"/>
    <w:link w:val="90"/>
    <w:autoRedefine/>
    <w:qFormat/>
    <w:uiPriority w:val="0"/>
    <w:rPr>
      <w:rFonts w:ascii="宋体" w:hAnsi="宋体" w:eastAsia="宋体"/>
      <w:kern w:val="2"/>
      <w:sz w:val="24"/>
      <w:szCs w:val="24"/>
      <w:lang w:bidi="ar-SA"/>
    </w:rPr>
  </w:style>
  <w:style w:type="paragraph" w:customStyle="1" w:styleId="90">
    <w:name w:val="内容文本"/>
    <w:basedOn w:val="1"/>
    <w:link w:val="89"/>
    <w:autoRedefine/>
    <w:qFormat/>
    <w:uiPriority w:val="0"/>
    <w:pPr>
      <w:spacing w:line="360" w:lineRule="auto"/>
      <w:ind w:firstLine="480" w:firstLineChars="200"/>
    </w:pPr>
    <w:rPr>
      <w:rFonts w:ascii="宋体" w:hAnsi="宋体"/>
      <w:sz w:val="24"/>
    </w:rPr>
  </w:style>
  <w:style w:type="character" w:customStyle="1" w:styleId="91">
    <w:name w:val="正文文本缩进 3 Char"/>
    <w:link w:val="42"/>
    <w:autoRedefine/>
    <w:qFormat/>
    <w:uiPriority w:val="0"/>
    <w:rPr>
      <w:rFonts w:ascii="仿宋_GB2312" w:hAnsi="宋体" w:eastAsia="仿宋_GB2312"/>
      <w:color w:val="000000"/>
      <w:sz w:val="24"/>
      <w:szCs w:val="24"/>
    </w:rPr>
  </w:style>
  <w:style w:type="character" w:customStyle="1" w:styleId="92">
    <w:name w:val="Char Char3"/>
    <w:autoRedefine/>
    <w:qFormat/>
    <w:uiPriority w:val="0"/>
    <w:rPr>
      <w:kern w:val="2"/>
      <w:sz w:val="24"/>
      <w:szCs w:val="24"/>
    </w:rPr>
  </w:style>
  <w:style w:type="character" w:customStyle="1" w:styleId="93">
    <w:name w:val="Char Char8"/>
    <w:autoRedefine/>
    <w:qFormat/>
    <w:uiPriority w:val="0"/>
    <w:rPr>
      <w:rFonts w:eastAsia="楷体_GB2312"/>
      <w:kern w:val="2"/>
      <w:sz w:val="32"/>
    </w:rPr>
  </w:style>
  <w:style w:type="character" w:customStyle="1" w:styleId="94">
    <w:name w:val="Char Char18"/>
    <w:autoRedefine/>
    <w:qFormat/>
    <w:uiPriority w:val="0"/>
    <w:rPr>
      <w:rFonts w:eastAsia="黑体"/>
      <w:sz w:val="18"/>
      <w:szCs w:val="18"/>
    </w:rPr>
  </w:style>
  <w:style w:type="character" w:customStyle="1" w:styleId="95">
    <w:name w:val="h Char"/>
    <w:autoRedefine/>
    <w:qFormat/>
    <w:uiPriority w:val="0"/>
    <w:rPr>
      <w:rFonts w:ascii="Times New Roman" w:hAnsi="Times New Roman" w:eastAsia="宋体" w:cs="Times New Roman"/>
      <w:sz w:val="18"/>
      <w:szCs w:val="18"/>
    </w:rPr>
  </w:style>
  <w:style w:type="character" w:customStyle="1" w:styleId="96">
    <w:name w:val="Heading 4 Char"/>
    <w:autoRedefine/>
    <w:qFormat/>
    <w:locked/>
    <w:uiPriority w:val="0"/>
    <w:rPr>
      <w:rFonts w:cs="Times New Roman"/>
      <w:b/>
      <w:sz w:val="21"/>
    </w:rPr>
  </w:style>
  <w:style w:type="character" w:customStyle="1" w:styleId="97">
    <w:name w:val="zhenwen14"/>
    <w:autoRedefine/>
    <w:qFormat/>
    <w:uiPriority w:val="0"/>
    <w:rPr>
      <w:color w:val="085994"/>
      <w:sz w:val="18"/>
      <w:szCs w:val="18"/>
    </w:rPr>
  </w:style>
  <w:style w:type="character" w:customStyle="1" w:styleId="98">
    <w:name w:val="中等深浅网格 1 - 强调文字颜色 2 Char"/>
    <w:link w:val="99"/>
    <w:autoRedefine/>
    <w:qFormat/>
    <w:uiPriority w:val="0"/>
    <w:rPr>
      <w:rFonts w:ascii="Calibri" w:hAnsi="Calibri" w:eastAsia="宋体"/>
      <w:sz w:val="24"/>
      <w:lang w:bidi="ar-SA"/>
    </w:rPr>
  </w:style>
  <w:style w:type="paragraph" w:customStyle="1" w:styleId="99">
    <w:name w:val="中等深浅网格 1 - 强调文字颜色 21"/>
    <w:basedOn w:val="1"/>
    <w:link w:val="98"/>
    <w:autoRedefine/>
    <w:qFormat/>
    <w:uiPriority w:val="0"/>
    <w:pPr>
      <w:spacing w:line="360" w:lineRule="auto"/>
      <w:ind w:firstLine="420" w:firstLineChars="200"/>
    </w:pPr>
    <w:rPr>
      <w:rFonts w:ascii="Calibri" w:hAnsi="Calibri"/>
      <w:kern w:val="0"/>
      <w:sz w:val="24"/>
      <w:szCs w:val="20"/>
    </w:rPr>
  </w:style>
  <w:style w:type="character" w:customStyle="1" w:styleId="100">
    <w:name w:val="标题 4 Char"/>
    <w:link w:val="7"/>
    <w:autoRedefine/>
    <w:qFormat/>
    <w:uiPriority w:val="0"/>
    <w:rPr>
      <w:rFonts w:ascii="Arial" w:hAnsi="Arial" w:eastAsia="黑体" w:cs="Times New Roman"/>
      <w:b/>
      <w:bCs/>
      <w:kern w:val="0"/>
      <w:sz w:val="28"/>
      <w:szCs w:val="28"/>
    </w:rPr>
  </w:style>
  <w:style w:type="character" w:customStyle="1" w:styleId="101">
    <w:name w:val="Char Char2"/>
    <w:autoRedefine/>
    <w:qFormat/>
    <w:uiPriority w:val="0"/>
    <w:rPr>
      <w:rFonts w:ascii="宋体" w:hAnsi="宋体"/>
      <w:color w:val="000000"/>
      <w:kern w:val="2"/>
      <w:sz w:val="24"/>
      <w:szCs w:val="24"/>
    </w:rPr>
  </w:style>
  <w:style w:type="character" w:customStyle="1" w:styleId="102">
    <w:name w:val="Char Char24"/>
    <w:autoRedefine/>
    <w:qFormat/>
    <w:uiPriority w:val="0"/>
    <w:rPr>
      <w:rFonts w:ascii="Arial" w:hAnsi="Arial" w:eastAsia="黑体"/>
      <w:b/>
      <w:bCs/>
      <w:kern w:val="2"/>
      <w:sz w:val="28"/>
      <w:szCs w:val="28"/>
    </w:rPr>
  </w:style>
  <w:style w:type="character" w:customStyle="1" w:styleId="103">
    <w:name w:val="样式 (中文) 放宋 小四号"/>
    <w:autoRedefine/>
    <w:qFormat/>
    <w:uiPriority w:val="0"/>
    <w:rPr>
      <w:rFonts w:eastAsia="仿宋_GB2312"/>
      <w:sz w:val="24"/>
    </w:rPr>
  </w:style>
  <w:style w:type="character" w:customStyle="1" w:styleId="104">
    <w:name w:val="日期 Char1"/>
    <w:autoRedefine/>
    <w:semiHidden/>
    <w:qFormat/>
    <w:uiPriority w:val="99"/>
    <w:rPr>
      <w:rFonts w:ascii="Times New Roman" w:hAnsi="Times New Roman" w:eastAsia="宋体" w:cs="Times New Roman"/>
      <w:szCs w:val="24"/>
    </w:rPr>
  </w:style>
  <w:style w:type="character" w:customStyle="1" w:styleId="105">
    <w:name w:val="font31"/>
    <w:autoRedefine/>
    <w:qFormat/>
    <w:uiPriority w:val="0"/>
    <w:rPr>
      <w:rFonts w:hint="default" w:ascii="Times New Roman" w:hAnsi="Times New Roman" w:cs="Times New Roman"/>
      <w:color w:val="000000"/>
      <w:sz w:val="20"/>
      <w:szCs w:val="20"/>
      <w:u w:val="none"/>
    </w:rPr>
  </w:style>
  <w:style w:type="character" w:customStyle="1" w:styleId="106">
    <w:name w:val="样式 加粗"/>
    <w:autoRedefine/>
    <w:qFormat/>
    <w:uiPriority w:val="0"/>
    <w:rPr>
      <w:rFonts w:eastAsia="仿宋_GB2312"/>
      <w:b/>
      <w:bCs/>
      <w:sz w:val="24"/>
    </w:rPr>
  </w:style>
  <w:style w:type="character" w:customStyle="1" w:styleId="107">
    <w:name w:val="常规 Char"/>
    <w:link w:val="108"/>
    <w:autoRedefine/>
    <w:qFormat/>
    <w:uiPriority w:val="0"/>
    <w:rPr>
      <w:rFonts w:eastAsia="宋体"/>
      <w:szCs w:val="21"/>
      <w:lang w:bidi="ar-SA"/>
    </w:rPr>
  </w:style>
  <w:style w:type="paragraph" w:customStyle="1" w:styleId="108">
    <w:name w:val="常规"/>
    <w:basedOn w:val="1"/>
    <w:link w:val="107"/>
    <w:autoRedefine/>
    <w:qFormat/>
    <w:uiPriority w:val="0"/>
    <w:pPr>
      <w:spacing w:beforeLines="100" w:afterLines="100"/>
      <w:ind w:left="1134"/>
    </w:pPr>
    <w:rPr>
      <w:kern w:val="0"/>
      <w:sz w:val="20"/>
      <w:szCs w:val="21"/>
    </w:rPr>
  </w:style>
  <w:style w:type="character" w:customStyle="1" w:styleId="109">
    <w:name w:val="正文文本 3 Char"/>
    <w:link w:val="21"/>
    <w:autoRedefine/>
    <w:qFormat/>
    <w:uiPriority w:val="0"/>
    <w:rPr>
      <w:rFonts w:hAnsi="宋体" w:eastAsia="仿宋_GB2312"/>
      <w:b/>
      <w:bCs/>
      <w:sz w:val="24"/>
    </w:rPr>
  </w:style>
  <w:style w:type="character" w:customStyle="1" w:styleId="110">
    <w:name w:val="普通 (Web) Char1"/>
    <w:autoRedefine/>
    <w:qFormat/>
    <w:locked/>
    <w:uiPriority w:val="0"/>
    <w:rPr>
      <w:rFonts w:ascii="宋体" w:hAnsi="宋体" w:eastAsia="宋体"/>
      <w:sz w:val="24"/>
      <w:szCs w:val="24"/>
      <w:lang w:val="en-US" w:eastAsia="zh-CN" w:bidi="ar-SA"/>
    </w:rPr>
  </w:style>
  <w:style w:type="character" w:customStyle="1" w:styleId="111">
    <w:name w:val="Heading 2 Char"/>
    <w:autoRedefine/>
    <w:semiHidden/>
    <w:qFormat/>
    <w:locked/>
    <w:uiPriority w:val="0"/>
    <w:rPr>
      <w:rFonts w:ascii="Cambria" w:hAnsi="Cambria" w:eastAsia="宋体" w:cs="Times New Roman"/>
      <w:b/>
      <w:bCs/>
      <w:kern w:val="0"/>
      <w:sz w:val="32"/>
      <w:szCs w:val="32"/>
    </w:rPr>
  </w:style>
  <w:style w:type="character" w:customStyle="1" w:styleId="112">
    <w:name w:val="Body Text Char"/>
    <w:autoRedefine/>
    <w:semiHidden/>
    <w:qFormat/>
    <w:locked/>
    <w:uiPriority w:val="0"/>
    <w:rPr>
      <w:rFonts w:cs="Times New Roman"/>
      <w:kern w:val="0"/>
      <w:sz w:val="21"/>
      <w:szCs w:val="21"/>
    </w:rPr>
  </w:style>
  <w:style w:type="character" w:customStyle="1" w:styleId="113">
    <w:name w:val="正文首行缩进1 Char"/>
    <w:autoRedefine/>
    <w:qFormat/>
    <w:uiPriority w:val="0"/>
    <w:rPr>
      <w:rFonts w:ascii="Arial" w:hAnsi="Arial" w:eastAsia="宋体"/>
      <w:sz w:val="24"/>
      <w:szCs w:val="21"/>
      <w:lang w:bidi="ar-SA"/>
    </w:rPr>
  </w:style>
  <w:style w:type="character" w:customStyle="1" w:styleId="114">
    <w:name w:val="正文缩进 Char"/>
    <w:link w:val="15"/>
    <w:autoRedefine/>
    <w:qFormat/>
    <w:uiPriority w:val="0"/>
    <w:rPr>
      <w:rFonts w:eastAsia="宋体"/>
    </w:rPr>
  </w:style>
  <w:style w:type="character" w:customStyle="1" w:styleId="115">
    <w:name w:val="标题 7 Char"/>
    <w:link w:val="10"/>
    <w:autoRedefine/>
    <w:qFormat/>
    <w:uiPriority w:val="0"/>
    <w:rPr>
      <w:rFonts w:ascii="Times New Roman" w:hAnsi="Times New Roman" w:eastAsia="宋体" w:cs="Times New Roman"/>
      <w:b/>
      <w:bCs/>
      <w:kern w:val="0"/>
      <w:sz w:val="24"/>
      <w:szCs w:val="24"/>
    </w:rPr>
  </w:style>
  <w:style w:type="character" w:customStyle="1" w:styleId="116">
    <w:name w:val="Char Char6"/>
    <w:autoRedefine/>
    <w:qFormat/>
    <w:uiPriority w:val="0"/>
    <w:rPr>
      <w:rFonts w:ascii="Cambria" w:hAnsi="Cambria"/>
      <w:b/>
      <w:bCs/>
      <w:kern w:val="2"/>
      <w:sz w:val="32"/>
      <w:szCs w:val="32"/>
    </w:rPr>
  </w:style>
  <w:style w:type="character" w:customStyle="1" w:styleId="117">
    <w:name w:val="正文文本 Char1"/>
    <w:link w:val="2"/>
    <w:autoRedefine/>
    <w:qFormat/>
    <w:uiPriority w:val="0"/>
    <w:rPr>
      <w:rFonts w:ascii="Times New Roman" w:hAnsi="Times New Roman" w:eastAsia="宋体" w:cs="Times New Roman"/>
      <w:kern w:val="0"/>
      <w:sz w:val="28"/>
      <w:szCs w:val="24"/>
    </w:rPr>
  </w:style>
  <w:style w:type="character" w:customStyle="1" w:styleId="118">
    <w:name w:val="style171"/>
    <w:autoRedefine/>
    <w:qFormat/>
    <w:uiPriority w:val="0"/>
    <w:rPr>
      <w:sz w:val="20"/>
      <w:szCs w:val="20"/>
    </w:rPr>
  </w:style>
  <w:style w:type="character" w:customStyle="1" w:styleId="119">
    <w:name w:val="标题 1 Char"/>
    <w:link w:val="4"/>
    <w:autoRedefine/>
    <w:qFormat/>
    <w:uiPriority w:val="9"/>
    <w:rPr>
      <w:rFonts w:ascii="Times New Roman" w:hAnsi="Times New Roman" w:eastAsia="宋体" w:cs="Times New Roman"/>
      <w:b/>
      <w:bCs/>
      <w:kern w:val="44"/>
      <w:sz w:val="44"/>
      <w:szCs w:val="44"/>
    </w:rPr>
  </w:style>
  <w:style w:type="character" w:customStyle="1" w:styleId="120">
    <w:name w:val="newscontent1"/>
    <w:autoRedefine/>
    <w:qFormat/>
    <w:uiPriority w:val="0"/>
    <w:rPr>
      <w:rFonts w:hint="default" w:ascii="Verdana" w:hAnsi="Verdana"/>
      <w:color w:val="333333"/>
      <w:sz w:val="18"/>
      <w:szCs w:val="18"/>
    </w:rPr>
  </w:style>
  <w:style w:type="character" w:customStyle="1" w:styleId="121">
    <w:name w:val="H1 Char"/>
    <w:autoRedefine/>
    <w:qFormat/>
    <w:uiPriority w:val="0"/>
    <w:rPr>
      <w:rFonts w:ascii="Times New Roman" w:hAnsi="Times New Roman" w:eastAsia="宋体" w:cs="Times New Roman"/>
      <w:b/>
      <w:bCs/>
      <w:kern w:val="44"/>
      <w:sz w:val="44"/>
      <w:szCs w:val="44"/>
    </w:rPr>
  </w:style>
  <w:style w:type="character" w:customStyle="1" w:styleId="122">
    <w:name w:val="标题 2 Char"/>
    <w:link w:val="5"/>
    <w:autoRedefine/>
    <w:qFormat/>
    <w:uiPriority w:val="9"/>
    <w:rPr>
      <w:rFonts w:ascii="Arial" w:hAnsi="Arial" w:eastAsia="黑体" w:cs="Times New Roman"/>
      <w:b/>
      <w:bCs/>
      <w:kern w:val="0"/>
      <w:sz w:val="32"/>
      <w:szCs w:val="32"/>
    </w:rPr>
  </w:style>
  <w:style w:type="character" w:customStyle="1" w:styleId="123">
    <w:name w:val="style211"/>
    <w:autoRedefine/>
    <w:qFormat/>
    <w:uiPriority w:val="0"/>
    <w:rPr>
      <w:color w:val="0000FF"/>
    </w:rPr>
  </w:style>
  <w:style w:type="character" w:customStyle="1" w:styleId="124">
    <w:name w:val="con-all2"/>
    <w:autoRedefine/>
    <w:qFormat/>
    <w:uiPriority w:val="0"/>
  </w:style>
  <w:style w:type="character" w:customStyle="1" w:styleId="125">
    <w:name w:val="!标题3 Ctrl+3 Char"/>
    <w:link w:val="126"/>
    <w:autoRedefine/>
    <w:qFormat/>
    <w:locked/>
    <w:uiPriority w:val="0"/>
    <w:rPr>
      <w:rFonts w:ascii="Arial" w:hAnsi="Arial" w:eastAsia="黑体"/>
      <w:b/>
      <w:kern w:val="2"/>
      <w:sz w:val="32"/>
      <w:szCs w:val="32"/>
    </w:rPr>
  </w:style>
  <w:style w:type="paragraph" w:customStyle="1" w:styleId="126">
    <w:name w:val="!标题3 Ctrl+3"/>
    <w:basedOn w:val="6"/>
    <w:next w:val="1"/>
    <w:link w:val="125"/>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7">
    <w:name w:val="font61"/>
    <w:autoRedefine/>
    <w:qFormat/>
    <w:uiPriority w:val="0"/>
    <w:rPr>
      <w:rFonts w:hint="eastAsia" w:ascii="宋体" w:hAnsi="宋体" w:eastAsia="宋体" w:cs="宋体"/>
      <w:color w:val="000000"/>
      <w:sz w:val="24"/>
      <w:szCs w:val="24"/>
      <w:u w:val="none"/>
    </w:rPr>
  </w:style>
  <w:style w:type="character" w:customStyle="1" w:styleId="128">
    <w:name w:val="正文文本缩进 Char1"/>
    <w:autoRedefine/>
    <w:semiHidden/>
    <w:qFormat/>
    <w:uiPriority w:val="99"/>
    <w:rPr>
      <w:rFonts w:ascii="Times New Roman" w:hAnsi="Times New Roman" w:eastAsia="宋体" w:cs="Times New Roman"/>
      <w:szCs w:val="24"/>
    </w:rPr>
  </w:style>
  <w:style w:type="character" w:customStyle="1" w:styleId="129">
    <w:name w:val="Char Char25"/>
    <w:autoRedefine/>
    <w:qFormat/>
    <w:uiPriority w:val="0"/>
    <w:rPr>
      <w:rFonts w:eastAsia="楷体_GB2312"/>
      <w:b/>
      <w:bCs/>
      <w:kern w:val="2"/>
      <w:sz w:val="32"/>
      <w:szCs w:val="32"/>
    </w:rPr>
  </w:style>
  <w:style w:type="character" w:customStyle="1" w:styleId="130">
    <w:name w:val="Char Char14"/>
    <w:autoRedefine/>
    <w:qFormat/>
    <w:uiPriority w:val="0"/>
    <w:rPr>
      <w:kern w:val="2"/>
      <w:sz w:val="18"/>
      <w:szCs w:val="18"/>
    </w:rPr>
  </w:style>
  <w:style w:type="character" w:customStyle="1" w:styleId="131">
    <w:name w:val="unnamed21"/>
    <w:autoRedefine/>
    <w:qFormat/>
    <w:uiPriority w:val="0"/>
    <w:rPr>
      <w:b/>
      <w:bCs/>
      <w:spacing w:val="330"/>
      <w:sz w:val="21"/>
      <w:szCs w:val="21"/>
    </w:rPr>
  </w:style>
  <w:style w:type="character" w:customStyle="1" w:styleId="132">
    <w:name w:val="body1"/>
    <w:autoRedefine/>
    <w:qFormat/>
    <w:uiPriority w:val="0"/>
    <w:rPr>
      <w:rFonts w:hint="default"/>
      <w:sz w:val="18"/>
    </w:rPr>
  </w:style>
  <w:style w:type="character" w:customStyle="1" w:styleId="133">
    <w:name w:val="标题 Char"/>
    <w:link w:val="49"/>
    <w:autoRedefine/>
    <w:qFormat/>
    <w:uiPriority w:val="0"/>
    <w:rPr>
      <w:rFonts w:ascii="Cambria" w:hAnsi="Cambria"/>
      <w:b/>
      <w:bCs/>
      <w:sz w:val="32"/>
      <w:szCs w:val="32"/>
    </w:rPr>
  </w:style>
  <w:style w:type="character" w:customStyle="1" w:styleId="134">
    <w:name w:val="批注框文本 Char"/>
    <w:link w:val="34"/>
    <w:autoRedefine/>
    <w:qFormat/>
    <w:uiPriority w:val="99"/>
    <w:rPr>
      <w:sz w:val="18"/>
      <w:szCs w:val="18"/>
    </w:rPr>
  </w:style>
  <w:style w:type="character" w:customStyle="1" w:styleId="135">
    <w:name w:val="表格文本 Char Char"/>
    <w:link w:val="136"/>
    <w:autoRedefine/>
    <w:qFormat/>
    <w:uiPriority w:val="0"/>
    <w:rPr>
      <w:rFonts w:ascii="Arial" w:hAnsi="Arial"/>
      <w:kern w:val="2"/>
      <w:sz w:val="21"/>
      <w:szCs w:val="21"/>
      <w:lang w:val="en-US" w:eastAsia="zh-CN" w:bidi="ar-SA"/>
    </w:rPr>
  </w:style>
  <w:style w:type="paragraph" w:customStyle="1" w:styleId="136">
    <w:name w:val="表格文本 Char"/>
    <w:link w:val="135"/>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37">
    <w:name w:val="批注主题 Char1"/>
    <w:autoRedefine/>
    <w:semiHidden/>
    <w:qFormat/>
    <w:uiPriority w:val="99"/>
    <w:rPr>
      <w:rFonts w:ascii="Times New Roman" w:hAnsi="Times New Roman" w:eastAsia="宋体" w:cs="Times New Roman"/>
      <w:b/>
      <w:bCs/>
      <w:szCs w:val="24"/>
    </w:rPr>
  </w:style>
  <w:style w:type="character" w:customStyle="1" w:styleId="138">
    <w:name w:val="页脚 Char1"/>
    <w:autoRedefine/>
    <w:semiHidden/>
    <w:qFormat/>
    <w:uiPriority w:val="99"/>
    <w:rPr>
      <w:rFonts w:ascii="Times New Roman" w:hAnsi="Times New Roman" w:eastAsia="宋体" w:cs="Times New Roman"/>
      <w:sz w:val="18"/>
      <w:szCs w:val="18"/>
    </w:rPr>
  </w:style>
  <w:style w:type="character" w:customStyle="1" w:styleId="139">
    <w:name w:val="文档结构图 Char"/>
    <w:link w:val="18"/>
    <w:autoRedefine/>
    <w:qFormat/>
    <w:uiPriority w:val="99"/>
    <w:rPr>
      <w:szCs w:val="24"/>
      <w:shd w:val="clear" w:color="auto" w:fill="000080"/>
    </w:rPr>
  </w:style>
  <w:style w:type="character" w:customStyle="1" w:styleId="140">
    <w:name w:val="Heading 5 Char"/>
    <w:autoRedefine/>
    <w:semiHidden/>
    <w:qFormat/>
    <w:locked/>
    <w:uiPriority w:val="0"/>
    <w:rPr>
      <w:rFonts w:cs="Times New Roman"/>
      <w:b/>
      <w:bCs/>
      <w:kern w:val="0"/>
      <w:sz w:val="28"/>
      <w:szCs w:val="28"/>
    </w:rPr>
  </w:style>
  <w:style w:type="character" w:customStyle="1" w:styleId="141">
    <w:name w:val="Char Char26"/>
    <w:autoRedefine/>
    <w:qFormat/>
    <w:uiPriority w:val="0"/>
    <w:rPr>
      <w:rFonts w:ascii="Arial" w:hAnsi="Arial" w:eastAsia="黑体"/>
      <w:b/>
      <w:bCs/>
      <w:kern w:val="2"/>
      <w:sz w:val="32"/>
      <w:szCs w:val="32"/>
    </w:rPr>
  </w:style>
  <w:style w:type="character" w:customStyle="1" w:styleId="142">
    <w:name w:val="正文文本 2 Char1"/>
    <w:autoRedefine/>
    <w:semiHidden/>
    <w:qFormat/>
    <w:uiPriority w:val="99"/>
    <w:rPr>
      <w:rFonts w:ascii="Times New Roman" w:hAnsi="Times New Roman" w:eastAsia="宋体" w:cs="Times New Roman"/>
      <w:szCs w:val="24"/>
    </w:rPr>
  </w:style>
  <w:style w:type="character" w:customStyle="1" w:styleId="143">
    <w:name w:val="font41"/>
    <w:autoRedefine/>
    <w:qFormat/>
    <w:uiPriority w:val="0"/>
    <w:rPr>
      <w:rFonts w:hint="eastAsia" w:ascii="宋体" w:hAnsi="宋体" w:eastAsia="宋体" w:cs="宋体"/>
      <w:color w:val="000000"/>
      <w:sz w:val="20"/>
      <w:szCs w:val="20"/>
      <w:u w:val="none"/>
    </w:rPr>
  </w:style>
  <w:style w:type="character" w:customStyle="1" w:styleId="144">
    <w:name w:val="标题 8 Char"/>
    <w:link w:val="11"/>
    <w:autoRedefine/>
    <w:qFormat/>
    <w:uiPriority w:val="0"/>
    <w:rPr>
      <w:rFonts w:ascii="Arial" w:hAnsi="Arial" w:eastAsia="黑体" w:cs="Times New Roman"/>
      <w:kern w:val="0"/>
      <w:sz w:val="24"/>
      <w:szCs w:val="24"/>
    </w:rPr>
  </w:style>
  <w:style w:type="character" w:customStyle="1" w:styleId="145">
    <w:name w:val="BOD 4 Char Char"/>
    <w:autoRedefine/>
    <w:qFormat/>
    <w:uiPriority w:val="0"/>
    <w:rPr>
      <w:rFonts w:ascii="Arial" w:hAnsi="Arial" w:eastAsia="黑体" w:cs="Times New Roman"/>
      <w:b/>
      <w:bCs/>
      <w:sz w:val="24"/>
      <w:szCs w:val="24"/>
    </w:rPr>
  </w:style>
  <w:style w:type="character" w:customStyle="1" w:styleId="146">
    <w:name w:val="Heading 1 Char"/>
    <w:autoRedefine/>
    <w:qFormat/>
    <w:locked/>
    <w:uiPriority w:val="0"/>
    <w:rPr>
      <w:rFonts w:cs="Times New Roman"/>
      <w:b/>
      <w:bCs/>
      <w:kern w:val="44"/>
      <w:sz w:val="44"/>
      <w:szCs w:val="44"/>
    </w:rPr>
  </w:style>
  <w:style w:type="character" w:customStyle="1" w:styleId="147">
    <w:name w:val="txt1"/>
    <w:autoRedefine/>
    <w:qFormat/>
    <w:uiPriority w:val="0"/>
    <w:rPr>
      <w:rFonts w:hint="default" w:ascii="ˎ̥" w:hAnsi="ˎ̥"/>
      <w:sz w:val="18"/>
      <w:szCs w:val="18"/>
    </w:rPr>
  </w:style>
  <w:style w:type="character" w:customStyle="1" w:styleId="148">
    <w:name w:val="Plain Text Char"/>
    <w:autoRedefine/>
    <w:semiHidden/>
    <w:qFormat/>
    <w:locked/>
    <w:uiPriority w:val="0"/>
    <w:rPr>
      <w:rFonts w:ascii="宋体" w:hAnsi="Courier New" w:cs="Courier New"/>
      <w:kern w:val="0"/>
      <w:sz w:val="21"/>
      <w:szCs w:val="21"/>
    </w:rPr>
  </w:style>
  <w:style w:type="character" w:customStyle="1" w:styleId="149">
    <w:name w:val="Char Char1"/>
    <w:autoRedefine/>
    <w:qFormat/>
    <w:uiPriority w:val="0"/>
    <w:rPr>
      <w:kern w:val="2"/>
      <w:sz w:val="21"/>
      <w:szCs w:val="24"/>
    </w:rPr>
  </w:style>
  <w:style w:type="character" w:customStyle="1" w:styleId="150">
    <w:name w:val="标题 5 Char"/>
    <w:link w:val="8"/>
    <w:autoRedefine/>
    <w:qFormat/>
    <w:uiPriority w:val="9"/>
    <w:rPr>
      <w:rFonts w:ascii="Times New Roman" w:hAnsi="Times New Roman" w:eastAsia="宋体" w:cs="Times New Roman"/>
      <w:b/>
      <w:bCs/>
      <w:kern w:val="0"/>
      <w:sz w:val="28"/>
      <w:szCs w:val="28"/>
    </w:rPr>
  </w:style>
  <w:style w:type="character" w:customStyle="1" w:styleId="151">
    <w:name w:val="￥正文 Char"/>
    <w:link w:val="152"/>
    <w:autoRedefine/>
    <w:qFormat/>
    <w:uiPriority w:val="0"/>
    <w:rPr>
      <w:rFonts w:ascii="Calibri" w:hAnsi="Calibri" w:eastAsia="宋体"/>
      <w:sz w:val="24"/>
      <w:lang w:bidi="ar-SA"/>
    </w:rPr>
  </w:style>
  <w:style w:type="paragraph" w:customStyle="1" w:styleId="152">
    <w:name w:val="￥正文"/>
    <w:basedOn w:val="1"/>
    <w:link w:val="151"/>
    <w:autoRedefine/>
    <w:qFormat/>
    <w:uiPriority w:val="0"/>
    <w:pPr>
      <w:spacing w:line="360" w:lineRule="auto"/>
      <w:ind w:firstLine="200" w:firstLineChars="200"/>
    </w:pPr>
    <w:rPr>
      <w:rFonts w:ascii="Calibri" w:hAnsi="Calibri"/>
      <w:kern w:val="0"/>
      <w:sz w:val="24"/>
      <w:szCs w:val="20"/>
    </w:rPr>
  </w:style>
  <w:style w:type="character" w:customStyle="1" w:styleId="153">
    <w:name w:val="Char Char22"/>
    <w:autoRedefine/>
    <w:qFormat/>
    <w:uiPriority w:val="0"/>
    <w:rPr>
      <w:rFonts w:ascii="Arial" w:hAnsi="Arial" w:eastAsia="黑体"/>
      <w:b/>
      <w:bCs/>
      <w:kern w:val="2"/>
      <w:sz w:val="24"/>
      <w:szCs w:val="24"/>
    </w:rPr>
  </w:style>
  <w:style w:type="character" w:customStyle="1" w:styleId="154">
    <w:name w:val="标题 1 Char Char"/>
    <w:autoRedefine/>
    <w:qFormat/>
    <w:uiPriority w:val="0"/>
    <w:rPr>
      <w:rFonts w:eastAsia="宋体"/>
      <w:b/>
      <w:spacing w:val="-2"/>
      <w:sz w:val="24"/>
      <w:lang w:val="en-US" w:eastAsia="zh-CN" w:bidi="ar-SA"/>
    </w:rPr>
  </w:style>
  <w:style w:type="character" w:customStyle="1" w:styleId="155">
    <w:name w:val="Char Char20"/>
    <w:autoRedefine/>
    <w:qFormat/>
    <w:uiPriority w:val="0"/>
    <w:rPr>
      <w:rFonts w:ascii="Arial" w:hAnsi="Arial" w:eastAsia="黑体"/>
      <w:kern w:val="2"/>
      <w:sz w:val="24"/>
      <w:szCs w:val="24"/>
    </w:rPr>
  </w:style>
  <w:style w:type="character" w:customStyle="1" w:styleId="156">
    <w:name w:val="wj1"/>
    <w:autoRedefine/>
    <w:qFormat/>
    <w:uiPriority w:val="0"/>
    <w:rPr>
      <w:color w:val="000000"/>
      <w:sz w:val="18"/>
      <w:szCs w:val="18"/>
      <w:u w:val="none"/>
    </w:rPr>
  </w:style>
  <w:style w:type="character" w:customStyle="1" w:styleId="157">
    <w:name w:val="font91"/>
    <w:autoRedefine/>
    <w:qFormat/>
    <w:uiPriority w:val="0"/>
    <w:rPr>
      <w:rFonts w:hint="default" w:ascii="Arial" w:hAnsi="Arial" w:cs="Arial"/>
      <w:b/>
      <w:color w:val="auto"/>
      <w:sz w:val="20"/>
      <w:szCs w:val="20"/>
      <w:u w:val="none"/>
    </w:rPr>
  </w:style>
  <w:style w:type="character" w:customStyle="1" w:styleId="158">
    <w:name w:val="Char Char17"/>
    <w:autoRedefine/>
    <w:qFormat/>
    <w:uiPriority w:val="0"/>
    <w:rPr>
      <w:rFonts w:ascii="仿宋_GB2312" w:hAnsi="宋体" w:cs="Arial"/>
      <w:b/>
      <w:bCs/>
      <w:color w:val="000000"/>
      <w:kern w:val="2"/>
      <w:sz w:val="24"/>
      <w:szCs w:val="24"/>
    </w:rPr>
  </w:style>
  <w:style w:type="character" w:customStyle="1" w:styleId="159">
    <w:name w:val="font11"/>
    <w:autoRedefine/>
    <w:qFormat/>
    <w:uiPriority w:val="0"/>
    <w:rPr>
      <w:rFonts w:hint="default" w:ascii="Times New Roman" w:hAnsi="Times New Roman" w:cs="Times New Roman"/>
      <w:color w:val="000000"/>
      <w:sz w:val="20"/>
      <w:szCs w:val="20"/>
      <w:u w:val="none"/>
    </w:rPr>
  </w:style>
  <w:style w:type="character" w:customStyle="1" w:styleId="160">
    <w:name w:val="Normal Indent Char"/>
    <w:autoRedefine/>
    <w:qFormat/>
    <w:locked/>
    <w:uiPriority w:val="0"/>
    <w:rPr>
      <w:sz w:val="20"/>
    </w:rPr>
  </w:style>
  <w:style w:type="character" w:customStyle="1" w:styleId="161">
    <w:name w:val="正文首行缩进 Char"/>
    <w:link w:val="3"/>
    <w:autoRedefine/>
    <w:qFormat/>
    <w:uiPriority w:val="0"/>
    <w:rPr>
      <w:sz w:val="24"/>
      <w:szCs w:val="24"/>
    </w:rPr>
  </w:style>
  <w:style w:type="character" w:customStyle="1" w:styleId="162">
    <w:name w:val="正文文本 3 Char1"/>
    <w:autoRedefine/>
    <w:semiHidden/>
    <w:qFormat/>
    <w:uiPriority w:val="99"/>
    <w:rPr>
      <w:rFonts w:ascii="Times New Roman" w:hAnsi="Times New Roman" w:eastAsia="宋体" w:cs="Times New Roman"/>
      <w:sz w:val="16"/>
      <w:szCs w:val="16"/>
    </w:rPr>
  </w:style>
  <w:style w:type="character" w:customStyle="1" w:styleId="163">
    <w:name w:val="表正文 Char"/>
    <w:autoRedefine/>
    <w:qFormat/>
    <w:uiPriority w:val="0"/>
    <w:rPr>
      <w:rFonts w:ascii="Times New Roman" w:hAnsi="Times New Roman" w:eastAsia="宋体" w:cs="Times New Roman"/>
      <w:szCs w:val="24"/>
    </w:rPr>
  </w:style>
  <w:style w:type="character" w:customStyle="1" w:styleId="164">
    <w:name w:val="Header Char"/>
    <w:autoRedefine/>
    <w:qFormat/>
    <w:locked/>
    <w:uiPriority w:val="0"/>
    <w:rPr>
      <w:rFonts w:ascii="Calibri" w:hAnsi="Calibri" w:eastAsia="宋体" w:cs="Times New Roman"/>
      <w:sz w:val="18"/>
      <w:szCs w:val="18"/>
    </w:rPr>
  </w:style>
  <w:style w:type="character" w:customStyle="1" w:styleId="165">
    <w:name w:val="cn1"/>
    <w:autoRedefine/>
    <w:qFormat/>
    <w:uiPriority w:val="0"/>
  </w:style>
  <w:style w:type="character" w:customStyle="1" w:styleId="166">
    <w:name w:val="样式7 Char"/>
    <w:autoRedefine/>
    <w:qFormat/>
    <w:uiPriority w:val="0"/>
    <w:rPr>
      <w:rFonts w:eastAsia="宋体" w:cs="宋体"/>
      <w:kern w:val="2"/>
      <w:sz w:val="24"/>
      <w:szCs w:val="24"/>
      <w:lang w:val="en-US" w:eastAsia="zh-CN" w:bidi="ar-SA"/>
    </w:rPr>
  </w:style>
  <w:style w:type="character" w:customStyle="1" w:styleId="167">
    <w:name w:val="彩色列表 - 强调文字颜色 1 Char"/>
    <w:link w:val="168"/>
    <w:autoRedefine/>
    <w:qFormat/>
    <w:uiPriority w:val="0"/>
    <w:rPr>
      <w:rFonts w:ascii="微软雅黑" w:hAnsi="微软雅黑" w:eastAsia="微软雅黑" w:cs="宋体"/>
      <w:kern w:val="2"/>
      <w:sz w:val="24"/>
      <w:szCs w:val="21"/>
      <w:lang w:val="en-US" w:eastAsia="zh-CN" w:bidi="ar-SA"/>
    </w:rPr>
  </w:style>
  <w:style w:type="paragraph" w:customStyle="1" w:styleId="168">
    <w:name w:val="列出段落2"/>
    <w:basedOn w:val="1"/>
    <w:link w:val="167"/>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9">
    <w:name w:val="引文目录标题 Char"/>
    <w:link w:val="19"/>
    <w:autoRedefine/>
    <w:qFormat/>
    <w:uiPriority w:val="0"/>
    <w:rPr>
      <w:rFonts w:ascii="Arial" w:hAnsi="Arial" w:eastAsia="宋体" w:cs="Times New Roman"/>
      <w:kern w:val="0"/>
      <w:sz w:val="24"/>
      <w:szCs w:val="20"/>
    </w:rPr>
  </w:style>
  <w:style w:type="character" w:customStyle="1" w:styleId="170">
    <w:name w:val="Char Char13"/>
    <w:autoRedefine/>
    <w:qFormat/>
    <w:uiPriority w:val="0"/>
    <w:rPr>
      <w:b/>
      <w:bCs/>
      <w:kern w:val="2"/>
      <w:sz w:val="21"/>
      <w:szCs w:val="24"/>
    </w:rPr>
  </w:style>
  <w:style w:type="character" w:customStyle="1" w:styleId="171">
    <w:name w:val="页脚 Char2"/>
    <w:link w:val="35"/>
    <w:autoRedefine/>
    <w:qFormat/>
    <w:uiPriority w:val="99"/>
    <w:rPr>
      <w:rFonts w:eastAsia="黑体"/>
      <w:sz w:val="18"/>
      <w:szCs w:val="18"/>
    </w:rPr>
  </w:style>
  <w:style w:type="character" w:customStyle="1" w:styleId="172">
    <w:name w:val="日期 Char"/>
    <w:link w:val="31"/>
    <w:autoRedefine/>
    <w:qFormat/>
    <w:uiPriority w:val="0"/>
    <w:rPr>
      <w:rFonts w:eastAsia="楷体_GB2312"/>
      <w:sz w:val="32"/>
    </w:rPr>
  </w:style>
  <w:style w:type="character" w:customStyle="1" w:styleId="173">
    <w:name w:val="标题 3 Char"/>
    <w:link w:val="6"/>
    <w:autoRedefine/>
    <w:qFormat/>
    <w:uiPriority w:val="0"/>
    <w:rPr>
      <w:rFonts w:ascii="Times New Roman" w:hAnsi="Times New Roman" w:eastAsia="楷体_GB2312" w:cs="Times New Roman"/>
      <w:b/>
      <w:bCs/>
      <w:kern w:val="0"/>
      <w:sz w:val="32"/>
      <w:szCs w:val="32"/>
    </w:rPr>
  </w:style>
  <w:style w:type="character" w:customStyle="1" w:styleId="174">
    <w:name w:val="纯文本 Char2"/>
    <w:autoRedefine/>
    <w:semiHidden/>
    <w:qFormat/>
    <w:uiPriority w:val="99"/>
    <w:rPr>
      <w:rFonts w:ascii="宋体" w:hAnsi="Courier New" w:eastAsia="宋体" w:cs="Courier New"/>
      <w:szCs w:val="21"/>
    </w:rPr>
  </w:style>
  <w:style w:type="character" w:customStyle="1" w:styleId="175">
    <w:name w:val="Char Char10"/>
    <w:autoRedefine/>
    <w:qFormat/>
    <w:uiPriority w:val="0"/>
    <w:rPr>
      <w:kern w:val="2"/>
      <w:sz w:val="21"/>
      <w:szCs w:val="24"/>
      <w:shd w:val="clear" w:color="auto" w:fill="000080"/>
    </w:rPr>
  </w:style>
  <w:style w:type="character" w:customStyle="1" w:styleId="176">
    <w:name w:val="纯文本 Char"/>
    <w:link w:val="30"/>
    <w:autoRedefine/>
    <w:qFormat/>
    <w:uiPriority w:val="0"/>
    <w:rPr>
      <w:rFonts w:ascii="宋体" w:hAnsi="Courier New" w:eastAsia="宋体"/>
      <w:sz w:val="24"/>
      <w:szCs w:val="24"/>
    </w:rPr>
  </w:style>
  <w:style w:type="character" w:customStyle="1" w:styleId="177">
    <w:name w:val="未处理的提及"/>
    <w:autoRedefine/>
    <w:unhideWhenUsed/>
    <w:qFormat/>
    <w:uiPriority w:val="99"/>
    <w:rPr>
      <w:color w:val="605E5C"/>
      <w:shd w:val="clear" w:color="auto" w:fill="E1DFDD"/>
    </w:rPr>
  </w:style>
  <w:style w:type="character" w:customStyle="1" w:styleId="178">
    <w:name w:val="普通段落 Char"/>
    <w:link w:val="179"/>
    <w:autoRedefine/>
    <w:qFormat/>
    <w:uiPriority w:val="0"/>
    <w:rPr>
      <w:rFonts w:ascii="Arial" w:hAnsi="Arial" w:eastAsia="宋体"/>
      <w:lang w:bidi="ar-SA"/>
    </w:rPr>
  </w:style>
  <w:style w:type="paragraph" w:customStyle="1" w:styleId="179">
    <w:name w:val="普通段落"/>
    <w:basedOn w:val="1"/>
    <w:link w:val="178"/>
    <w:autoRedefine/>
    <w:qFormat/>
    <w:uiPriority w:val="0"/>
    <w:pPr>
      <w:spacing w:after="240" w:line="276" w:lineRule="auto"/>
    </w:pPr>
    <w:rPr>
      <w:rFonts w:ascii="Arial" w:hAnsi="Arial"/>
      <w:kern w:val="0"/>
      <w:sz w:val="20"/>
      <w:szCs w:val="20"/>
    </w:rPr>
  </w:style>
  <w:style w:type="character" w:customStyle="1" w:styleId="180">
    <w:name w:val="纯文本 Char1"/>
    <w:autoRedefine/>
    <w:qFormat/>
    <w:uiPriority w:val="0"/>
    <w:rPr>
      <w:rFonts w:ascii="宋体" w:hAnsi="Courier New" w:eastAsia="宋体"/>
      <w:kern w:val="2"/>
      <w:sz w:val="24"/>
      <w:szCs w:val="24"/>
      <w:lang w:val="en-US" w:eastAsia="zh-CN" w:bidi="ar-SA"/>
    </w:rPr>
  </w:style>
  <w:style w:type="character" w:customStyle="1" w:styleId="181">
    <w:name w:val="页脚 Char"/>
    <w:autoRedefine/>
    <w:qFormat/>
    <w:uiPriority w:val="99"/>
    <w:rPr>
      <w:rFonts w:eastAsia="Calibri"/>
      <w:sz w:val="21"/>
    </w:rPr>
  </w:style>
  <w:style w:type="character" w:customStyle="1" w:styleId="182">
    <w:name w:val="正文文本缩进 2 Char"/>
    <w:link w:val="33"/>
    <w:autoRedefine/>
    <w:qFormat/>
    <w:uiPriority w:val="0"/>
    <w:rPr>
      <w:rFonts w:ascii="仿宋_GB2312" w:hAnsi="宋体" w:cs="Arial"/>
      <w:b/>
      <w:bCs/>
      <w:color w:val="000000"/>
      <w:sz w:val="24"/>
      <w:szCs w:val="24"/>
    </w:rPr>
  </w:style>
  <w:style w:type="character" w:customStyle="1" w:styleId="183">
    <w:name w:val="正文文字缩进4字符 Char"/>
    <w:autoRedefine/>
    <w:qFormat/>
    <w:uiPriority w:val="0"/>
    <w:rPr>
      <w:rFonts w:ascii="Times New Roman" w:hAnsi="Times New Roman" w:eastAsia="宋体" w:cs="Times New Roman"/>
      <w:sz w:val="24"/>
      <w:szCs w:val="24"/>
    </w:rPr>
  </w:style>
  <w:style w:type="character" w:customStyle="1" w:styleId="184">
    <w:name w:val="正文文本缩进 字符"/>
    <w:autoRedefine/>
    <w:qFormat/>
    <w:uiPriority w:val="0"/>
    <w:rPr>
      <w:rFonts w:ascii="宋体" w:hAnsi="Courier New"/>
      <w:spacing w:val="-4"/>
      <w:sz w:val="18"/>
    </w:rPr>
  </w:style>
  <w:style w:type="character" w:customStyle="1" w:styleId="185">
    <w:name w:val="Heading 3 - old Char"/>
    <w:autoRedefine/>
    <w:qFormat/>
    <w:uiPriority w:val="0"/>
    <w:rPr>
      <w:rFonts w:ascii="Times New Roman" w:hAnsi="Times New Roman" w:eastAsia="宋体" w:cs="Times New Roman"/>
      <w:b/>
      <w:bCs/>
      <w:sz w:val="32"/>
      <w:szCs w:val="32"/>
    </w:rPr>
  </w:style>
  <w:style w:type="character" w:customStyle="1" w:styleId="186">
    <w:name w:val="H4 Char"/>
    <w:autoRedefine/>
    <w:qFormat/>
    <w:uiPriority w:val="0"/>
    <w:rPr>
      <w:rFonts w:ascii="Arial" w:hAnsi="Arial" w:eastAsia="黑体" w:cs="Times New Roman"/>
      <w:b/>
      <w:bCs/>
      <w:sz w:val="28"/>
      <w:szCs w:val="28"/>
    </w:rPr>
  </w:style>
  <w:style w:type="character" w:customStyle="1" w:styleId="187">
    <w:name w:val="纯文本 字符"/>
    <w:autoRedefine/>
    <w:qFormat/>
    <w:uiPriority w:val="0"/>
    <w:rPr>
      <w:rFonts w:ascii="宋体" w:hAnsi="Courier New"/>
      <w:sz w:val="24"/>
      <w:szCs w:val="24"/>
    </w:rPr>
  </w:style>
  <w:style w:type="character" w:customStyle="1" w:styleId="188">
    <w:name w:val="正文文本缩进 Char"/>
    <w:link w:val="22"/>
    <w:autoRedefine/>
    <w:qFormat/>
    <w:uiPriority w:val="0"/>
    <w:rPr>
      <w:rFonts w:ascii="宋体" w:hAnsi="Courier New"/>
      <w:spacing w:val="-4"/>
      <w:sz w:val="18"/>
    </w:rPr>
  </w:style>
  <w:style w:type="character" w:customStyle="1" w:styleId="189">
    <w:name w:val="Char Char15"/>
    <w:autoRedefine/>
    <w:qFormat/>
    <w:uiPriority w:val="0"/>
    <w:rPr>
      <w:rFonts w:hAnsi="宋体" w:eastAsia="仿宋_GB2312"/>
      <w:b/>
      <w:bCs/>
      <w:kern w:val="2"/>
      <w:sz w:val="24"/>
    </w:rPr>
  </w:style>
  <w:style w:type="character" w:customStyle="1" w:styleId="190">
    <w:name w:val="Footer Char"/>
    <w:autoRedefine/>
    <w:qFormat/>
    <w:locked/>
    <w:uiPriority w:val="0"/>
    <w:rPr>
      <w:rFonts w:ascii="Calibri" w:hAnsi="Calibri" w:eastAsia="宋体" w:cs="Times New Roman"/>
      <w:sz w:val="18"/>
      <w:szCs w:val="18"/>
    </w:rPr>
  </w:style>
  <w:style w:type="character" w:customStyle="1" w:styleId="191">
    <w:name w:val="标题 9 Char"/>
    <w:link w:val="12"/>
    <w:autoRedefine/>
    <w:qFormat/>
    <w:uiPriority w:val="0"/>
    <w:rPr>
      <w:rFonts w:ascii="Arial" w:hAnsi="Arial" w:eastAsia="黑体" w:cs="Times New Roman"/>
      <w:kern w:val="0"/>
      <w:sz w:val="20"/>
      <w:szCs w:val="21"/>
    </w:rPr>
  </w:style>
  <w:style w:type="character" w:customStyle="1" w:styleId="192">
    <w:name w:val="def正文 Char Char"/>
    <w:link w:val="193"/>
    <w:autoRedefine/>
    <w:qFormat/>
    <w:uiPriority w:val="0"/>
    <w:rPr>
      <w:sz w:val="24"/>
      <w:szCs w:val="24"/>
    </w:rPr>
  </w:style>
  <w:style w:type="paragraph" w:customStyle="1" w:styleId="193">
    <w:name w:val="def正文"/>
    <w:basedOn w:val="2"/>
    <w:link w:val="192"/>
    <w:autoRedefine/>
    <w:qFormat/>
    <w:uiPriority w:val="0"/>
    <w:pPr>
      <w:widowControl/>
      <w:spacing w:after="0" w:line="360" w:lineRule="auto"/>
      <w:ind w:firstLine="510"/>
      <w:jc w:val="left"/>
    </w:pPr>
    <w:rPr>
      <w:sz w:val="24"/>
    </w:rPr>
  </w:style>
  <w:style w:type="character" w:customStyle="1" w:styleId="194">
    <w:name w:val="font51"/>
    <w:autoRedefine/>
    <w:qFormat/>
    <w:uiPriority w:val="0"/>
    <w:rPr>
      <w:rFonts w:hint="eastAsia" w:ascii="宋体" w:hAnsi="宋体" w:eastAsia="宋体" w:cs="宋体"/>
      <w:color w:val="auto"/>
      <w:sz w:val="18"/>
      <w:szCs w:val="18"/>
      <w:u w:val="none"/>
    </w:rPr>
  </w:style>
  <w:style w:type="character" w:customStyle="1" w:styleId="195">
    <w:name w:val="普通文字 Char Char"/>
    <w:autoRedefine/>
    <w:qFormat/>
    <w:uiPriority w:val="0"/>
    <w:rPr>
      <w:rFonts w:ascii="宋体" w:hAnsi="Courier New" w:eastAsia="宋体" w:cs="Times New Roman"/>
      <w:szCs w:val="20"/>
    </w:rPr>
  </w:style>
  <w:style w:type="character" w:customStyle="1" w:styleId="196">
    <w:name w:val="正文文本 Char"/>
    <w:autoRedefine/>
    <w:qFormat/>
    <w:uiPriority w:val="0"/>
    <w:rPr>
      <w:rFonts w:ascii="Times New Roman" w:hAnsi="Times New Roman" w:eastAsia="宋体" w:cs="Times New Roman"/>
      <w:szCs w:val="24"/>
    </w:rPr>
  </w:style>
  <w:style w:type="character" w:customStyle="1" w:styleId="197">
    <w:name w:val="3zw"/>
    <w:autoRedefine/>
    <w:qFormat/>
    <w:uiPriority w:val="0"/>
  </w:style>
  <w:style w:type="character" w:customStyle="1" w:styleId="198">
    <w:name w:val="font71"/>
    <w:autoRedefine/>
    <w:qFormat/>
    <w:uiPriority w:val="0"/>
    <w:rPr>
      <w:rFonts w:hint="default" w:ascii="Arial" w:hAnsi="Arial" w:cs="Arial"/>
      <w:color w:val="auto"/>
      <w:sz w:val="20"/>
      <w:szCs w:val="20"/>
      <w:u w:val="none"/>
    </w:rPr>
  </w:style>
  <w:style w:type="character" w:customStyle="1" w:styleId="199">
    <w:name w:val="标题 Char1"/>
    <w:autoRedefine/>
    <w:qFormat/>
    <w:uiPriority w:val="10"/>
    <w:rPr>
      <w:rFonts w:ascii="Cambria" w:hAnsi="Cambria" w:eastAsia="宋体" w:cs="Times New Roman"/>
      <w:b/>
      <w:bCs/>
      <w:sz w:val="32"/>
      <w:szCs w:val="32"/>
    </w:rPr>
  </w:style>
  <w:style w:type="character" w:customStyle="1" w:styleId="200">
    <w:name w:val="标书正文格式 Char"/>
    <w:link w:val="201"/>
    <w:autoRedefine/>
    <w:qFormat/>
    <w:uiPriority w:val="0"/>
    <w:rPr>
      <w:rFonts w:eastAsia="楷体_GB2312"/>
      <w:kern w:val="2"/>
      <w:sz w:val="24"/>
      <w:szCs w:val="24"/>
      <w:lang w:val="en-US" w:eastAsia="zh-CN" w:bidi="ar-SA"/>
    </w:rPr>
  </w:style>
  <w:style w:type="paragraph" w:customStyle="1" w:styleId="201">
    <w:name w:val="标书正文格式"/>
    <w:link w:val="200"/>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2">
    <w:name w:val="正文缩进 字符"/>
    <w:autoRedefine/>
    <w:qFormat/>
    <w:uiPriority w:val="0"/>
    <w:rPr>
      <w:rFonts w:eastAsia="宋体"/>
    </w:rPr>
  </w:style>
  <w:style w:type="character" w:customStyle="1" w:styleId="203">
    <w:name w:val="A7"/>
    <w:autoRedefine/>
    <w:qFormat/>
    <w:uiPriority w:val="0"/>
    <w:rPr>
      <w:rFonts w:ascii="HelveticaNeueLT Std Lt" w:eastAsia="HelveticaNeueLT Std Lt" w:cs="HelveticaNeueLT Std Lt"/>
      <w:color w:val="000000"/>
      <w:sz w:val="20"/>
      <w:szCs w:val="20"/>
    </w:rPr>
  </w:style>
  <w:style w:type="character" w:customStyle="1" w:styleId="204">
    <w:name w:val="Balloon Text Char"/>
    <w:autoRedefine/>
    <w:qFormat/>
    <w:locked/>
    <w:uiPriority w:val="0"/>
    <w:rPr>
      <w:rFonts w:cs="Times New Roman"/>
      <w:sz w:val="18"/>
      <w:szCs w:val="18"/>
    </w:rPr>
  </w:style>
  <w:style w:type="character" w:customStyle="1" w:styleId="205">
    <w:name w:val="页眉 Char"/>
    <w:link w:val="37"/>
    <w:autoRedefine/>
    <w:qFormat/>
    <w:uiPriority w:val="99"/>
    <w:rPr>
      <w:rFonts w:eastAsia="仿宋_GB2312"/>
      <w:sz w:val="18"/>
    </w:rPr>
  </w:style>
  <w:style w:type="character" w:customStyle="1" w:styleId="206">
    <w:name w:val="批注框文本 Char1"/>
    <w:autoRedefine/>
    <w:semiHidden/>
    <w:qFormat/>
    <w:uiPriority w:val="99"/>
    <w:rPr>
      <w:rFonts w:ascii="Times New Roman" w:hAnsi="Times New Roman" w:eastAsia="宋体" w:cs="Times New Roman"/>
      <w:sz w:val="18"/>
      <w:szCs w:val="18"/>
    </w:rPr>
  </w:style>
  <w:style w:type="character" w:customStyle="1" w:styleId="207">
    <w:name w:val="彩色列表 - 着色 1 字符"/>
    <w:link w:val="208"/>
    <w:autoRedefine/>
    <w:qFormat/>
    <w:locked/>
    <w:uiPriority w:val="34"/>
    <w:rPr>
      <w:rFonts w:ascii="Times New Roman" w:hAnsi="Times New Roman"/>
      <w:kern w:val="2"/>
      <w:sz w:val="21"/>
      <w:szCs w:val="24"/>
    </w:rPr>
  </w:style>
  <w:style w:type="paragraph" w:customStyle="1" w:styleId="208">
    <w:name w:val="彩色列表 - 着色 11"/>
    <w:basedOn w:val="1"/>
    <w:link w:val="207"/>
    <w:autoRedefine/>
    <w:qFormat/>
    <w:uiPriority w:val="34"/>
    <w:pPr>
      <w:ind w:firstLine="420" w:firstLineChars="200"/>
    </w:pPr>
  </w:style>
  <w:style w:type="character" w:customStyle="1" w:styleId="209">
    <w:name w:val="正文文本缩进 2 Char1"/>
    <w:autoRedefine/>
    <w:semiHidden/>
    <w:qFormat/>
    <w:uiPriority w:val="99"/>
    <w:rPr>
      <w:rFonts w:ascii="Times New Roman" w:hAnsi="Times New Roman" w:eastAsia="宋体" w:cs="Times New Roman"/>
      <w:szCs w:val="24"/>
    </w:rPr>
  </w:style>
  <w:style w:type="character" w:customStyle="1" w:styleId="210">
    <w:name w:val="普通 (Web) Char"/>
    <w:autoRedefine/>
    <w:qFormat/>
    <w:uiPriority w:val="0"/>
    <w:rPr>
      <w:rFonts w:ascii="宋体" w:hAnsi="宋体" w:eastAsia="宋体" w:cs="Times New Roman"/>
      <w:kern w:val="0"/>
      <w:sz w:val="24"/>
      <w:szCs w:val="24"/>
    </w:rPr>
  </w:style>
  <w:style w:type="character" w:customStyle="1" w:styleId="211">
    <w:name w:val="标题 6 Char"/>
    <w:link w:val="9"/>
    <w:autoRedefine/>
    <w:qFormat/>
    <w:uiPriority w:val="0"/>
    <w:rPr>
      <w:rFonts w:ascii="Arial" w:hAnsi="Arial" w:eastAsia="黑体" w:cs="Times New Roman"/>
      <w:b/>
      <w:bCs/>
      <w:kern w:val="0"/>
      <w:sz w:val="24"/>
      <w:szCs w:val="24"/>
    </w:rPr>
  </w:style>
  <w:style w:type="character" w:customStyle="1" w:styleId="212">
    <w:name w:val="纯文本 Char3"/>
    <w:autoRedefine/>
    <w:qFormat/>
    <w:uiPriority w:val="0"/>
    <w:rPr>
      <w:rFonts w:ascii="宋体" w:hAnsi="Courier New" w:eastAsia="宋体"/>
      <w:sz w:val="24"/>
      <w:szCs w:val="24"/>
    </w:rPr>
  </w:style>
  <w:style w:type="character" w:customStyle="1" w:styleId="213">
    <w:name w:val="正文首行缩进 Char1"/>
    <w:autoRedefine/>
    <w:semiHidden/>
    <w:qFormat/>
    <w:uiPriority w:val="99"/>
    <w:rPr>
      <w:rFonts w:ascii="Times New Roman" w:hAnsi="Times New Roman" w:eastAsia="宋体" w:cs="Times New Roman"/>
      <w:szCs w:val="24"/>
    </w:rPr>
  </w:style>
  <w:style w:type="character" w:customStyle="1" w:styleId="214">
    <w:name w:val="正文文本 2 Char"/>
    <w:link w:val="46"/>
    <w:autoRedefine/>
    <w:qFormat/>
    <w:uiPriority w:val="99"/>
    <w:rPr>
      <w:rFonts w:ascii="宋体" w:hAnsi="宋体"/>
      <w:color w:val="000000"/>
      <w:sz w:val="24"/>
      <w:szCs w:val="24"/>
    </w:rPr>
  </w:style>
  <w:style w:type="character" w:customStyle="1" w:styleId="215">
    <w:name w:val="style551"/>
    <w:autoRedefine/>
    <w:qFormat/>
    <w:uiPriority w:val="0"/>
    <w:rPr>
      <w:rFonts w:hint="default" w:ascii="Arial" w:hAnsi="Arial" w:cs="Arial"/>
      <w:color w:val="333333"/>
      <w:sz w:val="18"/>
      <w:szCs w:val="18"/>
    </w:rPr>
  </w:style>
  <w:style w:type="character" w:customStyle="1" w:styleId="216">
    <w:name w:val="文章正文 Char Char"/>
    <w:link w:val="217"/>
    <w:autoRedefine/>
    <w:qFormat/>
    <w:uiPriority w:val="0"/>
    <w:rPr>
      <w:rFonts w:ascii="宋体" w:hAnsi="宋体"/>
      <w:sz w:val="24"/>
      <w:szCs w:val="24"/>
    </w:rPr>
  </w:style>
  <w:style w:type="paragraph" w:customStyle="1" w:styleId="217">
    <w:name w:val="文章正文"/>
    <w:basedOn w:val="1"/>
    <w:link w:val="216"/>
    <w:autoRedefine/>
    <w:qFormat/>
    <w:uiPriority w:val="0"/>
    <w:pPr>
      <w:spacing w:line="360" w:lineRule="auto"/>
      <w:ind w:firstLine="200" w:firstLineChars="200"/>
      <w:jc w:val="left"/>
    </w:pPr>
    <w:rPr>
      <w:rFonts w:ascii="宋体" w:hAnsi="宋体"/>
      <w:kern w:val="0"/>
      <w:sz w:val="24"/>
    </w:rPr>
  </w:style>
  <w:style w:type="character" w:customStyle="1" w:styleId="218">
    <w:name w:val="font81"/>
    <w:autoRedefine/>
    <w:qFormat/>
    <w:uiPriority w:val="0"/>
    <w:rPr>
      <w:rFonts w:hint="eastAsia" w:ascii="宋体" w:hAnsi="宋体" w:eastAsia="宋体" w:cs="宋体"/>
      <w:color w:val="000000"/>
      <w:sz w:val="20"/>
      <w:szCs w:val="20"/>
      <w:u w:val="none"/>
      <w:vertAlign w:val="superscript"/>
    </w:rPr>
  </w:style>
  <w:style w:type="character" w:customStyle="1" w:styleId="219">
    <w:name w:val="Body Text Indent 3 Char"/>
    <w:autoRedefine/>
    <w:qFormat/>
    <w:locked/>
    <w:uiPriority w:val="0"/>
    <w:rPr>
      <w:rFonts w:cs="Times New Roman"/>
      <w:kern w:val="2"/>
      <w:sz w:val="16"/>
      <w:szCs w:val="16"/>
    </w:rPr>
  </w:style>
  <w:style w:type="character" w:customStyle="1" w:styleId="220">
    <w:name w:val="Char Char16"/>
    <w:autoRedefine/>
    <w:qFormat/>
    <w:uiPriority w:val="0"/>
    <w:rPr>
      <w:rFonts w:ascii="宋体" w:hAnsi="Courier New"/>
      <w:spacing w:val="-4"/>
      <w:kern w:val="2"/>
      <w:sz w:val="18"/>
    </w:rPr>
  </w:style>
  <w:style w:type="character" w:customStyle="1" w:styleId="221">
    <w:name w:val="Char Char4"/>
    <w:autoRedefine/>
    <w:qFormat/>
    <w:uiPriority w:val="0"/>
    <w:rPr>
      <w:rFonts w:ascii="宋体" w:hAnsi="Courier New" w:eastAsia="宋体"/>
      <w:kern w:val="2"/>
      <w:sz w:val="24"/>
      <w:szCs w:val="24"/>
      <w:lang w:val="en-US" w:eastAsia="zh-CN" w:bidi="ar-SA"/>
    </w:rPr>
  </w:style>
  <w:style w:type="character" w:customStyle="1" w:styleId="222">
    <w:name w:val="正文文本缩进 3 Char1"/>
    <w:autoRedefine/>
    <w:semiHidden/>
    <w:qFormat/>
    <w:uiPriority w:val="99"/>
    <w:rPr>
      <w:rFonts w:ascii="Times New Roman" w:hAnsi="Times New Roman" w:eastAsia="宋体" w:cs="Times New Roman"/>
      <w:sz w:val="16"/>
      <w:szCs w:val="16"/>
    </w:rPr>
  </w:style>
  <w:style w:type="character" w:customStyle="1" w:styleId="223">
    <w:name w:val="Char Char7"/>
    <w:autoRedefine/>
    <w:qFormat/>
    <w:uiPriority w:val="0"/>
    <w:rPr>
      <w:rFonts w:eastAsia="宋体"/>
      <w:kern w:val="2"/>
      <w:sz w:val="21"/>
      <w:lang w:val="en-US" w:eastAsia="zh-CN" w:bidi="ar-SA"/>
    </w:rPr>
  </w:style>
  <w:style w:type="character" w:customStyle="1" w:styleId="224">
    <w:name w:val="A正文 Char"/>
    <w:link w:val="225"/>
    <w:autoRedefine/>
    <w:qFormat/>
    <w:uiPriority w:val="0"/>
    <w:rPr>
      <w:szCs w:val="24"/>
    </w:rPr>
  </w:style>
  <w:style w:type="paragraph" w:customStyle="1" w:styleId="225">
    <w:name w:val="A正文"/>
    <w:basedOn w:val="1"/>
    <w:link w:val="224"/>
    <w:autoRedefine/>
    <w:qFormat/>
    <w:uiPriority w:val="0"/>
    <w:pPr>
      <w:spacing w:line="360" w:lineRule="auto"/>
      <w:ind w:firstLine="200" w:firstLineChars="200"/>
    </w:pPr>
    <w:rPr>
      <w:kern w:val="0"/>
      <w:sz w:val="20"/>
    </w:rPr>
  </w:style>
  <w:style w:type="character" w:customStyle="1" w:styleId="226">
    <w:name w:val="正文1 Char Char"/>
    <w:link w:val="227"/>
    <w:autoRedefine/>
    <w:qFormat/>
    <w:uiPriority w:val="0"/>
    <w:rPr>
      <w:rFonts w:ascii="宋体" w:hAnsi="宋体" w:eastAsia="宋体"/>
      <w:color w:val="000000"/>
      <w:sz w:val="24"/>
    </w:rPr>
  </w:style>
  <w:style w:type="paragraph" w:customStyle="1" w:styleId="227">
    <w:name w:val="正文1"/>
    <w:basedOn w:val="1"/>
    <w:link w:val="226"/>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28">
    <w:name w:val="Char Char111"/>
    <w:autoRedefine/>
    <w:qFormat/>
    <w:uiPriority w:val="0"/>
    <w:rPr>
      <w:kern w:val="2"/>
      <w:sz w:val="28"/>
      <w:szCs w:val="24"/>
    </w:rPr>
  </w:style>
  <w:style w:type="character" w:customStyle="1" w:styleId="229">
    <w:name w:val="粘贴正文 Char"/>
    <w:link w:val="230"/>
    <w:autoRedefine/>
    <w:qFormat/>
    <w:uiPriority w:val="0"/>
    <w:rPr>
      <w:kern w:val="2"/>
      <w:sz w:val="24"/>
      <w:szCs w:val="21"/>
      <w:lang w:val="en-US" w:eastAsia="zh-CN" w:bidi="ar-SA"/>
    </w:rPr>
  </w:style>
  <w:style w:type="paragraph" w:customStyle="1" w:styleId="230">
    <w:name w:val="粘贴正文"/>
    <w:link w:val="229"/>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1">
    <w:name w:val="缺省文本 Char"/>
    <w:link w:val="232"/>
    <w:autoRedefine/>
    <w:qFormat/>
    <w:uiPriority w:val="0"/>
    <w:rPr>
      <w:rFonts w:ascii="Arial" w:hAnsi="Arial"/>
      <w:szCs w:val="21"/>
    </w:rPr>
  </w:style>
  <w:style w:type="paragraph" w:customStyle="1" w:styleId="232">
    <w:name w:val="缺省文本"/>
    <w:basedOn w:val="1"/>
    <w:link w:val="231"/>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3">
    <w:name w:val="Heading 7 Char"/>
    <w:autoRedefine/>
    <w:semiHidden/>
    <w:qFormat/>
    <w:locked/>
    <w:uiPriority w:val="0"/>
    <w:rPr>
      <w:rFonts w:cs="Times New Roman"/>
      <w:b/>
      <w:bCs/>
      <w:kern w:val="0"/>
      <w:sz w:val="24"/>
      <w:szCs w:val="24"/>
    </w:rPr>
  </w:style>
  <w:style w:type="character" w:customStyle="1" w:styleId="234">
    <w:name w:val="font21"/>
    <w:autoRedefine/>
    <w:qFormat/>
    <w:uiPriority w:val="0"/>
    <w:rPr>
      <w:rFonts w:hint="eastAsia" w:ascii="宋体" w:hAnsi="宋体" w:eastAsia="宋体" w:cs="宋体"/>
      <w:color w:val="000000"/>
      <w:sz w:val="20"/>
      <w:szCs w:val="20"/>
      <w:u w:val="none"/>
    </w:rPr>
  </w:style>
  <w:style w:type="character" w:customStyle="1" w:styleId="235">
    <w:name w:val="批注主题 Char"/>
    <w:link w:val="50"/>
    <w:autoRedefine/>
    <w:qFormat/>
    <w:uiPriority w:val="99"/>
    <w:rPr>
      <w:b/>
      <w:bCs/>
      <w:szCs w:val="24"/>
    </w:rPr>
  </w:style>
  <w:style w:type="character" w:customStyle="1" w:styleId="236">
    <w:name w:val="文档结构图 Char1"/>
    <w:autoRedefine/>
    <w:semiHidden/>
    <w:qFormat/>
    <w:uiPriority w:val="99"/>
    <w:rPr>
      <w:rFonts w:ascii="宋体" w:hAnsi="Times New Roman" w:eastAsia="宋体" w:cs="Times New Roman"/>
      <w:sz w:val="18"/>
      <w:szCs w:val="18"/>
    </w:rPr>
  </w:style>
  <w:style w:type="character" w:customStyle="1" w:styleId="237">
    <w:name w:val="纯文本 字符1"/>
    <w:autoRedefine/>
    <w:semiHidden/>
    <w:qFormat/>
    <w:locked/>
    <w:uiPriority w:val="0"/>
    <w:rPr>
      <w:rFonts w:ascii="宋体" w:hAnsi="Courier New"/>
      <w:sz w:val="24"/>
      <w:szCs w:val="24"/>
    </w:rPr>
  </w:style>
  <w:style w:type="character" w:customStyle="1" w:styleId="238">
    <w:name w:val="Char Char19"/>
    <w:autoRedefine/>
    <w:qFormat/>
    <w:uiPriority w:val="0"/>
    <w:rPr>
      <w:rFonts w:ascii="Arial" w:hAnsi="Arial" w:eastAsia="黑体"/>
      <w:kern w:val="2"/>
      <w:sz w:val="21"/>
      <w:szCs w:val="21"/>
    </w:rPr>
  </w:style>
  <w:style w:type="character" w:customStyle="1" w:styleId="239">
    <w:name w:val="Item List Char"/>
    <w:link w:val="240"/>
    <w:autoRedefine/>
    <w:qFormat/>
    <w:uiPriority w:val="0"/>
    <w:rPr>
      <w:rFonts w:cs="Arial"/>
      <w:kern w:val="2"/>
      <w:sz w:val="21"/>
      <w:szCs w:val="21"/>
      <w:lang w:val="en-US" w:eastAsia="zh-CN" w:bidi="ar-SA"/>
    </w:rPr>
  </w:style>
  <w:style w:type="paragraph" w:customStyle="1" w:styleId="240">
    <w:name w:val="Item List"/>
    <w:link w:val="239"/>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autoRedefine/>
    <w:qFormat/>
    <w:uiPriority w:val="0"/>
    <w:rPr>
      <w:rFonts w:eastAsia="仿宋_GB2312"/>
      <w:kern w:val="2"/>
      <w:sz w:val="18"/>
    </w:rPr>
  </w:style>
  <w:style w:type="character" w:customStyle="1" w:styleId="242">
    <w:name w:val="Heading 6 Char"/>
    <w:autoRedefine/>
    <w:semiHidden/>
    <w:qFormat/>
    <w:locked/>
    <w:uiPriority w:val="0"/>
    <w:rPr>
      <w:rFonts w:ascii="Cambria" w:hAnsi="Cambria" w:eastAsia="宋体" w:cs="Times New Roman"/>
      <w:b/>
      <w:bCs/>
      <w:kern w:val="0"/>
      <w:sz w:val="24"/>
      <w:szCs w:val="24"/>
    </w:rPr>
  </w:style>
  <w:style w:type="paragraph" w:customStyle="1" w:styleId="243">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autoRedefine/>
    <w:qFormat/>
    <w:uiPriority w:val="0"/>
    <w:pPr>
      <w:widowControl/>
      <w:numPr>
        <w:ilvl w:val="0"/>
        <w:numId w:val="1"/>
      </w:numPr>
      <w:spacing w:afterLines="50"/>
      <w:jc w:val="left"/>
    </w:pPr>
  </w:style>
  <w:style w:type="paragraph" w:customStyle="1" w:styleId="246">
    <w:name w:val="Char11"/>
    <w:basedOn w:val="1"/>
    <w:autoRedefine/>
    <w:qFormat/>
    <w:uiPriority w:val="0"/>
    <w:rPr>
      <w:rFonts w:ascii="仿宋_GB2312" w:hAnsi="宋体" w:eastAsia="仿宋_GB2312" w:cs="宋体"/>
      <w:b/>
      <w:sz w:val="32"/>
      <w:szCs w:val="32"/>
    </w:rPr>
  </w:style>
  <w:style w:type="paragraph" w:customStyle="1" w:styleId="247">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08"/>
    <w:autoRedefine/>
    <w:qFormat/>
    <w:uiPriority w:val="0"/>
    <w:pPr>
      <w:tabs>
        <w:tab w:val="left" w:pos="0"/>
      </w:tabs>
    </w:pPr>
    <w:rPr>
      <w:rFonts w:ascii="Arial" w:hAnsi="Arial" w:eastAsia="楷体_GB2312"/>
      <w:color w:val="000080"/>
      <w:sz w:val="28"/>
      <w:szCs w:val="28"/>
    </w:rPr>
  </w:style>
  <w:style w:type="paragraph" w:customStyle="1" w:styleId="252">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5"/>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3">
    <w:name w:val="列出段落1"/>
    <w:basedOn w:val="1"/>
    <w:autoRedefine/>
    <w:qFormat/>
    <w:uiPriority w:val="34"/>
    <w:pPr>
      <w:ind w:firstLine="420" w:firstLineChars="200"/>
    </w:pPr>
  </w:style>
  <w:style w:type="paragraph" w:customStyle="1" w:styleId="26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autoRedefine/>
    <w:qFormat/>
    <w:uiPriority w:val="0"/>
    <w:pPr>
      <w:spacing w:line="360" w:lineRule="auto"/>
      <w:ind w:firstLine="420" w:firstLineChars="200"/>
    </w:pPr>
    <w:rPr>
      <w:rFonts w:ascii="宋体" w:hAnsi="宋体"/>
      <w:sz w:val="24"/>
    </w:rPr>
  </w:style>
  <w:style w:type="paragraph" w:customStyle="1" w:styleId="266">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autoRedefine/>
    <w:qFormat/>
    <w:uiPriority w:val="0"/>
    <w:rPr>
      <w:szCs w:val="20"/>
    </w:rPr>
  </w:style>
  <w:style w:type="paragraph" w:customStyle="1" w:styleId="270">
    <w:name w:val="样式23"/>
    <w:basedOn w:val="271"/>
    <w:autoRedefine/>
    <w:qFormat/>
    <w:uiPriority w:val="0"/>
    <w:pPr>
      <w:tabs>
        <w:tab w:val="left" w:pos="420"/>
      </w:tabs>
      <w:adjustRightInd w:val="0"/>
      <w:snapToGrid w:val="0"/>
      <w:spacing w:after="0" w:line="240" w:lineRule="auto"/>
    </w:pPr>
    <w:rPr>
      <w:szCs w:val="20"/>
    </w:rPr>
  </w:style>
  <w:style w:type="paragraph" w:customStyle="1" w:styleId="271">
    <w:name w:val="小点说明"/>
    <w:basedOn w:val="1"/>
    <w:autoRedefine/>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7">
    <w:name w:val="首行缩进"/>
    <w:basedOn w:val="1"/>
    <w:autoRedefine/>
    <w:qFormat/>
    <w:uiPriority w:val="0"/>
    <w:pPr>
      <w:spacing w:line="360" w:lineRule="auto"/>
      <w:ind w:firstLine="720"/>
    </w:pPr>
    <w:rPr>
      <w:szCs w:val="21"/>
    </w:rPr>
  </w:style>
  <w:style w:type="paragraph" w:customStyle="1" w:styleId="278">
    <w:name w:val="正文段"/>
    <w:basedOn w:val="1"/>
    <w:autoRedefine/>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5"/>
    <w:autoRedefine/>
    <w:qFormat/>
    <w:uiPriority w:val="0"/>
    <w:pPr>
      <w:spacing w:line="240" w:lineRule="auto"/>
      <w:ind w:firstLine="0" w:firstLineChars="0"/>
    </w:pPr>
    <w:rPr>
      <w:rFonts w:cs="宋体"/>
      <w:szCs w:val="20"/>
    </w:rPr>
  </w:style>
  <w:style w:type="paragraph" w:customStyle="1" w:styleId="280">
    <w:name w:val="TOC 标题1"/>
    <w:basedOn w:val="4"/>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4"/>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autoRedefine/>
    <w:qFormat/>
    <w:uiPriority w:val="0"/>
    <w:pPr>
      <w:tabs>
        <w:tab w:val="left" w:pos="851"/>
      </w:tabs>
      <w:spacing w:line="360" w:lineRule="auto"/>
      <w:jc w:val="left"/>
    </w:pPr>
    <w:rPr>
      <w:rFonts w:cs="宋体"/>
      <w:sz w:val="24"/>
      <w:szCs w:val="20"/>
    </w:rPr>
  </w:style>
  <w:style w:type="paragraph" w:customStyle="1" w:styleId="288">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autoRedefine/>
    <w:qFormat/>
    <w:uiPriority w:val="0"/>
    <w:pPr>
      <w:widowControl/>
      <w:jc w:val="left"/>
    </w:pPr>
    <w:rPr>
      <w:rFonts w:ascii="宋体" w:hAnsi="宋体"/>
      <w:kern w:val="0"/>
      <w:sz w:val="20"/>
      <w:szCs w:val="20"/>
    </w:rPr>
  </w:style>
  <w:style w:type="paragraph" w:customStyle="1" w:styleId="293">
    <w:name w:val="Char Char"/>
    <w:basedOn w:val="1"/>
    <w:autoRedefine/>
    <w:qFormat/>
    <w:uiPriority w:val="0"/>
    <w:pPr>
      <w:jc w:val="center"/>
    </w:pPr>
    <w:rPr>
      <w:rFonts w:ascii="仿宋_GB2312" w:eastAsia="仿宋_GB2312"/>
      <w:b/>
      <w:kern w:val="0"/>
      <w:sz w:val="32"/>
      <w:szCs w:val="32"/>
      <w:lang w:val="en-GB"/>
    </w:rPr>
  </w:style>
  <w:style w:type="paragraph" w:customStyle="1" w:styleId="294">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
    <w:autoRedefine/>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autoRedefine/>
    <w:qFormat/>
    <w:uiPriority w:val="0"/>
    <w:pPr>
      <w:widowControl/>
    </w:pPr>
    <w:rPr>
      <w:rFonts w:ascii="Arial" w:hAnsi="Arial" w:cs="Arial"/>
      <w:color w:val="333333"/>
      <w:kern w:val="0"/>
      <w:sz w:val="18"/>
      <w:szCs w:val="18"/>
    </w:rPr>
  </w:style>
  <w:style w:type="paragraph" w:customStyle="1" w:styleId="299">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autoRedefine/>
    <w:qFormat/>
    <w:uiPriority w:val="0"/>
    <w:rPr>
      <w:rFonts w:ascii="Tahoma" w:hAnsi="Tahoma"/>
      <w:sz w:val="24"/>
      <w:szCs w:val="20"/>
    </w:rPr>
  </w:style>
  <w:style w:type="paragraph" w:customStyle="1" w:styleId="302">
    <w:name w:val="样式26"/>
    <w:basedOn w:val="303"/>
    <w:autoRedefine/>
    <w:qFormat/>
    <w:uiPriority w:val="0"/>
    <w:pPr>
      <w:tabs>
        <w:tab w:val="left" w:pos="180"/>
        <w:tab w:val="left" w:pos="1580"/>
      </w:tabs>
      <w:ind w:left="1603" w:hanging="363"/>
    </w:pPr>
  </w:style>
  <w:style w:type="paragraph" w:customStyle="1" w:styleId="303">
    <w:name w:val="样式25"/>
    <w:basedOn w:val="1"/>
    <w:autoRedefine/>
    <w:qFormat/>
    <w:uiPriority w:val="0"/>
    <w:pPr>
      <w:tabs>
        <w:tab w:val="left" w:pos="180"/>
      </w:tabs>
      <w:ind w:left="1260" w:hanging="720"/>
    </w:pPr>
    <w:rPr>
      <w:sz w:val="24"/>
      <w:szCs w:val="20"/>
    </w:rPr>
  </w:style>
  <w:style w:type="paragraph" w:customStyle="1" w:styleId="304">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5">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autoRedefine/>
    <w:qFormat/>
    <w:uiPriority w:val="0"/>
    <w:pPr>
      <w:ind w:firstLine="200" w:firstLineChars="200"/>
    </w:pPr>
    <w:rPr>
      <w:szCs w:val="20"/>
    </w:rPr>
  </w:style>
  <w:style w:type="paragraph" w:customStyle="1" w:styleId="309">
    <w:name w:val="样式 标题 3列表编号3h33rd level + 段前: 1 行"/>
    <w:basedOn w:val="6"/>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5"/>
    <w:autoRedefine/>
    <w:qFormat/>
    <w:uiPriority w:val="0"/>
    <w:pPr>
      <w:spacing w:after="80" w:line="360" w:lineRule="auto"/>
      <w:ind w:firstLine="480" w:firstLineChars="200"/>
    </w:pPr>
    <w:rPr>
      <w:sz w:val="24"/>
    </w:rPr>
  </w:style>
  <w:style w:type="paragraph" w:customStyle="1" w:styleId="315">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6"/>
    <w:autoRedefine/>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autoRedefine/>
    <w:qFormat/>
    <w:uiPriority w:val="0"/>
    <w:rPr>
      <w:rFonts w:ascii="仿宋_GB2312" w:eastAsia="仿宋_GB2312"/>
      <w:b/>
      <w:sz w:val="32"/>
      <w:szCs w:val="32"/>
    </w:rPr>
  </w:style>
  <w:style w:type="paragraph" w:customStyle="1" w:styleId="32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4"/>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3">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autoRedefine/>
    <w:qFormat/>
    <w:uiPriority w:val="0"/>
    <w:pPr>
      <w:keepNext/>
      <w:keepLines/>
      <w:ind w:left="1134"/>
      <w:jc w:val="center"/>
    </w:pPr>
  </w:style>
  <w:style w:type="paragraph" w:customStyle="1" w:styleId="335">
    <w:name w:val="Figure Description"/>
    <w:basedOn w:val="334"/>
    <w:next w:val="108"/>
    <w:autoRedefine/>
    <w:qFormat/>
    <w:uiPriority w:val="0"/>
    <w:pPr>
      <w:tabs>
        <w:tab w:val="left" w:pos="680"/>
      </w:tabs>
      <w:spacing w:afterLines="100"/>
    </w:pPr>
    <w:rPr>
      <w:sz w:val="18"/>
    </w:rPr>
  </w:style>
  <w:style w:type="paragraph" w:customStyle="1" w:styleId="336">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39">
    <w:name w:val="p19"/>
    <w:basedOn w:val="1"/>
    <w:autoRedefine/>
    <w:qFormat/>
    <w:uiPriority w:val="0"/>
    <w:pPr>
      <w:widowControl/>
      <w:spacing w:beforeLines="100" w:afterLines="100"/>
      <w:ind w:left="1134"/>
    </w:pPr>
    <w:rPr>
      <w:kern w:val="0"/>
      <w:szCs w:val="21"/>
    </w:rPr>
  </w:style>
  <w:style w:type="paragraph" w:customStyle="1" w:styleId="340">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autoRedefine/>
    <w:qFormat/>
    <w:uiPriority w:val="0"/>
    <w:pPr>
      <w:widowControl/>
      <w:jc w:val="left"/>
    </w:pPr>
    <w:rPr>
      <w:sz w:val="36"/>
    </w:rPr>
  </w:style>
  <w:style w:type="paragraph" w:customStyle="1" w:styleId="346">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autoRedefine/>
    <w:qFormat/>
    <w:uiPriority w:val="0"/>
    <w:pPr>
      <w:tabs>
        <w:tab w:val="left" w:pos="1080"/>
      </w:tabs>
      <w:ind w:left="1134" w:firstLine="0" w:firstLineChars="0"/>
    </w:pPr>
  </w:style>
  <w:style w:type="paragraph" w:customStyle="1" w:styleId="349">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autoRedefine/>
    <w:qFormat/>
    <w:uiPriority w:val="0"/>
    <w:pPr>
      <w:jc w:val="center"/>
    </w:pPr>
  </w:style>
  <w:style w:type="paragraph" w:customStyle="1" w:styleId="358">
    <w:name w:val="Item Step in Table"/>
    <w:basedOn w:val="1"/>
    <w:autoRedefine/>
    <w:qFormat/>
    <w:uiPriority w:val="0"/>
    <w:pPr>
      <w:tabs>
        <w:tab w:val="left" w:pos="420"/>
      </w:tabs>
      <w:ind w:left="420" w:hanging="420"/>
      <w:jc w:val="left"/>
    </w:pPr>
  </w:style>
  <w:style w:type="paragraph" w:customStyle="1" w:styleId="359">
    <w:name w:val="默认段落字体 Para Char"/>
    <w:basedOn w:val="1"/>
    <w:autoRedefine/>
    <w:qFormat/>
    <w:uiPriority w:val="0"/>
    <w:rPr>
      <w:szCs w:val="20"/>
    </w:rPr>
  </w:style>
  <w:style w:type="paragraph" w:customStyle="1" w:styleId="360">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autoRedefine/>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autoRedefine/>
    <w:qFormat/>
    <w:uiPriority w:val="0"/>
    <w:rPr>
      <w:rFonts w:ascii="仿宋_GB2312" w:hAnsi="宋体" w:eastAsia="仿宋_GB2312" w:cs="宋体"/>
      <w:b/>
      <w:sz w:val="32"/>
      <w:szCs w:val="32"/>
    </w:rPr>
  </w:style>
  <w:style w:type="paragraph" w:customStyle="1" w:styleId="366">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autoRedefine/>
    <w:qFormat/>
    <w:uiPriority w:val="0"/>
    <w:pPr>
      <w:numPr>
        <w:ilvl w:val="0"/>
        <w:numId w:val="3"/>
      </w:numPr>
      <w:jc w:val="left"/>
    </w:pPr>
  </w:style>
  <w:style w:type="paragraph" w:customStyle="1" w:styleId="368">
    <w:name w:val="Table Heading"/>
    <w:basedOn w:val="1"/>
    <w:autoRedefine/>
    <w:qFormat/>
    <w:uiPriority w:val="0"/>
    <w:pPr>
      <w:jc w:val="center"/>
    </w:pPr>
    <w:rPr>
      <w:rFonts w:ascii="Arial" w:hAnsi="Arial" w:eastAsia="黑体"/>
      <w:b/>
    </w:rPr>
  </w:style>
  <w:style w:type="paragraph" w:customStyle="1" w:styleId="369">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0">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autoRedefine/>
    <w:qFormat/>
    <w:uiPriority w:val="34"/>
    <w:pPr>
      <w:spacing w:line="360" w:lineRule="auto"/>
      <w:ind w:firstLine="420" w:firstLineChars="200"/>
    </w:pPr>
    <w:rPr>
      <w:rFonts w:ascii="Calibri" w:hAnsi="Calibri"/>
      <w:szCs w:val="22"/>
    </w:rPr>
  </w:style>
  <w:style w:type="paragraph" w:customStyle="1" w:styleId="372">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autoRedefine/>
    <w:qFormat/>
    <w:uiPriority w:val="0"/>
    <w:rPr>
      <w:sz w:val="18"/>
    </w:rPr>
  </w:style>
  <w:style w:type="paragraph" w:customStyle="1" w:styleId="375">
    <w:name w:val="次小点说明"/>
    <w:basedOn w:val="15"/>
    <w:autoRedefine/>
    <w:qFormat/>
    <w:uiPriority w:val="0"/>
    <w:pPr>
      <w:tabs>
        <w:tab w:val="left" w:pos="720"/>
      </w:tabs>
      <w:spacing w:line="360" w:lineRule="auto"/>
      <w:ind w:left="777" w:hanging="417"/>
    </w:pPr>
    <w:rPr>
      <w:sz w:val="24"/>
    </w:rPr>
  </w:style>
  <w:style w:type="paragraph" w:customStyle="1" w:styleId="376">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autoRedefine/>
    <w:qFormat/>
    <w:uiPriority w:val="0"/>
    <w:pPr>
      <w:spacing w:line="360" w:lineRule="auto"/>
      <w:ind w:firstLine="200" w:firstLineChars="200"/>
    </w:pPr>
    <w:rPr>
      <w:sz w:val="24"/>
    </w:rPr>
  </w:style>
  <w:style w:type="paragraph" w:customStyle="1" w:styleId="378">
    <w:name w:val="方案标题4"/>
    <w:basedOn w:val="7"/>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autoRedefine/>
    <w:qFormat/>
    <w:uiPriority w:val="0"/>
    <w:pPr>
      <w:ind w:left="420" w:hanging="420"/>
    </w:pPr>
    <w:rPr>
      <w:sz w:val="28"/>
      <w:szCs w:val="20"/>
    </w:rPr>
  </w:style>
  <w:style w:type="paragraph" w:customStyle="1" w:styleId="383">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autoRedefine/>
    <w:qFormat/>
    <w:uiPriority w:val="0"/>
    <w:pPr>
      <w:spacing w:line="360" w:lineRule="auto"/>
      <w:ind w:firstLine="461" w:firstLineChars="192"/>
    </w:pPr>
    <w:rPr>
      <w:rFonts w:ascii="宋体" w:hAnsi="宋体"/>
      <w:sz w:val="24"/>
    </w:rPr>
  </w:style>
  <w:style w:type="paragraph" w:customStyle="1" w:styleId="387">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autoRedefine/>
    <w:qFormat/>
    <w:uiPriority w:val="0"/>
    <w:pPr>
      <w:widowControl/>
      <w:spacing w:afterLines="100"/>
      <w:ind w:left="1134"/>
      <w:jc w:val="center"/>
    </w:pPr>
    <w:rPr>
      <w:kern w:val="0"/>
      <w:sz w:val="18"/>
      <w:szCs w:val="18"/>
    </w:rPr>
  </w:style>
  <w:style w:type="paragraph" w:customStyle="1" w:styleId="38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autoRedefine/>
    <w:qFormat/>
    <w:uiPriority w:val="0"/>
    <w:pPr>
      <w:spacing w:line="240" w:lineRule="atLeast"/>
      <w:ind w:left="420" w:firstLine="420"/>
    </w:pPr>
  </w:style>
  <w:style w:type="paragraph" w:customStyle="1" w:styleId="393">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2"/>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5">
    <w:name w:val="NormalCharacter"/>
    <w:autoRedefine/>
    <w:semiHidden/>
    <w:qFormat/>
    <w:uiPriority w:val="0"/>
    <w:rPr>
      <w:kern w:val="2"/>
      <w:sz w:val="21"/>
      <w:szCs w:val="24"/>
      <w:lang w:val="en-US" w:eastAsia="zh-CN" w:bidi="ar-SA"/>
    </w:rPr>
  </w:style>
  <w:style w:type="paragraph" w:styleId="396">
    <w:name w:val="List Paragraph"/>
    <w:basedOn w:val="1"/>
    <w:autoRedefine/>
    <w:qFormat/>
    <w:uiPriority w:val="34"/>
    <w:pPr>
      <w:ind w:left="720"/>
      <w:contextualSpacing/>
    </w:pPr>
  </w:style>
  <w:style w:type="character" w:customStyle="1" w:styleId="397">
    <w:name w:val="fontstyle01"/>
    <w:autoRedefine/>
    <w:qFormat/>
    <w:uiPriority w:val="0"/>
    <w:rPr>
      <w:rFonts w:hint="eastAsia" w:ascii="宋体" w:hAnsi="宋体" w:eastAsia="宋体"/>
      <w:color w:val="000000"/>
      <w:sz w:val="22"/>
      <w:szCs w:val="22"/>
    </w:rPr>
  </w:style>
  <w:style w:type="paragraph" w:customStyle="1" w:styleId="398">
    <w:name w:val="肖正"/>
    <w:basedOn w:val="1"/>
    <w:autoRedefine/>
    <w:qFormat/>
    <w:uiPriority w:val="0"/>
    <w:pPr>
      <w:ind w:firstLine="567"/>
    </w:pPr>
    <w:rPr>
      <w:sz w:val="24"/>
      <w:szCs w:val="18"/>
    </w:rPr>
  </w:style>
  <w:style w:type="paragraph" w:customStyle="1" w:styleId="399">
    <w:name w:val="章正文"/>
    <w:basedOn w:val="1"/>
    <w:autoRedefine/>
    <w:qFormat/>
    <w:uiPriority w:val="0"/>
    <w:pPr>
      <w:widowControl/>
      <w:spacing w:beforeLines="50" w:after="120" w:line="300" w:lineRule="auto"/>
      <w:ind w:firstLine="480"/>
      <w:jc w:val="left"/>
    </w:pPr>
    <w:rPr>
      <w:rFonts w:ascii="EtGsHeiBold" w:hAnsi="EtGsHeiBold"/>
      <w:kern w:val="0"/>
      <w:sz w:val="24"/>
      <w:lang w:eastAsia="en-US" w:bidi="en-US"/>
    </w:rPr>
  </w:style>
  <w:style w:type="paragraph" w:customStyle="1" w:styleId="400">
    <w:name w:val="+正文"/>
    <w:basedOn w:val="1"/>
    <w:qFormat/>
    <w:uiPriority w:val="0"/>
    <w:pPr>
      <w:spacing w:line="360" w:lineRule="auto"/>
      <w:ind w:firstLine="200" w:firstLineChars="200"/>
    </w:pPr>
    <w:rPr>
      <w:sz w:val="24"/>
      <w:szCs w:val="28"/>
    </w:rPr>
  </w:style>
  <w:style w:type="paragraph" w:customStyle="1" w:styleId="401">
    <w:name w:val="常用"/>
    <w:qFormat/>
    <w:uiPriority w:val="0"/>
    <w:pPr>
      <w:widowControl w:val="0"/>
      <w:spacing w:line="360" w:lineRule="auto"/>
      <w:jc w:val="both"/>
    </w:pPr>
    <w:rPr>
      <w:rFonts w:ascii="宋体" w:hAnsi="宋体" w:eastAsia="宋体" w:cs="宋体"/>
      <w:kern w:val="2"/>
      <w:sz w:val="24"/>
      <w:szCs w:val="24"/>
      <w:lang w:val="en-US" w:eastAsia="zh-CN" w:bidi="ar-SA"/>
    </w:rPr>
  </w:style>
  <w:style w:type="paragraph" w:customStyle="1" w:styleId="402">
    <w:name w:val="样式 标题 2 + Times New Roman 四号 非加粗 段前: 5 磅 段后: 0 磅 行距: 固定值 20..."/>
    <w:basedOn w:val="5"/>
    <w:qFormat/>
    <w:uiPriority w:val="0"/>
    <w:pPr>
      <w:spacing w:before="100" w:line="400" w:lineRule="exact"/>
    </w:pPr>
    <w:rPr>
      <w:rFonts w:ascii="Times New Roman" w:hAnsi="Times New Roman"/>
      <w:b w:val="0"/>
      <w:bCs w:val="0"/>
      <w:sz w:val="28"/>
      <w:szCs w:val="20"/>
    </w:rPr>
  </w:style>
  <w:style w:type="table" w:customStyle="1" w:styleId="40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75</Pages>
  <Words>27918</Words>
  <Characters>30484</Characters>
  <Lines>326</Lines>
  <Paragraphs>92</Paragraphs>
  <TotalTime>0</TotalTime>
  <ScaleCrop>false</ScaleCrop>
  <LinksUpToDate>false</LinksUpToDate>
  <CharactersWithSpaces>30841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亚米</cp:lastModifiedBy>
  <cp:lastPrinted>2026-01-20T05:57:00Z</cp:lastPrinted>
  <dcterms:modified xsi:type="dcterms:W3CDTF">2026-04-30T00:18:29Z</dcterms:modified>
  <dc:title>临海市政府采购</dc:title>
  <cp:revision>897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994DB8D8D08442C9ADA4970A194610AE_13</vt:lpwstr>
  </property>
  <property fmtid="{D5CDD505-2E9C-101B-9397-08002B2CF9AE}" pid="4" name="KSOTemplateDocerSaveRecord">
    <vt:lpwstr>eyJoZGlkIjoiMmYyMTRiZDQ0MmEwZGZhY2EzYjg3MzNmYjIzYWU0ODgiLCJ1c2VySWQiOiI1MDg3MDIyNTIifQ==</vt:lpwstr>
  </property>
</Properties>
</file>