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35BD27">
      <w:pPr>
        <w:bidi w:val="0"/>
        <w:rPr>
          <w:rFonts w:hint="eastAsia"/>
          <w:color w:val="auto"/>
          <w:highlight w:val="none"/>
          <w:lang w:eastAsia="zh-CN"/>
        </w:rPr>
      </w:pPr>
    </w:p>
    <w:p w14:paraId="0EA3746C">
      <w:pPr>
        <w:adjustRightInd w:val="0"/>
        <w:snapToGrid w:val="0"/>
        <w:spacing w:line="1200" w:lineRule="exact"/>
        <w:jc w:val="center"/>
        <w:rPr>
          <w:rFonts w:ascii="华文新魏" w:hAnsi="华文仿宋" w:eastAsia="华文新魏"/>
          <w:b/>
          <w:bCs/>
          <w:color w:val="auto"/>
          <w:sz w:val="72"/>
          <w:highlight w:val="none"/>
        </w:rPr>
      </w:pPr>
      <w:r>
        <w:rPr>
          <w:rFonts w:hint="eastAsia" w:ascii="华文新魏" w:hAnsi="华文仿宋" w:eastAsia="华文新魏"/>
          <w:b/>
          <w:bCs/>
          <w:color w:val="auto"/>
          <w:sz w:val="72"/>
          <w:highlight w:val="none"/>
        </w:rPr>
        <w:t>临海市非政府采购项目</w:t>
      </w:r>
    </w:p>
    <w:p w14:paraId="37709873">
      <w:pPr>
        <w:adjustRightInd w:val="0"/>
        <w:snapToGrid w:val="0"/>
        <w:spacing w:line="1200" w:lineRule="exact"/>
        <w:jc w:val="center"/>
        <w:rPr>
          <w:rFonts w:ascii="华文新魏" w:hAnsi="华文仿宋" w:eastAsia="华文新魏"/>
          <w:b/>
          <w:bCs/>
          <w:color w:val="auto"/>
          <w:sz w:val="84"/>
          <w:szCs w:val="84"/>
          <w:highlight w:val="none"/>
        </w:rPr>
      </w:pPr>
      <w:r>
        <w:rPr>
          <w:rFonts w:hint="eastAsia" w:ascii="华文新魏" w:hAnsi="华文仿宋" w:eastAsia="华文新魏"/>
          <w:b/>
          <w:bCs/>
          <w:color w:val="auto"/>
          <w:sz w:val="84"/>
          <w:szCs w:val="84"/>
          <w:highlight w:val="none"/>
        </w:rPr>
        <w:t>招  标  文  件</w:t>
      </w:r>
    </w:p>
    <w:p w14:paraId="1E51C113">
      <w:pPr>
        <w:adjustRightInd w:val="0"/>
        <w:snapToGrid w:val="0"/>
        <w:rPr>
          <w:rFonts w:ascii="宋体" w:hAnsi="宋体"/>
          <w:b/>
          <w:bCs/>
          <w:color w:val="auto"/>
          <w:sz w:val="32"/>
          <w:szCs w:val="32"/>
          <w:highlight w:val="none"/>
        </w:rPr>
      </w:pPr>
    </w:p>
    <w:p w14:paraId="34622DE2">
      <w:pPr>
        <w:adjustRightInd w:val="0"/>
        <w:snapToGrid w:val="0"/>
        <w:spacing w:line="360" w:lineRule="auto"/>
        <w:ind w:left="1955" w:hanging="1955" w:hangingChars="541"/>
        <w:jc w:val="center"/>
        <w:rPr>
          <w:rFonts w:hint="eastAsia" w:ascii="宋体" w:hAnsi="宋体" w:cs="宋体"/>
          <w:b/>
          <w:color w:val="auto"/>
          <w:sz w:val="36"/>
          <w:szCs w:val="32"/>
          <w:highlight w:val="none"/>
          <w:lang w:eastAsia="zh-CN"/>
        </w:rPr>
      </w:pPr>
      <w:r>
        <w:rPr>
          <w:rFonts w:hint="eastAsia" w:ascii="宋体" w:hAnsi="宋体"/>
          <w:b/>
          <w:bCs/>
          <w:color w:val="auto"/>
          <w:sz w:val="36"/>
          <w:szCs w:val="36"/>
          <w:highlight w:val="none"/>
        </w:rPr>
        <w:t>（电子投标、不见面开标方式）</w:t>
      </w:r>
    </w:p>
    <w:p w14:paraId="6BC130B6">
      <w:pPr>
        <w:pStyle w:val="20"/>
        <w:rPr>
          <w:rFonts w:hint="eastAsia"/>
          <w:color w:val="auto"/>
          <w:highlight w:val="none"/>
          <w:lang w:eastAsia="zh-CN"/>
        </w:rPr>
      </w:pPr>
    </w:p>
    <w:p w14:paraId="19A2C9DB">
      <w:pPr>
        <w:pStyle w:val="20"/>
        <w:rPr>
          <w:rFonts w:hint="eastAsia"/>
          <w:color w:val="auto"/>
          <w:highlight w:val="none"/>
          <w:lang w:eastAsia="zh-CN"/>
        </w:rPr>
      </w:pPr>
    </w:p>
    <w:p w14:paraId="733FE6D2">
      <w:pPr>
        <w:adjustRightInd w:val="0"/>
        <w:snapToGrid w:val="0"/>
        <w:spacing w:line="360" w:lineRule="auto"/>
        <w:ind w:left="1520" w:leftChars="135" w:hanging="1237" w:hangingChars="440"/>
        <w:rPr>
          <w:rFonts w:hint="eastAsia" w:ascii="宋体" w:hAnsi="宋体"/>
          <w:b/>
          <w:bCs/>
          <w:color w:val="auto"/>
          <w:sz w:val="28"/>
          <w:szCs w:val="28"/>
          <w:highlight w:val="none"/>
          <w:lang w:eastAsia="zh-CN"/>
        </w:rPr>
      </w:pPr>
      <w:r>
        <w:rPr>
          <w:rFonts w:hint="eastAsia" w:ascii="宋体" w:hAnsi="宋体"/>
          <w:b/>
          <w:bCs/>
          <w:color w:val="auto"/>
          <w:sz w:val="28"/>
          <w:szCs w:val="28"/>
          <w:highlight w:val="none"/>
        </w:rPr>
        <w:t>项目名称：</w:t>
      </w:r>
      <w:r>
        <w:rPr>
          <w:rFonts w:hint="eastAsia" w:ascii="宋体" w:hAnsi="宋体"/>
          <w:b/>
          <w:bCs/>
          <w:color w:val="auto"/>
          <w:sz w:val="28"/>
          <w:szCs w:val="28"/>
          <w:highlight w:val="none"/>
          <w:lang w:eastAsia="zh-CN"/>
        </w:rPr>
        <w:t>台州综合保税区2020-4地</w:t>
      </w:r>
      <w:r>
        <w:rPr>
          <w:rFonts w:hint="eastAsia" w:ascii="宋体" w:hAnsi="宋体"/>
          <w:b/>
          <w:bCs/>
          <w:color w:val="auto"/>
          <w:sz w:val="28"/>
          <w:szCs w:val="28"/>
          <w:highlight w:val="none"/>
          <w:lang w:val="en-US" w:eastAsia="zh-CN"/>
        </w:rPr>
        <w:t>块</w:t>
      </w:r>
      <w:r>
        <w:rPr>
          <w:rFonts w:hint="eastAsia" w:ascii="宋体" w:hAnsi="宋体"/>
          <w:b/>
          <w:bCs/>
          <w:color w:val="auto"/>
          <w:sz w:val="28"/>
          <w:szCs w:val="28"/>
          <w:highlight w:val="none"/>
          <w:lang w:eastAsia="zh-CN"/>
        </w:rPr>
        <w:t>建设工程(区块一、区块三)-提升机采购</w:t>
      </w:r>
    </w:p>
    <w:p w14:paraId="3FB2E180">
      <w:pPr>
        <w:adjustRightInd w:val="0"/>
        <w:snapToGrid w:val="0"/>
        <w:spacing w:line="360" w:lineRule="auto"/>
        <w:ind w:left="1520" w:leftChars="135" w:hanging="1237" w:hangingChars="440"/>
        <w:rPr>
          <w:rFonts w:hint="default" w:ascii="宋体" w:hAnsi="宋体" w:eastAsia="宋体"/>
          <w:b/>
          <w:bCs/>
          <w:color w:val="auto"/>
          <w:sz w:val="28"/>
          <w:szCs w:val="28"/>
          <w:highlight w:val="none"/>
          <w:lang w:val="en-US" w:eastAsia="zh-CN"/>
        </w:rPr>
      </w:pPr>
      <w:r>
        <w:rPr>
          <w:rFonts w:hint="eastAsia" w:ascii="宋体" w:hAnsi="宋体"/>
          <w:b/>
          <w:bCs/>
          <w:color w:val="auto"/>
          <w:sz w:val="28"/>
          <w:szCs w:val="28"/>
          <w:highlight w:val="none"/>
        </w:rPr>
        <w:t>项目编号：</w:t>
      </w:r>
      <w:r>
        <w:rPr>
          <w:rFonts w:hint="eastAsia" w:ascii="宋体" w:hAnsi="宋体"/>
          <w:b/>
          <w:bCs/>
          <w:color w:val="auto"/>
          <w:sz w:val="28"/>
          <w:szCs w:val="28"/>
          <w:highlight w:val="none"/>
          <w:lang w:val="en-US" w:eastAsia="zh-CN"/>
        </w:rPr>
        <w:t>ZJYX-202618</w:t>
      </w:r>
    </w:p>
    <w:p w14:paraId="4C6DE65B">
      <w:pPr>
        <w:pStyle w:val="50"/>
        <w:rPr>
          <w:rFonts w:hint="default"/>
          <w:color w:val="auto"/>
          <w:highlight w:val="none"/>
          <w:lang w:val="en-US" w:eastAsia="zh-CN"/>
        </w:rPr>
      </w:pPr>
    </w:p>
    <w:p w14:paraId="7702A01C">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left="1440" w:right="1800" w:firstLine="600" w:firstLineChars="200"/>
        <w:jc w:val="left"/>
        <w:rPr>
          <w:rFonts w:hint="eastAsia" w:ascii="宋体" w:hAnsi="宋体" w:eastAsia="宋体" w:cs="宋体"/>
          <w:color w:val="auto"/>
          <w:kern w:val="0"/>
          <w:sz w:val="30"/>
          <w:szCs w:val="30"/>
          <w:highlight w:val="none"/>
          <w:shd w:val="clear" w:color="auto" w:fill="auto"/>
        </w:rPr>
      </w:pPr>
    </w:p>
    <w:p w14:paraId="602A7CB9">
      <w:pPr>
        <w:pStyle w:val="20"/>
        <w:rPr>
          <w:rFonts w:hint="eastAsia" w:ascii="仿宋" w:hAnsi="仿宋" w:eastAsia="仿宋" w:cs="仿宋"/>
          <w:color w:val="auto"/>
          <w:kern w:val="0"/>
          <w:sz w:val="28"/>
          <w:szCs w:val="28"/>
          <w:highlight w:val="none"/>
          <w:shd w:val="clear" w:color="auto" w:fill="auto"/>
        </w:rPr>
      </w:pPr>
    </w:p>
    <w:p w14:paraId="2D2DD4B1">
      <w:pPr>
        <w:rPr>
          <w:rFonts w:hint="eastAsia"/>
          <w:color w:val="auto"/>
          <w:highlight w:val="none"/>
        </w:rPr>
      </w:pPr>
    </w:p>
    <w:p w14:paraId="2128A5E8">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right="420" w:rightChars="200"/>
        <w:jc w:val="both"/>
        <w:rPr>
          <w:rFonts w:hint="eastAsia" w:ascii="仿宋" w:hAnsi="仿宋" w:eastAsia="仿宋" w:cs="仿宋"/>
          <w:color w:val="auto"/>
          <w:kern w:val="0"/>
          <w:sz w:val="28"/>
          <w:szCs w:val="28"/>
          <w:highlight w:val="none"/>
          <w:shd w:val="clear" w:color="auto" w:fill="auto"/>
        </w:rPr>
      </w:pPr>
    </w:p>
    <w:p w14:paraId="42F8BF12">
      <w:pPr>
        <w:spacing w:line="480" w:lineRule="auto"/>
        <w:ind w:firstLine="281" w:firstLineChars="100"/>
        <w:rPr>
          <w:rFonts w:hint="eastAsia" w:ascii="宋体" w:hAnsi="宋体" w:cs="宋体"/>
          <w:b/>
          <w:color w:val="auto"/>
          <w:sz w:val="28"/>
          <w:highlight w:val="none"/>
          <w:lang w:val="en-US" w:eastAsia="zh-CN"/>
        </w:rPr>
      </w:pPr>
      <w:r>
        <w:rPr>
          <w:rFonts w:hint="eastAsia" w:ascii="宋体" w:hAnsi="宋体" w:cs="宋体"/>
          <w:b/>
          <w:color w:val="auto"/>
          <w:sz w:val="28"/>
          <w:highlight w:val="none"/>
          <w:lang w:val="en-US" w:eastAsia="zh-CN"/>
        </w:rPr>
        <w:t>招标人（建设单位）：</w:t>
      </w:r>
      <w:r>
        <w:rPr>
          <w:rFonts w:hint="eastAsia" w:ascii="宋体" w:hAnsi="宋体" w:cs="宋体"/>
          <w:b/>
          <w:color w:val="auto"/>
          <w:sz w:val="28"/>
          <w:highlight w:val="none"/>
          <w:lang w:eastAsia="zh-CN"/>
        </w:rPr>
        <w:t>台州综合保税区投资发展有限公司</w:t>
      </w:r>
      <w:r>
        <w:rPr>
          <w:rFonts w:hint="eastAsia" w:ascii="宋体" w:hAnsi="宋体" w:eastAsia="宋体" w:cs="宋体"/>
          <w:b/>
          <w:color w:val="auto"/>
          <w:sz w:val="28"/>
          <w:highlight w:val="none"/>
          <w:lang w:eastAsia="zh-CN"/>
        </w:rPr>
        <w:t>（盖章）</w:t>
      </w:r>
      <w:r>
        <w:rPr>
          <w:rFonts w:hint="eastAsia" w:ascii="宋体" w:hAnsi="宋体" w:eastAsia="宋体" w:cs="宋体"/>
          <w:b/>
          <w:color w:val="auto"/>
          <w:sz w:val="28"/>
          <w:highlight w:val="none"/>
          <w:lang w:val="en-US" w:eastAsia="zh-CN"/>
        </w:rPr>
        <w:t xml:space="preserve"> </w:t>
      </w:r>
    </w:p>
    <w:p w14:paraId="46945BDA">
      <w:pPr>
        <w:spacing w:line="480" w:lineRule="auto"/>
        <w:ind w:firstLine="281" w:firstLineChars="100"/>
        <w:rPr>
          <w:rFonts w:hint="eastAsia"/>
          <w:color w:val="auto"/>
          <w:highlight w:val="none"/>
          <w:lang w:eastAsia="zh-CN"/>
        </w:rPr>
      </w:pPr>
      <w:r>
        <w:rPr>
          <w:rFonts w:hint="eastAsia" w:ascii="宋体" w:hAnsi="宋体" w:eastAsia="宋体" w:cs="宋体"/>
          <w:b/>
          <w:color w:val="auto"/>
          <w:sz w:val="28"/>
          <w:highlight w:val="none"/>
          <w:lang w:eastAsia="zh-CN"/>
        </w:rPr>
        <w:t>招标人</w:t>
      </w:r>
      <w:r>
        <w:rPr>
          <w:rFonts w:hint="eastAsia" w:ascii="宋体" w:hAnsi="宋体" w:cs="宋体"/>
          <w:b/>
          <w:color w:val="auto"/>
          <w:sz w:val="28"/>
          <w:highlight w:val="none"/>
          <w:lang w:eastAsia="zh-CN"/>
        </w:rPr>
        <w:t>（</w:t>
      </w:r>
      <w:r>
        <w:rPr>
          <w:rFonts w:hint="eastAsia" w:ascii="宋体" w:hAnsi="宋体" w:cs="宋体"/>
          <w:b/>
          <w:color w:val="auto"/>
          <w:sz w:val="28"/>
          <w:highlight w:val="none"/>
          <w:lang w:val="en-US" w:eastAsia="zh-CN"/>
        </w:rPr>
        <w:t>EPC总承包单位</w:t>
      </w:r>
      <w:r>
        <w:rPr>
          <w:rFonts w:hint="eastAsia" w:ascii="宋体" w:hAnsi="宋体" w:cs="宋体"/>
          <w:b/>
          <w:color w:val="auto"/>
          <w:sz w:val="28"/>
          <w:highlight w:val="none"/>
          <w:lang w:eastAsia="zh-CN"/>
        </w:rPr>
        <w:t>）</w:t>
      </w:r>
      <w:r>
        <w:rPr>
          <w:rFonts w:hint="eastAsia" w:ascii="宋体" w:hAnsi="宋体" w:eastAsia="宋体" w:cs="宋体"/>
          <w:b/>
          <w:color w:val="auto"/>
          <w:sz w:val="28"/>
          <w:highlight w:val="none"/>
          <w:lang w:eastAsia="zh-CN"/>
        </w:rPr>
        <w:t>：</w:t>
      </w:r>
      <w:r>
        <w:rPr>
          <w:rFonts w:hint="eastAsia" w:ascii="宋体" w:hAnsi="宋体" w:cs="宋体"/>
          <w:b/>
          <w:color w:val="auto"/>
          <w:sz w:val="28"/>
          <w:highlight w:val="none"/>
          <w:lang w:val="en-US" w:eastAsia="zh-CN"/>
        </w:rPr>
        <w:t>临海大诚建设工程有限公司</w:t>
      </w:r>
      <w:r>
        <w:rPr>
          <w:rFonts w:hint="eastAsia" w:ascii="宋体" w:hAnsi="宋体" w:eastAsia="宋体" w:cs="宋体"/>
          <w:b/>
          <w:color w:val="auto"/>
          <w:sz w:val="28"/>
          <w:highlight w:val="none"/>
          <w:lang w:eastAsia="zh-CN"/>
        </w:rPr>
        <w:t>（盖章）</w:t>
      </w:r>
      <w:r>
        <w:rPr>
          <w:rFonts w:hint="eastAsia" w:ascii="宋体" w:hAnsi="宋体" w:eastAsia="宋体" w:cs="宋体"/>
          <w:b/>
          <w:color w:val="auto"/>
          <w:sz w:val="28"/>
          <w:highlight w:val="none"/>
          <w:lang w:val="en-US" w:eastAsia="zh-CN"/>
        </w:rPr>
        <w:t xml:space="preserve"> </w:t>
      </w:r>
    </w:p>
    <w:p w14:paraId="21256C0C">
      <w:pPr>
        <w:spacing w:line="480" w:lineRule="auto"/>
        <w:ind w:firstLine="281" w:firstLineChars="100"/>
        <w:rPr>
          <w:rFonts w:hint="default" w:ascii="宋体" w:hAnsi="宋体" w:cs="宋体"/>
          <w:b/>
          <w:color w:val="auto"/>
          <w:sz w:val="28"/>
          <w:highlight w:val="none"/>
          <w:lang w:val="en-US" w:eastAsia="zh-CN"/>
        </w:rPr>
      </w:pPr>
      <w:r>
        <w:rPr>
          <w:rFonts w:hint="eastAsia" w:ascii="宋体" w:hAnsi="宋体"/>
          <w:b/>
          <w:bCs/>
          <w:color w:val="auto"/>
          <w:sz w:val="28"/>
          <w:szCs w:val="28"/>
          <w:highlight w:val="none"/>
        </w:rPr>
        <w:t>联 系 人：</w:t>
      </w:r>
      <w:r>
        <w:rPr>
          <w:rFonts w:hint="eastAsia" w:ascii="宋体" w:hAnsi="宋体"/>
          <w:b/>
          <w:bCs/>
          <w:color w:val="auto"/>
          <w:sz w:val="28"/>
          <w:szCs w:val="28"/>
          <w:highlight w:val="none"/>
          <w:lang w:val="en-US" w:eastAsia="zh-CN"/>
        </w:rPr>
        <w:t xml:space="preserve">项先生 </w:t>
      </w:r>
      <w:r>
        <w:rPr>
          <w:rFonts w:hint="eastAsia" w:ascii="宋体" w:hAnsi="宋体"/>
          <w:b/>
          <w:bCs/>
          <w:color w:val="auto"/>
          <w:sz w:val="28"/>
          <w:szCs w:val="28"/>
          <w:highlight w:val="none"/>
        </w:rPr>
        <w:t xml:space="preserve">             </w:t>
      </w:r>
      <w:r>
        <w:rPr>
          <w:rFonts w:hint="eastAsia" w:ascii="宋体" w:hAnsi="宋体" w:cs="宋体"/>
          <w:b/>
          <w:color w:val="auto"/>
          <w:sz w:val="28"/>
          <w:highlight w:val="none"/>
        </w:rPr>
        <w:t>联系电话:</w:t>
      </w:r>
      <w:r>
        <w:rPr>
          <w:rFonts w:hint="eastAsia" w:ascii="宋体" w:hAnsi="宋体" w:cs="宋体"/>
          <w:b/>
          <w:color w:val="auto"/>
          <w:sz w:val="28"/>
          <w:highlight w:val="none"/>
          <w:lang w:val="en-US" w:eastAsia="zh-CN"/>
        </w:rPr>
        <w:t xml:space="preserve">  15356580003</w:t>
      </w:r>
    </w:p>
    <w:p w14:paraId="44D924BB">
      <w:pPr>
        <w:pStyle w:val="63"/>
        <w:rPr>
          <w:rFonts w:hint="eastAsia" w:ascii="宋体" w:hAnsi="宋体" w:cs="宋体"/>
          <w:b/>
          <w:color w:val="auto"/>
          <w:sz w:val="28"/>
          <w:highlight w:val="none"/>
          <w:lang w:val="en-US" w:eastAsia="zh-CN"/>
        </w:rPr>
      </w:pPr>
    </w:p>
    <w:p w14:paraId="2913224F">
      <w:pPr>
        <w:pStyle w:val="63"/>
        <w:rPr>
          <w:rFonts w:hint="eastAsia" w:ascii="宋体" w:hAnsi="宋体" w:cs="宋体"/>
          <w:b/>
          <w:color w:val="auto"/>
          <w:sz w:val="28"/>
          <w:highlight w:val="none"/>
          <w:lang w:val="en-US" w:eastAsia="zh-CN"/>
        </w:rPr>
      </w:pPr>
    </w:p>
    <w:p w14:paraId="246D90DF">
      <w:pPr>
        <w:spacing w:line="480" w:lineRule="auto"/>
        <w:rPr>
          <w:rFonts w:hint="eastAsia" w:ascii="宋体" w:hAnsi="宋体" w:cs="宋体"/>
          <w:b/>
          <w:color w:val="auto"/>
          <w:sz w:val="28"/>
          <w:highlight w:val="none"/>
        </w:rPr>
      </w:pPr>
    </w:p>
    <w:p w14:paraId="2D652476">
      <w:pPr>
        <w:spacing w:line="480" w:lineRule="auto"/>
        <w:ind w:firstLine="281" w:firstLineChars="100"/>
        <w:rPr>
          <w:rFonts w:hint="eastAsia" w:ascii="宋体" w:hAnsi="宋体" w:eastAsia="宋体" w:cs="宋体"/>
          <w:b/>
          <w:color w:val="auto"/>
          <w:sz w:val="28"/>
          <w:highlight w:val="none"/>
          <w:lang w:eastAsia="zh-CN"/>
        </w:rPr>
      </w:pPr>
      <w:r>
        <w:rPr>
          <w:rFonts w:hint="eastAsia" w:ascii="宋体" w:hAnsi="宋体" w:cs="宋体"/>
          <w:b/>
          <w:color w:val="auto"/>
          <w:sz w:val="28"/>
          <w:highlight w:val="none"/>
        </w:rPr>
        <w:t>招标代理机构：</w:t>
      </w:r>
      <w:r>
        <w:rPr>
          <w:rFonts w:hint="eastAsia" w:ascii="宋体" w:hAnsi="宋体"/>
          <w:b/>
          <w:bCs/>
          <w:color w:val="auto"/>
          <w:sz w:val="28"/>
          <w:szCs w:val="28"/>
          <w:highlight w:val="none"/>
          <w:lang w:eastAsia="zh-CN"/>
        </w:rPr>
        <w:t>浙江耀信工程咨询有限公司</w:t>
      </w:r>
    </w:p>
    <w:p w14:paraId="3ABAE0D4">
      <w:pPr>
        <w:spacing w:line="480" w:lineRule="auto"/>
        <w:ind w:firstLine="281" w:firstLineChars="100"/>
        <w:rPr>
          <w:rFonts w:hint="default" w:ascii="宋体" w:hAnsi="宋体" w:eastAsia="宋体" w:cs="宋体"/>
          <w:b/>
          <w:color w:val="auto"/>
          <w:sz w:val="28"/>
          <w:highlight w:val="none"/>
          <w:lang w:val="en-US" w:eastAsia="zh-CN"/>
        </w:rPr>
      </w:pPr>
      <w:r>
        <w:rPr>
          <w:rFonts w:hint="eastAsia" w:ascii="宋体" w:hAnsi="宋体" w:cs="宋体"/>
          <w:b/>
          <w:color w:val="auto"/>
          <w:sz w:val="28"/>
          <w:highlight w:val="none"/>
        </w:rPr>
        <w:t>联 系 人：</w:t>
      </w:r>
      <w:r>
        <w:rPr>
          <w:rFonts w:hint="eastAsia" w:ascii="宋体" w:hAnsi="宋体" w:cs="宋体"/>
          <w:b/>
          <w:color w:val="auto"/>
          <w:sz w:val="28"/>
          <w:highlight w:val="none"/>
          <w:lang w:val="en-US" w:eastAsia="zh-CN"/>
        </w:rPr>
        <w:t>高先生</w:t>
      </w:r>
      <w:r>
        <w:rPr>
          <w:rFonts w:hint="eastAsia" w:ascii="宋体" w:hAnsi="宋体" w:cs="宋体"/>
          <w:b/>
          <w:color w:val="auto"/>
          <w:sz w:val="28"/>
          <w:highlight w:val="none"/>
        </w:rPr>
        <w:t xml:space="preserve">           联系电话：</w:t>
      </w:r>
      <w:r>
        <w:rPr>
          <w:rFonts w:hint="eastAsia" w:ascii="宋体" w:hAnsi="宋体" w:cs="宋体"/>
          <w:b/>
          <w:color w:val="auto"/>
          <w:sz w:val="28"/>
          <w:highlight w:val="none"/>
          <w:lang w:val="en-US" w:eastAsia="zh-CN"/>
        </w:rPr>
        <w:t>0576-85408362</w:t>
      </w:r>
    </w:p>
    <w:p w14:paraId="0638202F">
      <w:pPr>
        <w:spacing w:line="500" w:lineRule="atLeast"/>
        <w:jc w:val="center"/>
        <w:rPr>
          <w:rFonts w:ascii="宋体" w:hAnsi="宋体"/>
          <w:b/>
          <w:bCs/>
          <w:color w:val="auto"/>
          <w:sz w:val="30"/>
          <w:highlight w:val="none"/>
        </w:rPr>
      </w:pPr>
    </w:p>
    <w:p w14:paraId="5C4E3CDF">
      <w:pPr>
        <w:spacing w:line="500" w:lineRule="atLeast"/>
        <w:rPr>
          <w:rFonts w:hint="eastAsia" w:ascii="宋体" w:hAnsi="宋体"/>
          <w:b/>
          <w:bCs/>
          <w:color w:val="auto"/>
          <w:sz w:val="30"/>
          <w:highlight w:val="none"/>
        </w:rPr>
      </w:pPr>
    </w:p>
    <w:p w14:paraId="64805F73">
      <w:pPr>
        <w:spacing w:line="500" w:lineRule="atLeast"/>
        <w:ind w:firstLine="3483" w:firstLineChars="1239"/>
        <w:rPr>
          <w:rFonts w:ascii="宋体" w:hAnsi="宋体"/>
          <w:color w:val="auto"/>
          <w:sz w:val="28"/>
          <w:szCs w:val="28"/>
          <w:highlight w:val="none"/>
        </w:rPr>
      </w:pPr>
      <w:r>
        <w:rPr>
          <w:rFonts w:hint="eastAsia" w:ascii="宋体" w:hAnsi="宋体"/>
          <w:b/>
          <w:bCs/>
          <w:color w:val="auto"/>
          <w:sz w:val="28"/>
          <w:szCs w:val="28"/>
          <w:highlight w:val="none"/>
        </w:rPr>
        <w:t>二0</w:t>
      </w:r>
      <w:r>
        <w:rPr>
          <w:rFonts w:hint="eastAsia" w:ascii="宋体" w:hAnsi="宋体"/>
          <w:b/>
          <w:bCs/>
          <w:color w:val="auto"/>
          <w:sz w:val="28"/>
          <w:szCs w:val="28"/>
          <w:highlight w:val="none"/>
          <w:lang w:val="en-US" w:eastAsia="zh-CN"/>
        </w:rPr>
        <w:t>二六</w:t>
      </w:r>
      <w:r>
        <w:rPr>
          <w:rFonts w:hint="eastAsia" w:ascii="宋体" w:hAnsi="宋体"/>
          <w:b/>
          <w:bCs/>
          <w:color w:val="auto"/>
          <w:sz w:val="28"/>
          <w:szCs w:val="28"/>
          <w:highlight w:val="none"/>
        </w:rPr>
        <w:t>年</w:t>
      </w:r>
      <w:r>
        <w:rPr>
          <w:rFonts w:hint="eastAsia" w:ascii="宋体" w:hAnsi="宋体"/>
          <w:b/>
          <w:bCs/>
          <w:color w:val="auto"/>
          <w:sz w:val="28"/>
          <w:szCs w:val="28"/>
          <w:highlight w:val="none"/>
          <w:lang w:val="en-US" w:eastAsia="zh-CN"/>
        </w:rPr>
        <w:t>四</w:t>
      </w:r>
      <w:r>
        <w:rPr>
          <w:rFonts w:hint="eastAsia" w:ascii="宋体" w:hAnsi="宋体"/>
          <w:b/>
          <w:bCs/>
          <w:color w:val="auto"/>
          <w:sz w:val="28"/>
          <w:szCs w:val="28"/>
          <w:highlight w:val="none"/>
        </w:rPr>
        <w:t xml:space="preserve">月 </w:t>
      </w:r>
    </w:p>
    <w:p w14:paraId="03AA6571">
      <w:pPr>
        <w:rPr>
          <w:rFonts w:hint="eastAsia"/>
          <w:color w:val="auto"/>
          <w:highlight w:val="none"/>
        </w:rPr>
        <w:sectPr>
          <w:headerReference r:id="rId3" w:type="default"/>
          <w:footerReference r:id="rId4" w:type="even"/>
          <w:pgSz w:w="11906" w:h="16838"/>
          <w:pgMar w:top="1020" w:right="1588" w:bottom="850" w:left="1474" w:header="567" w:footer="454" w:gutter="0"/>
          <w:cols w:space="720" w:num="1"/>
          <w:docGrid w:linePitch="286" w:charSpace="0"/>
        </w:sectPr>
      </w:pPr>
    </w:p>
    <w:p w14:paraId="5FA4615C">
      <w:pPr>
        <w:pStyle w:val="29"/>
        <w:keepNext w:val="0"/>
        <w:keepLines w:val="0"/>
        <w:pageBreakBefore/>
        <w:widowControl w:val="0"/>
        <w:kinsoku/>
        <w:wordWrap/>
        <w:overflowPunct/>
        <w:topLinePunct w:val="0"/>
        <w:autoSpaceDE/>
        <w:autoSpaceDN/>
        <w:bidi w:val="0"/>
        <w:adjustRightInd/>
        <w:snapToGrid/>
        <w:spacing w:beforeLines="0" w:afterLines="0" w:line="360" w:lineRule="auto"/>
        <w:jc w:val="center"/>
        <w:textAlignment w:val="auto"/>
        <w:rPr>
          <w:rFonts w:hint="eastAsia" w:ascii="宋体" w:hAnsi="宋体" w:eastAsia="宋体" w:cs="宋体"/>
          <w:color w:val="auto"/>
          <w:sz w:val="44"/>
          <w:szCs w:val="44"/>
          <w:highlight w:val="none"/>
          <w:shd w:val="clear" w:color="auto" w:fill="auto"/>
        </w:rPr>
      </w:pPr>
      <w:r>
        <w:rPr>
          <w:rFonts w:hint="eastAsia" w:ascii="宋体" w:hAnsi="宋体" w:eastAsia="宋体" w:cs="宋体"/>
          <w:color w:val="auto"/>
          <w:sz w:val="44"/>
          <w:szCs w:val="44"/>
          <w:highlight w:val="none"/>
          <w:shd w:val="clear" w:color="auto" w:fill="auto"/>
        </w:rPr>
        <w:t>目    录</w:t>
      </w:r>
    </w:p>
    <w:p w14:paraId="5BFF5A8D">
      <w:pPr>
        <w:pStyle w:val="36"/>
        <w:tabs>
          <w:tab w:val="left" w:pos="6120"/>
        </w:tabs>
        <w:spacing w:line="480" w:lineRule="auto"/>
        <w:rPr>
          <w:rFonts w:hint="eastAsia" w:ascii="宋体" w:hAnsi="宋体" w:eastAsia="宋体" w:cs="宋体"/>
          <w:b/>
          <w:color w:val="auto"/>
          <w:sz w:val="28"/>
          <w:szCs w:val="28"/>
          <w:highlight w:val="none"/>
          <w:shd w:val="clear" w:color="auto" w:fill="auto"/>
        </w:rPr>
      </w:pPr>
    </w:p>
    <w:p w14:paraId="5557850D">
      <w:pPr>
        <w:pStyle w:val="36"/>
        <w:tabs>
          <w:tab w:val="left" w:pos="6120"/>
        </w:tabs>
        <w:spacing w:line="480" w:lineRule="auto"/>
        <w:rPr>
          <w:rFonts w:hint="eastAsia" w:ascii="宋体" w:hAnsi="宋体" w:eastAsia="宋体" w:cs="宋体"/>
          <w:b/>
          <w:color w:val="auto"/>
          <w:sz w:val="28"/>
          <w:szCs w:val="28"/>
          <w:highlight w:val="none"/>
          <w:shd w:val="clear" w:color="auto" w:fill="auto"/>
        </w:rPr>
      </w:pPr>
      <w:r>
        <w:rPr>
          <w:rFonts w:hint="eastAsia" w:ascii="宋体" w:hAnsi="宋体" w:eastAsia="宋体" w:cs="宋体"/>
          <w:b/>
          <w:color w:val="auto"/>
          <w:sz w:val="28"/>
          <w:szCs w:val="28"/>
          <w:highlight w:val="none"/>
          <w:shd w:val="clear" w:color="auto" w:fill="auto"/>
        </w:rPr>
        <w:tab/>
      </w:r>
    </w:p>
    <w:p w14:paraId="7CAC523B">
      <w:pPr>
        <w:pStyle w:val="36"/>
        <w:tabs>
          <w:tab w:val="right" w:leader="dot" w:pos="8730"/>
        </w:tabs>
        <w:spacing w:line="48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TOC \o "1-3" \h \z \u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HYPERLINK \l _Toc14571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eastAsia="宋体" w:cs="宋体"/>
          <w:color w:val="auto"/>
          <w:sz w:val="24"/>
          <w:szCs w:val="24"/>
          <w:highlight w:val="none"/>
          <w:shd w:val="clear" w:color="auto" w:fill="auto"/>
        </w:rPr>
        <w:t>第一章  投标邀请</w:t>
      </w:r>
      <w:r>
        <w:rPr>
          <w:rFonts w:hint="eastAsia" w:ascii="宋体" w:hAnsi="宋体" w:eastAsia="宋体" w:cs="宋体"/>
          <w:color w:val="auto"/>
          <w:sz w:val="24"/>
          <w:szCs w:val="24"/>
          <w:highlight w:val="none"/>
          <w:shd w:val="clear" w:color="auto" w:fill="auto"/>
        </w:rPr>
        <w:tab/>
      </w: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PAGEREF _Toc14571 \h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eastAsia="宋体" w:cs="宋体"/>
          <w:color w:val="auto"/>
          <w:sz w:val="24"/>
          <w:szCs w:val="24"/>
          <w:highlight w:val="none"/>
          <w:shd w:val="clear" w:color="auto" w:fill="auto"/>
        </w:rPr>
        <w:t>1</w:t>
      </w:r>
      <w:r>
        <w:rPr>
          <w:rFonts w:hint="eastAsia" w:ascii="宋体" w:hAnsi="宋体" w:eastAsia="宋体" w:cs="宋体"/>
          <w:color w:val="auto"/>
          <w:sz w:val="24"/>
          <w:szCs w:val="24"/>
          <w:highlight w:val="none"/>
          <w:shd w:val="clear" w:color="auto" w:fill="auto"/>
        </w:rPr>
        <w:fldChar w:fldCharType="end"/>
      </w:r>
      <w:r>
        <w:rPr>
          <w:rFonts w:hint="eastAsia" w:ascii="宋体" w:hAnsi="宋体" w:eastAsia="宋体" w:cs="宋体"/>
          <w:color w:val="auto"/>
          <w:sz w:val="24"/>
          <w:szCs w:val="24"/>
          <w:highlight w:val="none"/>
          <w:shd w:val="clear" w:color="auto" w:fill="auto"/>
        </w:rPr>
        <w:fldChar w:fldCharType="end"/>
      </w:r>
    </w:p>
    <w:p w14:paraId="176D0B9F">
      <w:pPr>
        <w:pStyle w:val="36"/>
        <w:tabs>
          <w:tab w:val="right" w:leader="dot" w:pos="8730"/>
        </w:tabs>
        <w:spacing w:line="48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HYPERLINK \l _Toc2467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eastAsia="宋体" w:cs="宋体"/>
          <w:color w:val="auto"/>
          <w:sz w:val="24"/>
          <w:szCs w:val="24"/>
          <w:highlight w:val="none"/>
          <w:shd w:val="clear" w:color="auto" w:fill="auto"/>
        </w:rPr>
        <w:t>第二章  招标需求</w:t>
      </w:r>
      <w:r>
        <w:rPr>
          <w:rFonts w:hint="eastAsia" w:ascii="宋体" w:hAnsi="宋体" w:eastAsia="宋体" w:cs="宋体"/>
          <w:color w:val="auto"/>
          <w:sz w:val="24"/>
          <w:szCs w:val="24"/>
          <w:highlight w:val="none"/>
          <w:shd w:val="clear" w:color="auto" w:fill="auto"/>
        </w:rPr>
        <w:tab/>
      </w:r>
      <w:r>
        <w:rPr>
          <w:rFonts w:hint="eastAsia" w:ascii="宋体" w:hAnsi="宋体" w:cs="宋体"/>
          <w:color w:val="auto"/>
          <w:sz w:val="24"/>
          <w:szCs w:val="24"/>
          <w:highlight w:val="none"/>
          <w:shd w:val="clear" w:color="auto" w:fill="auto"/>
          <w:lang w:val="en-US" w:eastAsia="zh-CN"/>
        </w:rPr>
        <w:t>4</w:t>
      </w:r>
      <w:r>
        <w:rPr>
          <w:rFonts w:hint="eastAsia" w:ascii="宋体" w:hAnsi="宋体" w:eastAsia="宋体" w:cs="宋体"/>
          <w:color w:val="auto"/>
          <w:sz w:val="24"/>
          <w:szCs w:val="24"/>
          <w:highlight w:val="none"/>
          <w:shd w:val="clear" w:color="auto" w:fill="auto"/>
        </w:rPr>
        <w:fldChar w:fldCharType="end"/>
      </w:r>
    </w:p>
    <w:p w14:paraId="74DE09C4">
      <w:pPr>
        <w:pStyle w:val="36"/>
        <w:tabs>
          <w:tab w:val="right" w:leader="dot" w:pos="8730"/>
        </w:tabs>
        <w:spacing w:line="48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HYPERLINK \l _Toc21811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eastAsia="宋体" w:cs="宋体"/>
          <w:color w:val="auto"/>
          <w:sz w:val="24"/>
          <w:szCs w:val="24"/>
          <w:highlight w:val="none"/>
          <w:shd w:val="clear" w:color="auto" w:fill="auto"/>
        </w:rPr>
        <w:t>第三章  投标人须知</w:t>
      </w:r>
      <w:r>
        <w:rPr>
          <w:rFonts w:hint="eastAsia" w:ascii="宋体" w:hAnsi="宋体" w:eastAsia="宋体" w:cs="宋体"/>
          <w:color w:val="auto"/>
          <w:sz w:val="24"/>
          <w:szCs w:val="24"/>
          <w:highlight w:val="none"/>
          <w:shd w:val="clear" w:color="auto" w:fill="auto"/>
        </w:rPr>
        <w:tab/>
      </w:r>
      <w:r>
        <w:rPr>
          <w:rFonts w:hint="eastAsia" w:ascii="宋体" w:hAnsi="宋体" w:cs="宋体"/>
          <w:color w:val="auto"/>
          <w:sz w:val="24"/>
          <w:szCs w:val="24"/>
          <w:highlight w:val="none"/>
          <w:shd w:val="clear" w:color="auto" w:fill="auto"/>
          <w:lang w:val="en-US" w:eastAsia="zh-CN"/>
        </w:rPr>
        <w:t>1</w:t>
      </w:r>
      <w:r>
        <w:rPr>
          <w:rFonts w:hint="eastAsia" w:ascii="宋体" w:hAnsi="宋体" w:eastAsia="宋体" w:cs="宋体"/>
          <w:color w:val="auto"/>
          <w:sz w:val="24"/>
          <w:szCs w:val="24"/>
          <w:highlight w:val="none"/>
          <w:shd w:val="clear" w:color="auto" w:fill="auto"/>
        </w:rPr>
        <w:fldChar w:fldCharType="end"/>
      </w:r>
      <w:r>
        <w:rPr>
          <w:rFonts w:hint="eastAsia" w:ascii="宋体" w:hAnsi="宋体" w:cs="宋体"/>
          <w:color w:val="auto"/>
          <w:sz w:val="24"/>
          <w:szCs w:val="24"/>
          <w:highlight w:val="none"/>
          <w:shd w:val="clear" w:color="auto" w:fill="auto"/>
          <w:lang w:val="en-US" w:eastAsia="zh-CN"/>
        </w:rPr>
        <w:t>1</w:t>
      </w:r>
    </w:p>
    <w:p w14:paraId="18E7CE49">
      <w:pPr>
        <w:pStyle w:val="36"/>
        <w:tabs>
          <w:tab w:val="right" w:leader="dot" w:pos="8730"/>
        </w:tabs>
        <w:spacing w:line="48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HYPERLINK \l _Toc25225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eastAsia="宋体" w:cs="宋体"/>
          <w:color w:val="auto"/>
          <w:sz w:val="24"/>
          <w:szCs w:val="24"/>
          <w:highlight w:val="none"/>
          <w:shd w:val="clear" w:color="auto" w:fill="auto"/>
        </w:rPr>
        <w:t>第四章</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评标办法及评分标准</w:t>
      </w:r>
      <w:r>
        <w:rPr>
          <w:rFonts w:hint="eastAsia" w:ascii="宋体" w:hAnsi="宋体" w:eastAsia="宋体" w:cs="宋体"/>
          <w:color w:val="auto"/>
          <w:sz w:val="24"/>
          <w:szCs w:val="24"/>
          <w:highlight w:val="none"/>
          <w:shd w:val="clear" w:color="auto" w:fill="auto"/>
        </w:rPr>
        <w:tab/>
      </w: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PAGEREF _Toc25225 \h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eastAsia="宋体" w:cs="宋体"/>
          <w:color w:val="auto"/>
          <w:sz w:val="24"/>
          <w:szCs w:val="24"/>
          <w:highlight w:val="none"/>
          <w:shd w:val="clear" w:color="auto" w:fill="auto"/>
        </w:rPr>
        <w:t>25</w:t>
      </w:r>
      <w:r>
        <w:rPr>
          <w:rFonts w:hint="eastAsia" w:ascii="宋体" w:hAnsi="宋体" w:eastAsia="宋体" w:cs="宋体"/>
          <w:color w:val="auto"/>
          <w:sz w:val="24"/>
          <w:szCs w:val="24"/>
          <w:highlight w:val="none"/>
          <w:shd w:val="clear" w:color="auto" w:fill="auto"/>
        </w:rPr>
        <w:fldChar w:fldCharType="end"/>
      </w:r>
      <w:r>
        <w:rPr>
          <w:rFonts w:hint="eastAsia" w:ascii="宋体" w:hAnsi="宋体" w:eastAsia="宋体" w:cs="宋体"/>
          <w:color w:val="auto"/>
          <w:sz w:val="24"/>
          <w:szCs w:val="24"/>
          <w:highlight w:val="none"/>
          <w:shd w:val="clear" w:color="auto" w:fill="auto"/>
        </w:rPr>
        <w:fldChar w:fldCharType="end"/>
      </w:r>
    </w:p>
    <w:p w14:paraId="64E6E8AF">
      <w:pPr>
        <w:pStyle w:val="36"/>
        <w:tabs>
          <w:tab w:val="right" w:leader="dot" w:pos="8730"/>
        </w:tabs>
        <w:spacing w:line="48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HYPERLINK \l _Toc12005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eastAsia="宋体" w:cs="宋体"/>
          <w:color w:val="auto"/>
          <w:sz w:val="24"/>
          <w:szCs w:val="24"/>
          <w:highlight w:val="none"/>
          <w:shd w:val="clear" w:color="auto" w:fill="auto"/>
        </w:rPr>
        <w:t>第五章  合同主要条款</w:t>
      </w:r>
      <w:r>
        <w:rPr>
          <w:rFonts w:hint="eastAsia" w:ascii="宋体" w:hAnsi="宋体" w:eastAsia="宋体" w:cs="宋体"/>
          <w:color w:val="auto"/>
          <w:sz w:val="24"/>
          <w:szCs w:val="24"/>
          <w:highlight w:val="none"/>
          <w:shd w:val="clear" w:color="auto" w:fill="auto"/>
        </w:rPr>
        <w:tab/>
      </w: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PAGEREF _Toc12005 \h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eastAsia="宋体" w:cs="宋体"/>
          <w:color w:val="auto"/>
          <w:sz w:val="24"/>
          <w:szCs w:val="24"/>
          <w:highlight w:val="none"/>
          <w:shd w:val="clear" w:color="auto" w:fill="auto"/>
        </w:rPr>
        <w:t>29</w:t>
      </w:r>
      <w:r>
        <w:rPr>
          <w:rFonts w:hint="eastAsia" w:ascii="宋体" w:hAnsi="宋体" w:eastAsia="宋体" w:cs="宋体"/>
          <w:color w:val="auto"/>
          <w:sz w:val="24"/>
          <w:szCs w:val="24"/>
          <w:highlight w:val="none"/>
          <w:shd w:val="clear" w:color="auto" w:fill="auto"/>
        </w:rPr>
        <w:fldChar w:fldCharType="end"/>
      </w:r>
      <w:r>
        <w:rPr>
          <w:rFonts w:hint="eastAsia" w:ascii="宋体" w:hAnsi="宋体" w:eastAsia="宋体" w:cs="宋体"/>
          <w:color w:val="auto"/>
          <w:sz w:val="24"/>
          <w:szCs w:val="24"/>
          <w:highlight w:val="none"/>
          <w:shd w:val="clear" w:color="auto" w:fill="auto"/>
        </w:rPr>
        <w:fldChar w:fldCharType="end"/>
      </w:r>
    </w:p>
    <w:p w14:paraId="77489317">
      <w:pPr>
        <w:pStyle w:val="36"/>
        <w:tabs>
          <w:tab w:val="right" w:leader="dot" w:pos="8730"/>
        </w:tabs>
        <w:spacing w:line="48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HYPERLINK \l _Toc24427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eastAsia="宋体" w:cs="宋体"/>
          <w:color w:val="auto"/>
          <w:sz w:val="24"/>
          <w:szCs w:val="24"/>
          <w:highlight w:val="none"/>
          <w:shd w:val="clear" w:color="auto" w:fill="auto"/>
        </w:rPr>
        <w:t>第六章　投标文件格式</w:t>
      </w:r>
      <w:r>
        <w:rPr>
          <w:rFonts w:hint="eastAsia" w:ascii="宋体" w:hAnsi="宋体" w:eastAsia="宋体" w:cs="宋体"/>
          <w:color w:val="auto"/>
          <w:sz w:val="24"/>
          <w:szCs w:val="24"/>
          <w:highlight w:val="none"/>
          <w:shd w:val="clear" w:color="auto" w:fill="auto"/>
        </w:rPr>
        <w:tab/>
      </w: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PAGEREF _Toc24427 \h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eastAsia="宋体" w:cs="宋体"/>
          <w:color w:val="auto"/>
          <w:sz w:val="24"/>
          <w:szCs w:val="24"/>
          <w:highlight w:val="none"/>
          <w:shd w:val="clear" w:color="auto" w:fill="auto"/>
        </w:rPr>
        <w:t>33</w:t>
      </w:r>
      <w:r>
        <w:rPr>
          <w:rFonts w:hint="eastAsia" w:ascii="宋体" w:hAnsi="宋体" w:eastAsia="宋体" w:cs="宋体"/>
          <w:color w:val="auto"/>
          <w:sz w:val="24"/>
          <w:szCs w:val="24"/>
          <w:highlight w:val="none"/>
          <w:shd w:val="clear" w:color="auto" w:fill="auto"/>
        </w:rPr>
        <w:fldChar w:fldCharType="end"/>
      </w:r>
      <w:r>
        <w:rPr>
          <w:rFonts w:hint="eastAsia" w:ascii="宋体" w:hAnsi="宋体" w:eastAsia="宋体" w:cs="宋体"/>
          <w:color w:val="auto"/>
          <w:sz w:val="24"/>
          <w:szCs w:val="24"/>
          <w:highlight w:val="none"/>
          <w:shd w:val="clear" w:color="auto" w:fill="auto"/>
        </w:rPr>
        <w:fldChar w:fldCharType="end"/>
      </w:r>
    </w:p>
    <w:p w14:paraId="1F537C1F">
      <w:pPr>
        <w:pStyle w:val="42"/>
        <w:tabs>
          <w:tab w:val="right" w:leader="dot" w:pos="8730"/>
        </w:tabs>
        <w:spacing w:line="48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HYPERLINK \l _Toc29949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eastAsia="宋体" w:cs="宋体"/>
          <w:bCs/>
          <w:color w:val="auto"/>
          <w:sz w:val="24"/>
          <w:szCs w:val="24"/>
          <w:highlight w:val="none"/>
          <w:shd w:val="clear" w:color="auto" w:fill="auto"/>
        </w:rPr>
        <w:t>一、资格响应文件格式</w:t>
      </w:r>
      <w:r>
        <w:rPr>
          <w:rFonts w:hint="eastAsia" w:ascii="宋体" w:hAnsi="宋体" w:eastAsia="宋体" w:cs="宋体"/>
          <w:color w:val="auto"/>
          <w:sz w:val="24"/>
          <w:szCs w:val="24"/>
          <w:highlight w:val="none"/>
          <w:shd w:val="clear" w:color="auto" w:fill="auto"/>
        </w:rPr>
        <w:tab/>
      </w: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PAGEREF _Toc29949 \h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eastAsia="宋体" w:cs="宋体"/>
          <w:color w:val="auto"/>
          <w:sz w:val="24"/>
          <w:szCs w:val="24"/>
          <w:highlight w:val="none"/>
          <w:shd w:val="clear" w:color="auto" w:fill="auto"/>
        </w:rPr>
        <w:t>33</w:t>
      </w:r>
      <w:r>
        <w:rPr>
          <w:rFonts w:hint="eastAsia" w:ascii="宋体" w:hAnsi="宋体" w:eastAsia="宋体" w:cs="宋体"/>
          <w:color w:val="auto"/>
          <w:sz w:val="24"/>
          <w:szCs w:val="24"/>
          <w:highlight w:val="none"/>
          <w:shd w:val="clear" w:color="auto" w:fill="auto"/>
        </w:rPr>
        <w:fldChar w:fldCharType="end"/>
      </w:r>
      <w:r>
        <w:rPr>
          <w:rFonts w:hint="eastAsia" w:ascii="宋体" w:hAnsi="宋体" w:eastAsia="宋体" w:cs="宋体"/>
          <w:color w:val="auto"/>
          <w:sz w:val="24"/>
          <w:szCs w:val="24"/>
          <w:highlight w:val="none"/>
          <w:shd w:val="clear" w:color="auto" w:fill="auto"/>
        </w:rPr>
        <w:fldChar w:fldCharType="end"/>
      </w:r>
    </w:p>
    <w:p w14:paraId="51BA84E0">
      <w:pPr>
        <w:pStyle w:val="42"/>
        <w:tabs>
          <w:tab w:val="right" w:leader="dot" w:pos="8730"/>
        </w:tabs>
        <w:spacing w:line="48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HYPERLINK \l _Toc18185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eastAsia="宋体" w:cs="宋体"/>
          <w:bCs/>
          <w:color w:val="auto"/>
          <w:sz w:val="24"/>
          <w:szCs w:val="24"/>
          <w:highlight w:val="none"/>
          <w:shd w:val="clear" w:color="auto" w:fill="auto"/>
        </w:rPr>
        <w:t>二、商务技术文件格式</w:t>
      </w:r>
      <w:r>
        <w:rPr>
          <w:rFonts w:hint="eastAsia" w:ascii="宋体" w:hAnsi="宋体" w:eastAsia="宋体" w:cs="宋体"/>
          <w:color w:val="auto"/>
          <w:sz w:val="24"/>
          <w:szCs w:val="24"/>
          <w:highlight w:val="none"/>
          <w:shd w:val="clear" w:color="auto" w:fill="auto"/>
        </w:rPr>
        <w:tab/>
      </w: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PAGEREF _Toc18185 \h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eastAsia="宋体" w:cs="宋体"/>
          <w:color w:val="auto"/>
          <w:sz w:val="24"/>
          <w:szCs w:val="24"/>
          <w:highlight w:val="none"/>
          <w:shd w:val="clear" w:color="auto" w:fill="auto"/>
        </w:rPr>
        <w:t>36</w:t>
      </w:r>
      <w:r>
        <w:rPr>
          <w:rFonts w:hint="eastAsia" w:ascii="宋体" w:hAnsi="宋体" w:eastAsia="宋体" w:cs="宋体"/>
          <w:color w:val="auto"/>
          <w:sz w:val="24"/>
          <w:szCs w:val="24"/>
          <w:highlight w:val="none"/>
          <w:shd w:val="clear" w:color="auto" w:fill="auto"/>
        </w:rPr>
        <w:fldChar w:fldCharType="end"/>
      </w:r>
      <w:r>
        <w:rPr>
          <w:rFonts w:hint="eastAsia" w:ascii="宋体" w:hAnsi="宋体" w:eastAsia="宋体" w:cs="宋体"/>
          <w:color w:val="auto"/>
          <w:sz w:val="24"/>
          <w:szCs w:val="24"/>
          <w:highlight w:val="none"/>
          <w:shd w:val="clear" w:color="auto" w:fill="auto"/>
        </w:rPr>
        <w:fldChar w:fldCharType="end"/>
      </w:r>
    </w:p>
    <w:p w14:paraId="31669FE6">
      <w:pPr>
        <w:pStyle w:val="42"/>
        <w:tabs>
          <w:tab w:val="right" w:leader="dot" w:pos="8730"/>
        </w:tabs>
        <w:spacing w:line="48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HYPERLINK \l _Toc16395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eastAsia="宋体" w:cs="宋体"/>
          <w:color w:val="auto"/>
          <w:sz w:val="24"/>
          <w:szCs w:val="24"/>
          <w:highlight w:val="none"/>
          <w:shd w:val="clear" w:color="auto" w:fill="auto"/>
        </w:rPr>
        <w:t>三、报价文件格式</w:t>
      </w:r>
      <w:r>
        <w:rPr>
          <w:rFonts w:hint="eastAsia" w:ascii="宋体" w:hAnsi="宋体" w:eastAsia="宋体" w:cs="宋体"/>
          <w:color w:val="auto"/>
          <w:sz w:val="24"/>
          <w:szCs w:val="24"/>
          <w:highlight w:val="none"/>
          <w:shd w:val="clear" w:color="auto" w:fill="auto"/>
        </w:rPr>
        <w:tab/>
      </w: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PAGEREF _Toc16395 \h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eastAsia="宋体" w:cs="宋体"/>
          <w:color w:val="auto"/>
          <w:sz w:val="24"/>
          <w:szCs w:val="24"/>
          <w:highlight w:val="none"/>
          <w:shd w:val="clear" w:color="auto" w:fill="auto"/>
        </w:rPr>
        <w:t>44</w:t>
      </w:r>
      <w:r>
        <w:rPr>
          <w:rFonts w:hint="eastAsia" w:ascii="宋体" w:hAnsi="宋体" w:eastAsia="宋体" w:cs="宋体"/>
          <w:color w:val="auto"/>
          <w:sz w:val="24"/>
          <w:szCs w:val="24"/>
          <w:highlight w:val="none"/>
          <w:shd w:val="clear" w:color="auto" w:fill="auto"/>
        </w:rPr>
        <w:fldChar w:fldCharType="end"/>
      </w:r>
      <w:r>
        <w:rPr>
          <w:rFonts w:hint="eastAsia" w:ascii="宋体" w:hAnsi="宋体" w:eastAsia="宋体" w:cs="宋体"/>
          <w:color w:val="auto"/>
          <w:sz w:val="24"/>
          <w:szCs w:val="24"/>
          <w:highlight w:val="none"/>
          <w:shd w:val="clear" w:color="auto" w:fill="auto"/>
        </w:rPr>
        <w:fldChar w:fldCharType="end"/>
      </w:r>
    </w:p>
    <w:p w14:paraId="11BD31E5">
      <w:pPr>
        <w:pStyle w:val="36"/>
        <w:spacing w:line="480" w:lineRule="auto"/>
        <w:rPr>
          <w:rFonts w:hint="eastAsia" w:ascii="宋体" w:hAnsi="宋体" w:eastAsia="宋体" w:cs="宋体"/>
          <w:b/>
          <w:color w:val="auto"/>
          <w:sz w:val="28"/>
          <w:szCs w:val="28"/>
          <w:highlight w:val="none"/>
          <w:shd w:val="clear" w:color="auto" w:fill="auto"/>
        </w:rPr>
      </w:pPr>
      <w:r>
        <w:rPr>
          <w:rFonts w:hint="eastAsia" w:ascii="宋体" w:hAnsi="宋体" w:eastAsia="宋体" w:cs="宋体"/>
          <w:color w:val="auto"/>
          <w:sz w:val="24"/>
          <w:szCs w:val="24"/>
          <w:highlight w:val="none"/>
          <w:shd w:val="clear" w:color="auto" w:fill="auto"/>
        </w:rPr>
        <w:fldChar w:fldCharType="end"/>
      </w:r>
    </w:p>
    <w:p w14:paraId="3C017ED6">
      <w:pPr>
        <w:pStyle w:val="29"/>
        <w:snapToGrid w:val="0"/>
        <w:spacing w:beforeLines="0" w:afterLines="0" w:line="240" w:lineRule="auto"/>
        <w:jc w:val="center"/>
        <w:outlineLvl w:val="0"/>
        <w:rPr>
          <w:rFonts w:hint="eastAsia" w:ascii="宋体" w:hAnsi="宋体" w:eastAsia="宋体" w:cs="宋体"/>
          <w:b/>
          <w:color w:val="auto"/>
          <w:sz w:val="30"/>
          <w:szCs w:val="30"/>
          <w:highlight w:val="none"/>
          <w:shd w:val="clear" w:color="auto" w:fill="auto"/>
        </w:rPr>
        <w:sectPr>
          <w:headerReference r:id="rId5" w:type="default"/>
          <w:footerReference r:id="rId6" w:type="default"/>
          <w:footerReference r:id="rId7" w:type="even"/>
          <w:pgSz w:w="11906" w:h="16838"/>
          <w:pgMar w:top="1021" w:right="1588" w:bottom="851" w:left="1588" w:header="567" w:footer="454" w:gutter="0"/>
          <w:cols w:space="720" w:num="1"/>
          <w:docGrid w:linePitch="286" w:charSpace="0"/>
        </w:sectPr>
      </w:pPr>
      <w:bookmarkStart w:id="0" w:name="_Toc466534747"/>
      <w:bookmarkStart w:id="1" w:name="_Toc25920"/>
    </w:p>
    <w:p w14:paraId="09A44AB8">
      <w:pPr>
        <w:pStyle w:val="29"/>
        <w:snapToGrid w:val="0"/>
        <w:spacing w:beforeLines="0" w:afterLines="0" w:line="240" w:lineRule="auto"/>
        <w:jc w:val="center"/>
        <w:outlineLvl w:val="0"/>
        <w:rPr>
          <w:rFonts w:hint="eastAsia" w:ascii="宋体" w:hAnsi="宋体" w:eastAsia="宋体" w:cs="宋体"/>
          <w:b/>
          <w:color w:val="auto"/>
          <w:sz w:val="30"/>
          <w:szCs w:val="30"/>
          <w:highlight w:val="none"/>
          <w:shd w:val="clear" w:color="auto" w:fill="auto"/>
        </w:rPr>
      </w:pPr>
      <w:bookmarkStart w:id="2" w:name="_Toc14571"/>
      <w:r>
        <w:rPr>
          <w:rFonts w:hint="eastAsia" w:ascii="宋体" w:hAnsi="宋体" w:eastAsia="宋体" w:cs="宋体"/>
          <w:b/>
          <w:color w:val="auto"/>
          <w:sz w:val="30"/>
          <w:szCs w:val="30"/>
          <w:highlight w:val="none"/>
          <w:shd w:val="clear" w:color="auto" w:fill="auto"/>
        </w:rPr>
        <w:t>第一章  投标邀请</w:t>
      </w:r>
      <w:bookmarkEnd w:id="0"/>
      <w:bookmarkEnd w:id="1"/>
      <w:bookmarkEnd w:id="2"/>
    </w:p>
    <w:p w14:paraId="4813D0C2">
      <w:pPr>
        <w:spacing w:line="400" w:lineRule="exact"/>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本项目为非政府采购项目，根据招标投标有关法律法规及招标人单位内控制度、EPC工程总承包合同相关条款等规定，受</w:t>
      </w:r>
      <w:r>
        <w:rPr>
          <w:rFonts w:hint="eastAsia" w:ascii="宋体" w:hAnsi="宋体" w:cs="宋体"/>
          <w:b/>
          <w:bCs/>
          <w:color w:val="auto"/>
          <w:sz w:val="24"/>
          <w:szCs w:val="24"/>
          <w:highlight w:val="none"/>
          <w:u w:val="single"/>
          <w:shd w:val="clear" w:color="auto" w:fill="auto"/>
          <w:lang w:eastAsia="zh-CN"/>
        </w:rPr>
        <w:t>台州综合保税区投资发展有限公司、临海大诚建设工程有限公司</w:t>
      </w:r>
      <w:r>
        <w:rPr>
          <w:rFonts w:hint="eastAsia" w:ascii="宋体" w:hAnsi="宋体" w:eastAsia="宋体" w:cs="宋体"/>
          <w:color w:val="auto"/>
          <w:sz w:val="24"/>
          <w:highlight w:val="none"/>
          <w:shd w:val="clear" w:color="auto" w:fill="auto"/>
        </w:rPr>
        <w:t>委托，参照采购有关流程，现就</w:t>
      </w:r>
      <w:r>
        <w:rPr>
          <w:rFonts w:hint="eastAsia" w:ascii="宋体" w:hAnsi="宋体" w:cs="宋体"/>
          <w:b/>
          <w:bCs/>
          <w:color w:val="auto"/>
          <w:sz w:val="24"/>
          <w:szCs w:val="24"/>
          <w:highlight w:val="none"/>
          <w:u w:val="single"/>
          <w:shd w:val="clear" w:color="auto" w:fill="auto"/>
          <w:lang w:eastAsia="zh-CN"/>
        </w:rPr>
        <w:t>台州综合保税区2020-4地块建设工程(区块一、区块三)-提升机采购</w:t>
      </w:r>
      <w:r>
        <w:rPr>
          <w:rFonts w:hint="eastAsia" w:ascii="宋体" w:hAnsi="宋体" w:eastAsia="宋体" w:cs="宋体"/>
          <w:color w:val="auto"/>
          <w:sz w:val="24"/>
          <w:highlight w:val="none"/>
          <w:shd w:val="clear" w:color="auto" w:fill="auto"/>
        </w:rPr>
        <w:t>进行公开招标，</w:t>
      </w:r>
      <w:r>
        <w:rPr>
          <w:rFonts w:hint="eastAsia" w:ascii="宋体" w:hAnsi="宋体" w:eastAsia="宋体" w:cs="宋体"/>
          <w:color w:val="auto"/>
          <w:kern w:val="0"/>
          <w:sz w:val="24"/>
          <w:highlight w:val="none"/>
          <w:shd w:val="clear" w:color="auto" w:fill="auto"/>
        </w:rPr>
        <w:t>欢迎具备本项目投标人的资格要求且能够及时提供相关货物及服务的投标人前来投标。</w:t>
      </w:r>
    </w:p>
    <w:p w14:paraId="1D80851E">
      <w:pPr>
        <w:pStyle w:val="45"/>
        <w:spacing w:before="0" w:beforeAutospacing="0" w:after="0" w:afterAutospacing="0" w:line="400" w:lineRule="exact"/>
        <w:rPr>
          <w:rFonts w:hint="eastAsia" w:ascii="宋体" w:hAnsi="宋体" w:eastAsia="宋体" w:cs="宋体"/>
          <w:color w:val="auto"/>
          <w:highlight w:val="none"/>
          <w:shd w:val="clear" w:color="auto" w:fill="auto"/>
        </w:rPr>
      </w:pPr>
      <w:r>
        <w:rPr>
          <w:rFonts w:hint="eastAsia" w:ascii="宋体" w:hAnsi="宋体" w:eastAsia="宋体" w:cs="宋体"/>
          <w:b/>
          <w:bCs/>
          <w:color w:val="auto"/>
          <w:highlight w:val="none"/>
          <w:shd w:val="clear" w:color="auto" w:fill="auto"/>
        </w:rPr>
        <w:t>1</w:t>
      </w:r>
      <w:r>
        <w:rPr>
          <w:rFonts w:hint="eastAsia" w:ascii="宋体" w:hAnsi="宋体" w:eastAsia="宋体" w:cs="宋体"/>
          <w:color w:val="auto"/>
          <w:highlight w:val="none"/>
          <w:shd w:val="clear" w:color="auto" w:fill="auto"/>
        </w:rPr>
        <w:t>.</w:t>
      </w:r>
      <w:r>
        <w:rPr>
          <w:rFonts w:hint="eastAsia" w:ascii="宋体" w:hAnsi="宋体" w:eastAsia="宋体" w:cs="宋体"/>
          <w:b/>
          <w:bCs/>
          <w:color w:val="auto"/>
          <w:highlight w:val="none"/>
          <w:shd w:val="clear" w:color="auto" w:fill="auto"/>
        </w:rPr>
        <w:t>项目概况</w:t>
      </w:r>
    </w:p>
    <w:p w14:paraId="23128AA9">
      <w:pPr>
        <w:pStyle w:val="45"/>
        <w:spacing w:before="0" w:beforeAutospacing="0" w:after="0" w:afterAutospacing="0" w:line="400" w:lineRule="exact"/>
        <w:rPr>
          <w:rFonts w:hint="eastAsia" w:cs="宋体"/>
          <w:color w:val="auto"/>
          <w:highlight w:val="none"/>
          <w:shd w:val="clear" w:color="auto" w:fill="auto"/>
          <w:lang w:eastAsia="zh-CN"/>
        </w:rPr>
      </w:pPr>
      <w:r>
        <w:rPr>
          <w:rFonts w:hint="eastAsia" w:ascii="宋体" w:hAnsi="宋体" w:eastAsia="宋体" w:cs="宋体"/>
          <w:color w:val="auto"/>
          <w:highlight w:val="none"/>
          <w:shd w:val="clear" w:color="auto" w:fill="auto"/>
        </w:rPr>
        <w:t>项目名称：</w:t>
      </w:r>
      <w:r>
        <w:rPr>
          <w:rFonts w:hint="eastAsia" w:cs="宋体"/>
          <w:color w:val="auto"/>
          <w:highlight w:val="none"/>
          <w:shd w:val="clear" w:color="auto" w:fill="auto"/>
          <w:lang w:eastAsia="zh-CN"/>
        </w:rPr>
        <w:t>台州综合保税区2020-4地块建设工程(区块一、区块三)-提升机采购</w:t>
      </w:r>
    </w:p>
    <w:p w14:paraId="5F3B4938">
      <w:pPr>
        <w:pStyle w:val="45"/>
        <w:spacing w:before="0" w:beforeAutospacing="0" w:after="0" w:afterAutospacing="0" w:line="400" w:lineRule="exac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招标人：</w:t>
      </w:r>
      <w:r>
        <w:rPr>
          <w:rFonts w:hint="eastAsia" w:cs="宋体"/>
          <w:color w:val="auto"/>
          <w:highlight w:val="none"/>
          <w:shd w:val="clear" w:color="auto" w:fill="auto"/>
          <w:lang w:eastAsia="zh-CN"/>
        </w:rPr>
        <w:t>台州综合保税区投资发展有限公司</w:t>
      </w:r>
      <w:r>
        <w:rPr>
          <w:rFonts w:hint="eastAsia" w:cs="宋体"/>
          <w:color w:val="auto"/>
          <w:highlight w:val="none"/>
          <w:shd w:val="clear" w:color="auto" w:fill="auto"/>
          <w:lang w:val="en-US" w:eastAsia="zh-CN"/>
        </w:rPr>
        <w:t>、</w:t>
      </w:r>
      <w:r>
        <w:rPr>
          <w:rFonts w:hint="eastAsia" w:ascii="宋体" w:hAnsi="宋体" w:eastAsia="宋体" w:cs="宋体"/>
          <w:color w:val="auto"/>
          <w:highlight w:val="none"/>
          <w:shd w:val="clear" w:color="auto" w:fill="auto"/>
        </w:rPr>
        <w:t>临海</w:t>
      </w:r>
      <w:r>
        <w:rPr>
          <w:rFonts w:hint="eastAsia" w:cs="宋体"/>
          <w:color w:val="auto"/>
          <w:highlight w:val="none"/>
          <w:shd w:val="clear" w:color="auto" w:fill="auto"/>
          <w:lang w:val="en-US" w:eastAsia="zh-CN"/>
        </w:rPr>
        <w:t>大</w:t>
      </w:r>
      <w:r>
        <w:rPr>
          <w:rFonts w:hint="eastAsia" w:ascii="宋体" w:hAnsi="宋体" w:eastAsia="宋体" w:cs="宋体"/>
          <w:color w:val="auto"/>
          <w:highlight w:val="none"/>
          <w:shd w:val="clear" w:color="auto" w:fill="auto"/>
        </w:rPr>
        <w:t>诚建设工程有限公司</w:t>
      </w:r>
    </w:p>
    <w:p w14:paraId="4BC2DA65">
      <w:pPr>
        <w:pStyle w:val="45"/>
        <w:spacing w:before="0" w:beforeAutospacing="0" w:after="0" w:afterAutospacing="0" w:line="400" w:lineRule="exac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采购规模及内容概述：提升机</w:t>
      </w:r>
      <w:r>
        <w:rPr>
          <w:rFonts w:hint="eastAsia" w:cs="宋体"/>
          <w:color w:val="auto"/>
          <w:highlight w:val="none"/>
          <w:shd w:val="clear" w:color="auto" w:fill="auto"/>
          <w:lang w:val="en-US" w:eastAsia="zh-CN"/>
        </w:rPr>
        <w:t>5</w:t>
      </w:r>
      <w:r>
        <w:rPr>
          <w:rFonts w:hint="eastAsia" w:ascii="宋体" w:hAnsi="宋体" w:eastAsia="宋体" w:cs="宋体"/>
          <w:color w:val="auto"/>
          <w:highlight w:val="none"/>
          <w:shd w:val="clear" w:color="auto" w:fill="auto"/>
        </w:rPr>
        <w:t>台采购及安装</w:t>
      </w:r>
      <w:r>
        <w:rPr>
          <w:rFonts w:hint="eastAsia" w:cs="Arial"/>
          <w:color w:val="auto"/>
          <w:sz w:val="24"/>
          <w:szCs w:val="24"/>
          <w:highlight w:val="none"/>
          <w:shd w:val="clear" w:color="auto" w:fill="auto"/>
        </w:rPr>
        <w:t>（详见招标需求）</w:t>
      </w:r>
    </w:p>
    <w:p w14:paraId="4E882196">
      <w:pPr>
        <w:spacing w:line="400" w:lineRule="exact"/>
        <w:rPr>
          <w:rFonts w:hint="default" w:ascii="宋体" w:hAnsi="宋体" w:eastAsia="宋体" w:cs="宋体"/>
          <w:color w:val="auto"/>
          <w:kern w:val="0"/>
          <w:sz w:val="24"/>
          <w:highlight w:val="none"/>
          <w:shd w:val="clear" w:color="auto" w:fill="auto"/>
          <w:lang w:val="en-US" w:eastAsia="zh-CN"/>
        </w:rPr>
      </w:pPr>
      <w:r>
        <w:rPr>
          <w:rFonts w:hint="eastAsia" w:ascii="宋体" w:hAnsi="宋体" w:eastAsia="宋体" w:cs="宋体"/>
          <w:color w:val="auto"/>
          <w:kern w:val="0"/>
          <w:sz w:val="24"/>
          <w:highlight w:val="none"/>
          <w:shd w:val="clear" w:color="auto" w:fill="auto"/>
          <w:lang w:val="en-US" w:eastAsia="zh-CN"/>
        </w:rPr>
        <w:t>采购预算：</w:t>
      </w:r>
      <w:r>
        <w:rPr>
          <w:rFonts w:hint="eastAsia" w:ascii="宋体" w:hAnsi="宋体" w:cs="宋体"/>
          <w:color w:val="auto"/>
          <w:kern w:val="0"/>
          <w:sz w:val="24"/>
          <w:highlight w:val="none"/>
          <w:shd w:val="clear" w:color="auto" w:fill="auto"/>
          <w:lang w:val="en-US" w:eastAsia="zh-CN"/>
        </w:rPr>
        <w:t>255万</w:t>
      </w:r>
      <w:r>
        <w:rPr>
          <w:rFonts w:hint="eastAsia" w:ascii="宋体" w:hAnsi="宋体" w:eastAsia="宋体" w:cs="宋体"/>
          <w:color w:val="auto"/>
          <w:kern w:val="0"/>
          <w:sz w:val="24"/>
          <w:highlight w:val="none"/>
          <w:shd w:val="clear" w:color="auto" w:fill="auto"/>
          <w:lang w:val="en-US" w:eastAsia="zh-CN"/>
        </w:rPr>
        <w:t>元</w:t>
      </w:r>
    </w:p>
    <w:p w14:paraId="36CDC571">
      <w:pPr>
        <w:pStyle w:val="45"/>
        <w:spacing w:before="0" w:beforeAutospacing="0" w:after="0" w:afterAutospacing="0" w:line="400" w:lineRule="exac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采购标段数：1</w:t>
      </w:r>
    </w:p>
    <w:p w14:paraId="113790E3">
      <w:pPr>
        <w:pStyle w:val="45"/>
        <w:spacing w:before="0" w:beforeAutospacing="0" w:after="0" w:afterAutospacing="0" w:line="400" w:lineRule="exac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采购方式：公开招标</w:t>
      </w:r>
    </w:p>
    <w:p w14:paraId="6C7CF323">
      <w:pPr>
        <w:pStyle w:val="45"/>
        <w:spacing w:before="0" w:beforeAutospacing="0" w:after="0" w:afterAutospacing="0" w:line="400" w:lineRule="exact"/>
        <w:rPr>
          <w:rFonts w:hint="eastAsia" w:cs="Arial"/>
          <w:b w:val="0"/>
          <w:bCs/>
          <w:color w:val="auto"/>
          <w:highlight w:val="none"/>
          <w:lang w:val="en-US" w:eastAsia="zh-CN"/>
        </w:rPr>
      </w:pPr>
      <w:r>
        <w:rPr>
          <w:rFonts w:hint="eastAsia" w:ascii="宋体" w:hAnsi="宋体" w:cs="宋体"/>
          <w:color w:val="auto"/>
          <w:kern w:val="0"/>
          <w:sz w:val="24"/>
          <w:szCs w:val="24"/>
          <w:highlight w:val="none"/>
          <w:lang w:bidi="en-US"/>
        </w:rPr>
        <w:t>▲</w:t>
      </w:r>
      <w:r>
        <w:rPr>
          <w:rFonts w:hint="eastAsia" w:cs="Arial"/>
          <w:b w:val="0"/>
          <w:bCs/>
          <w:color w:val="auto"/>
          <w:highlight w:val="none"/>
          <w:lang w:val="en-US" w:eastAsia="zh-CN"/>
        </w:rPr>
        <w:t>工期：合同签订后接到招标人通知之日起60日历天内完成设备的供货及安装调试。</w:t>
      </w:r>
    </w:p>
    <w:p w14:paraId="7B649F03">
      <w:pPr>
        <w:pStyle w:val="45"/>
        <w:spacing w:before="0" w:beforeAutospacing="0" w:after="0" w:afterAutospacing="0" w:line="400" w:lineRule="exact"/>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采购文件公告期限：</w:t>
      </w:r>
      <w:r>
        <w:rPr>
          <w:rFonts w:hint="eastAsia" w:cs="宋体"/>
          <w:b/>
          <w:color w:val="auto"/>
          <w:highlight w:val="none"/>
          <w:shd w:val="clear" w:color="auto" w:fill="auto"/>
          <w:lang w:val="en-US" w:eastAsia="zh-CN"/>
        </w:rPr>
        <w:t>5</w:t>
      </w:r>
      <w:r>
        <w:rPr>
          <w:rFonts w:hint="eastAsia" w:ascii="宋体" w:hAnsi="宋体" w:eastAsia="宋体" w:cs="宋体"/>
          <w:b/>
          <w:color w:val="auto"/>
          <w:highlight w:val="none"/>
          <w:shd w:val="clear" w:color="auto" w:fill="auto"/>
        </w:rPr>
        <w:t>个工作日</w:t>
      </w:r>
    </w:p>
    <w:p w14:paraId="60B2811A">
      <w:pPr>
        <w:pStyle w:val="45"/>
        <w:spacing w:before="0" w:beforeAutospacing="0" w:after="0" w:afterAutospacing="0" w:line="400" w:lineRule="exac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该项目已具备条件，现对该项目进行公开招标。</w:t>
      </w:r>
    </w:p>
    <w:p w14:paraId="24C5A649">
      <w:pPr>
        <w:spacing w:line="400" w:lineRule="exact"/>
        <w:rPr>
          <w:rFonts w:hint="eastAsia" w:ascii="宋体" w:hAnsi="宋体" w:eastAsia="宋体" w:cs="宋体"/>
          <w:b/>
          <w:bCs/>
          <w:color w:val="auto"/>
          <w:kern w:val="0"/>
          <w:sz w:val="24"/>
          <w:highlight w:val="none"/>
          <w:shd w:val="clear" w:color="auto" w:fill="auto"/>
        </w:rPr>
      </w:pPr>
      <w:r>
        <w:rPr>
          <w:rFonts w:hint="eastAsia" w:ascii="宋体" w:hAnsi="宋体" w:eastAsia="宋体" w:cs="宋体"/>
          <w:b/>
          <w:bCs/>
          <w:color w:val="auto"/>
          <w:kern w:val="0"/>
          <w:sz w:val="24"/>
          <w:highlight w:val="none"/>
          <w:shd w:val="clear" w:color="auto" w:fill="auto"/>
        </w:rPr>
        <w:t>2.投标人资格要求</w:t>
      </w:r>
    </w:p>
    <w:p w14:paraId="1FD870AC">
      <w:pPr>
        <w:spacing w:line="400" w:lineRule="exact"/>
        <w:rPr>
          <w:rFonts w:hint="eastAsia" w:ascii="宋体" w:hAnsi="宋体" w:cs="Arial"/>
          <w:color w:val="auto"/>
          <w:kern w:val="0"/>
          <w:sz w:val="24"/>
          <w:highlight w:val="none"/>
          <w:lang w:eastAsia="zh-CN"/>
        </w:rPr>
      </w:pPr>
      <w:r>
        <w:rPr>
          <w:rFonts w:hint="eastAsia" w:ascii="宋体" w:hAnsi="宋体" w:cs="Arial"/>
          <w:color w:val="auto"/>
          <w:kern w:val="0"/>
          <w:sz w:val="24"/>
          <w:highlight w:val="none"/>
          <w:lang w:eastAsia="zh-CN"/>
        </w:rPr>
        <w:t>（1）未被“信用中国”（www.creditchina.gov.cn)、中国政府采购网（www.ccgp.gov.cn）列入失信被执行人、税收违法黑名单、政府采购严重违法失信行为记录名单；</w:t>
      </w:r>
    </w:p>
    <w:p w14:paraId="78B1EC68">
      <w:pPr>
        <w:spacing w:line="400" w:lineRule="exact"/>
        <w:rPr>
          <w:rFonts w:hint="eastAsia" w:ascii="宋体" w:hAnsi="宋体" w:cs="Arial"/>
          <w:color w:val="auto"/>
          <w:kern w:val="0"/>
          <w:sz w:val="24"/>
          <w:highlight w:val="none"/>
          <w:lang w:eastAsia="zh-CN"/>
        </w:rPr>
      </w:pPr>
      <w:r>
        <w:rPr>
          <w:rFonts w:hint="eastAsia" w:ascii="宋体" w:hAnsi="宋体" w:cs="Arial"/>
          <w:color w:val="auto"/>
          <w:kern w:val="0"/>
          <w:sz w:val="24"/>
          <w:highlight w:val="none"/>
          <w:lang w:eastAsia="zh-CN"/>
        </w:rPr>
        <w:t>（2）具有独立法人资格，具有与本采购项目相适应的商品经营或服务能力的制造商或代理商；如为代理商须持制造商针对本项目的授权书（制造商直接参加本项目投标的，不得再授权代理商参加本项目的投标）；</w:t>
      </w:r>
    </w:p>
    <w:p w14:paraId="6D13CAE1">
      <w:pPr>
        <w:spacing w:line="400" w:lineRule="exact"/>
        <w:rPr>
          <w:rFonts w:hint="eastAsia" w:ascii="宋体" w:hAnsi="宋体" w:cs="Arial"/>
          <w:color w:val="auto"/>
          <w:kern w:val="0"/>
          <w:sz w:val="24"/>
          <w:highlight w:val="none"/>
          <w:lang w:eastAsia="zh-CN"/>
        </w:rPr>
      </w:pPr>
      <w:r>
        <w:rPr>
          <w:rFonts w:hint="eastAsia" w:ascii="宋体" w:hAnsi="宋体" w:cs="Arial"/>
          <w:color w:val="auto"/>
          <w:kern w:val="0"/>
          <w:sz w:val="24"/>
          <w:highlight w:val="none"/>
          <w:lang w:eastAsia="zh-CN"/>
        </w:rPr>
        <w:t>（3）本项目不接受联合体投标。</w:t>
      </w:r>
    </w:p>
    <w:p w14:paraId="0CA0A7B2">
      <w:pPr>
        <w:spacing w:line="400" w:lineRule="exact"/>
        <w:rPr>
          <w:rFonts w:hint="eastAsia" w:ascii="宋体" w:hAnsi="宋体" w:eastAsia="宋体" w:cs="宋体"/>
          <w:b/>
          <w:bCs/>
          <w:color w:val="auto"/>
          <w:kern w:val="0"/>
          <w:sz w:val="24"/>
          <w:highlight w:val="none"/>
          <w:shd w:val="clear" w:color="auto" w:fill="auto"/>
        </w:rPr>
      </w:pPr>
      <w:r>
        <w:rPr>
          <w:rFonts w:hint="eastAsia" w:ascii="宋体" w:hAnsi="宋体" w:eastAsia="宋体" w:cs="宋体"/>
          <w:b/>
          <w:bCs/>
          <w:color w:val="auto"/>
          <w:kern w:val="0"/>
          <w:sz w:val="24"/>
          <w:highlight w:val="none"/>
          <w:shd w:val="clear" w:color="auto" w:fill="auto"/>
        </w:rPr>
        <w:t>3.报名</w:t>
      </w:r>
    </w:p>
    <w:p w14:paraId="4D2752F2">
      <w:pPr>
        <w:spacing w:line="400" w:lineRule="exact"/>
        <w:rPr>
          <w:rFonts w:hint="eastAsia" w:ascii="宋体" w:hAnsi="宋体" w:eastAsia="宋体" w:cs="宋体"/>
          <w:b/>
          <w:bCs/>
          <w:color w:val="auto"/>
          <w:kern w:val="0"/>
          <w:sz w:val="24"/>
          <w:highlight w:val="none"/>
          <w:u w:val="single"/>
          <w:shd w:val="clear" w:color="auto" w:fill="auto"/>
        </w:rPr>
      </w:pPr>
      <w:r>
        <w:rPr>
          <w:rFonts w:hint="eastAsia" w:ascii="宋体" w:hAnsi="宋体" w:eastAsia="宋体" w:cs="宋体"/>
          <w:b/>
          <w:bCs/>
          <w:color w:val="auto"/>
          <w:kern w:val="0"/>
          <w:sz w:val="24"/>
          <w:highlight w:val="none"/>
          <w:u w:val="single"/>
          <w:shd w:val="clear" w:color="auto" w:fill="auto"/>
        </w:rPr>
        <w:t>本项目无需报名，</w:t>
      </w:r>
      <w:bookmarkStart w:id="3" w:name="_Hlk59307647"/>
      <w:r>
        <w:rPr>
          <w:rFonts w:hint="eastAsia" w:ascii="宋体" w:hAnsi="宋体" w:eastAsia="宋体" w:cs="宋体"/>
          <w:b/>
          <w:bCs/>
          <w:color w:val="auto"/>
          <w:kern w:val="0"/>
          <w:sz w:val="24"/>
          <w:highlight w:val="none"/>
          <w:u w:val="single"/>
          <w:shd w:val="clear" w:color="auto" w:fill="auto"/>
        </w:rPr>
        <w:t>投标人须到临海市限额以下公共资源交易区域平台</w:t>
      </w:r>
    </w:p>
    <w:p w14:paraId="6585884C">
      <w:pPr>
        <w:spacing w:line="400" w:lineRule="exact"/>
        <w:rPr>
          <w:rFonts w:hint="eastAsia" w:ascii="宋体" w:hAnsi="宋体" w:eastAsia="宋体" w:cs="宋体"/>
          <w:b/>
          <w:bCs/>
          <w:color w:val="auto"/>
          <w:kern w:val="0"/>
          <w:sz w:val="24"/>
          <w:highlight w:val="none"/>
          <w:u w:val="single"/>
          <w:shd w:val="clear" w:color="auto" w:fill="auto"/>
        </w:rPr>
      </w:pPr>
      <w:r>
        <w:rPr>
          <w:rFonts w:hint="eastAsia" w:ascii="宋体" w:hAnsi="宋体" w:eastAsia="宋体" w:cs="宋体"/>
          <w:b/>
          <w:bCs/>
          <w:color w:val="auto"/>
          <w:kern w:val="0"/>
          <w:sz w:val="24"/>
          <w:highlight w:val="none"/>
          <w:u w:val="single"/>
          <w:shd w:val="clear" w:color="auto" w:fill="auto"/>
        </w:rPr>
        <w:t>（https://www.lhcqjy.com.cn/home）注册</w:t>
      </w:r>
      <w:bookmarkEnd w:id="3"/>
      <w:r>
        <w:rPr>
          <w:rFonts w:hint="eastAsia" w:ascii="宋体" w:hAnsi="宋体" w:eastAsia="宋体" w:cs="宋体"/>
          <w:b/>
          <w:bCs/>
          <w:color w:val="auto"/>
          <w:kern w:val="0"/>
          <w:sz w:val="24"/>
          <w:highlight w:val="none"/>
          <w:u w:val="single"/>
          <w:shd w:val="clear" w:color="auto" w:fill="auto"/>
        </w:rPr>
        <w:t>、提交审核通过后可参加投标，注册咨询联系人：梁工，联系电话：0576-85407095；</w:t>
      </w:r>
    </w:p>
    <w:p w14:paraId="1C57EAF0">
      <w:pPr>
        <w:spacing w:line="400" w:lineRule="exact"/>
        <w:rPr>
          <w:rFonts w:ascii="宋体" w:hAnsi="宋体" w:cs="宋体"/>
          <w:b/>
          <w:bCs/>
          <w:color w:val="auto"/>
          <w:kern w:val="0"/>
          <w:sz w:val="24"/>
          <w:highlight w:val="none"/>
        </w:rPr>
      </w:pPr>
      <w:r>
        <w:rPr>
          <w:rFonts w:hint="eastAsia" w:ascii="宋体" w:hAnsi="宋体" w:cs="宋体"/>
          <w:b/>
          <w:bCs/>
          <w:color w:val="auto"/>
          <w:kern w:val="0"/>
          <w:sz w:val="24"/>
          <w:highlight w:val="none"/>
        </w:rPr>
        <w:t>4.招标文件的获取</w:t>
      </w:r>
    </w:p>
    <w:p w14:paraId="12F514F1">
      <w:pPr>
        <w:spacing w:line="400" w:lineRule="exact"/>
        <w:rPr>
          <w:rFonts w:ascii="宋体" w:hAnsi="宋体" w:cs="宋体"/>
          <w:color w:val="auto"/>
          <w:kern w:val="0"/>
          <w:sz w:val="24"/>
          <w:highlight w:val="none"/>
        </w:rPr>
      </w:pPr>
      <w:r>
        <w:rPr>
          <w:rFonts w:hint="eastAsia" w:ascii="宋体" w:hAnsi="宋体" w:cs="宋体"/>
          <w:color w:val="auto"/>
          <w:kern w:val="0"/>
          <w:sz w:val="24"/>
          <w:highlight w:val="none"/>
        </w:rPr>
        <w:t>采购文件售价：免费</w:t>
      </w:r>
    </w:p>
    <w:p w14:paraId="23270225">
      <w:pPr>
        <w:spacing w:line="400" w:lineRule="exact"/>
        <w:rPr>
          <w:rFonts w:ascii="宋体" w:hAnsi="宋体" w:cs="宋体"/>
          <w:bCs/>
          <w:color w:val="auto"/>
          <w:sz w:val="24"/>
          <w:highlight w:val="none"/>
        </w:rPr>
      </w:pPr>
      <w:r>
        <w:rPr>
          <w:rFonts w:hint="eastAsia" w:ascii="宋体" w:hAnsi="宋体" w:cs="宋体"/>
          <w:bCs/>
          <w:color w:val="auto"/>
          <w:sz w:val="24"/>
          <w:highlight w:val="none"/>
        </w:rPr>
        <w:t>获取方式：凡有意参加投标者，在</w:t>
      </w:r>
      <w:r>
        <w:rPr>
          <w:rFonts w:hint="eastAsia" w:ascii="宋体" w:hAnsi="宋体" w:cs="宋体"/>
          <w:bCs/>
          <w:color w:val="auto"/>
          <w:sz w:val="24"/>
          <w:highlight w:val="none"/>
          <w:lang w:val="en-US" w:eastAsia="zh-CN"/>
        </w:rPr>
        <w:t>2026</w:t>
      </w:r>
      <w:r>
        <w:rPr>
          <w:rFonts w:hint="eastAsia" w:ascii="宋体" w:hAnsi="宋体" w:cs="宋体"/>
          <w:bCs/>
          <w:color w:val="auto"/>
          <w:sz w:val="24"/>
          <w:highlight w:val="none"/>
          <w:lang w:eastAsia="zh-CN"/>
        </w:rPr>
        <w:t>年</w:t>
      </w:r>
      <w:r>
        <w:rPr>
          <w:rFonts w:hint="eastAsia" w:ascii="宋体" w:hAnsi="宋体" w:cs="宋体"/>
          <w:bCs/>
          <w:color w:val="auto"/>
          <w:sz w:val="24"/>
          <w:highlight w:val="none"/>
          <w:lang w:val="en-US" w:eastAsia="zh-CN"/>
        </w:rPr>
        <w:t>5</w:t>
      </w:r>
      <w:r>
        <w:rPr>
          <w:rFonts w:hint="eastAsia" w:ascii="宋体" w:hAnsi="宋体" w:cs="宋体"/>
          <w:bCs/>
          <w:color w:val="auto"/>
          <w:sz w:val="24"/>
          <w:highlight w:val="none"/>
        </w:rPr>
        <w:t>月</w:t>
      </w:r>
      <w:r>
        <w:rPr>
          <w:rFonts w:hint="eastAsia" w:ascii="宋体" w:hAnsi="宋体" w:cs="宋体"/>
          <w:bCs/>
          <w:color w:val="auto"/>
          <w:sz w:val="24"/>
          <w:highlight w:val="none"/>
          <w:lang w:val="en-US" w:eastAsia="zh-CN"/>
        </w:rPr>
        <w:t>21</w:t>
      </w:r>
      <w:r>
        <w:rPr>
          <w:rFonts w:hint="eastAsia" w:ascii="宋体" w:hAnsi="宋体" w:cs="宋体"/>
          <w:bCs/>
          <w:color w:val="auto"/>
          <w:sz w:val="24"/>
          <w:highlight w:val="none"/>
        </w:rPr>
        <w:t>日</w:t>
      </w:r>
      <w:r>
        <w:rPr>
          <w:rFonts w:hint="eastAsia" w:ascii="宋体" w:hAnsi="宋体" w:cs="宋体"/>
          <w:bCs/>
          <w:color w:val="auto"/>
          <w:sz w:val="24"/>
          <w:highlight w:val="none"/>
          <w:lang w:val="en-US" w:eastAsia="zh-CN"/>
        </w:rPr>
        <w:t>9</w:t>
      </w:r>
      <w:r>
        <w:rPr>
          <w:rFonts w:hint="eastAsia" w:ascii="宋体" w:hAnsi="宋体" w:cs="宋体"/>
          <w:bCs/>
          <w:color w:val="auto"/>
          <w:sz w:val="24"/>
          <w:highlight w:val="none"/>
        </w:rPr>
        <w:t>时</w:t>
      </w:r>
      <w:r>
        <w:rPr>
          <w:rFonts w:hint="eastAsia" w:ascii="宋体" w:hAnsi="宋体" w:cs="宋体"/>
          <w:bCs/>
          <w:color w:val="auto"/>
          <w:sz w:val="24"/>
          <w:highlight w:val="none"/>
          <w:lang w:val="en-US" w:eastAsia="zh-CN"/>
        </w:rPr>
        <w:t>0</w:t>
      </w:r>
      <w:r>
        <w:rPr>
          <w:rFonts w:hint="eastAsia" w:ascii="宋体" w:hAnsi="宋体" w:cs="宋体"/>
          <w:bCs/>
          <w:color w:val="auto"/>
          <w:sz w:val="24"/>
          <w:highlight w:val="none"/>
        </w:rPr>
        <w:t>0分00秒前，到临海市限额以下公共资源交易区域平台可自行下载采购文件。</w:t>
      </w:r>
    </w:p>
    <w:p w14:paraId="212E4364">
      <w:pPr>
        <w:pStyle w:val="45"/>
        <w:spacing w:before="0" w:beforeAutospacing="0" w:after="0" w:afterAutospacing="0" w:line="400" w:lineRule="exact"/>
        <w:rPr>
          <w:rFonts w:cs="宋体"/>
          <w:b/>
          <w:color w:val="auto"/>
          <w:highlight w:val="none"/>
        </w:rPr>
      </w:pPr>
      <w:r>
        <w:rPr>
          <w:rFonts w:hint="eastAsia" w:cs="宋体"/>
          <w:color w:val="auto"/>
          <w:highlight w:val="none"/>
        </w:rPr>
        <w:t>招标文件答疑：</w:t>
      </w:r>
      <w:r>
        <w:rPr>
          <w:rFonts w:hint="eastAsia" w:cs="宋体"/>
          <w:b/>
          <w:color w:val="auto"/>
          <w:highlight w:val="none"/>
        </w:rPr>
        <w:t>投标人对采购文件提出质疑的，应当在获取采购文件或者采购文件公告期限届满之日起7个工作日内以书面形式提出，否则被质疑人可不予接受。</w:t>
      </w:r>
    </w:p>
    <w:p w14:paraId="3BAA0726">
      <w:pPr>
        <w:pStyle w:val="45"/>
        <w:spacing w:before="0" w:beforeAutospacing="0" w:after="0" w:afterAutospacing="0" w:line="400" w:lineRule="exact"/>
        <w:rPr>
          <w:rFonts w:cs="宋体"/>
          <w:color w:val="auto"/>
          <w:highlight w:val="none"/>
        </w:rPr>
      </w:pPr>
      <w:r>
        <w:rPr>
          <w:rFonts w:hint="eastAsia" w:cs="宋体"/>
          <w:b/>
          <w:bCs/>
          <w:color w:val="auto"/>
          <w:highlight w:val="none"/>
        </w:rPr>
        <w:t>5.投标保证金</w:t>
      </w:r>
    </w:p>
    <w:p w14:paraId="7F412982">
      <w:pPr>
        <w:spacing w:line="400" w:lineRule="exact"/>
        <w:rPr>
          <w:rFonts w:ascii="宋体" w:hAnsi="宋体" w:cs="宋体"/>
          <w:b/>
          <w:color w:val="auto"/>
          <w:sz w:val="24"/>
          <w:highlight w:val="none"/>
        </w:rPr>
      </w:pPr>
      <w:r>
        <w:rPr>
          <w:rFonts w:hint="eastAsia" w:ascii="宋体" w:hAnsi="宋体" w:cs="宋体"/>
          <w:b/>
          <w:color w:val="auto"/>
          <w:sz w:val="24"/>
          <w:highlight w:val="none"/>
        </w:rPr>
        <w:t>本项目不收取投标保证金。</w:t>
      </w:r>
    </w:p>
    <w:p w14:paraId="05415C26">
      <w:pPr>
        <w:spacing w:line="400" w:lineRule="exact"/>
        <w:rPr>
          <w:rFonts w:ascii="宋体" w:hAnsi="宋体" w:cs="宋体"/>
          <w:b/>
          <w:bCs/>
          <w:color w:val="auto"/>
          <w:kern w:val="0"/>
          <w:sz w:val="24"/>
          <w:highlight w:val="none"/>
        </w:rPr>
      </w:pPr>
      <w:r>
        <w:rPr>
          <w:rFonts w:hint="eastAsia" w:ascii="宋体" w:hAnsi="宋体" w:cs="宋体"/>
          <w:b/>
          <w:color w:val="auto"/>
          <w:sz w:val="24"/>
          <w:highlight w:val="none"/>
        </w:rPr>
        <w:t>6</w:t>
      </w:r>
      <w:r>
        <w:rPr>
          <w:rFonts w:hint="eastAsia" w:ascii="宋体" w:hAnsi="宋体" w:cs="宋体"/>
          <w:b/>
          <w:bCs/>
          <w:color w:val="auto"/>
          <w:kern w:val="0"/>
          <w:sz w:val="24"/>
          <w:highlight w:val="none"/>
        </w:rPr>
        <w:t>.投标说明</w:t>
      </w:r>
    </w:p>
    <w:p w14:paraId="21285BB1">
      <w:pPr>
        <w:spacing w:line="400" w:lineRule="exact"/>
        <w:rPr>
          <w:rFonts w:ascii="宋体" w:hAnsi="宋体" w:cs="宋体"/>
          <w:color w:val="auto"/>
          <w:kern w:val="0"/>
          <w:sz w:val="24"/>
          <w:highlight w:val="none"/>
        </w:rPr>
      </w:pPr>
      <w:r>
        <w:rPr>
          <w:rFonts w:hint="eastAsia" w:ascii="宋体" w:hAnsi="宋体" w:cs="宋体"/>
          <w:color w:val="auto"/>
          <w:kern w:val="0"/>
          <w:sz w:val="24"/>
          <w:highlight w:val="none"/>
        </w:rPr>
        <w:t>（1）本项目实行电子投标，投标人应按照本项目招标文件求编制、加密并递交投标文件。投标人在使用系统进行投标的过程中遇到涉及平台使用的任何问题，可致电平台技术支持联系方式：15267291759。</w:t>
      </w:r>
    </w:p>
    <w:p w14:paraId="2240E99D">
      <w:pPr>
        <w:spacing w:line="400" w:lineRule="exact"/>
        <w:rPr>
          <w:rFonts w:ascii="宋体" w:hAnsi="宋体" w:cs="宋体"/>
          <w:color w:val="auto"/>
          <w:kern w:val="0"/>
          <w:sz w:val="24"/>
          <w:highlight w:val="none"/>
        </w:rPr>
      </w:pPr>
      <w:r>
        <w:rPr>
          <w:rFonts w:hint="eastAsia" w:ascii="宋体" w:hAnsi="宋体" w:cs="宋体"/>
          <w:color w:val="auto"/>
          <w:kern w:val="0"/>
          <w:sz w:val="24"/>
          <w:highlight w:val="none"/>
        </w:rPr>
        <w:t>（2）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4FC1EBD3">
      <w:pPr>
        <w:spacing w:line="400" w:lineRule="exact"/>
        <w:rPr>
          <w:rFonts w:ascii="宋体" w:hAnsi="宋体" w:cs="宋体"/>
          <w:color w:val="auto"/>
          <w:kern w:val="0"/>
          <w:sz w:val="24"/>
          <w:highlight w:val="none"/>
        </w:rPr>
      </w:pPr>
      <w:r>
        <w:rPr>
          <w:rFonts w:hint="eastAsia" w:ascii="宋体" w:hAnsi="宋体" w:cs="宋体"/>
          <w:color w:val="auto"/>
          <w:kern w:val="0"/>
          <w:sz w:val="24"/>
          <w:highlight w:val="none"/>
        </w:rPr>
        <w:t>（3）投标人应在开标前完成CA数字证书办理。（办理流程详见临海市限额以下公共资源交易区域平台-办事指南的操作说明）。</w:t>
      </w:r>
    </w:p>
    <w:p w14:paraId="199A4815">
      <w:pPr>
        <w:spacing w:line="400" w:lineRule="exact"/>
        <w:rPr>
          <w:rFonts w:ascii="宋体" w:hAnsi="宋体" w:cs="宋体"/>
          <w:b/>
          <w:bCs/>
          <w:color w:val="auto"/>
          <w:kern w:val="0"/>
          <w:sz w:val="24"/>
          <w:highlight w:val="none"/>
        </w:rPr>
      </w:pPr>
      <w:r>
        <w:rPr>
          <w:rFonts w:hint="eastAsia" w:ascii="宋体" w:hAnsi="宋体" w:cs="宋体"/>
          <w:color w:val="auto"/>
          <w:kern w:val="0"/>
          <w:sz w:val="24"/>
          <w:highlight w:val="none"/>
        </w:rPr>
        <w:t>（4）投标人应当在投标截止时间前完成电子投标文件的传输递交，并可以补充、修改或者撤回电子投标文件。补充或者修改电子投标文件的，应当先行撤回原文件，补充、修改后重新传输递交。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cs="宋体"/>
          <w:b/>
          <w:bCs/>
          <w:color w:val="auto"/>
          <w:kern w:val="0"/>
          <w:sz w:val="24"/>
          <w:highlight w:val="none"/>
        </w:rPr>
        <w:t>投标截止时间后传输、递交的投标文件，将被拒收。</w:t>
      </w:r>
    </w:p>
    <w:p w14:paraId="35A6A23E">
      <w:pPr>
        <w:spacing w:line="400" w:lineRule="exact"/>
        <w:rPr>
          <w:rFonts w:ascii="宋体" w:hAnsi="宋体" w:cs="宋体"/>
          <w:b/>
          <w:bCs/>
          <w:color w:val="auto"/>
          <w:kern w:val="0"/>
          <w:sz w:val="24"/>
          <w:highlight w:val="none"/>
        </w:rPr>
      </w:pPr>
      <w:r>
        <w:rPr>
          <w:rFonts w:hint="eastAsia" w:ascii="宋体" w:hAnsi="宋体" w:cs="宋体"/>
          <w:b/>
          <w:bCs/>
          <w:color w:val="auto"/>
          <w:kern w:val="0"/>
          <w:sz w:val="24"/>
          <w:highlight w:val="none"/>
        </w:rPr>
        <w:t>（5）本招标文件中关于电子招投标内容、流程如与</w:t>
      </w:r>
      <w:r>
        <w:rPr>
          <w:rFonts w:hint="eastAsia" w:ascii="宋体" w:hAnsi="宋体" w:cs="宋体"/>
          <w:color w:val="auto"/>
          <w:kern w:val="0"/>
          <w:sz w:val="24"/>
          <w:highlight w:val="none"/>
        </w:rPr>
        <w:t>临海市限额以下公共资源交易区域平台</w:t>
      </w:r>
      <w:r>
        <w:rPr>
          <w:rFonts w:hint="eastAsia" w:ascii="宋体" w:hAnsi="宋体" w:cs="宋体"/>
          <w:b/>
          <w:bCs/>
          <w:color w:val="auto"/>
          <w:kern w:val="0"/>
          <w:sz w:val="24"/>
          <w:highlight w:val="none"/>
        </w:rPr>
        <w:t>中最新的内容、操作不一致的，以平台中的要求为准。</w:t>
      </w:r>
    </w:p>
    <w:p w14:paraId="71E762BB">
      <w:pPr>
        <w:spacing w:line="400" w:lineRule="exact"/>
        <w:rPr>
          <w:rFonts w:ascii="宋体" w:hAnsi="宋体" w:cs="宋体"/>
          <w:b/>
          <w:color w:val="auto"/>
          <w:sz w:val="24"/>
          <w:highlight w:val="none"/>
        </w:rPr>
      </w:pPr>
      <w:r>
        <w:rPr>
          <w:rFonts w:hint="eastAsia" w:ascii="宋体" w:hAnsi="宋体" w:cs="宋体"/>
          <w:b/>
          <w:color w:val="auto"/>
          <w:sz w:val="24"/>
          <w:highlight w:val="none"/>
        </w:rPr>
        <w:t>7</w:t>
      </w:r>
      <w:r>
        <w:rPr>
          <w:rFonts w:hint="eastAsia" w:ascii="宋体" w:hAnsi="宋体" w:cs="宋体"/>
          <w:b/>
          <w:color w:val="auto"/>
          <w:kern w:val="0"/>
          <w:sz w:val="24"/>
          <w:highlight w:val="none"/>
        </w:rPr>
        <w:t>.</w:t>
      </w:r>
      <w:r>
        <w:rPr>
          <w:rFonts w:hint="eastAsia" w:ascii="宋体" w:hAnsi="宋体" w:cs="宋体"/>
          <w:b/>
          <w:color w:val="auto"/>
          <w:sz w:val="24"/>
          <w:highlight w:val="none"/>
        </w:rPr>
        <w:t>投标文件的组成、效力</w:t>
      </w:r>
    </w:p>
    <w:p w14:paraId="5F1E1596">
      <w:pPr>
        <w:spacing w:line="400" w:lineRule="exact"/>
        <w:rPr>
          <w:rFonts w:ascii="宋体" w:hAnsi="宋体" w:cs="宋体"/>
          <w:color w:val="auto"/>
          <w:sz w:val="24"/>
          <w:highlight w:val="none"/>
        </w:rPr>
      </w:pPr>
      <w:r>
        <w:rPr>
          <w:rFonts w:hint="eastAsia" w:ascii="宋体" w:hAnsi="宋体" w:cs="宋体"/>
          <w:color w:val="auto"/>
          <w:sz w:val="24"/>
          <w:highlight w:val="none"/>
        </w:rPr>
        <w:t>（1）本项目实行电子投标，投标人应准备电子投标文件，本项目线下无需提供任何备份投标文件。电子投标文件应按本招标文件要求编制。</w:t>
      </w:r>
    </w:p>
    <w:p w14:paraId="304AB2A8">
      <w:pPr>
        <w:spacing w:line="400" w:lineRule="exact"/>
        <w:rPr>
          <w:rFonts w:ascii="宋体" w:hAnsi="宋体" w:cs="宋体"/>
          <w:color w:val="auto"/>
          <w:sz w:val="24"/>
          <w:highlight w:val="none"/>
        </w:rPr>
      </w:pPr>
      <w:r>
        <w:rPr>
          <w:rFonts w:hint="eastAsia" w:ascii="宋体" w:hAnsi="宋体" w:cs="宋体"/>
          <w:color w:val="auto"/>
          <w:sz w:val="24"/>
          <w:highlight w:val="none"/>
        </w:rPr>
        <w:t>（2）未在</w:t>
      </w:r>
      <w:r>
        <w:rPr>
          <w:rFonts w:hint="eastAsia" w:ascii="宋体" w:hAnsi="宋体" w:cs="宋体"/>
          <w:color w:val="auto"/>
          <w:kern w:val="0"/>
          <w:sz w:val="24"/>
          <w:highlight w:val="none"/>
        </w:rPr>
        <w:t>“临海市限额以下公共资源交易区域平台”</w:t>
      </w:r>
      <w:r>
        <w:rPr>
          <w:rFonts w:hint="eastAsia" w:ascii="宋体" w:hAnsi="宋体" w:cs="宋体"/>
          <w:color w:val="auto"/>
          <w:sz w:val="24"/>
          <w:highlight w:val="none"/>
        </w:rPr>
        <w:t>传输递交电子投标文件的，投标无效。</w:t>
      </w:r>
    </w:p>
    <w:p w14:paraId="286067A2">
      <w:pPr>
        <w:spacing w:line="400" w:lineRule="exact"/>
        <w:rPr>
          <w:rFonts w:ascii="宋体" w:hAnsi="宋体" w:cs="宋体"/>
          <w:color w:val="auto"/>
          <w:sz w:val="24"/>
          <w:highlight w:val="none"/>
        </w:rPr>
      </w:pPr>
      <w:r>
        <w:rPr>
          <w:rFonts w:hint="eastAsia" w:ascii="宋体" w:hAnsi="宋体" w:cs="宋体"/>
          <w:b/>
          <w:color w:val="auto"/>
          <w:sz w:val="24"/>
          <w:highlight w:val="none"/>
        </w:rPr>
        <w:t>8.投标截止时间及电子投标文件的递交</w:t>
      </w:r>
    </w:p>
    <w:p w14:paraId="509E41D7">
      <w:pPr>
        <w:spacing w:line="400" w:lineRule="exact"/>
        <w:rPr>
          <w:rFonts w:ascii="宋体" w:hAnsi="宋体" w:cs="宋体"/>
          <w:color w:val="auto"/>
          <w:kern w:val="0"/>
          <w:sz w:val="24"/>
          <w:highlight w:val="none"/>
        </w:rPr>
      </w:pPr>
      <w:r>
        <w:rPr>
          <w:rFonts w:hint="eastAsia" w:ascii="宋体" w:hAnsi="宋体" w:cs="宋体"/>
          <w:b/>
          <w:bCs/>
          <w:color w:val="auto"/>
          <w:kern w:val="0"/>
          <w:sz w:val="24"/>
          <w:highlight w:val="none"/>
        </w:rPr>
        <w:t>电子投标文件</w:t>
      </w:r>
      <w:r>
        <w:rPr>
          <w:rFonts w:hint="eastAsia" w:ascii="宋体" w:hAnsi="宋体" w:cs="宋体"/>
          <w:b/>
          <w:color w:val="auto"/>
          <w:sz w:val="24"/>
          <w:highlight w:val="none"/>
        </w:rPr>
        <w:t>投标截止时间：</w:t>
      </w:r>
      <w:r>
        <w:rPr>
          <w:rFonts w:hint="eastAsia" w:ascii="宋体" w:hAnsi="宋体" w:cs="宋体"/>
          <w:b/>
          <w:color w:val="auto"/>
          <w:sz w:val="24"/>
          <w:highlight w:val="none"/>
          <w:lang w:val="en-US" w:eastAsia="zh-CN"/>
        </w:rPr>
        <w:t>2026</w:t>
      </w:r>
      <w:r>
        <w:rPr>
          <w:rFonts w:hint="eastAsia" w:ascii="宋体" w:hAnsi="宋体" w:cs="宋体"/>
          <w:b/>
          <w:color w:val="auto"/>
          <w:sz w:val="24"/>
          <w:highlight w:val="none"/>
          <w:lang w:eastAsia="zh-CN"/>
        </w:rPr>
        <w:t>年</w:t>
      </w:r>
      <w:r>
        <w:rPr>
          <w:rFonts w:hint="eastAsia" w:ascii="宋体" w:hAnsi="宋体" w:cs="宋体"/>
          <w:b/>
          <w:color w:val="auto"/>
          <w:sz w:val="24"/>
          <w:highlight w:val="none"/>
          <w:lang w:val="en-US" w:eastAsia="zh-CN"/>
        </w:rPr>
        <w:t>5</w:t>
      </w:r>
      <w:r>
        <w:rPr>
          <w:rFonts w:hint="eastAsia" w:ascii="宋体" w:hAnsi="宋体" w:cs="宋体"/>
          <w:b/>
          <w:color w:val="auto"/>
          <w:sz w:val="24"/>
          <w:highlight w:val="none"/>
        </w:rPr>
        <w:t>月</w:t>
      </w:r>
      <w:r>
        <w:rPr>
          <w:rFonts w:hint="eastAsia" w:ascii="宋体" w:hAnsi="宋体" w:cs="宋体"/>
          <w:b/>
          <w:color w:val="auto"/>
          <w:sz w:val="24"/>
          <w:highlight w:val="none"/>
          <w:lang w:val="en-US" w:eastAsia="zh-CN"/>
        </w:rPr>
        <w:t>21</w:t>
      </w:r>
      <w:r>
        <w:rPr>
          <w:rFonts w:hint="eastAsia" w:ascii="宋体" w:hAnsi="宋体" w:cs="宋体"/>
          <w:b/>
          <w:color w:val="auto"/>
          <w:sz w:val="24"/>
          <w:highlight w:val="none"/>
        </w:rPr>
        <w:t>日</w:t>
      </w:r>
      <w:r>
        <w:rPr>
          <w:rFonts w:hint="eastAsia" w:ascii="宋体" w:hAnsi="宋体" w:cs="宋体"/>
          <w:b/>
          <w:color w:val="auto"/>
          <w:sz w:val="24"/>
          <w:highlight w:val="none"/>
          <w:lang w:val="en-US" w:eastAsia="zh-CN"/>
        </w:rPr>
        <w:t>9</w:t>
      </w:r>
      <w:r>
        <w:rPr>
          <w:rFonts w:hint="eastAsia" w:ascii="宋体" w:hAnsi="宋体" w:cs="宋体"/>
          <w:b/>
          <w:color w:val="auto"/>
          <w:sz w:val="24"/>
          <w:highlight w:val="none"/>
        </w:rPr>
        <w:t>时</w:t>
      </w:r>
      <w:r>
        <w:rPr>
          <w:rFonts w:hint="eastAsia" w:ascii="宋体" w:hAnsi="宋体" w:cs="宋体"/>
          <w:b/>
          <w:color w:val="auto"/>
          <w:sz w:val="24"/>
          <w:highlight w:val="none"/>
          <w:lang w:val="en-US" w:eastAsia="zh-CN"/>
        </w:rPr>
        <w:t>0</w:t>
      </w:r>
      <w:r>
        <w:rPr>
          <w:rFonts w:hint="eastAsia" w:ascii="宋体" w:hAnsi="宋体" w:cs="宋体"/>
          <w:b/>
          <w:color w:val="auto"/>
          <w:sz w:val="24"/>
          <w:highlight w:val="none"/>
        </w:rPr>
        <w:t>0分00秒，</w:t>
      </w:r>
      <w:r>
        <w:rPr>
          <w:rFonts w:hint="eastAsia" w:ascii="宋体" w:hAnsi="宋体" w:cs="宋体"/>
          <w:color w:val="auto"/>
          <w:kern w:val="0"/>
          <w:sz w:val="24"/>
          <w:highlight w:val="none"/>
        </w:rPr>
        <w:t>投标人应于投标截止时间之前将电子投标文件上传到“临海市限额以下公共资源交易区域平台”。投标截止时间前未完成传输电子投标文件的</w:t>
      </w:r>
      <w:r>
        <w:rPr>
          <w:rFonts w:hint="eastAsia" w:ascii="宋体" w:hAnsi="宋体" w:cs="宋体"/>
          <w:color w:val="auto"/>
          <w:sz w:val="24"/>
          <w:highlight w:val="none"/>
        </w:rPr>
        <w:t>，投标无效。</w:t>
      </w:r>
    </w:p>
    <w:p w14:paraId="372D3220">
      <w:pPr>
        <w:spacing w:line="400" w:lineRule="exact"/>
        <w:rPr>
          <w:rFonts w:ascii="宋体" w:hAnsi="宋体" w:cs="宋体"/>
          <w:b/>
          <w:color w:val="auto"/>
          <w:sz w:val="24"/>
          <w:highlight w:val="none"/>
        </w:rPr>
      </w:pPr>
      <w:r>
        <w:rPr>
          <w:rFonts w:hint="eastAsia" w:ascii="宋体" w:hAnsi="宋体" w:cs="宋体"/>
          <w:b/>
          <w:color w:val="auto"/>
          <w:sz w:val="24"/>
          <w:highlight w:val="none"/>
        </w:rPr>
        <w:t>9.</w:t>
      </w:r>
      <w:r>
        <w:rPr>
          <w:rFonts w:hint="eastAsia" w:ascii="宋体" w:hAnsi="宋体" w:cs="宋体"/>
          <w:color w:val="auto"/>
          <w:kern w:val="0"/>
          <w:sz w:val="24"/>
          <w:highlight w:val="none"/>
        </w:rPr>
        <w:t>临海市限额以下公共资源交易区域平台</w:t>
      </w:r>
      <w:r>
        <w:rPr>
          <w:rFonts w:hint="eastAsia" w:ascii="宋体" w:hAnsi="宋体" w:cs="宋体"/>
          <w:b/>
          <w:color w:val="auto"/>
          <w:sz w:val="24"/>
          <w:highlight w:val="none"/>
        </w:rPr>
        <w:t xml:space="preserve">及开评标期间出现网络故障或停电时的应急处理措施：      </w:t>
      </w:r>
    </w:p>
    <w:p w14:paraId="00FF7735">
      <w:pPr>
        <w:spacing w:line="400" w:lineRule="exact"/>
        <w:rPr>
          <w:rFonts w:ascii="宋体" w:hAnsi="宋体" w:cs="宋体"/>
          <w:bCs/>
          <w:color w:val="auto"/>
          <w:sz w:val="24"/>
          <w:highlight w:val="none"/>
        </w:rPr>
      </w:pPr>
      <w:r>
        <w:rPr>
          <w:rFonts w:hint="eastAsia" w:ascii="宋体" w:hAnsi="宋体" w:cs="宋体"/>
          <w:bCs/>
          <w:color w:val="auto"/>
          <w:sz w:val="24"/>
          <w:highlight w:val="none"/>
        </w:rPr>
        <w:t>（1）开评标期间出现网络故障或停电如短时间内（半天内）可以排除并能恢复正常使用的，为不耽误项目进度，招标人（代理机构）可宣布待故障排除后再进行正常开标活动；</w:t>
      </w:r>
    </w:p>
    <w:p w14:paraId="6B67F5AC">
      <w:pPr>
        <w:spacing w:line="400" w:lineRule="exact"/>
        <w:rPr>
          <w:rFonts w:ascii="宋体" w:hAnsi="宋体" w:cs="宋体"/>
          <w:bCs/>
          <w:color w:val="auto"/>
          <w:sz w:val="24"/>
          <w:highlight w:val="none"/>
        </w:rPr>
      </w:pPr>
      <w:r>
        <w:rPr>
          <w:rFonts w:hint="eastAsia" w:ascii="宋体" w:hAnsi="宋体" w:cs="宋体"/>
          <w:bCs/>
          <w:color w:val="auto"/>
          <w:sz w:val="24"/>
          <w:highlight w:val="none"/>
        </w:rPr>
        <w:t>（2）开评标期间出现网络故障或停电在短时间内不能排除，且无法恢复正常使用的，招标人（代理机构）可宣布暂停招标活动，招标人（代理机构）应办理延期开标手续，并及时发布更正公告择日另行开标。</w:t>
      </w:r>
    </w:p>
    <w:p w14:paraId="27D6D077">
      <w:pPr>
        <w:spacing w:line="400" w:lineRule="exact"/>
        <w:rPr>
          <w:rFonts w:ascii="宋体" w:hAnsi="宋体" w:cs="宋体"/>
          <w:color w:val="auto"/>
          <w:sz w:val="24"/>
          <w:highlight w:val="none"/>
        </w:rPr>
      </w:pPr>
      <w:r>
        <w:rPr>
          <w:rFonts w:hint="eastAsia" w:ascii="宋体" w:hAnsi="宋体" w:cs="宋体"/>
          <w:b/>
          <w:color w:val="auto"/>
          <w:sz w:val="24"/>
          <w:highlight w:val="none"/>
        </w:rPr>
        <w:t>10.开标</w:t>
      </w:r>
    </w:p>
    <w:p w14:paraId="21533892">
      <w:pPr>
        <w:spacing w:line="400" w:lineRule="exact"/>
        <w:rPr>
          <w:rFonts w:ascii="宋体" w:hAnsi="宋体" w:cs="宋体"/>
          <w:color w:val="auto"/>
          <w:sz w:val="24"/>
          <w:highlight w:val="none"/>
        </w:rPr>
      </w:pPr>
      <w:r>
        <w:rPr>
          <w:rFonts w:hint="eastAsia" w:ascii="宋体" w:hAnsi="宋体" w:cs="宋体"/>
          <w:color w:val="auto"/>
          <w:sz w:val="24"/>
          <w:highlight w:val="none"/>
        </w:rPr>
        <w:t>开标时间：</w:t>
      </w:r>
      <w:r>
        <w:rPr>
          <w:rFonts w:hint="eastAsia" w:ascii="宋体" w:hAnsi="宋体" w:cs="宋体"/>
          <w:b/>
          <w:color w:val="auto"/>
          <w:sz w:val="24"/>
          <w:highlight w:val="none"/>
          <w:lang w:val="en-US" w:eastAsia="zh-CN"/>
        </w:rPr>
        <w:t>2026</w:t>
      </w:r>
      <w:r>
        <w:rPr>
          <w:rFonts w:hint="eastAsia" w:ascii="宋体" w:hAnsi="宋体" w:cs="宋体"/>
          <w:b/>
          <w:color w:val="auto"/>
          <w:sz w:val="24"/>
          <w:highlight w:val="none"/>
          <w:lang w:eastAsia="zh-CN"/>
        </w:rPr>
        <w:t>年</w:t>
      </w:r>
      <w:r>
        <w:rPr>
          <w:rFonts w:hint="eastAsia" w:ascii="宋体" w:hAnsi="宋体" w:cs="宋体"/>
          <w:b/>
          <w:color w:val="auto"/>
          <w:sz w:val="24"/>
          <w:highlight w:val="none"/>
          <w:lang w:val="en-US" w:eastAsia="zh-CN"/>
        </w:rPr>
        <w:t>5</w:t>
      </w:r>
      <w:r>
        <w:rPr>
          <w:rFonts w:hint="eastAsia" w:ascii="宋体" w:hAnsi="宋体" w:cs="宋体"/>
          <w:b/>
          <w:color w:val="auto"/>
          <w:sz w:val="24"/>
          <w:highlight w:val="none"/>
        </w:rPr>
        <w:t>月</w:t>
      </w:r>
      <w:r>
        <w:rPr>
          <w:rFonts w:hint="eastAsia" w:ascii="宋体" w:hAnsi="宋体" w:cs="宋体"/>
          <w:b/>
          <w:color w:val="auto"/>
          <w:sz w:val="24"/>
          <w:highlight w:val="none"/>
          <w:lang w:val="en-US" w:eastAsia="zh-CN"/>
        </w:rPr>
        <w:t>21</w:t>
      </w:r>
      <w:r>
        <w:rPr>
          <w:rFonts w:hint="eastAsia" w:ascii="宋体" w:hAnsi="宋体" w:cs="宋体"/>
          <w:b/>
          <w:color w:val="auto"/>
          <w:sz w:val="24"/>
          <w:highlight w:val="none"/>
        </w:rPr>
        <w:t>日</w:t>
      </w:r>
      <w:r>
        <w:rPr>
          <w:rFonts w:hint="eastAsia" w:ascii="宋体" w:hAnsi="宋体" w:cs="宋体"/>
          <w:b/>
          <w:color w:val="auto"/>
          <w:sz w:val="24"/>
          <w:highlight w:val="none"/>
          <w:lang w:val="en-US" w:eastAsia="zh-CN"/>
        </w:rPr>
        <w:t>9</w:t>
      </w:r>
      <w:r>
        <w:rPr>
          <w:rFonts w:hint="eastAsia" w:ascii="宋体" w:hAnsi="宋体" w:cs="宋体"/>
          <w:b/>
          <w:color w:val="auto"/>
          <w:sz w:val="24"/>
          <w:highlight w:val="none"/>
        </w:rPr>
        <w:t>时</w:t>
      </w:r>
      <w:r>
        <w:rPr>
          <w:rFonts w:hint="eastAsia" w:ascii="宋体" w:hAnsi="宋体" w:cs="宋体"/>
          <w:b/>
          <w:color w:val="auto"/>
          <w:sz w:val="24"/>
          <w:highlight w:val="none"/>
          <w:lang w:val="en-US" w:eastAsia="zh-CN"/>
        </w:rPr>
        <w:t>00</w:t>
      </w:r>
      <w:r>
        <w:rPr>
          <w:rFonts w:hint="eastAsia" w:ascii="宋体" w:hAnsi="宋体" w:cs="宋体"/>
          <w:b/>
          <w:color w:val="auto"/>
          <w:sz w:val="24"/>
          <w:highlight w:val="none"/>
        </w:rPr>
        <w:t xml:space="preserve"> 分00秒 </w:t>
      </w:r>
      <w:r>
        <w:rPr>
          <w:rFonts w:hint="eastAsia" w:ascii="宋体" w:hAnsi="宋体" w:cs="宋体"/>
          <w:color w:val="auto"/>
          <w:sz w:val="24"/>
          <w:highlight w:val="none"/>
        </w:rPr>
        <w:t>。</w:t>
      </w:r>
    </w:p>
    <w:p w14:paraId="7ABB19C6">
      <w:pPr>
        <w:spacing w:line="400" w:lineRule="exact"/>
        <w:rPr>
          <w:rFonts w:ascii="宋体" w:hAnsi="宋体" w:cs="宋体"/>
          <w:color w:val="auto"/>
          <w:sz w:val="24"/>
          <w:highlight w:val="none"/>
          <w:u w:val="single"/>
        </w:rPr>
      </w:pPr>
      <w:r>
        <w:rPr>
          <w:rFonts w:hint="eastAsia" w:ascii="宋体" w:hAnsi="宋体" w:cs="宋体"/>
          <w:color w:val="auto"/>
          <w:sz w:val="24"/>
          <w:highlight w:val="none"/>
        </w:rPr>
        <w:t>开标地点：</w:t>
      </w:r>
      <w:r>
        <w:rPr>
          <w:rFonts w:hint="eastAsia" w:ascii="宋体" w:hAnsi="宋体" w:cs="宋体"/>
          <w:color w:val="auto"/>
          <w:sz w:val="24"/>
          <w:highlight w:val="none"/>
          <w:u w:val="single"/>
        </w:rPr>
        <w:t>临海市限额以下公共资源交易区域平台、临海市杜桥镇滨海路617号（临海市住房和城乡建设局东部事务中心主楼）六楼开标室</w:t>
      </w:r>
      <w:bookmarkStart w:id="72" w:name="_GoBack"/>
      <w:bookmarkEnd w:id="72"/>
      <w:r>
        <w:rPr>
          <w:rFonts w:hint="eastAsia" w:ascii="宋体" w:hAnsi="宋体" w:cs="宋体"/>
          <w:color w:val="auto"/>
          <w:sz w:val="24"/>
          <w:highlight w:val="none"/>
          <w:u w:val="single"/>
          <w:lang w:val="en-US" w:eastAsia="zh-CN"/>
        </w:rPr>
        <w:t xml:space="preserve">2 </w:t>
      </w:r>
      <w:r>
        <w:rPr>
          <w:rFonts w:hint="eastAsia" w:ascii="宋体" w:hAnsi="宋体" w:cs="宋体"/>
          <w:color w:val="auto"/>
          <w:sz w:val="24"/>
          <w:highlight w:val="none"/>
          <w:u w:val="single"/>
        </w:rPr>
        <w:t>（不见面开标大厅）</w:t>
      </w:r>
    </w:p>
    <w:p w14:paraId="773CFFF3">
      <w:pPr>
        <w:spacing w:line="400" w:lineRule="exact"/>
        <w:rPr>
          <w:rFonts w:ascii="宋体" w:hAnsi="宋体" w:cs="宋体"/>
          <w:b/>
          <w:color w:val="auto"/>
          <w:sz w:val="24"/>
          <w:highlight w:val="none"/>
        </w:rPr>
      </w:pPr>
      <w:r>
        <w:rPr>
          <w:rFonts w:hint="eastAsia" w:ascii="宋体" w:hAnsi="宋体" w:cs="宋体"/>
          <w:b/>
          <w:color w:val="auto"/>
          <w:sz w:val="24"/>
          <w:highlight w:val="none"/>
        </w:rPr>
        <w:t>11.发布公告的媒介</w:t>
      </w:r>
    </w:p>
    <w:p w14:paraId="43373847">
      <w:pPr>
        <w:spacing w:line="400" w:lineRule="exact"/>
        <w:rPr>
          <w:rFonts w:ascii="宋体" w:hAnsi="宋体" w:cs="宋体"/>
          <w:color w:val="auto"/>
          <w:sz w:val="24"/>
          <w:highlight w:val="none"/>
        </w:rPr>
      </w:pPr>
      <w:r>
        <w:rPr>
          <w:rFonts w:hint="eastAsia" w:ascii="宋体" w:hAnsi="宋体" w:cs="宋体"/>
          <w:color w:val="auto"/>
          <w:sz w:val="24"/>
          <w:highlight w:val="none"/>
        </w:rPr>
        <w:t>本次招标公告在</w:t>
      </w:r>
      <w:r>
        <w:rPr>
          <w:rFonts w:hint="eastAsia" w:ascii="宋体" w:hAnsi="宋体" w:cs="宋体"/>
          <w:color w:val="auto"/>
          <w:kern w:val="0"/>
          <w:sz w:val="24"/>
          <w:highlight w:val="none"/>
        </w:rPr>
        <w:t>临海市限额以下公共资源交易区域平台</w:t>
      </w:r>
      <w:r>
        <w:rPr>
          <w:rFonts w:hint="eastAsia" w:ascii="宋体" w:hAnsi="宋体" w:cs="宋体"/>
          <w:color w:val="auto"/>
          <w:sz w:val="24"/>
          <w:highlight w:val="none"/>
        </w:rPr>
        <w:t>上发布。</w:t>
      </w:r>
    </w:p>
    <w:p w14:paraId="7D13C6AD">
      <w:pPr>
        <w:spacing w:line="400" w:lineRule="exact"/>
        <w:rPr>
          <w:rFonts w:ascii="宋体" w:hAnsi="宋体" w:cs="宋体"/>
          <w:b/>
          <w:color w:val="auto"/>
          <w:sz w:val="24"/>
          <w:highlight w:val="none"/>
        </w:rPr>
      </w:pPr>
      <w:r>
        <w:rPr>
          <w:rFonts w:hint="eastAsia" w:ascii="宋体" w:hAnsi="宋体" w:cs="宋体"/>
          <w:b/>
          <w:color w:val="auto"/>
          <w:sz w:val="24"/>
          <w:highlight w:val="none"/>
        </w:rPr>
        <w:t>12、其他事项</w:t>
      </w:r>
    </w:p>
    <w:p w14:paraId="3F0F6500">
      <w:pP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（1）接标截止时间以平台服务器时间为准，请准时提交投标文件</w:t>
      </w:r>
      <w:r>
        <w:rPr>
          <w:rFonts w:hint="eastAsia" w:ascii="宋体" w:hAnsi="宋体" w:cs="宋体"/>
          <w:color w:val="auto"/>
          <w:sz w:val="24"/>
          <w:highlight w:val="none"/>
          <w:lang w:eastAsia="zh-CN"/>
        </w:rPr>
        <w:t>。</w:t>
      </w:r>
    </w:p>
    <w:p w14:paraId="15BA6A3A">
      <w:pPr>
        <w:spacing w:line="400" w:lineRule="exact"/>
        <w:rPr>
          <w:rFonts w:hint="eastAsia" w:ascii="宋体" w:hAnsi="宋体" w:eastAsia="宋体" w:cs="宋体"/>
          <w:color w:val="auto"/>
          <w:sz w:val="24"/>
          <w:highlight w:val="none"/>
          <w:shd w:val="clear" w:color="auto" w:fill="auto"/>
        </w:rPr>
      </w:pPr>
      <w:r>
        <w:rPr>
          <w:rFonts w:hint="eastAsia" w:ascii="宋体" w:hAnsi="宋体" w:eastAsia="宋体" w:cs="宋体"/>
          <w:b/>
          <w:color w:val="auto"/>
          <w:sz w:val="24"/>
          <w:highlight w:val="none"/>
          <w:shd w:val="clear" w:color="auto" w:fill="auto"/>
        </w:rPr>
        <w:t>13、联系方式</w:t>
      </w:r>
    </w:p>
    <w:p w14:paraId="7CEEF613">
      <w:pPr>
        <w:spacing w:line="400" w:lineRule="exact"/>
        <w:rPr>
          <w:rFonts w:hint="eastAsia" w:ascii="宋体" w:hAnsi="宋体" w:eastAsia="宋体" w:cs="宋体"/>
          <w:b/>
          <w:bCs/>
          <w:color w:val="auto"/>
          <w:sz w:val="24"/>
          <w:highlight w:val="none"/>
          <w:shd w:val="clear" w:color="auto" w:fill="auto"/>
        </w:rPr>
      </w:pPr>
      <w:r>
        <w:rPr>
          <w:rFonts w:hint="eastAsia" w:ascii="宋体" w:hAnsi="宋体" w:eastAsia="宋体" w:cs="宋体"/>
          <w:b/>
          <w:bCs/>
          <w:color w:val="auto"/>
          <w:sz w:val="24"/>
          <w:highlight w:val="none"/>
          <w:shd w:val="clear" w:color="auto" w:fill="auto"/>
        </w:rPr>
        <w:t>（1）招标人信息</w:t>
      </w:r>
    </w:p>
    <w:p w14:paraId="2BAD9F57">
      <w:pPr>
        <w:spacing w:line="400" w:lineRule="exact"/>
        <w:rPr>
          <w:rFonts w:hint="eastAsia" w:ascii="宋体" w:hAnsi="宋体" w:eastAsia="宋体" w:cs="宋体"/>
          <w:bCs/>
          <w:color w:val="auto"/>
          <w:sz w:val="24"/>
          <w:highlight w:val="none"/>
          <w:shd w:val="clear" w:color="auto" w:fill="auto"/>
          <w:lang w:val="en-US" w:eastAsia="zh-CN"/>
        </w:rPr>
      </w:pPr>
      <w:r>
        <w:rPr>
          <w:rFonts w:hint="eastAsia" w:ascii="宋体" w:hAnsi="宋体" w:eastAsia="宋体" w:cs="宋体"/>
          <w:bCs/>
          <w:color w:val="auto"/>
          <w:sz w:val="24"/>
          <w:highlight w:val="none"/>
          <w:shd w:val="clear" w:color="auto" w:fill="auto"/>
        </w:rPr>
        <w:t>名称：</w:t>
      </w:r>
      <w:r>
        <w:rPr>
          <w:rFonts w:hint="eastAsia" w:ascii="宋体" w:hAnsi="宋体" w:cs="宋体"/>
          <w:bCs/>
          <w:color w:val="auto"/>
          <w:sz w:val="24"/>
          <w:highlight w:val="none"/>
          <w:shd w:val="clear" w:color="auto" w:fill="auto"/>
          <w:lang w:eastAsia="zh-CN"/>
        </w:rPr>
        <w:t>台州综合保税区投资发展有限公司、临海大诚建设工程有限公司</w:t>
      </w:r>
    </w:p>
    <w:p w14:paraId="26FFA8D8">
      <w:pPr>
        <w:spacing w:line="400" w:lineRule="exact"/>
        <w:rPr>
          <w:rFonts w:hint="eastAsia" w:ascii="宋体"/>
          <w:color w:val="auto"/>
          <w:sz w:val="24"/>
          <w:highlight w:val="none"/>
          <w:lang w:val="en-US" w:eastAsia="zh-CN"/>
        </w:rPr>
      </w:pPr>
      <w:r>
        <w:rPr>
          <w:rFonts w:hint="eastAsia" w:ascii="宋体" w:hAnsi="宋体" w:eastAsia="宋体" w:cs="宋体"/>
          <w:bCs/>
          <w:color w:val="auto"/>
          <w:sz w:val="24"/>
          <w:highlight w:val="none"/>
          <w:shd w:val="clear" w:color="auto" w:fill="auto"/>
        </w:rPr>
        <w:t>地址：</w:t>
      </w:r>
      <w:r>
        <w:rPr>
          <w:rFonts w:hint="eastAsia" w:ascii="宋体"/>
          <w:color w:val="auto"/>
          <w:sz w:val="24"/>
          <w:highlight w:val="none"/>
          <w:lang w:val="en-US" w:eastAsia="zh-CN"/>
        </w:rPr>
        <w:t>台州湾经济开发区</w:t>
      </w:r>
    </w:p>
    <w:p w14:paraId="66DE7E4A">
      <w:pPr>
        <w:spacing w:line="400" w:lineRule="exact"/>
        <w:rPr>
          <w:rFonts w:hint="eastAsia" w:ascii="宋体" w:hAnsi="宋体"/>
          <w:bCs/>
          <w:color w:val="auto"/>
          <w:sz w:val="24"/>
          <w:highlight w:val="none"/>
          <w:lang w:val="en-US" w:eastAsia="zh-CN"/>
        </w:rPr>
      </w:pPr>
      <w:r>
        <w:rPr>
          <w:rFonts w:hint="eastAsia" w:ascii="宋体" w:hAnsi="宋体"/>
          <w:bCs/>
          <w:color w:val="auto"/>
          <w:sz w:val="24"/>
          <w:highlight w:val="none"/>
        </w:rPr>
        <w:t>项目联系人：</w:t>
      </w:r>
      <w:r>
        <w:rPr>
          <w:rFonts w:hint="eastAsia" w:ascii="宋体" w:hAnsi="宋体"/>
          <w:bCs/>
          <w:color w:val="auto"/>
          <w:sz w:val="24"/>
          <w:highlight w:val="none"/>
          <w:lang w:val="en-US" w:eastAsia="zh-CN"/>
        </w:rPr>
        <w:t>项先生</w:t>
      </w:r>
    </w:p>
    <w:p w14:paraId="5888445F">
      <w:pPr>
        <w:spacing w:line="400" w:lineRule="exact"/>
        <w:rPr>
          <w:rFonts w:hint="default" w:ascii="宋体" w:hAnsi="宋体" w:eastAsia="宋体"/>
          <w:bCs/>
          <w:color w:val="auto"/>
          <w:sz w:val="24"/>
          <w:highlight w:val="none"/>
          <w:lang w:val="en-US" w:eastAsia="zh-CN"/>
        </w:rPr>
      </w:pPr>
      <w:r>
        <w:rPr>
          <w:rFonts w:hint="eastAsia" w:ascii="宋体" w:hAnsi="宋体"/>
          <w:bCs/>
          <w:color w:val="auto"/>
          <w:sz w:val="24"/>
          <w:highlight w:val="none"/>
        </w:rPr>
        <w:t>项目联系方式：</w:t>
      </w:r>
      <w:r>
        <w:rPr>
          <w:rFonts w:hint="eastAsia" w:ascii="宋体" w:hAnsi="宋体"/>
          <w:bCs/>
          <w:color w:val="auto"/>
          <w:sz w:val="24"/>
          <w:highlight w:val="none"/>
          <w:lang w:val="en-US" w:eastAsia="zh-CN"/>
        </w:rPr>
        <w:t>15356580003</w:t>
      </w:r>
    </w:p>
    <w:p w14:paraId="045871B1">
      <w:pPr>
        <w:spacing w:line="400" w:lineRule="exact"/>
        <w:rPr>
          <w:rFonts w:hint="eastAsia" w:ascii="宋体" w:hAnsi="宋体" w:eastAsia="宋体" w:cs="宋体"/>
          <w:b/>
          <w:bCs/>
          <w:color w:val="auto"/>
          <w:sz w:val="24"/>
          <w:highlight w:val="none"/>
          <w:shd w:val="clear" w:color="auto" w:fill="auto"/>
        </w:rPr>
      </w:pPr>
      <w:r>
        <w:rPr>
          <w:rFonts w:hint="eastAsia" w:ascii="宋体" w:hAnsi="宋体" w:eastAsia="宋体" w:cs="宋体"/>
          <w:b/>
          <w:bCs/>
          <w:color w:val="auto"/>
          <w:sz w:val="24"/>
          <w:highlight w:val="none"/>
          <w:shd w:val="clear" w:color="auto" w:fill="auto"/>
        </w:rPr>
        <w:t>（2）代理机构信息</w:t>
      </w:r>
    </w:p>
    <w:p w14:paraId="07F04B91">
      <w:pPr>
        <w:spacing w:line="400" w:lineRule="exact"/>
        <w:rPr>
          <w:rFonts w:hint="eastAsia" w:ascii="宋体" w:hAnsi="宋体" w:eastAsia="宋体" w:cs="宋体"/>
          <w:bCs/>
          <w:color w:val="auto"/>
          <w:sz w:val="24"/>
          <w:highlight w:val="none"/>
          <w:shd w:val="clear" w:color="auto" w:fill="auto"/>
        </w:rPr>
      </w:pPr>
      <w:r>
        <w:rPr>
          <w:rFonts w:hint="eastAsia" w:ascii="宋体" w:hAnsi="宋体" w:eastAsia="宋体" w:cs="宋体"/>
          <w:bCs/>
          <w:color w:val="auto"/>
          <w:sz w:val="24"/>
          <w:highlight w:val="none"/>
          <w:shd w:val="clear" w:color="auto" w:fill="auto"/>
        </w:rPr>
        <w:t>名 称：</w:t>
      </w:r>
      <w:r>
        <w:rPr>
          <w:rFonts w:hint="eastAsia" w:ascii="宋体" w:hAnsi="宋体" w:cs="宋体"/>
          <w:bCs/>
          <w:color w:val="auto"/>
          <w:sz w:val="24"/>
          <w:highlight w:val="none"/>
          <w:shd w:val="clear" w:color="auto" w:fill="auto"/>
          <w:lang w:val="en-US" w:eastAsia="zh-CN"/>
        </w:rPr>
        <w:t>浙江耀信工程咨询有限公司</w:t>
      </w:r>
      <w:r>
        <w:rPr>
          <w:rFonts w:hint="eastAsia" w:ascii="宋体" w:hAnsi="宋体" w:eastAsia="宋体" w:cs="宋体"/>
          <w:bCs/>
          <w:color w:val="auto"/>
          <w:sz w:val="24"/>
          <w:highlight w:val="none"/>
          <w:shd w:val="clear" w:color="auto" w:fill="auto"/>
        </w:rPr>
        <w:t xml:space="preserve"> </w:t>
      </w:r>
    </w:p>
    <w:p w14:paraId="11E9CE84">
      <w:pPr>
        <w:spacing w:line="400" w:lineRule="exact"/>
        <w:rPr>
          <w:rFonts w:hint="eastAsia" w:ascii="宋体" w:hAnsi="宋体" w:cs="宋体"/>
          <w:bCs/>
          <w:color w:val="auto"/>
          <w:sz w:val="24"/>
          <w:highlight w:val="none"/>
          <w:shd w:val="clear" w:color="auto" w:fill="auto"/>
          <w:lang w:val="en-US" w:eastAsia="zh-CN"/>
        </w:rPr>
      </w:pPr>
      <w:r>
        <w:rPr>
          <w:rFonts w:hint="eastAsia" w:ascii="宋体" w:hAnsi="宋体" w:eastAsia="宋体" w:cs="宋体"/>
          <w:bCs/>
          <w:color w:val="auto"/>
          <w:sz w:val="24"/>
          <w:highlight w:val="none"/>
          <w:shd w:val="clear" w:color="auto" w:fill="auto"/>
        </w:rPr>
        <w:t xml:space="preserve">地址: </w:t>
      </w:r>
      <w:r>
        <w:rPr>
          <w:rFonts w:hint="eastAsia" w:ascii="宋体" w:hAnsi="宋体" w:eastAsia="宋体" w:cs="宋体"/>
          <w:bCs/>
          <w:color w:val="auto"/>
          <w:sz w:val="24"/>
          <w:highlight w:val="none"/>
          <w:shd w:val="clear" w:color="auto" w:fill="auto"/>
          <w:lang w:eastAsia="zh-CN"/>
        </w:rPr>
        <w:t>临海市古城街道下桥路152号2楼</w:t>
      </w:r>
    </w:p>
    <w:p w14:paraId="2549BC69">
      <w:pPr>
        <w:spacing w:line="400" w:lineRule="exact"/>
        <w:rPr>
          <w:rFonts w:hint="eastAsia" w:ascii="宋体" w:hAnsi="宋体" w:eastAsia="宋体" w:cs="宋体"/>
          <w:bCs/>
          <w:color w:val="auto"/>
          <w:sz w:val="24"/>
          <w:highlight w:val="none"/>
          <w:shd w:val="clear" w:color="auto" w:fill="auto"/>
          <w:lang w:val="en-US" w:eastAsia="zh-CN"/>
        </w:rPr>
      </w:pPr>
      <w:r>
        <w:rPr>
          <w:rFonts w:hint="eastAsia" w:ascii="宋体" w:hAnsi="宋体" w:eastAsia="宋体" w:cs="宋体"/>
          <w:bCs/>
          <w:color w:val="auto"/>
          <w:sz w:val="24"/>
          <w:highlight w:val="none"/>
          <w:shd w:val="clear" w:color="auto" w:fill="auto"/>
        </w:rPr>
        <w:t>项目联系人：</w:t>
      </w:r>
      <w:r>
        <w:rPr>
          <w:rFonts w:hint="eastAsia" w:ascii="宋体" w:hAnsi="宋体" w:cs="宋体"/>
          <w:bCs/>
          <w:color w:val="auto"/>
          <w:sz w:val="24"/>
          <w:highlight w:val="none"/>
          <w:shd w:val="clear" w:color="auto" w:fill="auto"/>
          <w:lang w:val="en-US" w:eastAsia="zh-CN"/>
        </w:rPr>
        <w:t>高先生</w:t>
      </w:r>
    </w:p>
    <w:p w14:paraId="3FF451B9">
      <w:pPr>
        <w:spacing w:line="400" w:lineRule="exact"/>
        <w:rPr>
          <w:rFonts w:hint="default" w:ascii="宋体" w:hAnsi="宋体" w:eastAsia="宋体" w:cs="宋体"/>
          <w:bCs/>
          <w:color w:val="auto"/>
          <w:sz w:val="24"/>
          <w:highlight w:val="none"/>
          <w:shd w:val="clear" w:color="auto" w:fill="auto"/>
          <w:lang w:val="en-US" w:eastAsia="zh-CN"/>
        </w:rPr>
      </w:pPr>
      <w:r>
        <w:rPr>
          <w:rFonts w:hint="eastAsia" w:ascii="宋体" w:hAnsi="宋体" w:eastAsia="宋体" w:cs="宋体"/>
          <w:bCs/>
          <w:color w:val="auto"/>
          <w:sz w:val="24"/>
          <w:highlight w:val="none"/>
          <w:shd w:val="clear" w:color="auto" w:fill="auto"/>
        </w:rPr>
        <w:t>项目联系方式：</w:t>
      </w:r>
      <w:r>
        <w:rPr>
          <w:rFonts w:hint="eastAsia" w:ascii="宋体" w:hAnsi="宋体" w:eastAsia="宋体" w:cs="宋体"/>
          <w:color w:val="auto"/>
          <w:sz w:val="21"/>
          <w:szCs w:val="21"/>
          <w:highlight w:val="none"/>
          <w:lang w:val="en-US" w:eastAsia="zh-CN"/>
        </w:rPr>
        <w:t>0576-85408362</w:t>
      </w:r>
    </w:p>
    <w:p w14:paraId="5556CE2C">
      <w:pPr>
        <w:pStyle w:val="29"/>
        <w:snapToGrid w:val="0"/>
        <w:spacing w:beforeLines="0" w:afterLines="0" w:line="240" w:lineRule="auto"/>
        <w:jc w:val="center"/>
        <w:outlineLvl w:val="0"/>
        <w:rPr>
          <w:rFonts w:hint="eastAsia" w:ascii="宋体" w:hAnsi="宋体" w:eastAsia="宋体" w:cs="宋体"/>
          <w:b/>
          <w:color w:val="auto"/>
          <w:sz w:val="24"/>
          <w:highlight w:val="none"/>
          <w:shd w:val="clear" w:color="auto" w:fill="auto"/>
        </w:rPr>
      </w:pPr>
    </w:p>
    <w:p w14:paraId="1645D7E3">
      <w:pPr>
        <w:widowControl/>
        <w:jc w:val="left"/>
        <w:rPr>
          <w:color w:val="auto"/>
          <w:highlight w:val="none"/>
        </w:rPr>
      </w:pPr>
      <w:r>
        <w:rPr>
          <w:rFonts w:hint="eastAsia" w:ascii="宋体" w:hAnsi="宋体" w:cs="宋体"/>
          <w:b/>
          <w:bCs/>
          <w:color w:val="auto"/>
          <w:kern w:val="0"/>
          <w:sz w:val="24"/>
          <w:highlight w:val="none"/>
          <w:lang w:bidi="ar"/>
        </w:rPr>
        <w:t xml:space="preserve">（3）监管机构信息 </w:t>
      </w:r>
    </w:p>
    <w:p w14:paraId="664CDC6F">
      <w:pPr>
        <w:widowControl/>
        <w:jc w:val="left"/>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名 称：临海市</w:t>
      </w:r>
      <w:r>
        <w:rPr>
          <w:rFonts w:hint="eastAsia" w:ascii="宋体" w:hAnsi="宋体" w:cs="宋体"/>
          <w:color w:val="auto"/>
          <w:kern w:val="0"/>
          <w:sz w:val="24"/>
          <w:highlight w:val="none"/>
          <w:lang w:val="en-US" w:eastAsia="zh-CN" w:bidi="ar"/>
        </w:rPr>
        <w:t>头门港科创集团有限公司</w:t>
      </w:r>
      <w:r>
        <w:rPr>
          <w:rFonts w:hint="eastAsia" w:ascii="宋体" w:hAnsi="宋体" w:cs="宋体"/>
          <w:color w:val="auto"/>
          <w:kern w:val="0"/>
          <w:sz w:val="24"/>
          <w:highlight w:val="none"/>
          <w:lang w:bidi="ar"/>
        </w:rPr>
        <w:t>纪</w:t>
      </w:r>
      <w:r>
        <w:rPr>
          <w:rFonts w:hint="eastAsia" w:ascii="宋体" w:hAnsi="宋体" w:cs="宋体"/>
          <w:color w:val="auto"/>
          <w:kern w:val="0"/>
          <w:sz w:val="24"/>
          <w:highlight w:val="none"/>
          <w:lang w:val="en-US" w:eastAsia="zh-CN" w:bidi="ar"/>
        </w:rPr>
        <w:t>检监察</w:t>
      </w:r>
      <w:r>
        <w:rPr>
          <w:rFonts w:hint="eastAsia" w:ascii="宋体" w:hAnsi="宋体" w:cs="宋体"/>
          <w:color w:val="auto"/>
          <w:kern w:val="0"/>
          <w:sz w:val="24"/>
          <w:highlight w:val="none"/>
          <w:lang w:bidi="ar"/>
        </w:rPr>
        <w:t>室</w:t>
      </w:r>
    </w:p>
    <w:p w14:paraId="6B2596A8">
      <w:pPr>
        <w:widowControl/>
        <w:jc w:val="left"/>
        <w:rPr>
          <w:color w:val="auto"/>
          <w:highlight w:val="none"/>
        </w:rPr>
      </w:pPr>
      <w:r>
        <w:rPr>
          <w:rFonts w:hint="eastAsia" w:ascii="宋体" w:hAnsi="宋体" w:cs="宋体"/>
          <w:color w:val="auto"/>
          <w:kern w:val="0"/>
          <w:sz w:val="24"/>
          <w:highlight w:val="none"/>
          <w:lang w:bidi="ar"/>
        </w:rPr>
        <w:t>联系人：</w:t>
      </w:r>
      <w:r>
        <w:rPr>
          <w:rFonts w:hint="eastAsia" w:ascii="宋体" w:hAnsi="宋体" w:cs="宋体"/>
          <w:color w:val="auto"/>
          <w:kern w:val="0"/>
          <w:sz w:val="24"/>
          <w:highlight w:val="none"/>
          <w:lang w:val="en-US" w:eastAsia="zh-CN" w:bidi="ar"/>
        </w:rPr>
        <w:t>王先生</w:t>
      </w:r>
      <w:r>
        <w:rPr>
          <w:rFonts w:hint="eastAsia" w:ascii="宋体" w:hAnsi="宋体" w:cs="宋体"/>
          <w:color w:val="auto"/>
          <w:kern w:val="0"/>
          <w:sz w:val="24"/>
          <w:highlight w:val="none"/>
          <w:lang w:bidi="ar"/>
        </w:rPr>
        <w:t xml:space="preserve"> </w:t>
      </w:r>
    </w:p>
    <w:p w14:paraId="036BE101">
      <w:pPr>
        <w:widowControl/>
        <w:jc w:val="left"/>
        <w:rPr>
          <w:rFonts w:hint="default" w:eastAsia="宋体"/>
          <w:color w:val="auto"/>
          <w:highlight w:val="none"/>
          <w:lang w:val="en-US" w:eastAsia="zh-CN"/>
        </w:rPr>
      </w:pPr>
      <w:r>
        <w:rPr>
          <w:rFonts w:hint="eastAsia" w:ascii="宋体" w:hAnsi="宋体" w:cs="宋体"/>
          <w:color w:val="auto"/>
          <w:kern w:val="0"/>
          <w:sz w:val="24"/>
          <w:highlight w:val="none"/>
          <w:lang w:bidi="ar"/>
        </w:rPr>
        <w:t>联系电话：0576-8936</w:t>
      </w:r>
      <w:r>
        <w:rPr>
          <w:rFonts w:hint="eastAsia" w:ascii="宋体" w:hAnsi="宋体" w:cs="宋体"/>
          <w:color w:val="auto"/>
          <w:kern w:val="0"/>
          <w:sz w:val="24"/>
          <w:highlight w:val="none"/>
          <w:lang w:val="en-US" w:eastAsia="zh-CN" w:bidi="ar"/>
        </w:rPr>
        <w:t>8217</w:t>
      </w:r>
    </w:p>
    <w:p w14:paraId="625F3F75">
      <w:pPr>
        <w:pStyle w:val="29"/>
        <w:numPr>
          <w:ilvl w:val="0"/>
          <w:numId w:val="4"/>
        </w:numPr>
        <w:snapToGrid w:val="0"/>
        <w:spacing w:beforeLines="0" w:afterLines="0" w:line="240" w:lineRule="auto"/>
        <w:jc w:val="center"/>
        <w:outlineLvl w:val="0"/>
        <w:rPr>
          <w:rFonts w:hint="eastAsia"/>
          <w:b/>
          <w:color w:val="auto"/>
          <w:sz w:val="32"/>
          <w:szCs w:val="32"/>
          <w:highlight w:val="none"/>
        </w:rPr>
      </w:pPr>
      <w:r>
        <w:rPr>
          <w:rFonts w:hint="eastAsia" w:ascii="宋体" w:hAnsi="宋体" w:eastAsia="宋体" w:cs="宋体"/>
          <w:b/>
          <w:color w:val="auto"/>
          <w:sz w:val="24"/>
          <w:highlight w:val="none"/>
          <w:shd w:val="clear" w:color="auto" w:fill="auto"/>
        </w:rPr>
        <w:br w:type="page"/>
      </w:r>
      <w:bookmarkStart w:id="4" w:name="_Hlk78367560"/>
      <w:bookmarkStart w:id="5" w:name="_Toc21811"/>
      <w:bookmarkStart w:id="6" w:name="_Toc466534749"/>
      <w:r>
        <w:rPr>
          <w:rFonts w:hint="eastAsia"/>
          <w:b/>
          <w:color w:val="auto"/>
          <w:sz w:val="32"/>
          <w:szCs w:val="32"/>
          <w:highlight w:val="none"/>
        </w:rPr>
        <w:t xml:space="preserve"> 招标需求</w:t>
      </w:r>
      <w:bookmarkStart w:id="7" w:name="_Toc3486"/>
      <w:bookmarkStart w:id="8" w:name="_Toc11982"/>
    </w:p>
    <w:p w14:paraId="4D45EFE5">
      <w:pPr>
        <w:pStyle w:val="29"/>
        <w:numPr>
          <w:ilvl w:val="0"/>
          <w:numId w:val="0"/>
        </w:numPr>
        <w:snapToGrid w:val="0"/>
        <w:spacing w:beforeLines="0" w:afterLines="0" w:line="240" w:lineRule="auto"/>
        <w:jc w:val="both"/>
        <w:outlineLvl w:val="0"/>
        <w:rPr>
          <w:rFonts w:hint="eastAsia"/>
          <w:b/>
          <w:color w:val="auto"/>
          <w:sz w:val="32"/>
          <w:szCs w:val="32"/>
          <w:highlight w:val="none"/>
        </w:rPr>
      </w:pPr>
    </w:p>
    <w:p w14:paraId="74AA6A22">
      <w:pPr>
        <w:rPr>
          <w:rFonts w:hint="eastAsia"/>
          <w:b/>
          <w:color w:val="auto"/>
          <w:sz w:val="32"/>
          <w:szCs w:val="32"/>
          <w:highlight w:val="none"/>
        </w:rPr>
      </w:pPr>
      <w:r>
        <w:rPr>
          <w:rFonts w:hint="eastAsia" w:ascii="宋体" w:hAnsi="宋体"/>
          <w:b/>
          <w:color w:val="auto"/>
          <w:sz w:val="24"/>
          <w:szCs w:val="24"/>
          <w:highlight w:val="none"/>
        </w:rPr>
        <w:t>一、采购内容：</w:t>
      </w:r>
    </w:p>
    <w:bookmarkEnd w:id="7"/>
    <w:bookmarkEnd w:id="8"/>
    <w:tbl>
      <w:tblPr>
        <w:tblStyle w:val="53"/>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5"/>
        <w:gridCol w:w="917"/>
        <w:gridCol w:w="950"/>
        <w:gridCol w:w="966"/>
        <w:gridCol w:w="734"/>
        <w:gridCol w:w="779"/>
        <w:gridCol w:w="1237"/>
        <w:gridCol w:w="850"/>
        <w:gridCol w:w="734"/>
        <w:gridCol w:w="483"/>
        <w:gridCol w:w="474"/>
      </w:tblGrid>
      <w:tr w14:paraId="27B31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5" w:type="pct"/>
          </w:tcPr>
          <w:p w14:paraId="40E455A0">
            <w:pPr>
              <w:rPr>
                <w:color w:val="auto"/>
                <w:highlight w:val="none"/>
              </w:rPr>
            </w:pPr>
            <w:r>
              <w:rPr>
                <w:rFonts w:hint="eastAsia"/>
                <w:color w:val="auto"/>
                <w:highlight w:val="none"/>
              </w:rPr>
              <w:t>楼号</w:t>
            </w:r>
          </w:p>
        </w:tc>
        <w:tc>
          <w:tcPr>
            <w:tcW w:w="512" w:type="pct"/>
          </w:tcPr>
          <w:p w14:paraId="2F1E09D2">
            <w:pPr>
              <w:rPr>
                <w:color w:val="auto"/>
                <w:highlight w:val="none"/>
              </w:rPr>
            </w:pPr>
            <w:r>
              <w:rPr>
                <w:rFonts w:hint="eastAsia"/>
                <w:color w:val="auto"/>
                <w:highlight w:val="none"/>
              </w:rPr>
              <w:t>数量（部）</w:t>
            </w:r>
          </w:p>
        </w:tc>
        <w:tc>
          <w:tcPr>
            <w:tcW w:w="531" w:type="pct"/>
          </w:tcPr>
          <w:p w14:paraId="06FEA734">
            <w:pPr>
              <w:rPr>
                <w:color w:val="auto"/>
                <w:highlight w:val="none"/>
              </w:rPr>
            </w:pPr>
            <w:r>
              <w:rPr>
                <w:rFonts w:hint="eastAsia"/>
                <w:color w:val="auto"/>
                <w:highlight w:val="none"/>
              </w:rPr>
              <w:t>额定速度（M/S）</w:t>
            </w:r>
          </w:p>
        </w:tc>
        <w:tc>
          <w:tcPr>
            <w:tcW w:w="540" w:type="pct"/>
          </w:tcPr>
          <w:p w14:paraId="1FDB57EF">
            <w:pPr>
              <w:rPr>
                <w:color w:val="auto"/>
                <w:highlight w:val="none"/>
              </w:rPr>
            </w:pPr>
            <w:r>
              <w:rPr>
                <w:rFonts w:hint="eastAsia"/>
                <w:color w:val="auto"/>
                <w:highlight w:val="none"/>
              </w:rPr>
              <w:t>载重量（KG）</w:t>
            </w:r>
          </w:p>
        </w:tc>
        <w:tc>
          <w:tcPr>
            <w:tcW w:w="410" w:type="pct"/>
          </w:tcPr>
          <w:p w14:paraId="074619C3">
            <w:pPr>
              <w:rPr>
                <w:color w:val="auto"/>
                <w:highlight w:val="none"/>
              </w:rPr>
            </w:pPr>
            <w:r>
              <w:rPr>
                <w:rFonts w:hint="eastAsia"/>
                <w:color w:val="auto"/>
                <w:highlight w:val="none"/>
              </w:rPr>
              <w:t>基坑深度（M）</w:t>
            </w:r>
          </w:p>
        </w:tc>
        <w:tc>
          <w:tcPr>
            <w:tcW w:w="435" w:type="pct"/>
          </w:tcPr>
          <w:p w14:paraId="5B6859EE">
            <w:pPr>
              <w:rPr>
                <w:color w:val="auto"/>
                <w:highlight w:val="none"/>
              </w:rPr>
            </w:pPr>
            <w:r>
              <w:rPr>
                <w:rFonts w:hint="eastAsia"/>
                <w:color w:val="auto"/>
                <w:highlight w:val="none"/>
              </w:rPr>
              <w:t>顶层高度（M）</w:t>
            </w:r>
          </w:p>
        </w:tc>
        <w:tc>
          <w:tcPr>
            <w:tcW w:w="691" w:type="pct"/>
          </w:tcPr>
          <w:p w14:paraId="58FDE681">
            <w:pPr>
              <w:rPr>
                <w:color w:val="auto"/>
                <w:highlight w:val="none"/>
              </w:rPr>
            </w:pPr>
            <w:r>
              <w:rPr>
                <w:rFonts w:hint="eastAsia"/>
                <w:color w:val="auto"/>
                <w:highlight w:val="none"/>
              </w:rPr>
              <w:t>电梯门洞尺寸（宽X高）</w:t>
            </w:r>
          </w:p>
        </w:tc>
        <w:tc>
          <w:tcPr>
            <w:tcW w:w="475" w:type="pct"/>
          </w:tcPr>
          <w:p w14:paraId="1FDC9FA7">
            <w:pPr>
              <w:rPr>
                <w:color w:val="auto"/>
                <w:highlight w:val="none"/>
              </w:rPr>
            </w:pPr>
            <w:r>
              <w:rPr>
                <w:rFonts w:hint="eastAsia"/>
                <w:color w:val="auto"/>
                <w:highlight w:val="none"/>
              </w:rPr>
              <w:t>井道(深x宽)</w:t>
            </w:r>
          </w:p>
        </w:tc>
        <w:tc>
          <w:tcPr>
            <w:tcW w:w="410" w:type="pct"/>
          </w:tcPr>
          <w:p w14:paraId="1147C327">
            <w:pPr>
              <w:rPr>
                <w:color w:val="auto"/>
                <w:highlight w:val="none"/>
              </w:rPr>
            </w:pPr>
            <w:r>
              <w:rPr>
                <w:rFonts w:hint="eastAsia"/>
                <w:color w:val="auto"/>
                <w:highlight w:val="none"/>
              </w:rPr>
              <w:t>提升高度</w:t>
            </w:r>
          </w:p>
        </w:tc>
        <w:tc>
          <w:tcPr>
            <w:tcW w:w="270" w:type="pct"/>
          </w:tcPr>
          <w:p w14:paraId="04F1964D">
            <w:pPr>
              <w:rPr>
                <w:color w:val="auto"/>
                <w:highlight w:val="none"/>
              </w:rPr>
            </w:pPr>
            <w:r>
              <w:rPr>
                <w:rFonts w:hint="eastAsia"/>
                <w:color w:val="auto"/>
                <w:highlight w:val="none"/>
              </w:rPr>
              <w:t>停层</w:t>
            </w:r>
          </w:p>
        </w:tc>
        <w:tc>
          <w:tcPr>
            <w:tcW w:w="265" w:type="pct"/>
          </w:tcPr>
          <w:p w14:paraId="29C078AB">
            <w:pPr>
              <w:rPr>
                <w:color w:val="auto"/>
                <w:highlight w:val="none"/>
              </w:rPr>
            </w:pPr>
            <w:r>
              <w:rPr>
                <w:rFonts w:hint="eastAsia"/>
                <w:color w:val="auto"/>
                <w:highlight w:val="none"/>
              </w:rPr>
              <w:t>机房</w:t>
            </w:r>
          </w:p>
        </w:tc>
      </w:tr>
      <w:tr w14:paraId="6C960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455" w:type="pct"/>
          </w:tcPr>
          <w:p w14:paraId="49923F8A">
            <w:pPr>
              <w:rPr>
                <w:color w:val="auto"/>
                <w:highlight w:val="none"/>
              </w:rPr>
            </w:pPr>
            <w:r>
              <w:rPr>
                <w:rFonts w:hint="eastAsia"/>
                <w:color w:val="auto"/>
                <w:highlight w:val="none"/>
              </w:rPr>
              <w:t>区块一-2#</w:t>
            </w:r>
          </w:p>
        </w:tc>
        <w:tc>
          <w:tcPr>
            <w:tcW w:w="512" w:type="pct"/>
          </w:tcPr>
          <w:p w14:paraId="5875FFB4">
            <w:pPr>
              <w:rPr>
                <w:color w:val="auto"/>
                <w:highlight w:val="none"/>
              </w:rPr>
            </w:pPr>
            <w:r>
              <w:rPr>
                <w:rFonts w:hint="eastAsia"/>
                <w:color w:val="auto"/>
                <w:highlight w:val="none"/>
              </w:rPr>
              <w:t>1</w:t>
            </w:r>
          </w:p>
        </w:tc>
        <w:tc>
          <w:tcPr>
            <w:tcW w:w="531" w:type="pct"/>
          </w:tcPr>
          <w:p w14:paraId="2A9775E7">
            <w:pPr>
              <w:rPr>
                <w:color w:val="auto"/>
                <w:highlight w:val="none"/>
              </w:rPr>
            </w:pPr>
            <w:r>
              <w:rPr>
                <w:rFonts w:hint="eastAsia"/>
                <w:color w:val="auto"/>
                <w:highlight w:val="none"/>
              </w:rPr>
              <w:t>1m/s</w:t>
            </w:r>
          </w:p>
        </w:tc>
        <w:tc>
          <w:tcPr>
            <w:tcW w:w="540" w:type="pct"/>
          </w:tcPr>
          <w:p w14:paraId="3254BCCF">
            <w:pPr>
              <w:rPr>
                <w:color w:val="auto"/>
                <w:highlight w:val="none"/>
              </w:rPr>
            </w:pPr>
            <w:r>
              <w:rPr>
                <w:rFonts w:hint="eastAsia"/>
                <w:color w:val="auto"/>
                <w:highlight w:val="none"/>
              </w:rPr>
              <w:t>1500</w:t>
            </w:r>
          </w:p>
        </w:tc>
        <w:tc>
          <w:tcPr>
            <w:tcW w:w="410" w:type="pct"/>
          </w:tcPr>
          <w:p w14:paraId="2A75FB02">
            <w:pPr>
              <w:rPr>
                <w:color w:val="auto"/>
                <w:highlight w:val="none"/>
              </w:rPr>
            </w:pPr>
            <w:r>
              <w:rPr>
                <w:rFonts w:hint="eastAsia"/>
                <w:color w:val="auto"/>
                <w:highlight w:val="none"/>
              </w:rPr>
              <w:t>1800</w:t>
            </w:r>
          </w:p>
        </w:tc>
        <w:tc>
          <w:tcPr>
            <w:tcW w:w="435" w:type="pct"/>
          </w:tcPr>
          <w:p w14:paraId="15F9BFDA">
            <w:pPr>
              <w:rPr>
                <w:color w:val="auto"/>
                <w:highlight w:val="none"/>
              </w:rPr>
            </w:pPr>
            <w:r>
              <w:rPr>
                <w:rFonts w:hint="eastAsia"/>
                <w:color w:val="auto"/>
                <w:highlight w:val="none"/>
              </w:rPr>
              <w:t>5000</w:t>
            </w:r>
          </w:p>
        </w:tc>
        <w:tc>
          <w:tcPr>
            <w:tcW w:w="691" w:type="pct"/>
          </w:tcPr>
          <w:p w14:paraId="601E7B9C">
            <w:pPr>
              <w:rPr>
                <w:color w:val="auto"/>
                <w:highlight w:val="none"/>
              </w:rPr>
            </w:pPr>
            <w:r>
              <w:rPr>
                <w:rFonts w:hint="eastAsia"/>
                <w:color w:val="auto"/>
                <w:highlight w:val="none"/>
              </w:rPr>
              <w:t>2400X3000</w:t>
            </w:r>
          </w:p>
        </w:tc>
        <w:tc>
          <w:tcPr>
            <w:tcW w:w="475" w:type="pct"/>
          </w:tcPr>
          <w:p w14:paraId="611FD739">
            <w:pPr>
              <w:rPr>
                <w:color w:val="auto"/>
                <w:highlight w:val="none"/>
              </w:rPr>
            </w:pPr>
            <w:r>
              <w:rPr>
                <w:rFonts w:hint="eastAsia"/>
                <w:color w:val="auto"/>
                <w:highlight w:val="none"/>
              </w:rPr>
              <w:t>2660X3660</w:t>
            </w:r>
          </w:p>
        </w:tc>
        <w:tc>
          <w:tcPr>
            <w:tcW w:w="410" w:type="pct"/>
          </w:tcPr>
          <w:p w14:paraId="5085F0DE">
            <w:pPr>
              <w:rPr>
                <w:color w:val="auto"/>
                <w:highlight w:val="none"/>
              </w:rPr>
            </w:pPr>
            <w:r>
              <w:rPr>
                <w:rFonts w:hint="eastAsia"/>
                <w:color w:val="auto"/>
                <w:highlight w:val="none"/>
              </w:rPr>
              <w:t>16.6m</w:t>
            </w:r>
          </w:p>
        </w:tc>
        <w:tc>
          <w:tcPr>
            <w:tcW w:w="270" w:type="pct"/>
          </w:tcPr>
          <w:p w14:paraId="69AF4F09">
            <w:pPr>
              <w:rPr>
                <w:color w:val="auto"/>
                <w:highlight w:val="none"/>
              </w:rPr>
            </w:pPr>
            <w:r>
              <w:rPr>
                <w:rFonts w:hint="eastAsia"/>
                <w:color w:val="auto"/>
                <w:highlight w:val="none"/>
              </w:rPr>
              <w:t>4</w:t>
            </w:r>
          </w:p>
        </w:tc>
        <w:tc>
          <w:tcPr>
            <w:tcW w:w="265" w:type="pct"/>
          </w:tcPr>
          <w:p w14:paraId="041D3D46">
            <w:pPr>
              <w:rPr>
                <w:color w:val="auto"/>
                <w:highlight w:val="none"/>
              </w:rPr>
            </w:pPr>
            <w:r>
              <w:rPr>
                <w:rFonts w:hint="eastAsia"/>
                <w:color w:val="auto"/>
                <w:highlight w:val="none"/>
              </w:rPr>
              <w:t>无</w:t>
            </w:r>
          </w:p>
        </w:tc>
      </w:tr>
      <w:tr w14:paraId="40FFB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5" w:type="pct"/>
          </w:tcPr>
          <w:p w14:paraId="13F4E963">
            <w:pPr>
              <w:rPr>
                <w:color w:val="auto"/>
                <w:highlight w:val="none"/>
              </w:rPr>
            </w:pPr>
            <w:r>
              <w:rPr>
                <w:rFonts w:hint="eastAsia"/>
                <w:color w:val="auto"/>
                <w:highlight w:val="none"/>
              </w:rPr>
              <w:t>区块一-3#</w:t>
            </w:r>
          </w:p>
        </w:tc>
        <w:tc>
          <w:tcPr>
            <w:tcW w:w="512" w:type="pct"/>
          </w:tcPr>
          <w:p w14:paraId="0E860FF4">
            <w:pPr>
              <w:rPr>
                <w:color w:val="auto"/>
                <w:highlight w:val="none"/>
              </w:rPr>
            </w:pPr>
            <w:r>
              <w:rPr>
                <w:rFonts w:hint="eastAsia"/>
                <w:color w:val="auto"/>
                <w:highlight w:val="none"/>
              </w:rPr>
              <w:t>4</w:t>
            </w:r>
          </w:p>
        </w:tc>
        <w:tc>
          <w:tcPr>
            <w:tcW w:w="531" w:type="pct"/>
          </w:tcPr>
          <w:p w14:paraId="5F16572E">
            <w:pPr>
              <w:rPr>
                <w:color w:val="auto"/>
                <w:highlight w:val="none"/>
              </w:rPr>
            </w:pPr>
            <w:r>
              <w:rPr>
                <w:rFonts w:hint="eastAsia"/>
                <w:color w:val="auto"/>
                <w:highlight w:val="none"/>
              </w:rPr>
              <w:t>1m/s</w:t>
            </w:r>
          </w:p>
        </w:tc>
        <w:tc>
          <w:tcPr>
            <w:tcW w:w="540" w:type="pct"/>
          </w:tcPr>
          <w:p w14:paraId="3CF5DE7B">
            <w:pPr>
              <w:rPr>
                <w:color w:val="auto"/>
                <w:highlight w:val="none"/>
              </w:rPr>
            </w:pPr>
            <w:r>
              <w:rPr>
                <w:rFonts w:hint="eastAsia"/>
                <w:color w:val="auto"/>
                <w:highlight w:val="none"/>
              </w:rPr>
              <w:t>1500</w:t>
            </w:r>
          </w:p>
        </w:tc>
        <w:tc>
          <w:tcPr>
            <w:tcW w:w="410" w:type="pct"/>
          </w:tcPr>
          <w:p w14:paraId="5B6F36EF">
            <w:pPr>
              <w:rPr>
                <w:color w:val="auto"/>
                <w:highlight w:val="none"/>
              </w:rPr>
            </w:pPr>
            <w:r>
              <w:rPr>
                <w:rFonts w:hint="eastAsia"/>
                <w:color w:val="auto"/>
                <w:highlight w:val="none"/>
              </w:rPr>
              <w:t>1800</w:t>
            </w:r>
          </w:p>
        </w:tc>
        <w:tc>
          <w:tcPr>
            <w:tcW w:w="435" w:type="pct"/>
          </w:tcPr>
          <w:p w14:paraId="7D147576">
            <w:pPr>
              <w:rPr>
                <w:color w:val="auto"/>
                <w:highlight w:val="none"/>
              </w:rPr>
            </w:pPr>
            <w:r>
              <w:rPr>
                <w:rFonts w:hint="eastAsia"/>
                <w:color w:val="auto"/>
                <w:highlight w:val="none"/>
              </w:rPr>
              <w:t>6000</w:t>
            </w:r>
          </w:p>
        </w:tc>
        <w:tc>
          <w:tcPr>
            <w:tcW w:w="691" w:type="pct"/>
          </w:tcPr>
          <w:p w14:paraId="28760F86">
            <w:pPr>
              <w:rPr>
                <w:color w:val="auto"/>
                <w:highlight w:val="none"/>
              </w:rPr>
            </w:pPr>
            <w:r>
              <w:rPr>
                <w:rFonts w:hint="eastAsia"/>
                <w:color w:val="auto"/>
                <w:highlight w:val="none"/>
              </w:rPr>
              <w:t>2400X3000</w:t>
            </w:r>
          </w:p>
        </w:tc>
        <w:tc>
          <w:tcPr>
            <w:tcW w:w="475" w:type="pct"/>
          </w:tcPr>
          <w:p w14:paraId="318675C2">
            <w:pPr>
              <w:rPr>
                <w:color w:val="auto"/>
                <w:highlight w:val="none"/>
              </w:rPr>
            </w:pPr>
            <w:r>
              <w:rPr>
                <w:rFonts w:hint="eastAsia"/>
                <w:color w:val="auto"/>
                <w:highlight w:val="none"/>
              </w:rPr>
              <w:t>2660X3660</w:t>
            </w:r>
          </w:p>
        </w:tc>
        <w:tc>
          <w:tcPr>
            <w:tcW w:w="410" w:type="pct"/>
          </w:tcPr>
          <w:p w14:paraId="425223C0">
            <w:pPr>
              <w:rPr>
                <w:color w:val="auto"/>
                <w:highlight w:val="none"/>
              </w:rPr>
            </w:pPr>
            <w:r>
              <w:rPr>
                <w:rFonts w:hint="eastAsia"/>
                <w:color w:val="auto"/>
                <w:highlight w:val="none"/>
              </w:rPr>
              <w:t>15m</w:t>
            </w:r>
          </w:p>
        </w:tc>
        <w:tc>
          <w:tcPr>
            <w:tcW w:w="270" w:type="pct"/>
          </w:tcPr>
          <w:p w14:paraId="065C54EB">
            <w:pPr>
              <w:rPr>
                <w:color w:val="auto"/>
                <w:highlight w:val="none"/>
              </w:rPr>
            </w:pPr>
            <w:r>
              <w:rPr>
                <w:rFonts w:hint="eastAsia"/>
                <w:color w:val="auto"/>
                <w:highlight w:val="none"/>
              </w:rPr>
              <w:t>3</w:t>
            </w:r>
          </w:p>
        </w:tc>
        <w:tc>
          <w:tcPr>
            <w:tcW w:w="265" w:type="pct"/>
          </w:tcPr>
          <w:p w14:paraId="68DF5704">
            <w:pPr>
              <w:rPr>
                <w:color w:val="auto"/>
                <w:highlight w:val="none"/>
              </w:rPr>
            </w:pPr>
            <w:r>
              <w:rPr>
                <w:rFonts w:hint="eastAsia"/>
                <w:color w:val="auto"/>
                <w:highlight w:val="none"/>
              </w:rPr>
              <w:t>无</w:t>
            </w:r>
          </w:p>
        </w:tc>
      </w:tr>
    </w:tbl>
    <w:p w14:paraId="0F36118D">
      <w:pPr>
        <w:widowControl/>
        <w:spacing w:line="480" w:lineRule="exact"/>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提升机顶补充吊钩梁，截面尺寸240x500，配筋上3根16，下3根20，箍筋8@150</w:t>
      </w:r>
    </w:p>
    <w:p w14:paraId="4E7EEF0E">
      <w:pPr>
        <w:widowControl/>
        <w:spacing w:line="480" w:lineRule="exact"/>
        <w:ind w:firstLine="482" w:firstLineChars="200"/>
        <w:jc w:val="left"/>
        <w:rPr>
          <w:rFonts w:hint="eastAsia" w:ascii="宋体" w:hAnsi="宋体" w:cs="宋体"/>
          <w:bCs/>
          <w:color w:val="auto"/>
          <w:sz w:val="24"/>
          <w:szCs w:val="24"/>
          <w:highlight w:val="none"/>
        </w:rPr>
      </w:pPr>
      <w:r>
        <w:rPr>
          <w:rFonts w:hint="eastAsia" w:ascii="宋体" w:hAnsi="宋体" w:cs="宋体"/>
          <w:b/>
          <w:color w:val="auto"/>
          <w:sz w:val="24"/>
          <w:szCs w:val="24"/>
          <w:highlight w:val="none"/>
        </w:rPr>
        <w:t>注</w:t>
      </w:r>
      <w:r>
        <w:rPr>
          <w:rFonts w:hint="eastAsia" w:ascii="宋体" w:hAnsi="宋体" w:cs="宋体"/>
          <w:bCs/>
          <w:color w:val="auto"/>
          <w:sz w:val="24"/>
          <w:szCs w:val="24"/>
          <w:highlight w:val="none"/>
        </w:rPr>
        <w:t>：a.规格参数详见图纸，各投标人需根据各自技术要</w:t>
      </w:r>
      <w:r>
        <w:rPr>
          <w:rFonts w:hint="eastAsia" w:ascii="宋体" w:hAnsi="宋体" w:cs="宋体"/>
          <w:bCs/>
          <w:color w:val="auto"/>
          <w:sz w:val="24"/>
          <w:szCs w:val="24"/>
          <w:highlight w:val="none"/>
          <w:lang w:val="en-US" w:eastAsia="zh-CN"/>
        </w:rPr>
        <w:t>求</w:t>
      </w:r>
      <w:r>
        <w:rPr>
          <w:rFonts w:hint="eastAsia" w:ascii="宋体" w:hAnsi="宋体" w:cs="宋体"/>
          <w:bCs/>
          <w:color w:val="auto"/>
          <w:sz w:val="24"/>
          <w:szCs w:val="24"/>
          <w:highlight w:val="none"/>
        </w:rPr>
        <w:t>对门洞尺寸、开门宽度和高度等进行合理调整。如图纸上井道尺寸实量不满足表内数据，实际会根据表内尺寸修改施工。</w:t>
      </w:r>
    </w:p>
    <w:p w14:paraId="653F471D">
      <w:pPr>
        <w:widowControl/>
        <w:spacing w:line="480" w:lineRule="exact"/>
        <w:ind w:firstLine="480" w:firstLineChars="20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b.楼层最终实际高度尺寸可能会有所变化，中标人须按实际层高提供</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不得作为中标人提高合同单价或附加费用的理由。</w:t>
      </w:r>
    </w:p>
    <w:p w14:paraId="7DD91797">
      <w:pPr>
        <w:widowControl/>
        <w:spacing w:line="480" w:lineRule="exact"/>
        <w:ind w:firstLine="480" w:firstLineChars="20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c.未来根据招标人及设计要求对门洞尺寸、开门宽度和高度尺寸进行调整，中标人</w:t>
      </w:r>
      <w:r>
        <w:rPr>
          <w:rFonts w:hint="eastAsia" w:ascii="宋体" w:hAnsi="宋体" w:cs="宋体"/>
          <w:bCs/>
          <w:color w:val="auto"/>
          <w:sz w:val="24"/>
          <w:szCs w:val="24"/>
          <w:highlight w:val="none"/>
          <w:lang w:val="en-US" w:eastAsia="zh-CN"/>
        </w:rPr>
        <w:t>必须</w:t>
      </w:r>
      <w:r>
        <w:rPr>
          <w:rFonts w:hint="eastAsia" w:ascii="宋体" w:hAnsi="宋体" w:cs="宋体"/>
          <w:bCs/>
          <w:color w:val="auto"/>
          <w:sz w:val="24"/>
          <w:szCs w:val="24"/>
          <w:highlight w:val="none"/>
        </w:rPr>
        <w:t>予以配合，总价不变。</w:t>
      </w:r>
    </w:p>
    <w:p w14:paraId="7FD053CF">
      <w:pPr>
        <w:widowControl/>
        <w:adjustRightInd w:val="0"/>
        <w:snapToGrid w:val="0"/>
        <w:spacing w:line="380" w:lineRule="exact"/>
        <w:ind w:firstLine="480"/>
        <w:jc w:val="left"/>
        <w:rPr>
          <w:rFonts w:hint="eastAsia" w:ascii="宋体" w:hAnsi="宋体"/>
          <w:color w:val="auto"/>
          <w:kern w:val="0"/>
          <w:sz w:val="24"/>
          <w:szCs w:val="24"/>
          <w:highlight w:val="none"/>
          <w:lang w:bidi="en-US"/>
        </w:rPr>
      </w:pPr>
      <w:r>
        <w:rPr>
          <w:rFonts w:hint="eastAsia" w:ascii="宋体" w:hAnsi="宋体" w:cs="Arial"/>
          <w:color w:val="auto"/>
          <w:kern w:val="0"/>
          <w:sz w:val="24"/>
          <w:szCs w:val="24"/>
          <w:highlight w:val="none"/>
          <w:lang w:val="en-US" w:eastAsia="zh-CN" w:bidi="en-US"/>
        </w:rPr>
        <w:t>d</w:t>
      </w:r>
      <w:r>
        <w:rPr>
          <w:rFonts w:hint="eastAsia" w:ascii="宋体" w:hAnsi="宋体" w:cs="Arial"/>
          <w:color w:val="auto"/>
          <w:kern w:val="0"/>
          <w:sz w:val="24"/>
          <w:szCs w:val="24"/>
          <w:highlight w:val="none"/>
          <w:lang w:bidi="en-US"/>
        </w:rPr>
        <w:t>、图纸及安装条件的确认</w:t>
      </w:r>
      <w:r>
        <w:rPr>
          <w:rFonts w:hint="eastAsia" w:ascii="宋体" w:hAnsi="宋体" w:cs="Arial"/>
          <w:color w:val="auto"/>
          <w:kern w:val="0"/>
          <w:sz w:val="24"/>
          <w:szCs w:val="24"/>
          <w:highlight w:val="none"/>
          <w:lang w:eastAsia="zh-CN" w:bidi="en-US"/>
        </w:rPr>
        <w:t>：</w:t>
      </w:r>
      <w:r>
        <w:rPr>
          <w:rFonts w:hint="eastAsia" w:ascii="宋体" w:hAnsi="宋体"/>
          <w:color w:val="auto"/>
          <w:kern w:val="0"/>
          <w:sz w:val="24"/>
          <w:szCs w:val="24"/>
          <w:highlight w:val="none"/>
          <w:lang w:bidi="en-US"/>
        </w:rPr>
        <w:t>投标人必须在投标前对</w:t>
      </w:r>
      <w:r>
        <w:rPr>
          <w:rFonts w:ascii="宋体" w:hAnsi="宋体"/>
          <w:color w:val="auto"/>
          <w:kern w:val="0"/>
          <w:sz w:val="24"/>
          <w:szCs w:val="24"/>
          <w:highlight w:val="none"/>
          <w:lang w:bidi="en-US"/>
        </w:rPr>
        <w:t>项目</w:t>
      </w:r>
      <w:r>
        <w:rPr>
          <w:rFonts w:hint="eastAsia" w:ascii="宋体" w:hAnsi="宋体"/>
          <w:color w:val="auto"/>
          <w:kern w:val="0"/>
          <w:sz w:val="24"/>
          <w:szCs w:val="24"/>
          <w:highlight w:val="none"/>
          <w:lang w:bidi="en-US"/>
        </w:rPr>
        <w:t>现场和周围环境进行踏勘，按照图纸、招标文件等技术性资料比对现场实际参数，如有问题，由投标人发起书面质疑，如无质疑，即认为满足安装条件，由投标人承担相应风险。</w:t>
      </w:r>
    </w:p>
    <w:p w14:paraId="0326FADF">
      <w:pPr>
        <w:keepNext w:val="0"/>
        <w:keepLines w:val="0"/>
        <w:pageBreakBefore w:val="0"/>
        <w:widowControl/>
        <w:kinsoku/>
        <w:wordWrap/>
        <w:overflowPunct/>
        <w:topLinePunct w:val="0"/>
        <w:autoSpaceDE/>
        <w:autoSpaceDN/>
        <w:bidi w:val="0"/>
        <w:adjustRightInd/>
        <w:snapToGrid/>
        <w:spacing w:line="336" w:lineRule="auto"/>
        <w:ind w:firstLine="482" w:firstLineChars="200"/>
        <w:jc w:val="left"/>
        <w:textAlignment w:val="auto"/>
        <w:rPr>
          <w:rFonts w:hint="default" w:ascii="宋体" w:hAnsi="宋体" w:cs="Arial"/>
          <w:b/>
          <w:bCs/>
          <w:color w:val="auto"/>
          <w:kern w:val="0"/>
          <w:sz w:val="24"/>
          <w:szCs w:val="24"/>
          <w:highlight w:val="none"/>
          <w:lang w:val="en-US" w:eastAsia="zh-CN" w:bidi="en-US"/>
        </w:rPr>
      </w:pPr>
      <w:r>
        <w:rPr>
          <w:rFonts w:hint="eastAsia" w:ascii="宋体" w:hAnsi="宋体" w:cs="Arial"/>
          <w:b/>
          <w:bCs/>
          <w:color w:val="auto"/>
          <w:kern w:val="0"/>
          <w:sz w:val="24"/>
          <w:szCs w:val="24"/>
          <w:highlight w:val="none"/>
          <w:lang w:val="en-US" w:eastAsia="zh-CN" w:bidi="en-US"/>
        </w:rPr>
        <w:t>e.中标后中标人须根据投标产品结合项目现场实际情况进一步进行深化，对</w:t>
      </w:r>
      <w:r>
        <w:rPr>
          <w:rFonts w:hint="eastAsia" w:ascii="宋体" w:hAnsi="宋体" w:cs="Arial"/>
          <w:b/>
          <w:bCs/>
          <w:color w:val="auto"/>
          <w:kern w:val="0"/>
          <w:sz w:val="24"/>
          <w:szCs w:val="24"/>
          <w:highlight w:val="none"/>
          <w:lang w:bidi="en-US"/>
        </w:rPr>
        <w:t>开门宽度</w:t>
      </w:r>
      <w:r>
        <w:rPr>
          <w:rFonts w:hint="eastAsia" w:ascii="宋体" w:hAnsi="宋体" w:cs="Arial"/>
          <w:b/>
          <w:bCs/>
          <w:color w:val="auto"/>
          <w:kern w:val="0"/>
          <w:sz w:val="24"/>
          <w:szCs w:val="24"/>
          <w:highlight w:val="none"/>
          <w:lang w:eastAsia="zh-CN" w:bidi="en-US"/>
        </w:rPr>
        <w:t>、</w:t>
      </w:r>
      <w:r>
        <w:rPr>
          <w:rFonts w:hint="eastAsia" w:ascii="宋体" w:hAnsi="宋体" w:cs="Arial"/>
          <w:b/>
          <w:bCs/>
          <w:color w:val="auto"/>
          <w:kern w:val="0"/>
          <w:sz w:val="24"/>
          <w:szCs w:val="24"/>
          <w:highlight w:val="none"/>
          <w:lang w:bidi="en-US"/>
        </w:rPr>
        <w:t>高度</w:t>
      </w:r>
      <w:r>
        <w:rPr>
          <w:rFonts w:hint="eastAsia" w:ascii="宋体" w:hAnsi="宋体" w:cs="Arial"/>
          <w:b/>
          <w:bCs/>
          <w:color w:val="auto"/>
          <w:kern w:val="0"/>
          <w:sz w:val="24"/>
          <w:szCs w:val="24"/>
          <w:highlight w:val="none"/>
          <w:lang w:eastAsia="zh-CN" w:bidi="en-US"/>
        </w:rPr>
        <w:t>、</w:t>
      </w:r>
      <w:r>
        <w:rPr>
          <w:rFonts w:hint="eastAsia" w:ascii="宋体" w:hAnsi="宋体" w:cs="Arial"/>
          <w:b/>
          <w:bCs/>
          <w:color w:val="auto"/>
          <w:kern w:val="0"/>
          <w:sz w:val="24"/>
          <w:szCs w:val="24"/>
          <w:highlight w:val="none"/>
          <w:lang w:val="en-US" w:eastAsia="zh-CN" w:bidi="en-US"/>
        </w:rPr>
        <w:t>开门净尺寸等相关数据与招标人书面确认。如未确认私自发货到达工地的相关损失责任由中标人自行承担，招标人不予支付相应款项。</w:t>
      </w:r>
    </w:p>
    <w:p w14:paraId="690C5986">
      <w:pPr>
        <w:keepNext w:val="0"/>
        <w:keepLines w:val="0"/>
        <w:pageBreakBefore w:val="0"/>
        <w:widowControl/>
        <w:kinsoku/>
        <w:wordWrap/>
        <w:overflowPunct/>
        <w:topLinePunct w:val="0"/>
        <w:autoSpaceDE/>
        <w:autoSpaceDN/>
        <w:bidi w:val="0"/>
        <w:adjustRightInd/>
        <w:snapToGrid/>
        <w:spacing w:line="336" w:lineRule="auto"/>
        <w:jc w:val="both"/>
        <w:textAlignment w:val="auto"/>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t>二、</w:t>
      </w:r>
      <w:r>
        <w:rPr>
          <w:rFonts w:hint="eastAsia" w:ascii="宋体" w:hAnsi="宋体"/>
          <w:b/>
          <w:color w:val="auto"/>
          <w:sz w:val="24"/>
          <w:szCs w:val="24"/>
          <w:highlight w:val="none"/>
        </w:rPr>
        <w:t>技术规格要求</w:t>
      </w:r>
    </w:p>
    <w:p w14:paraId="1A68460C">
      <w:pPr>
        <w:keepNext w:val="0"/>
        <w:keepLines w:val="0"/>
        <w:pageBreakBefore w:val="0"/>
        <w:widowControl/>
        <w:kinsoku/>
        <w:wordWrap/>
        <w:overflowPunct/>
        <w:topLinePunct w:val="0"/>
        <w:autoSpaceDE/>
        <w:autoSpaceDN/>
        <w:bidi w:val="0"/>
        <w:adjustRightInd/>
        <w:snapToGrid/>
        <w:spacing w:line="336" w:lineRule="auto"/>
        <w:jc w:val="both"/>
        <w:textAlignment w:val="auto"/>
        <w:rPr>
          <w:rFonts w:hint="eastAsia" w:ascii="宋体" w:hAnsi="宋体" w:eastAsia="宋体" w:cs="宋体"/>
          <w:b/>
          <w:bCs/>
          <w:color w:val="auto"/>
          <w:kern w:val="0"/>
          <w:sz w:val="24"/>
          <w:highlight w:val="none"/>
          <w:lang w:eastAsia="zh-CN" w:bidi="ar"/>
        </w:rPr>
      </w:pPr>
      <w:r>
        <w:rPr>
          <w:rFonts w:hint="eastAsia" w:ascii="宋体" w:hAnsi="宋体" w:cs="宋体"/>
          <w:b/>
          <w:bCs/>
          <w:color w:val="auto"/>
          <w:kern w:val="0"/>
          <w:sz w:val="24"/>
          <w:highlight w:val="none"/>
          <w:lang w:val="en-US" w:eastAsia="zh-CN" w:bidi="ar"/>
        </w:rPr>
        <w:t>2</w:t>
      </w:r>
      <w:r>
        <w:rPr>
          <w:rFonts w:hint="eastAsia" w:ascii="宋体" w:hAnsi="宋体" w:eastAsia="宋体" w:cs="宋体"/>
          <w:b/>
          <w:bCs/>
          <w:color w:val="auto"/>
          <w:kern w:val="0"/>
          <w:sz w:val="24"/>
          <w:highlight w:val="none"/>
          <w:lang w:val="en-US" w:eastAsia="zh-CN" w:bidi="ar"/>
        </w:rPr>
        <w:t>.1</w:t>
      </w:r>
      <w:r>
        <w:rPr>
          <w:rFonts w:hint="eastAsia" w:ascii="宋体" w:hAnsi="宋体" w:eastAsia="宋体" w:cs="宋体"/>
          <w:b/>
          <w:bCs/>
          <w:color w:val="auto"/>
          <w:kern w:val="0"/>
          <w:sz w:val="24"/>
          <w:highlight w:val="none"/>
          <w:lang w:bidi="ar"/>
        </w:rPr>
        <w:t>往复式提升机参数</w:t>
      </w:r>
    </w:p>
    <w:tbl>
      <w:tblPr>
        <w:tblStyle w:val="53"/>
        <w:tblW w:w="92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60"/>
        <w:gridCol w:w="6019"/>
      </w:tblGrid>
      <w:tr w14:paraId="695EE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260" w:type="dxa"/>
          </w:tcPr>
          <w:p w14:paraId="3EBBEA92">
            <w:pPr>
              <w:keepNext w:val="0"/>
              <w:keepLines w:val="0"/>
              <w:pageBreakBefore w:val="0"/>
              <w:widowControl/>
              <w:kinsoku/>
              <w:wordWrap/>
              <w:overflowPunct/>
              <w:topLinePunct w:val="0"/>
              <w:autoSpaceDE/>
              <w:autoSpaceDN/>
              <w:bidi w:val="0"/>
              <w:adjustRightInd/>
              <w:snapToGrid/>
              <w:spacing w:line="336" w:lineRule="auto"/>
              <w:ind w:firstLine="480"/>
              <w:jc w:val="left"/>
              <w:textAlignment w:val="auto"/>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bidi="ar"/>
              </w:rPr>
              <w:t>提升机安装</w:t>
            </w:r>
            <w:r>
              <w:rPr>
                <w:rFonts w:hint="eastAsia" w:ascii="宋体" w:hAnsi="宋体" w:eastAsia="宋体" w:cs="宋体"/>
                <w:color w:val="auto"/>
                <w:kern w:val="0"/>
                <w:sz w:val="24"/>
                <w:highlight w:val="none"/>
                <w:lang w:val="en-US" w:eastAsia="zh-CN" w:bidi="ar"/>
              </w:rPr>
              <w:t>位置</w:t>
            </w:r>
          </w:p>
        </w:tc>
        <w:tc>
          <w:tcPr>
            <w:tcW w:w="6019" w:type="dxa"/>
          </w:tcPr>
          <w:p w14:paraId="3BBB09D8">
            <w:pPr>
              <w:keepNext w:val="0"/>
              <w:keepLines w:val="0"/>
              <w:pageBreakBefore w:val="0"/>
              <w:widowControl/>
              <w:kinsoku/>
              <w:wordWrap/>
              <w:overflowPunct/>
              <w:topLinePunct w:val="0"/>
              <w:autoSpaceDE/>
              <w:autoSpaceDN/>
              <w:bidi w:val="0"/>
              <w:adjustRightInd/>
              <w:snapToGrid/>
              <w:spacing w:line="336" w:lineRule="auto"/>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rPr>
              <w:t>井道</w:t>
            </w:r>
            <w:r>
              <w:rPr>
                <w:rFonts w:hint="eastAsia" w:ascii="宋体" w:hAnsi="宋体" w:eastAsia="宋体" w:cs="宋体"/>
                <w:color w:val="auto"/>
                <w:kern w:val="0"/>
                <w:sz w:val="24"/>
                <w:highlight w:val="none"/>
                <w:lang w:val="en-US" w:eastAsia="zh-CN"/>
              </w:rPr>
              <w:t>内</w:t>
            </w:r>
          </w:p>
        </w:tc>
      </w:tr>
      <w:tr w14:paraId="313A0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260" w:type="dxa"/>
          </w:tcPr>
          <w:p w14:paraId="110B547B">
            <w:pPr>
              <w:keepNext w:val="0"/>
              <w:keepLines w:val="0"/>
              <w:pageBreakBefore w:val="0"/>
              <w:widowControl/>
              <w:kinsoku/>
              <w:wordWrap/>
              <w:overflowPunct/>
              <w:topLinePunct w:val="0"/>
              <w:autoSpaceDE/>
              <w:autoSpaceDN/>
              <w:bidi w:val="0"/>
              <w:adjustRightInd/>
              <w:snapToGrid/>
              <w:spacing w:line="336" w:lineRule="auto"/>
              <w:ind w:firstLine="480"/>
              <w:jc w:val="left"/>
              <w:textAlignment w:val="auto"/>
              <w:rPr>
                <w:rFonts w:hint="eastAsia" w:ascii="宋体" w:hAnsi="宋体" w:eastAsia="宋体" w:cs="宋体"/>
                <w:color w:val="auto"/>
                <w:kern w:val="0"/>
                <w:sz w:val="24"/>
                <w:highlight w:val="none"/>
                <w:lang w:bidi="ar"/>
              </w:rPr>
            </w:pPr>
            <w:r>
              <w:rPr>
                <w:rFonts w:hint="eastAsia" w:ascii="宋体" w:hAnsi="宋体" w:cs="宋体"/>
                <w:color w:val="auto"/>
                <w:sz w:val="24"/>
                <w:highlight w:val="none"/>
              </w:rPr>
              <w:t>设备温湿度适应要求</w:t>
            </w:r>
          </w:p>
        </w:tc>
        <w:tc>
          <w:tcPr>
            <w:tcW w:w="6019" w:type="dxa"/>
          </w:tcPr>
          <w:p w14:paraId="68C39D35">
            <w:pPr>
              <w:keepNext w:val="0"/>
              <w:keepLines w:val="0"/>
              <w:pageBreakBefore w:val="0"/>
              <w:widowControl/>
              <w:kinsoku/>
              <w:wordWrap/>
              <w:overflowPunct/>
              <w:topLinePunct w:val="0"/>
              <w:autoSpaceDE/>
              <w:autoSpaceDN/>
              <w:bidi w:val="0"/>
              <w:adjustRightInd/>
              <w:snapToGrid/>
              <w:spacing w:line="336" w:lineRule="auto"/>
              <w:jc w:val="left"/>
              <w:textAlignment w:val="auto"/>
              <w:rPr>
                <w:rFonts w:hint="eastAsia" w:ascii="宋体" w:hAnsi="宋体" w:eastAsia="宋体" w:cs="宋体"/>
                <w:color w:val="auto"/>
                <w:kern w:val="0"/>
                <w:sz w:val="24"/>
                <w:highlight w:val="none"/>
                <w:lang w:bidi="ar"/>
              </w:rPr>
            </w:pPr>
            <w:r>
              <w:rPr>
                <w:rFonts w:hint="eastAsia" w:ascii="宋体" w:hAnsi="宋体" w:cs="宋体"/>
                <w:color w:val="auto"/>
                <w:sz w:val="24"/>
                <w:highlight w:val="none"/>
              </w:rPr>
              <w:t>温度（</w:t>
            </w:r>
            <w:r>
              <w:rPr>
                <w:rFonts w:hint="eastAsia" w:ascii="宋体" w:hAnsi="宋体" w:cs="宋体"/>
                <w:color w:val="auto"/>
                <w:sz w:val="24"/>
                <w:highlight w:val="none"/>
                <w:lang w:val="en-US" w:eastAsia="zh-CN"/>
              </w:rPr>
              <w:t>0</w:t>
            </w:r>
            <w:r>
              <w:rPr>
                <w:rFonts w:ascii="宋体" w:hAnsi="宋体" w:cs="宋体"/>
                <w:color w:val="auto"/>
                <w:sz w:val="24"/>
                <w:highlight w:val="none"/>
              </w:rPr>
              <w:t>℃</w:t>
            </w:r>
            <w:r>
              <w:rPr>
                <w:rFonts w:hint="eastAsia" w:ascii="宋体" w:hAnsi="宋体" w:cs="宋体"/>
                <w:color w:val="auto"/>
                <w:sz w:val="24"/>
                <w:highlight w:val="none"/>
                <w:lang w:val="en-US" w:eastAsia="zh-CN"/>
              </w:rPr>
              <w:t>至35</w:t>
            </w:r>
            <w:r>
              <w:rPr>
                <w:rFonts w:ascii="宋体" w:hAnsi="宋体" w:cs="宋体"/>
                <w:color w:val="auto"/>
                <w:sz w:val="24"/>
                <w:highlight w:val="none"/>
              </w:rPr>
              <w:t>℃</w:t>
            </w:r>
            <w:r>
              <w:rPr>
                <w:rFonts w:hint="eastAsia" w:ascii="宋体" w:hAnsi="宋体" w:cs="宋体"/>
                <w:color w:val="auto"/>
                <w:sz w:val="24"/>
                <w:highlight w:val="none"/>
              </w:rPr>
              <w:t>）湿度（1</w:t>
            </w:r>
            <w:r>
              <w:rPr>
                <w:rFonts w:ascii="宋体" w:hAnsi="宋体" w:cs="宋体"/>
                <w:color w:val="auto"/>
                <w:sz w:val="24"/>
                <w:highlight w:val="none"/>
              </w:rPr>
              <w:t>0</w:t>
            </w:r>
            <w:r>
              <w:rPr>
                <w:rFonts w:hint="eastAsia" w:ascii="宋体" w:hAnsi="宋体" w:cs="宋体"/>
                <w:color w:val="auto"/>
                <w:sz w:val="24"/>
                <w:highlight w:val="none"/>
              </w:rPr>
              <w:t>%-</w:t>
            </w:r>
            <w:r>
              <w:rPr>
                <w:rFonts w:ascii="宋体" w:hAnsi="宋体" w:cs="宋体"/>
                <w:color w:val="auto"/>
                <w:sz w:val="24"/>
                <w:highlight w:val="none"/>
              </w:rPr>
              <w:t>75</w:t>
            </w:r>
            <w:r>
              <w:rPr>
                <w:rFonts w:hint="eastAsia" w:ascii="宋体" w:hAnsi="宋体" w:cs="宋体"/>
                <w:color w:val="auto"/>
                <w:sz w:val="24"/>
                <w:highlight w:val="none"/>
              </w:rPr>
              <w:t>%）</w:t>
            </w:r>
          </w:p>
        </w:tc>
      </w:tr>
      <w:tr w14:paraId="195C1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260" w:type="dxa"/>
          </w:tcPr>
          <w:p w14:paraId="506BEB5D">
            <w:pPr>
              <w:keepNext w:val="0"/>
              <w:keepLines w:val="0"/>
              <w:pageBreakBefore w:val="0"/>
              <w:widowControl/>
              <w:kinsoku/>
              <w:wordWrap/>
              <w:overflowPunct/>
              <w:topLinePunct w:val="0"/>
              <w:autoSpaceDE/>
              <w:autoSpaceDN/>
              <w:bidi w:val="0"/>
              <w:adjustRightInd/>
              <w:snapToGrid/>
              <w:spacing w:line="336" w:lineRule="auto"/>
              <w:ind w:firstLine="480"/>
              <w:jc w:val="left"/>
              <w:textAlignment w:val="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bidi="ar"/>
              </w:rPr>
              <w:t>提升机空间</w:t>
            </w:r>
          </w:p>
        </w:tc>
        <w:tc>
          <w:tcPr>
            <w:tcW w:w="6019" w:type="dxa"/>
          </w:tcPr>
          <w:p w14:paraId="1D1ABB7D">
            <w:pPr>
              <w:keepNext w:val="0"/>
              <w:keepLines w:val="0"/>
              <w:pageBreakBefore w:val="0"/>
              <w:widowControl/>
              <w:kinsoku/>
              <w:wordWrap/>
              <w:overflowPunct/>
              <w:topLinePunct w:val="0"/>
              <w:autoSpaceDE/>
              <w:autoSpaceDN/>
              <w:bidi w:val="0"/>
              <w:adjustRightInd/>
              <w:snapToGrid/>
              <w:spacing w:line="336" w:lineRule="auto"/>
              <w:jc w:val="left"/>
              <w:textAlignment w:val="auto"/>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bidi="ar"/>
              </w:rPr>
              <w:t>土建封闭式井道，自带塔式框架</w:t>
            </w:r>
            <w:r>
              <w:rPr>
                <w:rFonts w:hint="eastAsia" w:ascii="宋体" w:hAnsi="宋体" w:eastAsia="宋体" w:cs="宋体"/>
                <w:color w:val="auto"/>
                <w:kern w:val="0"/>
                <w:sz w:val="24"/>
                <w:highlight w:val="none"/>
                <w:lang w:eastAsia="zh-CN" w:bidi="ar"/>
              </w:rPr>
              <w:t>。</w:t>
            </w:r>
          </w:p>
        </w:tc>
      </w:tr>
      <w:tr w14:paraId="1CB76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260" w:type="dxa"/>
            <w:vAlign w:val="top"/>
          </w:tcPr>
          <w:p w14:paraId="45397874">
            <w:pPr>
              <w:keepNext w:val="0"/>
              <w:keepLines w:val="0"/>
              <w:pageBreakBefore w:val="0"/>
              <w:widowControl/>
              <w:kinsoku/>
              <w:wordWrap/>
              <w:overflowPunct/>
              <w:topLinePunct w:val="0"/>
              <w:autoSpaceDE/>
              <w:autoSpaceDN/>
              <w:bidi w:val="0"/>
              <w:adjustRightInd/>
              <w:snapToGrid/>
              <w:spacing w:line="336" w:lineRule="auto"/>
              <w:ind w:firstLine="480" w:firstLineChars="200"/>
              <w:jc w:val="left"/>
              <w:textAlignment w:val="auto"/>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val="en-US" w:eastAsia="zh-CN"/>
              </w:rPr>
              <w:t>设备噪音</w:t>
            </w:r>
          </w:p>
        </w:tc>
        <w:tc>
          <w:tcPr>
            <w:tcW w:w="6019" w:type="dxa"/>
            <w:vAlign w:val="top"/>
          </w:tcPr>
          <w:p w14:paraId="324C270A">
            <w:pPr>
              <w:keepNext w:val="0"/>
              <w:keepLines w:val="0"/>
              <w:pageBreakBefore w:val="0"/>
              <w:widowControl/>
              <w:kinsoku/>
              <w:wordWrap/>
              <w:overflowPunct/>
              <w:topLinePunct w:val="0"/>
              <w:autoSpaceDE/>
              <w:autoSpaceDN/>
              <w:bidi w:val="0"/>
              <w:adjustRightInd/>
              <w:snapToGrid/>
              <w:spacing w:line="336" w:lineRule="auto"/>
              <w:jc w:val="left"/>
              <w:textAlignment w:val="auto"/>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val="en-US" w:eastAsia="zh-CN"/>
              </w:rPr>
              <w:t>低于</w:t>
            </w:r>
            <w:r>
              <w:rPr>
                <w:rFonts w:hint="eastAsia" w:ascii="宋体" w:hAnsi="宋体" w:cs="宋体"/>
                <w:color w:val="auto"/>
                <w:kern w:val="0"/>
                <w:sz w:val="24"/>
                <w:highlight w:val="none"/>
                <w:lang w:val="en-US" w:eastAsia="zh-CN"/>
              </w:rPr>
              <w:t>7</w:t>
            </w:r>
            <w:r>
              <w:rPr>
                <w:rFonts w:hint="eastAsia" w:ascii="宋体" w:hAnsi="宋体" w:eastAsia="宋体" w:cs="宋体"/>
                <w:color w:val="auto"/>
                <w:kern w:val="0"/>
                <w:sz w:val="24"/>
                <w:highlight w:val="none"/>
                <w:lang w:val="en-US" w:eastAsia="zh-CN"/>
              </w:rPr>
              <w:t>5 分贝</w:t>
            </w:r>
          </w:p>
        </w:tc>
      </w:tr>
      <w:tr w14:paraId="1585C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260" w:type="dxa"/>
            <w:vAlign w:val="top"/>
          </w:tcPr>
          <w:p w14:paraId="37816E38">
            <w:pPr>
              <w:keepNext w:val="0"/>
              <w:keepLines w:val="0"/>
              <w:pageBreakBefore w:val="0"/>
              <w:widowControl/>
              <w:kinsoku/>
              <w:wordWrap/>
              <w:overflowPunct/>
              <w:topLinePunct w:val="0"/>
              <w:autoSpaceDE/>
              <w:autoSpaceDN/>
              <w:bidi w:val="0"/>
              <w:adjustRightInd/>
              <w:snapToGrid/>
              <w:spacing w:line="336" w:lineRule="auto"/>
              <w:ind w:firstLine="720" w:firstLineChars="300"/>
              <w:jc w:val="left"/>
              <w:textAlignment w:val="auto"/>
              <w:rPr>
                <w:rFonts w:hint="eastAsia" w:ascii="宋体" w:hAnsi="宋体" w:eastAsia="宋体" w:cs="宋体"/>
                <w:color w:val="auto"/>
                <w:kern w:val="0"/>
                <w:sz w:val="24"/>
                <w:highlight w:val="none"/>
                <w:lang w:bidi="ar"/>
              </w:rPr>
            </w:pPr>
            <w:r>
              <w:rPr>
                <w:rFonts w:hint="eastAsia" w:ascii="宋体" w:hAnsi="宋体" w:cs="宋体"/>
                <w:color w:val="auto"/>
                <w:sz w:val="24"/>
                <w:highlight w:val="none"/>
              </w:rPr>
              <w:t>电气防护</w:t>
            </w:r>
          </w:p>
        </w:tc>
        <w:tc>
          <w:tcPr>
            <w:tcW w:w="6019" w:type="dxa"/>
            <w:vAlign w:val="top"/>
          </w:tcPr>
          <w:p w14:paraId="46D9ABDF">
            <w:pPr>
              <w:keepNext w:val="0"/>
              <w:keepLines w:val="0"/>
              <w:pageBreakBefore w:val="0"/>
              <w:widowControl/>
              <w:kinsoku/>
              <w:wordWrap/>
              <w:overflowPunct/>
              <w:topLinePunct w:val="0"/>
              <w:autoSpaceDE/>
              <w:autoSpaceDN/>
              <w:bidi w:val="0"/>
              <w:adjustRightInd/>
              <w:snapToGrid/>
              <w:spacing w:line="336" w:lineRule="auto"/>
              <w:jc w:val="left"/>
              <w:textAlignment w:val="auto"/>
              <w:rPr>
                <w:rFonts w:hint="eastAsia" w:ascii="宋体" w:hAnsi="宋体" w:eastAsia="宋体" w:cs="宋体"/>
                <w:color w:val="auto"/>
                <w:kern w:val="0"/>
                <w:sz w:val="24"/>
                <w:highlight w:val="none"/>
                <w:lang w:bidi="ar"/>
              </w:rPr>
            </w:pPr>
            <w:r>
              <w:rPr>
                <w:rFonts w:hint="eastAsia" w:ascii="宋体" w:hAnsi="宋体" w:cs="宋体"/>
                <w:color w:val="auto"/>
                <w:sz w:val="24"/>
                <w:highlight w:val="none"/>
              </w:rPr>
              <w:t>电机为IP56、绝缘等级F</w:t>
            </w:r>
          </w:p>
        </w:tc>
      </w:tr>
      <w:tr w14:paraId="6530B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260" w:type="dxa"/>
          </w:tcPr>
          <w:p w14:paraId="3AE4F341">
            <w:pPr>
              <w:keepNext w:val="0"/>
              <w:keepLines w:val="0"/>
              <w:pageBreakBefore w:val="0"/>
              <w:widowControl/>
              <w:kinsoku/>
              <w:wordWrap/>
              <w:overflowPunct/>
              <w:topLinePunct w:val="0"/>
              <w:autoSpaceDE/>
              <w:autoSpaceDN/>
              <w:bidi w:val="0"/>
              <w:adjustRightInd/>
              <w:snapToGrid/>
              <w:spacing w:line="336" w:lineRule="auto"/>
              <w:ind w:firstLine="787" w:firstLineChars="328"/>
              <w:jc w:val="left"/>
              <w:textAlignment w:val="auto"/>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链条尺寸</w:t>
            </w:r>
          </w:p>
        </w:tc>
        <w:tc>
          <w:tcPr>
            <w:tcW w:w="6019" w:type="dxa"/>
          </w:tcPr>
          <w:p w14:paraId="6B027DB3">
            <w:pPr>
              <w:keepNext w:val="0"/>
              <w:keepLines w:val="0"/>
              <w:pageBreakBefore w:val="0"/>
              <w:widowControl/>
              <w:kinsoku/>
              <w:wordWrap/>
              <w:overflowPunct/>
              <w:topLinePunct w:val="0"/>
              <w:autoSpaceDE/>
              <w:autoSpaceDN/>
              <w:bidi w:val="0"/>
              <w:adjustRightInd/>
              <w:snapToGrid/>
              <w:spacing w:line="336" w:lineRule="auto"/>
              <w:jc w:val="left"/>
              <w:textAlignment w:val="auto"/>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 xml:space="preserve"> </w:t>
            </w:r>
            <w:r>
              <w:rPr>
                <w:rFonts w:hint="eastAsia" w:ascii="宋体" w:hAnsi="宋体" w:eastAsia="宋体" w:cs="宋体"/>
                <w:color w:val="auto"/>
                <w:kern w:val="0"/>
                <w:sz w:val="24"/>
                <w:highlight w:val="none"/>
                <w:lang w:val="en-US" w:eastAsia="zh-CN" w:bidi="ar"/>
              </w:rPr>
              <w:t>20</w:t>
            </w:r>
            <w:r>
              <w:rPr>
                <w:rFonts w:hint="eastAsia" w:ascii="宋体" w:hAnsi="宋体" w:eastAsia="宋体" w:cs="宋体"/>
                <w:color w:val="auto"/>
                <w:kern w:val="0"/>
                <w:sz w:val="24"/>
                <w:highlight w:val="none"/>
                <w:lang w:bidi="ar"/>
              </w:rPr>
              <w:t>A及以上</w:t>
            </w:r>
          </w:p>
        </w:tc>
      </w:tr>
      <w:tr w14:paraId="0B473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260" w:type="dxa"/>
          </w:tcPr>
          <w:p w14:paraId="4565FC5E">
            <w:pPr>
              <w:keepNext w:val="0"/>
              <w:keepLines w:val="0"/>
              <w:pageBreakBefore w:val="0"/>
              <w:widowControl/>
              <w:kinsoku/>
              <w:wordWrap/>
              <w:overflowPunct/>
              <w:topLinePunct w:val="0"/>
              <w:autoSpaceDE/>
              <w:autoSpaceDN/>
              <w:bidi w:val="0"/>
              <w:adjustRightInd/>
              <w:snapToGrid/>
              <w:spacing w:line="336" w:lineRule="auto"/>
              <w:ind w:firstLine="787" w:firstLineChars="328"/>
              <w:jc w:val="left"/>
              <w:textAlignment w:val="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bidi="ar"/>
              </w:rPr>
              <w:t>驱动系统</w:t>
            </w:r>
          </w:p>
        </w:tc>
        <w:tc>
          <w:tcPr>
            <w:tcW w:w="6019" w:type="dxa"/>
          </w:tcPr>
          <w:p w14:paraId="4984E409">
            <w:pPr>
              <w:keepNext w:val="0"/>
              <w:keepLines w:val="0"/>
              <w:pageBreakBefore w:val="0"/>
              <w:widowControl/>
              <w:kinsoku/>
              <w:wordWrap/>
              <w:overflowPunct/>
              <w:topLinePunct w:val="0"/>
              <w:autoSpaceDE/>
              <w:autoSpaceDN/>
              <w:bidi w:val="0"/>
              <w:adjustRightInd/>
              <w:snapToGrid/>
              <w:spacing w:line="336" w:lineRule="auto"/>
              <w:jc w:val="left"/>
              <w:textAlignment w:val="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bidi="ar"/>
              </w:rPr>
              <w:t>减速电机带刹车</w:t>
            </w:r>
            <w:r>
              <w:rPr>
                <w:rFonts w:hint="eastAsia" w:ascii="宋体" w:hAnsi="宋体" w:eastAsia="宋体" w:cs="宋体"/>
                <w:color w:val="auto"/>
                <w:kern w:val="0"/>
                <w:sz w:val="24"/>
                <w:highlight w:val="none"/>
                <w:lang w:eastAsia="zh-CN" w:bidi="ar"/>
              </w:rPr>
              <w:t>；</w:t>
            </w:r>
            <w:r>
              <w:rPr>
                <w:rFonts w:hint="eastAsia" w:ascii="宋体" w:hAnsi="宋体" w:eastAsia="宋体" w:cs="宋体"/>
                <w:color w:val="auto"/>
                <w:kern w:val="0"/>
                <w:sz w:val="24"/>
                <w:highlight w:val="none"/>
                <w:lang w:bidi="ar"/>
              </w:rPr>
              <w:t>功率</w:t>
            </w:r>
            <w:r>
              <w:rPr>
                <w:rFonts w:hint="eastAsia" w:ascii="宋体" w:hAnsi="宋体" w:eastAsia="宋体" w:cs="宋体"/>
                <w:color w:val="auto"/>
                <w:kern w:val="0"/>
                <w:sz w:val="24"/>
                <w:highlight w:val="none"/>
                <w:lang w:val="en-US" w:eastAsia="zh-CN" w:bidi="ar"/>
              </w:rPr>
              <w:t>18.5</w:t>
            </w:r>
            <w:r>
              <w:rPr>
                <w:rFonts w:hint="eastAsia" w:ascii="宋体" w:hAnsi="宋体" w:eastAsia="宋体" w:cs="宋体"/>
                <w:color w:val="auto"/>
                <w:kern w:val="0"/>
                <w:sz w:val="24"/>
                <w:highlight w:val="none"/>
                <w:lang w:bidi="ar"/>
              </w:rPr>
              <w:t>KW</w:t>
            </w:r>
          </w:p>
        </w:tc>
      </w:tr>
      <w:tr w14:paraId="10780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260" w:type="dxa"/>
          </w:tcPr>
          <w:p w14:paraId="23BBD151">
            <w:pPr>
              <w:keepNext w:val="0"/>
              <w:keepLines w:val="0"/>
              <w:pageBreakBefore w:val="0"/>
              <w:widowControl/>
              <w:kinsoku/>
              <w:wordWrap/>
              <w:overflowPunct/>
              <w:topLinePunct w:val="0"/>
              <w:autoSpaceDE/>
              <w:autoSpaceDN/>
              <w:bidi w:val="0"/>
              <w:adjustRightInd/>
              <w:snapToGrid/>
              <w:spacing w:line="336" w:lineRule="auto"/>
              <w:ind w:firstLine="787" w:firstLineChars="328"/>
              <w:jc w:val="left"/>
              <w:textAlignment w:val="auto"/>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升降速度</w:t>
            </w:r>
          </w:p>
        </w:tc>
        <w:tc>
          <w:tcPr>
            <w:tcW w:w="6019" w:type="dxa"/>
          </w:tcPr>
          <w:p w14:paraId="3BF2FC4B">
            <w:pPr>
              <w:keepNext w:val="0"/>
              <w:keepLines w:val="0"/>
              <w:pageBreakBefore w:val="0"/>
              <w:widowControl/>
              <w:kinsoku/>
              <w:wordWrap/>
              <w:overflowPunct/>
              <w:topLinePunct w:val="0"/>
              <w:autoSpaceDE/>
              <w:autoSpaceDN/>
              <w:bidi w:val="0"/>
              <w:adjustRightInd/>
              <w:snapToGrid/>
              <w:spacing w:line="336" w:lineRule="auto"/>
              <w:jc w:val="left"/>
              <w:textAlignment w:val="auto"/>
              <w:rPr>
                <w:rFonts w:hint="default" w:ascii="宋体" w:hAnsi="宋体" w:eastAsia="宋体" w:cs="宋体"/>
                <w:color w:val="auto"/>
                <w:kern w:val="0"/>
                <w:sz w:val="24"/>
                <w:highlight w:val="none"/>
                <w:lang w:val="en-US" w:eastAsia="zh-CN" w:bidi="ar"/>
              </w:rPr>
            </w:pPr>
            <w:r>
              <w:rPr>
                <w:rFonts w:hint="eastAsia" w:ascii="宋体" w:hAnsi="宋体" w:cs="宋体"/>
                <w:color w:val="auto"/>
                <w:kern w:val="0"/>
                <w:sz w:val="24"/>
                <w:highlight w:val="none"/>
                <w:lang w:val="en-US" w:eastAsia="zh-CN" w:bidi="ar"/>
              </w:rPr>
              <w:t>1m/s</w:t>
            </w:r>
          </w:p>
        </w:tc>
      </w:tr>
      <w:tr w14:paraId="23C55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260" w:type="dxa"/>
          </w:tcPr>
          <w:p w14:paraId="67ED608A">
            <w:pPr>
              <w:keepNext w:val="0"/>
              <w:keepLines w:val="0"/>
              <w:pageBreakBefore w:val="0"/>
              <w:widowControl/>
              <w:kinsoku/>
              <w:wordWrap/>
              <w:overflowPunct/>
              <w:topLinePunct w:val="0"/>
              <w:autoSpaceDE/>
              <w:autoSpaceDN/>
              <w:bidi w:val="0"/>
              <w:adjustRightInd/>
              <w:snapToGrid/>
              <w:spacing w:line="336" w:lineRule="auto"/>
              <w:ind w:firstLine="480"/>
              <w:jc w:val="left"/>
              <w:textAlignment w:val="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bidi="ar"/>
              </w:rPr>
              <w:t>控制系统</w:t>
            </w:r>
          </w:p>
        </w:tc>
        <w:tc>
          <w:tcPr>
            <w:tcW w:w="6019" w:type="dxa"/>
          </w:tcPr>
          <w:p w14:paraId="291520E2">
            <w:pPr>
              <w:keepNext w:val="0"/>
              <w:keepLines w:val="0"/>
              <w:pageBreakBefore w:val="0"/>
              <w:widowControl/>
              <w:kinsoku/>
              <w:wordWrap/>
              <w:overflowPunct/>
              <w:topLinePunct w:val="0"/>
              <w:autoSpaceDE/>
              <w:autoSpaceDN/>
              <w:bidi w:val="0"/>
              <w:adjustRightInd/>
              <w:snapToGrid/>
              <w:spacing w:line="336" w:lineRule="auto"/>
              <w:jc w:val="left"/>
              <w:textAlignment w:val="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bidi="ar"/>
              </w:rPr>
              <w:t>PLC 变频控制（垂直提升）</w:t>
            </w:r>
          </w:p>
        </w:tc>
      </w:tr>
      <w:tr w14:paraId="38E6B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260" w:type="dxa"/>
          </w:tcPr>
          <w:p w14:paraId="5FC36868">
            <w:pPr>
              <w:keepNext w:val="0"/>
              <w:keepLines w:val="0"/>
              <w:pageBreakBefore w:val="0"/>
              <w:widowControl/>
              <w:kinsoku/>
              <w:wordWrap/>
              <w:overflowPunct/>
              <w:topLinePunct w:val="0"/>
              <w:autoSpaceDE/>
              <w:autoSpaceDN/>
              <w:bidi w:val="0"/>
              <w:adjustRightInd/>
              <w:snapToGrid/>
              <w:spacing w:line="336" w:lineRule="auto"/>
              <w:ind w:firstLine="480"/>
              <w:jc w:val="left"/>
              <w:textAlignment w:val="auto"/>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控制柜</w:t>
            </w:r>
          </w:p>
        </w:tc>
        <w:tc>
          <w:tcPr>
            <w:tcW w:w="6019" w:type="dxa"/>
          </w:tcPr>
          <w:p w14:paraId="7180F2CB">
            <w:pPr>
              <w:keepNext w:val="0"/>
              <w:keepLines w:val="0"/>
              <w:pageBreakBefore w:val="0"/>
              <w:widowControl/>
              <w:kinsoku/>
              <w:wordWrap/>
              <w:overflowPunct/>
              <w:topLinePunct w:val="0"/>
              <w:autoSpaceDE/>
              <w:autoSpaceDN/>
              <w:bidi w:val="0"/>
              <w:adjustRightInd/>
              <w:snapToGrid/>
              <w:spacing w:line="336" w:lineRule="auto"/>
              <w:jc w:val="left"/>
              <w:textAlignment w:val="auto"/>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材质碳钢喷塑</w:t>
            </w:r>
          </w:p>
        </w:tc>
      </w:tr>
      <w:tr w14:paraId="59B4C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8" w:hRule="atLeast"/>
        </w:trPr>
        <w:tc>
          <w:tcPr>
            <w:tcW w:w="3260" w:type="dxa"/>
          </w:tcPr>
          <w:p w14:paraId="34A91653">
            <w:pPr>
              <w:keepNext w:val="0"/>
              <w:keepLines w:val="0"/>
              <w:pageBreakBefore w:val="0"/>
              <w:widowControl/>
              <w:kinsoku/>
              <w:wordWrap/>
              <w:overflowPunct/>
              <w:topLinePunct w:val="0"/>
              <w:autoSpaceDE/>
              <w:autoSpaceDN/>
              <w:bidi w:val="0"/>
              <w:adjustRightInd/>
              <w:snapToGrid/>
              <w:spacing w:line="336" w:lineRule="auto"/>
              <w:ind w:firstLine="480"/>
              <w:jc w:val="left"/>
              <w:textAlignment w:val="auto"/>
              <w:rPr>
                <w:rFonts w:hint="eastAsia" w:ascii="宋体" w:hAnsi="宋体" w:eastAsia="宋体" w:cs="宋体"/>
                <w:color w:val="auto"/>
                <w:kern w:val="0"/>
                <w:sz w:val="24"/>
                <w:highlight w:val="none"/>
                <w:lang w:bidi="ar"/>
              </w:rPr>
            </w:pPr>
            <w:r>
              <w:rPr>
                <w:rFonts w:hint="default" w:ascii="宋体" w:hAnsi="宋体" w:eastAsia="宋体" w:cs="宋体"/>
                <w:color w:val="auto"/>
                <w:kern w:val="0"/>
                <w:sz w:val="24"/>
                <w:highlight w:val="none"/>
                <w:lang w:val="en-US" w:eastAsia="zh-CN" w:bidi="ar"/>
              </w:rPr>
              <w:t>设备材质</w:t>
            </w:r>
          </w:p>
        </w:tc>
        <w:tc>
          <w:tcPr>
            <w:tcW w:w="6019" w:type="dxa"/>
          </w:tcPr>
          <w:p w14:paraId="65F40D36">
            <w:pPr>
              <w:keepNext w:val="0"/>
              <w:keepLines w:val="0"/>
              <w:pageBreakBefore w:val="0"/>
              <w:widowControl/>
              <w:kinsoku/>
              <w:wordWrap/>
              <w:overflowPunct/>
              <w:topLinePunct w:val="0"/>
              <w:autoSpaceDE/>
              <w:autoSpaceDN/>
              <w:bidi w:val="0"/>
              <w:adjustRightInd/>
              <w:snapToGrid/>
              <w:spacing w:line="336" w:lineRule="auto"/>
              <w:jc w:val="left"/>
              <w:textAlignment w:val="auto"/>
              <w:rPr>
                <w:rFonts w:hint="eastAsia" w:ascii="宋体" w:hAnsi="宋体" w:eastAsia="宋体" w:cs="宋体"/>
                <w:color w:val="auto"/>
                <w:kern w:val="0"/>
                <w:sz w:val="24"/>
                <w:highlight w:val="none"/>
                <w:lang w:bidi="ar"/>
              </w:rPr>
            </w:pPr>
            <w:r>
              <w:rPr>
                <w:rFonts w:hint="default" w:ascii="宋体" w:hAnsi="宋体" w:eastAsia="宋体" w:cs="宋体"/>
                <w:color w:val="auto"/>
                <w:kern w:val="0"/>
                <w:sz w:val="24"/>
                <w:highlight w:val="none"/>
                <w:lang w:val="en-US" w:eastAsia="zh-CN" w:bidi="ar"/>
              </w:rPr>
              <w:t>设备主体碳钢，护栏、梯、护罩材质采用碳钢，标准件碳钢，膨胀螺栓不锈钢或热浸锌</w:t>
            </w:r>
            <w:r>
              <w:rPr>
                <w:rFonts w:hint="eastAsia" w:ascii="宋体" w:hAnsi="宋体" w:cs="宋体"/>
                <w:color w:val="auto"/>
                <w:kern w:val="0"/>
                <w:sz w:val="24"/>
                <w:highlight w:val="none"/>
                <w:lang w:val="en-US" w:eastAsia="zh-CN" w:bidi="ar"/>
              </w:rPr>
              <w:t>.</w:t>
            </w:r>
          </w:p>
        </w:tc>
      </w:tr>
      <w:tr w14:paraId="6AE95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260" w:type="dxa"/>
          </w:tcPr>
          <w:p w14:paraId="6469D5E4">
            <w:pPr>
              <w:keepNext w:val="0"/>
              <w:keepLines w:val="0"/>
              <w:pageBreakBefore w:val="0"/>
              <w:widowControl/>
              <w:kinsoku/>
              <w:wordWrap/>
              <w:overflowPunct/>
              <w:topLinePunct w:val="0"/>
              <w:autoSpaceDE/>
              <w:autoSpaceDN/>
              <w:bidi w:val="0"/>
              <w:adjustRightInd/>
              <w:snapToGrid/>
              <w:spacing w:line="336" w:lineRule="auto"/>
              <w:ind w:firstLine="480"/>
              <w:jc w:val="left"/>
              <w:textAlignment w:val="auto"/>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有无称重</w:t>
            </w:r>
          </w:p>
        </w:tc>
        <w:tc>
          <w:tcPr>
            <w:tcW w:w="6019" w:type="dxa"/>
          </w:tcPr>
          <w:p w14:paraId="07706AB6">
            <w:pPr>
              <w:keepNext w:val="0"/>
              <w:keepLines w:val="0"/>
              <w:pageBreakBefore w:val="0"/>
              <w:widowControl/>
              <w:kinsoku/>
              <w:wordWrap/>
              <w:overflowPunct/>
              <w:topLinePunct w:val="0"/>
              <w:autoSpaceDE/>
              <w:autoSpaceDN/>
              <w:bidi w:val="0"/>
              <w:adjustRightInd/>
              <w:snapToGrid/>
              <w:spacing w:line="336" w:lineRule="auto"/>
              <w:jc w:val="left"/>
              <w:textAlignment w:val="auto"/>
              <w:rPr>
                <w:rFonts w:hint="eastAsia" w:ascii="宋体" w:hAnsi="宋体" w:eastAsia="宋体" w:cs="宋体"/>
                <w:color w:val="auto"/>
                <w:kern w:val="0"/>
                <w:sz w:val="24"/>
                <w:highlight w:val="none"/>
                <w:lang w:eastAsia="zh-CN" w:bidi="ar"/>
              </w:rPr>
            </w:pPr>
            <w:r>
              <w:rPr>
                <w:rFonts w:hint="eastAsia" w:ascii="宋体" w:hAnsi="宋体" w:eastAsia="宋体" w:cs="宋体"/>
                <w:color w:val="auto"/>
                <w:kern w:val="0"/>
                <w:sz w:val="24"/>
                <w:highlight w:val="none"/>
                <w:lang w:val="en-US" w:eastAsia="zh-CN" w:bidi="ar"/>
              </w:rPr>
              <w:t>有</w:t>
            </w:r>
          </w:p>
        </w:tc>
      </w:tr>
      <w:tr w14:paraId="37A6D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8" w:hRule="atLeast"/>
        </w:trPr>
        <w:tc>
          <w:tcPr>
            <w:tcW w:w="3260" w:type="dxa"/>
          </w:tcPr>
          <w:p w14:paraId="755C7909">
            <w:pPr>
              <w:keepNext w:val="0"/>
              <w:keepLines w:val="0"/>
              <w:pageBreakBefore w:val="0"/>
              <w:widowControl/>
              <w:kinsoku/>
              <w:wordWrap/>
              <w:overflowPunct/>
              <w:topLinePunct w:val="0"/>
              <w:autoSpaceDE/>
              <w:autoSpaceDN/>
              <w:bidi w:val="0"/>
              <w:adjustRightInd/>
              <w:snapToGrid/>
              <w:spacing w:line="336" w:lineRule="auto"/>
              <w:ind w:firstLine="480"/>
              <w:jc w:val="left"/>
              <w:textAlignment w:val="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bidi="ar"/>
              </w:rPr>
              <w:t>托盘尺寸</w:t>
            </w:r>
          </w:p>
          <w:p w14:paraId="710675CA">
            <w:pPr>
              <w:keepNext w:val="0"/>
              <w:keepLines w:val="0"/>
              <w:pageBreakBefore w:val="0"/>
              <w:widowControl/>
              <w:kinsoku/>
              <w:wordWrap/>
              <w:overflowPunct/>
              <w:topLinePunct w:val="0"/>
              <w:autoSpaceDE/>
              <w:autoSpaceDN/>
              <w:bidi w:val="0"/>
              <w:adjustRightInd/>
              <w:snapToGrid/>
              <w:spacing w:line="336" w:lineRule="auto"/>
              <w:ind w:firstLine="480"/>
              <w:jc w:val="left"/>
              <w:textAlignment w:val="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bidi="ar"/>
              </w:rPr>
              <w:t>搬运货物尺寸</w:t>
            </w:r>
          </w:p>
        </w:tc>
        <w:tc>
          <w:tcPr>
            <w:tcW w:w="6019" w:type="dxa"/>
          </w:tcPr>
          <w:p w14:paraId="44598375">
            <w:pPr>
              <w:keepNext w:val="0"/>
              <w:keepLines w:val="0"/>
              <w:pageBreakBefore w:val="0"/>
              <w:widowControl/>
              <w:kinsoku/>
              <w:wordWrap/>
              <w:overflowPunct/>
              <w:topLinePunct w:val="0"/>
              <w:autoSpaceDE/>
              <w:autoSpaceDN/>
              <w:bidi w:val="0"/>
              <w:adjustRightInd/>
              <w:snapToGrid/>
              <w:spacing w:line="336" w:lineRule="auto"/>
              <w:jc w:val="left"/>
              <w:textAlignment w:val="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bidi="ar"/>
              </w:rPr>
              <w:t>1200W*1000L</w:t>
            </w:r>
            <w:r>
              <w:rPr>
                <w:rFonts w:hint="eastAsia" w:ascii="宋体" w:hAnsi="宋体" w:eastAsia="宋体" w:cs="宋体"/>
                <w:color w:val="auto"/>
                <w:kern w:val="0"/>
                <w:sz w:val="24"/>
                <w:highlight w:val="none"/>
                <w:lang w:val="en-US" w:eastAsia="zh-CN" w:bidi="ar"/>
              </w:rPr>
              <w:t>*2000</w:t>
            </w:r>
            <w:r>
              <w:rPr>
                <w:rFonts w:hint="eastAsia" w:ascii="宋体" w:hAnsi="宋体" w:eastAsia="宋体" w:cs="宋体"/>
                <w:color w:val="auto"/>
                <w:kern w:val="0"/>
                <w:sz w:val="24"/>
                <w:highlight w:val="none"/>
                <w:lang w:bidi="ar"/>
              </w:rPr>
              <w:t xml:space="preserve"> 塑料托盘和木制托盘</w:t>
            </w:r>
          </w:p>
          <w:p w14:paraId="429E66DC">
            <w:pPr>
              <w:keepNext w:val="0"/>
              <w:keepLines w:val="0"/>
              <w:pageBreakBefore w:val="0"/>
              <w:widowControl/>
              <w:kinsoku/>
              <w:wordWrap/>
              <w:overflowPunct/>
              <w:topLinePunct w:val="0"/>
              <w:autoSpaceDE/>
              <w:autoSpaceDN/>
              <w:bidi w:val="0"/>
              <w:adjustRightInd/>
              <w:snapToGrid/>
              <w:spacing w:line="336" w:lineRule="auto"/>
              <w:jc w:val="left"/>
              <w:textAlignment w:val="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bidi="ar"/>
              </w:rPr>
              <w:t>1320*1250</w:t>
            </w:r>
            <w:r>
              <w:rPr>
                <w:rFonts w:hint="eastAsia" w:ascii="宋体" w:hAnsi="宋体" w:eastAsia="宋体" w:cs="宋体"/>
                <w:color w:val="auto"/>
                <w:kern w:val="0"/>
                <w:sz w:val="24"/>
                <w:highlight w:val="none"/>
                <w:lang w:bidi="ar"/>
              </w:rPr>
              <w:t>*</w:t>
            </w:r>
            <w:r>
              <w:rPr>
                <w:rFonts w:hint="eastAsia" w:ascii="宋体" w:hAnsi="宋体" w:eastAsia="宋体" w:cs="宋体"/>
                <w:color w:val="auto"/>
                <w:kern w:val="0"/>
                <w:sz w:val="24"/>
                <w:highlight w:val="none"/>
                <w:lang w:val="en-US" w:eastAsia="zh-CN" w:bidi="ar"/>
              </w:rPr>
              <w:t>20</w:t>
            </w:r>
            <w:r>
              <w:rPr>
                <w:rFonts w:hint="eastAsia" w:ascii="宋体" w:hAnsi="宋体" w:eastAsia="宋体" w:cs="宋体"/>
                <w:color w:val="auto"/>
                <w:kern w:val="0"/>
                <w:sz w:val="24"/>
                <w:highlight w:val="none"/>
                <w:lang w:bidi="ar"/>
              </w:rPr>
              <w:t>00H ,铁质巧固架</w:t>
            </w:r>
          </w:p>
        </w:tc>
      </w:tr>
      <w:tr w14:paraId="35A8A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260" w:type="dxa"/>
          </w:tcPr>
          <w:p w14:paraId="71F3BA39">
            <w:pPr>
              <w:keepNext w:val="0"/>
              <w:keepLines w:val="0"/>
              <w:pageBreakBefore w:val="0"/>
              <w:widowControl/>
              <w:kinsoku/>
              <w:wordWrap/>
              <w:overflowPunct/>
              <w:topLinePunct w:val="0"/>
              <w:autoSpaceDE/>
              <w:autoSpaceDN/>
              <w:bidi w:val="0"/>
              <w:adjustRightInd/>
              <w:snapToGrid/>
              <w:spacing w:line="336" w:lineRule="auto"/>
              <w:ind w:firstLine="480"/>
              <w:jc w:val="left"/>
              <w:textAlignment w:val="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bidi="ar"/>
              </w:rPr>
              <w:t>外部暂存位</w:t>
            </w:r>
          </w:p>
        </w:tc>
        <w:tc>
          <w:tcPr>
            <w:tcW w:w="6019" w:type="dxa"/>
          </w:tcPr>
          <w:p w14:paraId="54827A5A">
            <w:pPr>
              <w:keepNext w:val="0"/>
              <w:keepLines w:val="0"/>
              <w:pageBreakBefore w:val="0"/>
              <w:widowControl/>
              <w:kinsoku/>
              <w:wordWrap/>
              <w:overflowPunct/>
              <w:topLinePunct w:val="0"/>
              <w:autoSpaceDE/>
              <w:autoSpaceDN/>
              <w:bidi w:val="0"/>
              <w:adjustRightInd/>
              <w:snapToGrid/>
              <w:spacing w:line="336" w:lineRule="auto"/>
              <w:jc w:val="left"/>
              <w:textAlignment w:val="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bidi="ar"/>
              </w:rPr>
              <w:t>每层1 个暂存位</w:t>
            </w:r>
          </w:p>
        </w:tc>
      </w:tr>
      <w:tr w14:paraId="31923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260" w:type="dxa"/>
          </w:tcPr>
          <w:p w14:paraId="34DF95D6">
            <w:pPr>
              <w:keepNext w:val="0"/>
              <w:keepLines w:val="0"/>
              <w:pageBreakBefore w:val="0"/>
              <w:widowControl/>
              <w:kinsoku/>
              <w:wordWrap/>
              <w:overflowPunct/>
              <w:topLinePunct w:val="0"/>
              <w:autoSpaceDE/>
              <w:autoSpaceDN/>
              <w:bidi w:val="0"/>
              <w:adjustRightInd/>
              <w:snapToGrid/>
              <w:spacing w:line="336" w:lineRule="auto"/>
              <w:ind w:firstLine="480"/>
              <w:jc w:val="left"/>
              <w:textAlignment w:val="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bidi="ar"/>
              </w:rPr>
              <w:t>进货方向</w:t>
            </w:r>
          </w:p>
        </w:tc>
        <w:tc>
          <w:tcPr>
            <w:tcW w:w="6019" w:type="dxa"/>
          </w:tcPr>
          <w:p w14:paraId="0B37D17A">
            <w:pPr>
              <w:keepNext w:val="0"/>
              <w:keepLines w:val="0"/>
              <w:pageBreakBefore w:val="0"/>
              <w:widowControl/>
              <w:kinsoku/>
              <w:wordWrap/>
              <w:overflowPunct/>
              <w:topLinePunct w:val="0"/>
              <w:autoSpaceDE/>
              <w:autoSpaceDN/>
              <w:bidi w:val="0"/>
              <w:adjustRightInd/>
              <w:snapToGrid/>
              <w:spacing w:line="336" w:lineRule="auto"/>
              <w:jc w:val="left"/>
              <w:textAlignment w:val="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bidi="ar"/>
              </w:rPr>
              <w:t>输送线正面</w:t>
            </w:r>
          </w:p>
        </w:tc>
      </w:tr>
      <w:tr w14:paraId="78464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260" w:type="dxa"/>
          </w:tcPr>
          <w:p w14:paraId="546A32C3">
            <w:pPr>
              <w:keepNext w:val="0"/>
              <w:keepLines w:val="0"/>
              <w:pageBreakBefore w:val="0"/>
              <w:widowControl/>
              <w:kinsoku/>
              <w:wordWrap/>
              <w:overflowPunct/>
              <w:topLinePunct w:val="0"/>
              <w:autoSpaceDE/>
              <w:autoSpaceDN/>
              <w:bidi w:val="0"/>
              <w:adjustRightInd/>
              <w:snapToGrid/>
              <w:spacing w:line="336" w:lineRule="auto"/>
              <w:ind w:firstLine="480"/>
              <w:jc w:val="left"/>
              <w:textAlignment w:val="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bidi="ar"/>
              </w:rPr>
              <w:t>出入口方向</w:t>
            </w:r>
          </w:p>
        </w:tc>
        <w:tc>
          <w:tcPr>
            <w:tcW w:w="6019" w:type="dxa"/>
          </w:tcPr>
          <w:p w14:paraId="503587E8">
            <w:pPr>
              <w:keepNext w:val="0"/>
              <w:keepLines w:val="0"/>
              <w:pageBreakBefore w:val="0"/>
              <w:widowControl/>
              <w:kinsoku/>
              <w:wordWrap/>
              <w:overflowPunct/>
              <w:topLinePunct w:val="0"/>
              <w:autoSpaceDE/>
              <w:autoSpaceDN/>
              <w:bidi w:val="0"/>
              <w:adjustRightInd/>
              <w:snapToGrid/>
              <w:spacing w:line="336" w:lineRule="auto"/>
              <w:jc w:val="left"/>
              <w:textAlignment w:val="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bidi="ar"/>
              </w:rPr>
              <w:t>E型 1-3层</w:t>
            </w:r>
          </w:p>
        </w:tc>
      </w:tr>
      <w:tr w14:paraId="28E50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260" w:type="dxa"/>
          </w:tcPr>
          <w:p w14:paraId="6CD9B66F">
            <w:pPr>
              <w:keepNext w:val="0"/>
              <w:keepLines w:val="0"/>
              <w:pageBreakBefore w:val="0"/>
              <w:widowControl/>
              <w:kinsoku/>
              <w:wordWrap/>
              <w:overflowPunct/>
              <w:topLinePunct w:val="0"/>
              <w:autoSpaceDE/>
              <w:autoSpaceDN/>
              <w:bidi w:val="0"/>
              <w:adjustRightInd/>
              <w:snapToGrid/>
              <w:spacing w:line="336" w:lineRule="auto"/>
              <w:ind w:firstLine="480"/>
              <w:jc w:val="left"/>
              <w:textAlignment w:val="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bidi="ar"/>
              </w:rPr>
              <w:t>货厢结构</w:t>
            </w:r>
          </w:p>
        </w:tc>
        <w:tc>
          <w:tcPr>
            <w:tcW w:w="6019" w:type="dxa"/>
          </w:tcPr>
          <w:p w14:paraId="7454D9F3">
            <w:pPr>
              <w:keepNext w:val="0"/>
              <w:keepLines w:val="0"/>
              <w:pageBreakBefore w:val="0"/>
              <w:widowControl/>
              <w:kinsoku/>
              <w:wordWrap/>
              <w:overflowPunct/>
              <w:topLinePunct w:val="0"/>
              <w:autoSpaceDE/>
              <w:autoSpaceDN/>
              <w:bidi w:val="0"/>
              <w:adjustRightInd/>
              <w:snapToGrid/>
              <w:spacing w:line="336" w:lineRule="auto"/>
              <w:jc w:val="left"/>
              <w:textAlignment w:val="auto"/>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bidi="ar"/>
              </w:rPr>
              <w:t>框架结构</w:t>
            </w:r>
            <w:r>
              <w:rPr>
                <w:rFonts w:hint="eastAsia" w:ascii="宋体" w:hAnsi="宋体" w:eastAsia="宋体" w:cs="宋体"/>
                <w:color w:val="auto"/>
                <w:kern w:val="0"/>
                <w:sz w:val="24"/>
                <w:highlight w:val="none"/>
                <w:lang w:eastAsia="zh-CN" w:bidi="ar"/>
              </w:rPr>
              <w:t>，</w:t>
            </w:r>
            <w:r>
              <w:rPr>
                <w:rFonts w:hint="eastAsia" w:ascii="宋体" w:hAnsi="宋体" w:eastAsia="宋体" w:cs="宋体"/>
                <w:color w:val="auto"/>
                <w:kern w:val="0"/>
                <w:sz w:val="24"/>
                <w:highlight w:val="none"/>
                <w:lang w:bidi="ar"/>
              </w:rPr>
              <w:t>封闭式货厢三面</w:t>
            </w:r>
            <w:r>
              <w:rPr>
                <w:rFonts w:hint="eastAsia" w:ascii="宋体" w:hAnsi="宋体" w:eastAsia="宋体" w:cs="宋体"/>
                <w:color w:val="auto"/>
                <w:kern w:val="0"/>
                <w:sz w:val="24"/>
                <w:highlight w:val="none"/>
                <w:lang w:val="en-US" w:eastAsia="zh-CN" w:bidi="ar"/>
              </w:rPr>
              <w:t>碳钢钢网</w:t>
            </w:r>
            <w:r>
              <w:rPr>
                <w:rFonts w:hint="eastAsia" w:ascii="宋体" w:hAnsi="宋体" w:eastAsia="宋体" w:cs="宋体"/>
                <w:color w:val="auto"/>
                <w:kern w:val="0"/>
                <w:sz w:val="24"/>
                <w:highlight w:val="none"/>
                <w:lang w:bidi="ar"/>
              </w:rPr>
              <w:t>密封</w:t>
            </w:r>
            <w:r>
              <w:rPr>
                <w:rFonts w:hint="eastAsia" w:ascii="宋体" w:hAnsi="宋体" w:eastAsia="宋体" w:cs="宋体"/>
                <w:color w:val="auto"/>
                <w:kern w:val="0"/>
                <w:sz w:val="24"/>
                <w:highlight w:val="none"/>
                <w:lang w:eastAsia="zh-CN" w:bidi="ar"/>
              </w:rPr>
              <w:t>。</w:t>
            </w:r>
          </w:p>
        </w:tc>
      </w:tr>
      <w:tr w14:paraId="6A0C3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260" w:type="dxa"/>
          </w:tcPr>
          <w:p w14:paraId="6D24ED28">
            <w:pPr>
              <w:keepNext w:val="0"/>
              <w:keepLines w:val="0"/>
              <w:pageBreakBefore w:val="0"/>
              <w:widowControl/>
              <w:kinsoku/>
              <w:wordWrap/>
              <w:overflowPunct/>
              <w:topLinePunct w:val="0"/>
              <w:autoSpaceDE/>
              <w:autoSpaceDN/>
              <w:bidi w:val="0"/>
              <w:adjustRightInd/>
              <w:snapToGrid/>
              <w:spacing w:line="336" w:lineRule="auto"/>
              <w:ind w:firstLine="480"/>
              <w:jc w:val="left"/>
              <w:textAlignment w:val="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bidi="ar"/>
              </w:rPr>
              <w:t>门系统</w:t>
            </w:r>
          </w:p>
        </w:tc>
        <w:tc>
          <w:tcPr>
            <w:tcW w:w="6019" w:type="dxa"/>
          </w:tcPr>
          <w:p w14:paraId="10EF9733">
            <w:pPr>
              <w:keepNext w:val="0"/>
              <w:keepLines w:val="0"/>
              <w:pageBreakBefore w:val="0"/>
              <w:widowControl/>
              <w:kinsoku/>
              <w:wordWrap/>
              <w:overflowPunct/>
              <w:topLinePunct w:val="0"/>
              <w:autoSpaceDE/>
              <w:autoSpaceDN/>
              <w:bidi w:val="0"/>
              <w:adjustRightInd/>
              <w:snapToGrid/>
              <w:spacing w:line="336" w:lineRule="auto"/>
              <w:jc w:val="left"/>
              <w:textAlignment w:val="auto"/>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bidi="ar"/>
              </w:rPr>
              <w:t>每层配备</w:t>
            </w:r>
            <w:r>
              <w:rPr>
                <w:rFonts w:hint="eastAsia" w:ascii="宋体" w:hAnsi="宋体" w:eastAsia="宋体" w:cs="宋体"/>
                <w:color w:val="auto"/>
                <w:kern w:val="0"/>
                <w:sz w:val="24"/>
                <w:highlight w:val="none"/>
                <w:lang w:val="en-US" w:eastAsia="zh-CN" w:bidi="ar"/>
              </w:rPr>
              <w:t>安全快速</w:t>
            </w:r>
            <w:r>
              <w:rPr>
                <w:rFonts w:hint="eastAsia" w:ascii="宋体" w:hAnsi="宋体" w:eastAsia="宋体" w:cs="宋体"/>
                <w:color w:val="auto"/>
                <w:kern w:val="0"/>
                <w:sz w:val="24"/>
                <w:highlight w:val="none"/>
                <w:lang w:bidi="ar"/>
              </w:rPr>
              <w:t>PVC</w:t>
            </w:r>
            <w:r>
              <w:rPr>
                <w:rFonts w:hint="eastAsia" w:ascii="宋体" w:hAnsi="宋体" w:eastAsia="宋体" w:cs="宋体"/>
                <w:color w:val="auto"/>
                <w:kern w:val="0"/>
                <w:sz w:val="24"/>
                <w:highlight w:val="none"/>
                <w:lang w:val="en-US" w:eastAsia="zh-CN" w:bidi="ar"/>
              </w:rPr>
              <w:t>卷帘门</w:t>
            </w:r>
            <w:r>
              <w:rPr>
                <w:rFonts w:hint="eastAsia" w:ascii="宋体" w:hAnsi="宋体" w:eastAsia="宋体" w:cs="宋体"/>
                <w:color w:val="auto"/>
                <w:kern w:val="0"/>
                <w:sz w:val="24"/>
                <w:highlight w:val="none"/>
                <w:lang w:eastAsia="zh-CN" w:bidi="ar"/>
              </w:rPr>
              <w:t>。</w:t>
            </w:r>
          </w:p>
        </w:tc>
      </w:tr>
      <w:tr w14:paraId="091C4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260" w:type="dxa"/>
          </w:tcPr>
          <w:p w14:paraId="17C49B5D">
            <w:pPr>
              <w:keepNext w:val="0"/>
              <w:keepLines w:val="0"/>
              <w:pageBreakBefore w:val="0"/>
              <w:widowControl/>
              <w:kinsoku/>
              <w:wordWrap/>
              <w:overflowPunct/>
              <w:topLinePunct w:val="0"/>
              <w:autoSpaceDE/>
              <w:autoSpaceDN/>
              <w:bidi w:val="0"/>
              <w:adjustRightInd/>
              <w:snapToGrid/>
              <w:spacing w:line="336" w:lineRule="auto"/>
              <w:ind w:firstLine="480"/>
              <w:jc w:val="left"/>
              <w:textAlignment w:val="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bidi="ar"/>
              </w:rPr>
              <w:t>传动结构</w:t>
            </w:r>
          </w:p>
        </w:tc>
        <w:tc>
          <w:tcPr>
            <w:tcW w:w="6019" w:type="dxa"/>
          </w:tcPr>
          <w:p w14:paraId="7AF96410">
            <w:pPr>
              <w:keepNext w:val="0"/>
              <w:keepLines w:val="0"/>
              <w:pageBreakBefore w:val="0"/>
              <w:widowControl/>
              <w:kinsoku/>
              <w:wordWrap/>
              <w:overflowPunct/>
              <w:topLinePunct w:val="0"/>
              <w:autoSpaceDE/>
              <w:autoSpaceDN/>
              <w:bidi w:val="0"/>
              <w:adjustRightInd/>
              <w:snapToGrid/>
              <w:spacing w:line="336" w:lineRule="auto"/>
              <w:jc w:val="left"/>
              <w:textAlignment w:val="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bidi="ar"/>
              </w:rPr>
              <w:t>链条传动</w:t>
            </w:r>
          </w:p>
        </w:tc>
      </w:tr>
      <w:tr w14:paraId="54BDE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260" w:type="dxa"/>
          </w:tcPr>
          <w:p w14:paraId="7953FCE7">
            <w:pPr>
              <w:keepNext w:val="0"/>
              <w:keepLines w:val="0"/>
              <w:pageBreakBefore w:val="0"/>
              <w:widowControl/>
              <w:kinsoku/>
              <w:wordWrap/>
              <w:overflowPunct/>
              <w:topLinePunct w:val="0"/>
              <w:autoSpaceDE/>
              <w:autoSpaceDN/>
              <w:bidi w:val="0"/>
              <w:adjustRightInd/>
              <w:snapToGrid/>
              <w:spacing w:line="336" w:lineRule="auto"/>
              <w:ind w:firstLine="480"/>
              <w:jc w:val="left"/>
              <w:textAlignment w:val="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bidi="ar"/>
              </w:rPr>
              <w:t>限位开关</w:t>
            </w:r>
          </w:p>
        </w:tc>
        <w:tc>
          <w:tcPr>
            <w:tcW w:w="6019" w:type="dxa"/>
          </w:tcPr>
          <w:p w14:paraId="52B2F527">
            <w:pPr>
              <w:keepNext w:val="0"/>
              <w:keepLines w:val="0"/>
              <w:pageBreakBefore w:val="0"/>
              <w:widowControl/>
              <w:kinsoku/>
              <w:wordWrap/>
              <w:overflowPunct/>
              <w:topLinePunct w:val="0"/>
              <w:autoSpaceDE/>
              <w:autoSpaceDN/>
              <w:bidi w:val="0"/>
              <w:adjustRightInd/>
              <w:snapToGrid/>
              <w:spacing w:line="336" w:lineRule="auto"/>
              <w:jc w:val="left"/>
              <w:textAlignment w:val="auto"/>
              <w:rPr>
                <w:rFonts w:hint="default"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bidi="ar"/>
              </w:rPr>
              <w:t>顶层、底部配置限位开关</w:t>
            </w:r>
          </w:p>
        </w:tc>
      </w:tr>
      <w:tr w14:paraId="7AB09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260" w:type="dxa"/>
          </w:tcPr>
          <w:p w14:paraId="5C27063A">
            <w:pPr>
              <w:keepNext w:val="0"/>
              <w:keepLines w:val="0"/>
              <w:pageBreakBefore w:val="0"/>
              <w:widowControl/>
              <w:kinsoku/>
              <w:wordWrap/>
              <w:overflowPunct/>
              <w:topLinePunct w:val="0"/>
              <w:autoSpaceDE/>
              <w:autoSpaceDN/>
              <w:bidi w:val="0"/>
              <w:adjustRightInd/>
              <w:snapToGrid/>
              <w:spacing w:line="336" w:lineRule="auto"/>
              <w:ind w:firstLine="480"/>
              <w:jc w:val="left"/>
              <w:textAlignment w:val="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bidi="ar"/>
              </w:rPr>
              <w:t>导轨</w:t>
            </w:r>
          </w:p>
        </w:tc>
        <w:tc>
          <w:tcPr>
            <w:tcW w:w="6019" w:type="dxa"/>
          </w:tcPr>
          <w:p w14:paraId="4B196B6B">
            <w:pPr>
              <w:keepNext w:val="0"/>
              <w:keepLines w:val="0"/>
              <w:pageBreakBefore w:val="0"/>
              <w:widowControl/>
              <w:kinsoku/>
              <w:wordWrap/>
              <w:overflowPunct/>
              <w:topLinePunct w:val="0"/>
              <w:autoSpaceDE/>
              <w:autoSpaceDN/>
              <w:bidi w:val="0"/>
              <w:adjustRightInd/>
              <w:snapToGrid/>
              <w:spacing w:line="336" w:lineRule="auto"/>
              <w:jc w:val="left"/>
              <w:textAlignment w:val="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bidi="ar"/>
              </w:rPr>
              <w:t>专用导轨</w:t>
            </w:r>
          </w:p>
        </w:tc>
      </w:tr>
      <w:tr w14:paraId="1F25A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260" w:type="dxa"/>
          </w:tcPr>
          <w:p w14:paraId="4294515F">
            <w:pPr>
              <w:keepNext w:val="0"/>
              <w:keepLines w:val="0"/>
              <w:pageBreakBefore w:val="0"/>
              <w:widowControl/>
              <w:kinsoku/>
              <w:wordWrap/>
              <w:overflowPunct/>
              <w:topLinePunct w:val="0"/>
              <w:autoSpaceDE/>
              <w:autoSpaceDN/>
              <w:bidi w:val="0"/>
              <w:adjustRightInd/>
              <w:snapToGrid/>
              <w:spacing w:line="336" w:lineRule="auto"/>
              <w:ind w:firstLine="480"/>
              <w:jc w:val="left"/>
              <w:textAlignment w:val="auto"/>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平层定位</w:t>
            </w:r>
          </w:p>
        </w:tc>
        <w:tc>
          <w:tcPr>
            <w:tcW w:w="6019" w:type="dxa"/>
          </w:tcPr>
          <w:p w14:paraId="4DEECAFF">
            <w:pPr>
              <w:keepNext w:val="0"/>
              <w:keepLines w:val="0"/>
              <w:pageBreakBefore w:val="0"/>
              <w:widowControl/>
              <w:kinsoku/>
              <w:wordWrap/>
              <w:overflowPunct/>
              <w:topLinePunct w:val="0"/>
              <w:autoSpaceDE/>
              <w:autoSpaceDN/>
              <w:bidi w:val="0"/>
              <w:adjustRightInd/>
              <w:snapToGrid/>
              <w:spacing w:line="336" w:lineRule="auto"/>
              <w:jc w:val="left"/>
              <w:textAlignment w:val="auto"/>
              <w:rPr>
                <w:rFonts w:hint="default" w:ascii="宋体" w:hAnsi="宋体" w:eastAsia="宋体" w:cs="宋体"/>
                <w:color w:val="auto"/>
                <w:kern w:val="0"/>
                <w:sz w:val="24"/>
                <w:highlight w:val="none"/>
                <w:lang w:val="en-US" w:eastAsia="zh-CN" w:bidi="ar"/>
              </w:rPr>
            </w:pPr>
            <w:r>
              <w:rPr>
                <w:rFonts w:hint="eastAsia" w:ascii="宋体" w:hAnsi="宋体" w:eastAsia="宋体" w:cs="宋体"/>
                <w:color w:val="auto"/>
                <w:kern w:val="0"/>
                <w:sz w:val="24"/>
                <w:highlight w:val="none"/>
                <w:lang w:val="en-US" w:eastAsia="zh-CN" w:bidi="ar"/>
              </w:rPr>
              <w:t>光电开关</w:t>
            </w:r>
          </w:p>
        </w:tc>
      </w:tr>
      <w:tr w14:paraId="131EF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3260" w:type="dxa"/>
          </w:tcPr>
          <w:p w14:paraId="71C54621">
            <w:pPr>
              <w:keepNext w:val="0"/>
              <w:keepLines w:val="0"/>
              <w:pageBreakBefore w:val="0"/>
              <w:widowControl/>
              <w:kinsoku/>
              <w:wordWrap/>
              <w:overflowPunct/>
              <w:topLinePunct w:val="0"/>
              <w:autoSpaceDE/>
              <w:autoSpaceDN/>
              <w:bidi w:val="0"/>
              <w:adjustRightInd/>
              <w:snapToGrid/>
              <w:spacing w:line="336" w:lineRule="auto"/>
              <w:ind w:firstLine="480"/>
              <w:jc w:val="left"/>
              <w:textAlignment w:val="auto"/>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检修爬梯</w:t>
            </w:r>
          </w:p>
        </w:tc>
        <w:tc>
          <w:tcPr>
            <w:tcW w:w="6019" w:type="dxa"/>
          </w:tcPr>
          <w:p w14:paraId="57428368">
            <w:pPr>
              <w:keepNext w:val="0"/>
              <w:keepLines w:val="0"/>
              <w:pageBreakBefore w:val="0"/>
              <w:widowControl/>
              <w:kinsoku/>
              <w:wordWrap/>
              <w:overflowPunct/>
              <w:topLinePunct w:val="0"/>
              <w:autoSpaceDE/>
              <w:autoSpaceDN/>
              <w:bidi w:val="0"/>
              <w:adjustRightInd/>
              <w:snapToGrid/>
              <w:spacing w:line="336" w:lineRule="auto"/>
              <w:jc w:val="left"/>
              <w:textAlignment w:val="auto"/>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顶层配置检修爬梯</w:t>
            </w:r>
          </w:p>
        </w:tc>
      </w:tr>
    </w:tbl>
    <w:p w14:paraId="0491AF9E">
      <w:pPr>
        <w:keepNext w:val="0"/>
        <w:keepLines w:val="0"/>
        <w:pageBreakBefore w:val="0"/>
        <w:widowControl/>
        <w:kinsoku/>
        <w:wordWrap/>
        <w:overflowPunct/>
        <w:topLinePunct w:val="0"/>
        <w:autoSpaceDE/>
        <w:autoSpaceDN/>
        <w:bidi w:val="0"/>
        <w:adjustRightInd/>
        <w:snapToGrid/>
        <w:spacing w:line="336" w:lineRule="auto"/>
        <w:jc w:val="both"/>
        <w:textAlignment w:val="auto"/>
        <w:rPr>
          <w:rFonts w:hint="eastAsia" w:ascii="宋体" w:hAnsi="宋体" w:eastAsia="宋体" w:cs="宋体"/>
          <w:b/>
          <w:bCs/>
          <w:color w:val="auto"/>
          <w:sz w:val="24"/>
          <w:highlight w:val="none"/>
          <w:lang w:eastAsia="zh-CN"/>
        </w:rPr>
      </w:pPr>
      <w:r>
        <w:rPr>
          <w:rFonts w:hint="eastAsia" w:ascii="宋体" w:hAnsi="宋体" w:eastAsia="宋体" w:cs="宋体"/>
          <w:b/>
          <w:bCs/>
          <w:color w:val="auto"/>
          <w:kern w:val="0"/>
          <w:sz w:val="24"/>
          <w:highlight w:val="none"/>
          <w:lang w:val="en-US" w:eastAsia="zh-CN" w:bidi="ar"/>
        </w:rPr>
        <w:t>1.2</w:t>
      </w:r>
      <w:r>
        <w:rPr>
          <w:rFonts w:hint="eastAsia" w:ascii="宋体" w:hAnsi="宋体" w:eastAsia="宋体" w:cs="宋体"/>
          <w:b/>
          <w:bCs/>
          <w:color w:val="auto"/>
          <w:kern w:val="0"/>
          <w:sz w:val="24"/>
          <w:highlight w:val="none"/>
          <w:lang w:bidi="ar"/>
        </w:rPr>
        <w:t xml:space="preserve">水平输送机参数 </w:t>
      </w:r>
    </w:p>
    <w:tbl>
      <w:tblPr>
        <w:tblStyle w:val="53"/>
        <w:tblW w:w="9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0"/>
        <w:gridCol w:w="1848"/>
        <w:gridCol w:w="6020"/>
      </w:tblGrid>
      <w:tr w14:paraId="0E9AD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3268" w:type="dxa"/>
            <w:gridSpan w:val="2"/>
          </w:tcPr>
          <w:p w14:paraId="308CFED6">
            <w:pPr>
              <w:keepNext w:val="0"/>
              <w:keepLines w:val="0"/>
              <w:pageBreakBefore w:val="0"/>
              <w:widowControl/>
              <w:kinsoku/>
              <w:wordWrap/>
              <w:overflowPunct/>
              <w:topLinePunct w:val="0"/>
              <w:autoSpaceDE/>
              <w:autoSpaceDN/>
              <w:bidi w:val="0"/>
              <w:adjustRightInd/>
              <w:snapToGrid/>
              <w:spacing w:line="336" w:lineRule="auto"/>
              <w:jc w:val="left"/>
              <w:textAlignment w:val="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bidi="ar"/>
              </w:rPr>
              <w:t>输送线结构</w:t>
            </w:r>
          </w:p>
        </w:tc>
        <w:tc>
          <w:tcPr>
            <w:tcW w:w="6020" w:type="dxa"/>
          </w:tcPr>
          <w:p w14:paraId="35F5D481">
            <w:pPr>
              <w:keepNext w:val="0"/>
              <w:keepLines w:val="0"/>
              <w:pageBreakBefore w:val="0"/>
              <w:widowControl/>
              <w:kinsoku/>
              <w:wordWrap/>
              <w:overflowPunct/>
              <w:topLinePunct w:val="0"/>
              <w:autoSpaceDE/>
              <w:autoSpaceDN/>
              <w:bidi w:val="0"/>
              <w:adjustRightInd/>
              <w:snapToGrid/>
              <w:spacing w:line="336" w:lineRule="auto"/>
              <w:jc w:val="left"/>
              <w:textAlignment w:val="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bidi="ar"/>
              </w:rPr>
              <w:t>滚筒输送线</w:t>
            </w:r>
          </w:p>
        </w:tc>
      </w:tr>
      <w:tr w14:paraId="066A6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3268" w:type="dxa"/>
            <w:gridSpan w:val="2"/>
          </w:tcPr>
          <w:p w14:paraId="1892C63F">
            <w:pPr>
              <w:keepNext w:val="0"/>
              <w:keepLines w:val="0"/>
              <w:pageBreakBefore w:val="0"/>
              <w:widowControl/>
              <w:kinsoku/>
              <w:wordWrap/>
              <w:overflowPunct/>
              <w:topLinePunct w:val="0"/>
              <w:autoSpaceDE/>
              <w:autoSpaceDN/>
              <w:bidi w:val="0"/>
              <w:adjustRightInd/>
              <w:snapToGrid/>
              <w:spacing w:line="336" w:lineRule="auto"/>
              <w:jc w:val="left"/>
              <w:textAlignment w:val="auto"/>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水平输送机净尺寸：mm</w:t>
            </w:r>
          </w:p>
        </w:tc>
        <w:tc>
          <w:tcPr>
            <w:tcW w:w="6020" w:type="dxa"/>
          </w:tcPr>
          <w:p w14:paraId="135C0395">
            <w:pPr>
              <w:keepNext w:val="0"/>
              <w:keepLines w:val="0"/>
              <w:pageBreakBefore w:val="0"/>
              <w:widowControl/>
              <w:kinsoku/>
              <w:wordWrap/>
              <w:overflowPunct/>
              <w:topLinePunct w:val="0"/>
              <w:autoSpaceDE/>
              <w:autoSpaceDN/>
              <w:bidi w:val="0"/>
              <w:adjustRightInd/>
              <w:snapToGrid/>
              <w:spacing w:line="336" w:lineRule="auto"/>
              <w:jc w:val="left"/>
              <w:textAlignment w:val="auto"/>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标准式 1</w:t>
            </w:r>
            <w:r>
              <w:rPr>
                <w:rFonts w:hint="eastAsia" w:ascii="宋体" w:hAnsi="宋体" w:eastAsia="宋体" w:cs="宋体"/>
                <w:color w:val="auto"/>
                <w:kern w:val="0"/>
                <w:sz w:val="24"/>
                <w:highlight w:val="none"/>
                <w:lang w:val="en-US" w:eastAsia="zh-CN" w:bidi="ar"/>
              </w:rPr>
              <w:t>6</w:t>
            </w:r>
            <w:r>
              <w:rPr>
                <w:rFonts w:hint="eastAsia" w:ascii="宋体" w:hAnsi="宋体" w:eastAsia="宋体" w:cs="宋体"/>
                <w:color w:val="auto"/>
                <w:kern w:val="0"/>
                <w:sz w:val="24"/>
                <w:highlight w:val="none"/>
                <w:lang w:bidi="ar"/>
              </w:rPr>
              <w:t>00*1</w:t>
            </w:r>
            <w:r>
              <w:rPr>
                <w:rFonts w:hint="eastAsia" w:ascii="宋体" w:hAnsi="宋体" w:eastAsia="宋体" w:cs="宋体"/>
                <w:color w:val="auto"/>
                <w:kern w:val="0"/>
                <w:sz w:val="24"/>
                <w:highlight w:val="none"/>
                <w:lang w:val="en-US" w:eastAsia="zh-CN" w:bidi="ar"/>
              </w:rPr>
              <w:t>8</w:t>
            </w:r>
            <w:r>
              <w:rPr>
                <w:rFonts w:hint="eastAsia" w:ascii="宋体" w:hAnsi="宋体" w:eastAsia="宋体" w:cs="宋体"/>
                <w:color w:val="auto"/>
                <w:kern w:val="0"/>
                <w:sz w:val="24"/>
                <w:highlight w:val="none"/>
                <w:lang w:bidi="ar"/>
              </w:rPr>
              <w:t>00 宽*深</w:t>
            </w:r>
          </w:p>
        </w:tc>
      </w:tr>
      <w:tr w14:paraId="71569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3268" w:type="dxa"/>
            <w:gridSpan w:val="2"/>
          </w:tcPr>
          <w:p w14:paraId="5BB3B4A1">
            <w:pPr>
              <w:keepNext w:val="0"/>
              <w:keepLines w:val="0"/>
              <w:pageBreakBefore w:val="0"/>
              <w:widowControl/>
              <w:kinsoku/>
              <w:wordWrap/>
              <w:overflowPunct/>
              <w:topLinePunct w:val="0"/>
              <w:autoSpaceDE/>
              <w:autoSpaceDN/>
              <w:bidi w:val="0"/>
              <w:adjustRightInd/>
              <w:snapToGrid/>
              <w:spacing w:line="336" w:lineRule="auto"/>
              <w:jc w:val="left"/>
              <w:textAlignment w:val="auto"/>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每层输送机数量</w:t>
            </w:r>
          </w:p>
        </w:tc>
        <w:tc>
          <w:tcPr>
            <w:tcW w:w="6020" w:type="dxa"/>
          </w:tcPr>
          <w:p w14:paraId="1D9C7533">
            <w:pPr>
              <w:keepNext w:val="0"/>
              <w:keepLines w:val="0"/>
              <w:pageBreakBefore w:val="0"/>
              <w:widowControl/>
              <w:kinsoku/>
              <w:wordWrap/>
              <w:overflowPunct/>
              <w:topLinePunct w:val="0"/>
              <w:autoSpaceDE/>
              <w:autoSpaceDN/>
              <w:bidi w:val="0"/>
              <w:adjustRightInd/>
              <w:snapToGrid/>
              <w:spacing w:line="336" w:lineRule="auto"/>
              <w:jc w:val="left"/>
              <w:textAlignment w:val="auto"/>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1个暂存位</w:t>
            </w:r>
          </w:p>
        </w:tc>
      </w:tr>
      <w:tr w14:paraId="2B50D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3268" w:type="dxa"/>
            <w:gridSpan w:val="2"/>
          </w:tcPr>
          <w:p w14:paraId="29987ED7">
            <w:pPr>
              <w:keepNext w:val="0"/>
              <w:keepLines w:val="0"/>
              <w:pageBreakBefore w:val="0"/>
              <w:widowControl/>
              <w:kinsoku/>
              <w:wordWrap/>
              <w:overflowPunct/>
              <w:topLinePunct w:val="0"/>
              <w:autoSpaceDE/>
              <w:autoSpaceDN/>
              <w:bidi w:val="0"/>
              <w:adjustRightInd/>
              <w:snapToGrid/>
              <w:spacing w:line="336" w:lineRule="auto"/>
              <w:jc w:val="left"/>
              <w:textAlignment w:val="auto"/>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轿厢内输送台净尺寸：mm</w:t>
            </w:r>
          </w:p>
        </w:tc>
        <w:tc>
          <w:tcPr>
            <w:tcW w:w="6020" w:type="dxa"/>
          </w:tcPr>
          <w:p w14:paraId="7C81F3EC">
            <w:pPr>
              <w:keepNext w:val="0"/>
              <w:keepLines w:val="0"/>
              <w:pageBreakBefore w:val="0"/>
              <w:widowControl/>
              <w:kinsoku/>
              <w:wordWrap/>
              <w:overflowPunct/>
              <w:topLinePunct w:val="0"/>
              <w:autoSpaceDE/>
              <w:autoSpaceDN/>
              <w:bidi w:val="0"/>
              <w:adjustRightInd/>
              <w:snapToGrid/>
              <w:spacing w:line="336" w:lineRule="auto"/>
              <w:jc w:val="left"/>
              <w:textAlignment w:val="auto"/>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1</w:t>
            </w:r>
            <w:r>
              <w:rPr>
                <w:rFonts w:hint="eastAsia" w:ascii="宋体" w:hAnsi="宋体" w:eastAsia="宋体" w:cs="宋体"/>
                <w:color w:val="auto"/>
                <w:kern w:val="0"/>
                <w:sz w:val="24"/>
                <w:highlight w:val="none"/>
                <w:lang w:val="en-US" w:eastAsia="zh-CN" w:bidi="ar"/>
              </w:rPr>
              <w:t>6</w:t>
            </w:r>
            <w:r>
              <w:rPr>
                <w:rFonts w:hint="eastAsia" w:ascii="宋体" w:hAnsi="宋体" w:eastAsia="宋体" w:cs="宋体"/>
                <w:color w:val="auto"/>
                <w:kern w:val="0"/>
                <w:sz w:val="24"/>
                <w:highlight w:val="none"/>
                <w:lang w:bidi="ar"/>
              </w:rPr>
              <w:t>00*1</w:t>
            </w:r>
            <w:r>
              <w:rPr>
                <w:rFonts w:hint="eastAsia" w:ascii="宋体" w:hAnsi="宋体" w:eastAsia="宋体" w:cs="宋体"/>
                <w:color w:val="auto"/>
                <w:kern w:val="0"/>
                <w:sz w:val="24"/>
                <w:highlight w:val="none"/>
                <w:lang w:val="en-US" w:eastAsia="zh-CN" w:bidi="ar"/>
              </w:rPr>
              <w:t>80</w:t>
            </w:r>
            <w:r>
              <w:rPr>
                <w:rFonts w:hint="eastAsia" w:ascii="宋体" w:hAnsi="宋体" w:eastAsia="宋体" w:cs="宋体"/>
                <w:color w:val="auto"/>
                <w:kern w:val="0"/>
                <w:sz w:val="24"/>
                <w:highlight w:val="none"/>
                <w:lang w:bidi="ar"/>
              </w:rPr>
              <w:t>0 宽*深</w:t>
            </w:r>
          </w:p>
        </w:tc>
      </w:tr>
      <w:tr w14:paraId="04584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3268" w:type="dxa"/>
            <w:gridSpan w:val="2"/>
          </w:tcPr>
          <w:p w14:paraId="02FB1438">
            <w:pPr>
              <w:keepNext w:val="0"/>
              <w:keepLines w:val="0"/>
              <w:pageBreakBefore w:val="0"/>
              <w:widowControl/>
              <w:kinsoku/>
              <w:wordWrap/>
              <w:overflowPunct/>
              <w:topLinePunct w:val="0"/>
              <w:autoSpaceDE/>
              <w:autoSpaceDN/>
              <w:bidi w:val="0"/>
              <w:adjustRightInd/>
              <w:snapToGrid/>
              <w:spacing w:line="336" w:lineRule="auto"/>
              <w:jc w:val="left"/>
              <w:textAlignment w:val="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bidi="ar"/>
              </w:rPr>
              <w:t>水平输送速度：m/min</w:t>
            </w:r>
          </w:p>
        </w:tc>
        <w:tc>
          <w:tcPr>
            <w:tcW w:w="6020" w:type="dxa"/>
          </w:tcPr>
          <w:p w14:paraId="73344D59">
            <w:pPr>
              <w:keepNext w:val="0"/>
              <w:keepLines w:val="0"/>
              <w:pageBreakBefore w:val="0"/>
              <w:widowControl/>
              <w:kinsoku/>
              <w:wordWrap/>
              <w:overflowPunct/>
              <w:topLinePunct w:val="0"/>
              <w:autoSpaceDE/>
              <w:autoSpaceDN/>
              <w:bidi w:val="0"/>
              <w:adjustRightInd/>
              <w:snapToGrid/>
              <w:spacing w:line="336" w:lineRule="auto"/>
              <w:jc w:val="left"/>
              <w:textAlignment w:val="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bidi="ar"/>
              </w:rPr>
              <w:t>0-15 m/min（变频可调）</w:t>
            </w:r>
          </w:p>
        </w:tc>
      </w:tr>
      <w:tr w14:paraId="35717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3268" w:type="dxa"/>
            <w:gridSpan w:val="2"/>
          </w:tcPr>
          <w:p w14:paraId="39FE68BB">
            <w:pPr>
              <w:keepNext w:val="0"/>
              <w:keepLines w:val="0"/>
              <w:pageBreakBefore w:val="0"/>
              <w:widowControl/>
              <w:kinsoku/>
              <w:wordWrap/>
              <w:overflowPunct/>
              <w:topLinePunct w:val="0"/>
              <w:autoSpaceDE/>
              <w:autoSpaceDN/>
              <w:bidi w:val="0"/>
              <w:adjustRightInd/>
              <w:snapToGrid/>
              <w:spacing w:line="336" w:lineRule="auto"/>
              <w:jc w:val="left"/>
              <w:textAlignment w:val="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bidi="ar"/>
              </w:rPr>
              <w:t>输送架高度：mm</w:t>
            </w:r>
          </w:p>
        </w:tc>
        <w:tc>
          <w:tcPr>
            <w:tcW w:w="6020" w:type="dxa"/>
          </w:tcPr>
          <w:p w14:paraId="43AA03A1">
            <w:pPr>
              <w:keepNext w:val="0"/>
              <w:keepLines w:val="0"/>
              <w:pageBreakBefore w:val="0"/>
              <w:widowControl/>
              <w:kinsoku/>
              <w:wordWrap/>
              <w:overflowPunct/>
              <w:topLinePunct w:val="0"/>
              <w:autoSpaceDE/>
              <w:autoSpaceDN/>
              <w:bidi w:val="0"/>
              <w:adjustRightInd/>
              <w:snapToGrid/>
              <w:spacing w:line="336" w:lineRule="auto"/>
              <w:jc w:val="left"/>
              <w:textAlignment w:val="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bidi="ar"/>
              </w:rPr>
              <w:t>H</w:t>
            </w:r>
            <w:r>
              <w:rPr>
                <w:rFonts w:hint="eastAsia" w:ascii="宋体" w:hAnsi="宋体" w:cs="宋体"/>
                <w:color w:val="auto"/>
                <w:kern w:val="0"/>
                <w:sz w:val="24"/>
                <w:highlight w:val="none"/>
                <w:lang w:val="en-US" w:eastAsia="zh-CN" w:bidi="ar"/>
              </w:rPr>
              <w:t>=</w:t>
            </w:r>
            <w:r>
              <w:rPr>
                <w:rFonts w:hint="eastAsia" w:ascii="宋体" w:hAnsi="宋体" w:eastAsia="宋体" w:cs="宋体"/>
                <w:color w:val="auto"/>
                <w:kern w:val="0"/>
                <w:sz w:val="24"/>
                <w:highlight w:val="none"/>
                <w:lang w:val="en-US" w:eastAsia="zh-CN" w:bidi="ar"/>
              </w:rPr>
              <w:t>5</w:t>
            </w:r>
            <w:r>
              <w:rPr>
                <w:rFonts w:hint="eastAsia" w:ascii="宋体" w:hAnsi="宋体" w:eastAsia="宋体" w:cs="宋体"/>
                <w:color w:val="auto"/>
                <w:kern w:val="0"/>
                <w:sz w:val="24"/>
                <w:highlight w:val="none"/>
                <w:lang w:bidi="ar"/>
              </w:rPr>
              <w:t>00</w:t>
            </w:r>
            <w:r>
              <w:rPr>
                <w:rFonts w:hint="eastAsia" w:ascii="宋体" w:hAnsi="宋体" w:eastAsia="宋体" w:cs="宋体"/>
                <w:color w:val="auto"/>
                <w:kern w:val="0"/>
                <w:sz w:val="24"/>
                <w:highlight w:val="none"/>
                <w:lang w:val="en-US" w:eastAsia="zh-CN" w:bidi="ar"/>
              </w:rPr>
              <w:t>mm</w:t>
            </w:r>
            <w:r>
              <w:rPr>
                <w:rFonts w:hint="eastAsia" w:ascii="宋体" w:hAnsi="宋体" w:eastAsia="宋体" w:cs="宋体"/>
                <w:color w:val="auto"/>
                <w:kern w:val="0"/>
                <w:sz w:val="24"/>
                <w:highlight w:val="none"/>
                <w:lang w:bidi="ar"/>
              </w:rPr>
              <w:t xml:space="preserve"> </w:t>
            </w:r>
          </w:p>
        </w:tc>
      </w:tr>
      <w:tr w14:paraId="4C09D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trPr>
        <w:tc>
          <w:tcPr>
            <w:tcW w:w="1420" w:type="dxa"/>
            <w:vMerge w:val="restart"/>
          </w:tcPr>
          <w:p w14:paraId="0CBFB670">
            <w:pPr>
              <w:keepNext w:val="0"/>
              <w:keepLines w:val="0"/>
              <w:pageBreakBefore w:val="0"/>
              <w:widowControl/>
              <w:kinsoku/>
              <w:wordWrap/>
              <w:overflowPunct/>
              <w:topLinePunct w:val="0"/>
              <w:autoSpaceDE/>
              <w:autoSpaceDN/>
              <w:bidi w:val="0"/>
              <w:adjustRightInd/>
              <w:snapToGrid/>
              <w:spacing w:line="336" w:lineRule="auto"/>
              <w:ind w:firstLine="240" w:firstLineChars="100"/>
              <w:jc w:val="left"/>
              <w:textAlignment w:val="auto"/>
              <w:rPr>
                <w:rFonts w:hint="eastAsia" w:ascii="宋体" w:hAnsi="宋体" w:eastAsia="宋体" w:cs="宋体"/>
                <w:color w:val="auto"/>
                <w:kern w:val="0"/>
                <w:sz w:val="24"/>
                <w:highlight w:val="none"/>
                <w:lang w:bidi="ar"/>
              </w:rPr>
            </w:pPr>
          </w:p>
          <w:p w14:paraId="699329B9">
            <w:pPr>
              <w:keepNext w:val="0"/>
              <w:keepLines w:val="0"/>
              <w:pageBreakBefore w:val="0"/>
              <w:widowControl/>
              <w:kinsoku/>
              <w:wordWrap/>
              <w:overflowPunct/>
              <w:topLinePunct w:val="0"/>
              <w:autoSpaceDE/>
              <w:autoSpaceDN/>
              <w:bidi w:val="0"/>
              <w:adjustRightInd/>
              <w:snapToGrid/>
              <w:spacing w:line="336" w:lineRule="auto"/>
              <w:ind w:firstLine="240" w:firstLineChars="100"/>
              <w:jc w:val="left"/>
              <w:textAlignment w:val="auto"/>
              <w:rPr>
                <w:rFonts w:hint="eastAsia" w:ascii="宋体" w:hAnsi="宋体" w:eastAsia="宋体" w:cs="宋体"/>
                <w:color w:val="auto"/>
                <w:kern w:val="0"/>
                <w:sz w:val="24"/>
                <w:highlight w:val="none"/>
                <w:lang w:bidi="ar"/>
              </w:rPr>
            </w:pPr>
          </w:p>
          <w:p w14:paraId="51B09B66">
            <w:pPr>
              <w:keepNext w:val="0"/>
              <w:keepLines w:val="0"/>
              <w:pageBreakBefore w:val="0"/>
              <w:widowControl/>
              <w:kinsoku/>
              <w:wordWrap/>
              <w:overflowPunct/>
              <w:topLinePunct w:val="0"/>
              <w:autoSpaceDE/>
              <w:autoSpaceDN/>
              <w:bidi w:val="0"/>
              <w:adjustRightInd/>
              <w:snapToGrid/>
              <w:spacing w:line="336" w:lineRule="auto"/>
              <w:ind w:firstLine="240" w:firstLineChars="100"/>
              <w:jc w:val="left"/>
              <w:textAlignment w:val="auto"/>
              <w:rPr>
                <w:rFonts w:hint="eastAsia" w:ascii="宋体" w:hAnsi="宋体" w:eastAsia="宋体" w:cs="宋体"/>
                <w:color w:val="auto"/>
                <w:kern w:val="0"/>
                <w:sz w:val="24"/>
                <w:highlight w:val="none"/>
                <w:lang w:bidi="ar"/>
              </w:rPr>
            </w:pPr>
          </w:p>
          <w:p w14:paraId="64AA6B99">
            <w:pPr>
              <w:keepNext w:val="0"/>
              <w:keepLines w:val="0"/>
              <w:pageBreakBefore w:val="0"/>
              <w:widowControl/>
              <w:kinsoku/>
              <w:wordWrap/>
              <w:overflowPunct/>
              <w:topLinePunct w:val="0"/>
              <w:autoSpaceDE/>
              <w:autoSpaceDN/>
              <w:bidi w:val="0"/>
              <w:adjustRightInd/>
              <w:snapToGrid/>
              <w:spacing w:line="336" w:lineRule="auto"/>
              <w:ind w:firstLine="240" w:firstLineChars="100"/>
              <w:jc w:val="left"/>
              <w:textAlignment w:val="auto"/>
              <w:rPr>
                <w:rFonts w:hint="eastAsia" w:ascii="宋体" w:hAnsi="宋体" w:eastAsia="宋体" w:cs="宋体"/>
                <w:color w:val="auto"/>
                <w:kern w:val="0"/>
                <w:sz w:val="24"/>
                <w:highlight w:val="none"/>
                <w:lang w:bidi="ar"/>
              </w:rPr>
            </w:pPr>
          </w:p>
          <w:p w14:paraId="2AAA19AF">
            <w:pPr>
              <w:keepNext w:val="0"/>
              <w:keepLines w:val="0"/>
              <w:pageBreakBefore w:val="0"/>
              <w:widowControl/>
              <w:kinsoku/>
              <w:wordWrap/>
              <w:overflowPunct/>
              <w:topLinePunct w:val="0"/>
              <w:autoSpaceDE/>
              <w:autoSpaceDN/>
              <w:bidi w:val="0"/>
              <w:adjustRightInd/>
              <w:snapToGrid/>
              <w:spacing w:line="336" w:lineRule="auto"/>
              <w:jc w:val="left"/>
              <w:textAlignment w:val="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bidi="ar"/>
              </w:rPr>
              <w:t>输送系统</w:t>
            </w:r>
          </w:p>
          <w:p w14:paraId="06FF23E7">
            <w:pPr>
              <w:keepNext w:val="0"/>
              <w:keepLines w:val="0"/>
              <w:pageBreakBefore w:val="0"/>
              <w:widowControl/>
              <w:kinsoku/>
              <w:wordWrap/>
              <w:overflowPunct/>
              <w:topLinePunct w:val="0"/>
              <w:autoSpaceDE/>
              <w:autoSpaceDN/>
              <w:bidi w:val="0"/>
              <w:adjustRightInd/>
              <w:snapToGrid/>
              <w:spacing w:line="336" w:lineRule="auto"/>
              <w:ind w:firstLine="480"/>
              <w:jc w:val="left"/>
              <w:textAlignment w:val="auto"/>
              <w:rPr>
                <w:rFonts w:ascii="宋体" w:hAnsi="宋体" w:eastAsia="宋体" w:cs="宋体"/>
                <w:color w:val="auto"/>
                <w:kern w:val="0"/>
                <w:sz w:val="24"/>
                <w:highlight w:val="none"/>
                <w:lang w:bidi="ar"/>
              </w:rPr>
            </w:pPr>
          </w:p>
        </w:tc>
        <w:tc>
          <w:tcPr>
            <w:tcW w:w="1848" w:type="dxa"/>
            <w:vAlign w:val="center"/>
          </w:tcPr>
          <w:p w14:paraId="6D2C729B">
            <w:pPr>
              <w:keepNext w:val="0"/>
              <w:keepLines w:val="0"/>
              <w:pageBreakBefore w:val="0"/>
              <w:widowControl/>
              <w:kinsoku/>
              <w:wordWrap/>
              <w:overflowPunct/>
              <w:topLinePunct w:val="0"/>
              <w:autoSpaceDE/>
              <w:autoSpaceDN/>
              <w:bidi w:val="0"/>
              <w:adjustRightInd/>
              <w:snapToGrid/>
              <w:spacing w:line="336" w:lineRule="auto"/>
              <w:jc w:val="both"/>
              <w:textAlignment w:val="auto"/>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eastAsia="zh-CN" w:bidi="ar"/>
              </w:rPr>
              <w:t>辊筒</w:t>
            </w:r>
          </w:p>
        </w:tc>
        <w:tc>
          <w:tcPr>
            <w:tcW w:w="6020" w:type="dxa"/>
            <w:vAlign w:val="center"/>
          </w:tcPr>
          <w:p w14:paraId="49092E80">
            <w:pPr>
              <w:keepNext w:val="0"/>
              <w:keepLines w:val="0"/>
              <w:pageBreakBefore w:val="0"/>
              <w:widowControl/>
              <w:kinsoku/>
              <w:wordWrap/>
              <w:overflowPunct/>
              <w:topLinePunct w:val="0"/>
              <w:autoSpaceDE/>
              <w:autoSpaceDN/>
              <w:bidi w:val="0"/>
              <w:adjustRightInd/>
              <w:snapToGrid/>
              <w:spacing w:line="336" w:lineRule="auto"/>
              <w:jc w:val="both"/>
              <w:textAlignment w:val="auto"/>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输送辊表面热浸锌处理</w:t>
            </w:r>
            <w:r>
              <w:rPr>
                <w:rFonts w:hint="eastAsia" w:ascii="宋体" w:hAnsi="宋体" w:cs="宋体"/>
                <w:color w:val="auto"/>
                <w:kern w:val="0"/>
                <w:sz w:val="24"/>
                <w:highlight w:val="none"/>
                <w:lang w:eastAsia="zh-CN"/>
              </w:rPr>
              <w:t>，</w:t>
            </w:r>
            <w:r>
              <w:rPr>
                <w:rFonts w:hint="eastAsia" w:ascii="宋体" w:hAnsi="宋体" w:eastAsia="宋体" w:cs="宋体"/>
                <w:color w:val="auto"/>
                <w:kern w:val="0"/>
                <w:sz w:val="24"/>
                <w:highlight w:val="none"/>
              </w:rPr>
              <w:t>输送滚筒全部使用双链辊筒</w:t>
            </w: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lang w:eastAsia="zh-CN" w:bidi="ar"/>
              </w:rPr>
              <w:t>辊筒</w:t>
            </w:r>
            <w:r>
              <w:rPr>
                <w:rFonts w:hint="eastAsia" w:ascii="宋体" w:hAnsi="宋体" w:eastAsia="宋体" w:cs="宋体"/>
                <w:color w:val="auto"/>
                <w:kern w:val="0"/>
                <w:sz w:val="24"/>
                <w:highlight w:val="none"/>
                <w:lang w:val="en-US" w:eastAsia="zh-CN" w:bidi="ar"/>
              </w:rPr>
              <w:t>直径为</w:t>
            </w:r>
            <w:r>
              <w:rPr>
                <w:rFonts w:hint="eastAsia" w:ascii="宋体" w:hAnsi="宋体" w:cs="宋体"/>
                <w:color w:val="auto"/>
                <w:kern w:val="0"/>
                <w:sz w:val="24"/>
                <w:highlight w:val="none"/>
                <w:lang w:val="en-US" w:eastAsia="zh-CN" w:bidi="ar"/>
              </w:rPr>
              <w:t>≥</w:t>
            </w:r>
            <w:r>
              <w:rPr>
                <w:rFonts w:hint="eastAsia" w:ascii="宋体" w:hAnsi="宋体" w:eastAsia="宋体" w:cs="宋体"/>
                <w:color w:val="auto"/>
                <w:kern w:val="0"/>
                <w:sz w:val="24"/>
                <w:highlight w:val="none"/>
                <w:lang w:bidi="ar"/>
              </w:rPr>
              <w:t>76</w:t>
            </w:r>
            <w:r>
              <w:rPr>
                <w:rFonts w:hint="eastAsia" w:ascii="宋体" w:hAnsi="宋体" w:eastAsia="宋体" w:cs="宋体"/>
                <w:color w:val="auto"/>
                <w:kern w:val="0"/>
                <w:sz w:val="24"/>
                <w:highlight w:val="none"/>
                <w:lang w:val="en-US" w:eastAsia="zh-CN" w:bidi="ar"/>
              </w:rPr>
              <w:t>mm</w:t>
            </w:r>
            <w:r>
              <w:rPr>
                <w:rFonts w:hint="eastAsia" w:ascii="宋体" w:hAnsi="宋体" w:eastAsia="宋体" w:cs="宋体"/>
                <w:color w:val="auto"/>
                <w:kern w:val="0"/>
                <w:sz w:val="24"/>
                <w:highlight w:val="none"/>
                <w:lang w:bidi="ar"/>
              </w:rPr>
              <w:t>，</w:t>
            </w:r>
            <w:r>
              <w:rPr>
                <w:rFonts w:hint="eastAsia" w:ascii="宋体" w:hAnsi="宋体" w:eastAsia="宋体" w:cs="宋体"/>
                <w:color w:val="auto"/>
                <w:kern w:val="0"/>
                <w:sz w:val="24"/>
                <w:highlight w:val="none"/>
                <w:lang w:val="en-US" w:eastAsia="zh-CN" w:bidi="ar"/>
              </w:rPr>
              <w:t>材质碳钢镀锌</w:t>
            </w:r>
            <w:r>
              <w:rPr>
                <w:rFonts w:hint="eastAsia" w:ascii="宋体" w:hAnsi="宋体" w:eastAsia="宋体" w:cs="宋体"/>
                <w:color w:val="auto"/>
                <w:kern w:val="0"/>
                <w:sz w:val="24"/>
                <w:highlight w:val="none"/>
                <w:lang w:eastAsia="zh-CN" w:bidi="ar"/>
              </w:rPr>
              <w:t>。</w:t>
            </w:r>
          </w:p>
        </w:tc>
      </w:tr>
      <w:tr w14:paraId="2DEC8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420" w:type="dxa"/>
            <w:vMerge w:val="continue"/>
          </w:tcPr>
          <w:p w14:paraId="7847EB0D">
            <w:pPr>
              <w:keepNext w:val="0"/>
              <w:keepLines w:val="0"/>
              <w:pageBreakBefore w:val="0"/>
              <w:widowControl/>
              <w:kinsoku/>
              <w:wordWrap/>
              <w:overflowPunct/>
              <w:topLinePunct w:val="0"/>
              <w:autoSpaceDE/>
              <w:autoSpaceDN/>
              <w:bidi w:val="0"/>
              <w:adjustRightInd/>
              <w:snapToGrid/>
              <w:spacing w:line="336" w:lineRule="auto"/>
              <w:jc w:val="left"/>
              <w:textAlignment w:val="auto"/>
              <w:rPr>
                <w:rFonts w:ascii="宋体" w:hAnsi="宋体" w:eastAsia="宋体" w:cs="宋体"/>
                <w:color w:val="auto"/>
                <w:kern w:val="0"/>
                <w:sz w:val="24"/>
                <w:highlight w:val="none"/>
                <w:lang w:bidi="ar"/>
              </w:rPr>
            </w:pPr>
          </w:p>
        </w:tc>
        <w:tc>
          <w:tcPr>
            <w:tcW w:w="1848" w:type="dxa"/>
            <w:vAlign w:val="center"/>
          </w:tcPr>
          <w:p w14:paraId="720E7013">
            <w:pPr>
              <w:keepNext w:val="0"/>
              <w:keepLines w:val="0"/>
              <w:pageBreakBefore w:val="0"/>
              <w:widowControl/>
              <w:kinsoku/>
              <w:wordWrap/>
              <w:overflowPunct/>
              <w:topLinePunct w:val="0"/>
              <w:autoSpaceDE/>
              <w:autoSpaceDN/>
              <w:bidi w:val="0"/>
              <w:adjustRightInd/>
              <w:snapToGrid/>
              <w:spacing w:line="336" w:lineRule="auto"/>
              <w:jc w:val="both"/>
              <w:textAlignment w:val="auto"/>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eastAsia="zh-CN" w:bidi="ar"/>
              </w:rPr>
              <w:t>辊筒</w:t>
            </w:r>
            <w:r>
              <w:rPr>
                <w:rFonts w:hint="eastAsia" w:ascii="宋体" w:hAnsi="宋体" w:eastAsia="宋体" w:cs="宋体"/>
                <w:color w:val="auto"/>
                <w:kern w:val="0"/>
                <w:sz w:val="24"/>
                <w:highlight w:val="none"/>
                <w:lang w:bidi="ar"/>
              </w:rPr>
              <w:t>间距</w:t>
            </w:r>
          </w:p>
        </w:tc>
        <w:tc>
          <w:tcPr>
            <w:tcW w:w="6020" w:type="dxa"/>
            <w:vAlign w:val="center"/>
          </w:tcPr>
          <w:p w14:paraId="6E9CB8C4">
            <w:pPr>
              <w:keepNext w:val="0"/>
              <w:keepLines w:val="0"/>
              <w:pageBreakBefore w:val="0"/>
              <w:widowControl/>
              <w:kinsoku/>
              <w:wordWrap/>
              <w:overflowPunct/>
              <w:topLinePunct w:val="0"/>
              <w:autoSpaceDE/>
              <w:autoSpaceDN/>
              <w:bidi w:val="0"/>
              <w:adjustRightInd/>
              <w:snapToGrid/>
              <w:spacing w:line="336" w:lineRule="auto"/>
              <w:jc w:val="both"/>
              <w:textAlignment w:val="auto"/>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两根滚筒之间中心距：小于</w:t>
            </w:r>
            <w:r>
              <w:rPr>
                <w:rFonts w:hint="eastAsia" w:ascii="宋体" w:hAnsi="宋体" w:eastAsia="宋体" w:cs="宋体"/>
                <w:color w:val="auto"/>
                <w:kern w:val="0"/>
                <w:sz w:val="24"/>
                <w:highlight w:val="none"/>
                <w:lang w:val="en-US" w:eastAsia="zh-CN" w:bidi="ar"/>
              </w:rPr>
              <w:t>105</w:t>
            </w:r>
            <w:r>
              <w:rPr>
                <w:rFonts w:hint="eastAsia" w:ascii="宋体" w:hAnsi="宋体" w:eastAsia="宋体" w:cs="宋体"/>
                <w:color w:val="auto"/>
                <w:kern w:val="0"/>
                <w:sz w:val="24"/>
                <w:highlight w:val="none"/>
                <w:lang w:bidi="ar"/>
              </w:rPr>
              <w:t>mm</w:t>
            </w:r>
          </w:p>
        </w:tc>
      </w:tr>
      <w:tr w14:paraId="2F725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420" w:type="dxa"/>
            <w:vMerge w:val="continue"/>
          </w:tcPr>
          <w:p w14:paraId="09ABA526">
            <w:pPr>
              <w:keepNext w:val="0"/>
              <w:keepLines w:val="0"/>
              <w:pageBreakBefore w:val="0"/>
              <w:widowControl/>
              <w:kinsoku/>
              <w:wordWrap/>
              <w:overflowPunct/>
              <w:topLinePunct w:val="0"/>
              <w:autoSpaceDE/>
              <w:autoSpaceDN/>
              <w:bidi w:val="0"/>
              <w:adjustRightInd/>
              <w:snapToGrid/>
              <w:spacing w:line="336" w:lineRule="auto"/>
              <w:ind w:firstLine="480"/>
              <w:jc w:val="left"/>
              <w:textAlignment w:val="auto"/>
              <w:rPr>
                <w:rFonts w:ascii="宋体" w:hAnsi="宋体" w:eastAsia="宋体" w:cs="宋体"/>
                <w:color w:val="auto"/>
                <w:kern w:val="0"/>
                <w:sz w:val="24"/>
                <w:highlight w:val="none"/>
                <w:lang w:bidi="ar"/>
              </w:rPr>
            </w:pPr>
          </w:p>
        </w:tc>
        <w:tc>
          <w:tcPr>
            <w:tcW w:w="1848" w:type="dxa"/>
            <w:vAlign w:val="center"/>
          </w:tcPr>
          <w:p w14:paraId="1F62BC5B">
            <w:pPr>
              <w:keepNext w:val="0"/>
              <w:keepLines w:val="0"/>
              <w:pageBreakBefore w:val="0"/>
              <w:widowControl/>
              <w:kinsoku/>
              <w:wordWrap/>
              <w:overflowPunct/>
              <w:topLinePunct w:val="0"/>
              <w:autoSpaceDE/>
              <w:autoSpaceDN/>
              <w:bidi w:val="0"/>
              <w:adjustRightInd/>
              <w:snapToGrid/>
              <w:spacing w:line="336" w:lineRule="auto"/>
              <w:jc w:val="both"/>
              <w:textAlignment w:val="auto"/>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输送线体</w:t>
            </w:r>
          </w:p>
        </w:tc>
        <w:tc>
          <w:tcPr>
            <w:tcW w:w="6020" w:type="dxa"/>
            <w:vAlign w:val="center"/>
          </w:tcPr>
          <w:p w14:paraId="0B4DC569">
            <w:pPr>
              <w:keepNext w:val="0"/>
              <w:keepLines w:val="0"/>
              <w:pageBreakBefore w:val="0"/>
              <w:widowControl/>
              <w:kinsoku/>
              <w:wordWrap/>
              <w:overflowPunct/>
              <w:topLinePunct w:val="0"/>
              <w:autoSpaceDE/>
              <w:autoSpaceDN/>
              <w:bidi w:val="0"/>
              <w:adjustRightInd/>
              <w:snapToGrid/>
              <w:spacing w:line="336" w:lineRule="auto"/>
              <w:jc w:val="both"/>
              <w:textAlignment w:val="auto"/>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碳钢 C 型件激光割孔配置</w:t>
            </w:r>
            <w:r>
              <w:rPr>
                <w:rFonts w:ascii="宋体" w:hAnsi="宋体" w:eastAsia="宋体" w:cs="宋体"/>
                <w:color w:val="auto"/>
                <w:kern w:val="0"/>
                <w:sz w:val="24"/>
                <w:highlight w:val="none"/>
                <w:lang w:bidi="ar"/>
              </w:rPr>
              <w:t xml:space="preserve"> </w:t>
            </w:r>
          </w:p>
        </w:tc>
      </w:tr>
      <w:tr w14:paraId="2E66F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420" w:type="dxa"/>
            <w:vMerge w:val="continue"/>
          </w:tcPr>
          <w:p w14:paraId="3A7E33FC">
            <w:pPr>
              <w:keepNext w:val="0"/>
              <w:keepLines w:val="0"/>
              <w:pageBreakBefore w:val="0"/>
              <w:widowControl/>
              <w:kinsoku/>
              <w:wordWrap/>
              <w:overflowPunct/>
              <w:topLinePunct w:val="0"/>
              <w:autoSpaceDE/>
              <w:autoSpaceDN/>
              <w:bidi w:val="0"/>
              <w:adjustRightInd/>
              <w:snapToGrid/>
              <w:spacing w:line="336" w:lineRule="auto"/>
              <w:ind w:firstLine="480"/>
              <w:jc w:val="left"/>
              <w:textAlignment w:val="auto"/>
              <w:rPr>
                <w:rFonts w:ascii="宋体" w:hAnsi="宋体" w:eastAsia="宋体" w:cs="宋体"/>
                <w:color w:val="auto"/>
                <w:kern w:val="0"/>
                <w:sz w:val="24"/>
                <w:highlight w:val="none"/>
                <w:lang w:bidi="ar"/>
              </w:rPr>
            </w:pPr>
          </w:p>
        </w:tc>
        <w:tc>
          <w:tcPr>
            <w:tcW w:w="1848" w:type="dxa"/>
            <w:vAlign w:val="center"/>
          </w:tcPr>
          <w:p w14:paraId="10402AAD">
            <w:pPr>
              <w:keepNext w:val="0"/>
              <w:keepLines w:val="0"/>
              <w:pageBreakBefore w:val="0"/>
              <w:widowControl/>
              <w:kinsoku/>
              <w:wordWrap/>
              <w:overflowPunct/>
              <w:topLinePunct w:val="0"/>
              <w:autoSpaceDE/>
              <w:autoSpaceDN/>
              <w:bidi w:val="0"/>
              <w:adjustRightInd/>
              <w:snapToGrid/>
              <w:spacing w:line="336" w:lineRule="auto"/>
              <w:jc w:val="both"/>
              <w:textAlignment w:val="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bidi="ar"/>
              </w:rPr>
              <w:t>驱动电机</w:t>
            </w:r>
          </w:p>
        </w:tc>
        <w:tc>
          <w:tcPr>
            <w:tcW w:w="6020" w:type="dxa"/>
            <w:vAlign w:val="center"/>
          </w:tcPr>
          <w:p w14:paraId="51BAA5A2">
            <w:pPr>
              <w:keepNext w:val="0"/>
              <w:keepLines w:val="0"/>
              <w:pageBreakBefore w:val="0"/>
              <w:widowControl/>
              <w:kinsoku/>
              <w:wordWrap/>
              <w:overflowPunct/>
              <w:topLinePunct w:val="0"/>
              <w:autoSpaceDE/>
              <w:autoSpaceDN/>
              <w:bidi w:val="0"/>
              <w:adjustRightInd/>
              <w:snapToGrid/>
              <w:spacing w:line="336" w:lineRule="auto"/>
              <w:jc w:val="both"/>
              <w:textAlignment w:val="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bidi="ar"/>
              </w:rPr>
              <w:t>减速电机  带刹车 功率1.</w:t>
            </w:r>
            <w:r>
              <w:rPr>
                <w:rFonts w:hint="eastAsia" w:ascii="宋体" w:hAnsi="宋体" w:eastAsia="宋体" w:cs="宋体"/>
                <w:color w:val="auto"/>
                <w:kern w:val="0"/>
                <w:sz w:val="24"/>
                <w:highlight w:val="none"/>
                <w:lang w:val="en-US" w:eastAsia="zh-CN" w:bidi="ar"/>
              </w:rPr>
              <w:t>1</w:t>
            </w:r>
            <w:r>
              <w:rPr>
                <w:rFonts w:hint="eastAsia" w:ascii="宋体" w:hAnsi="宋体" w:eastAsia="宋体" w:cs="宋体"/>
                <w:color w:val="auto"/>
                <w:kern w:val="0"/>
                <w:sz w:val="24"/>
                <w:highlight w:val="none"/>
                <w:lang w:bidi="ar"/>
              </w:rPr>
              <w:t>KW</w:t>
            </w:r>
          </w:p>
        </w:tc>
      </w:tr>
      <w:tr w14:paraId="0182C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420" w:type="dxa"/>
            <w:vMerge w:val="continue"/>
          </w:tcPr>
          <w:p w14:paraId="550FA8C4">
            <w:pPr>
              <w:keepNext w:val="0"/>
              <w:keepLines w:val="0"/>
              <w:pageBreakBefore w:val="0"/>
              <w:widowControl/>
              <w:kinsoku/>
              <w:wordWrap/>
              <w:overflowPunct/>
              <w:topLinePunct w:val="0"/>
              <w:autoSpaceDE/>
              <w:autoSpaceDN/>
              <w:bidi w:val="0"/>
              <w:adjustRightInd/>
              <w:snapToGrid/>
              <w:spacing w:line="336" w:lineRule="auto"/>
              <w:ind w:firstLine="480"/>
              <w:jc w:val="left"/>
              <w:textAlignment w:val="auto"/>
              <w:rPr>
                <w:rFonts w:ascii="宋体" w:hAnsi="宋体" w:eastAsia="宋体" w:cs="宋体"/>
                <w:color w:val="auto"/>
                <w:kern w:val="0"/>
                <w:sz w:val="24"/>
                <w:highlight w:val="none"/>
                <w:lang w:bidi="ar"/>
              </w:rPr>
            </w:pPr>
          </w:p>
        </w:tc>
        <w:tc>
          <w:tcPr>
            <w:tcW w:w="1848" w:type="dxa"/>
            <w:vAlign w:val="center"/>
          </w:tcPr>
          <w:p w14:paraId="3B0CAAB9">
            <w:pPr>
              <w:keepNext w:val="0"/>
              <w:keepLines w:val="0"/>
              <w:pageBreakBefore w:val="0"/>
              <w:widowControl/>
              <w:kinsoku/>
              <w:wordWrap/>
              <w:overflowPunct/>
              <w:topLinePunct w:val="0"/>
              <w:autoSpaceDE/>
              <w:autoSpaceDN/>
              <w:bidi w:val="0"/>
              <w:adjustRightInd/>
              <w:snapToGrid/>
              <w:spacing w:line="336" w:lineRule="auto"/>
              <w:jc w:val="both"/>
              <w:textAlignment w:val="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bidi="ar"/>
              </w:rPr>
              <w:t>电机控制</w:t>
            </w:r>
          </w:p>
        </w:tc>
        <w:tc>
          <w:tcPr>
            <w:tcW w:w="6020" w:type="dxa"/>
            <w:vAlign w:val="center"/>
          </w:tcPr>
          <w:p w14:paraId="002E5918">
            <w:pPr>
              <w:keepNext w:val="0"/>
              <w:keepLines w:val="0"/>
              <w:pageBreakBefore w:val="0"/>
              <w:widowControl/>
              <w:kinsoku/>
              <w:wordWrap/>
              <w:overflowPunct/>
              <w:topLinePunct w:val="0"/>
              <w:autoSpaceDE/>
              <w:autoSpaceDN/>
              <w:bidi w:val="0"/>
              <w:adjustRightInd/>
              <w:snapToGrid/>
              <w:spacing w:line="336" w:lineRule="auto"/>
              <w:jc w:val="both"/>
              <w:textAlignment w:val="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bidi="ar"/>
              </w:rPr>
              <w:t>变频控制</w:t>
            </w:r>
          </w:p>
        </w:tc>
      </w:tr>
      <w:tr w14:paraId="25998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420" w:type="dxa"/>
            <w:vMerge w:val="continue"/>
            <w:vAlign w:val="center"/>
          </w:tcPr>
          <w:p w14:paraId="455E4C06">
            <w:pPr>
              <w:keepNext w:val="0"/>
              <w:keepLines w:val="0"/>
              <w:pageBreakBefore w:val="0"/>
              <w:widowControl/>
              <w:kinsoku/>
              <w:wordWrap/>
              <w:overflowPunct/>
              <w:topLinePunct w:val="0"/>
              <w:autoSpaceDE/>
              <w:autoSpaceDN/>
              <w:bidi w:val="0"/>
              <w:adjustRightInd/>
              <w:snapToGrid/>
              <w:spacing w:line="336" w:lineRule="auto"/>
              <w:textAlignment w:val="auto"/>
              <w:rPr>
                <w:rFonts w:ascii="宋体" w:hAnsi="宋体" w:eastAsia="宋体" w:cs="宋体"/>
                <w:color w:val="auto"/>
                <w:kern w:val="0"/>
                <w:sz w:val="24"/>
                <w:highlight w:val="none"/>
                <w:lang w:bidi="ar"/>
              </w:rPr>
            </w:pPr>
          </w:p>
        </w:tc>
        <w:tc>
          <w:tcPr>
            <w:tcW w:w="1848" w:type="dxa"/>
            <w:vAlign w:val="center"/>
          </w:tcPr>
          <w:p w14:paraId="26A25BA2">
            <w:pPr>
              <w:keepNext w:val="0"/>
              <w:keepLines w:val="0"/>
              <w:pageBreakBefore w:val="0"/>
              <w:widowControl/>
              <w:kinsoku/>
              <w:wordWrap/>
              <w:overflowPunct/>
              <w:topLinePunct w:val="0"/>
              <w:autoSpaceDE/>
              <w:autoSpaceDN/>
              <w:bidi w:val="0"/>
              <w:adjustRightInd/>
              <w:snapToGrid/>
              <w:spacing w:line="336" w:lineRule="auto"/>
              <w:jc w:val="both"/>
              <w:textAlignment w:val="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bidi="ar"/>
              </w:rPr>
              <w:t>链条</w:t>
            </w:r>
          </w:p>
        </w:tc>
        <w:tc>
          <w:tcPr>
            <w:tcW w:w="6020" w:type="dxa"/>
            <w:vAlign w:val="center"/>
          </w:tcPr>
          <w:p w14:paraId="3842018B">
            <w:pPr>
              <w:keepNext w:val="0"/>
              <w:keepLines w:val="0"/>
              <w:pageBreakBefore w:val="0"/>
              <w:widowControl/>
              <w:kinsoku/>
              <w:wordWrap/>
              <w:overflowPunct/>
              <w:topLinePunct w:val="0"/>
              <w:autoSpaceDE/>
              <w:autoSpaceDN/>
              <w:bidi w:val="0"/>
              <w:adjustRightInd/>
              <w:snapToGrid/>
              <w:spacing w:line="336" w:lineRule="auto"/>
              <w:jc w:val="both"/>
              <w:textAlignment w:val="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bidi="ar"/>
              </w:rPr>
              <w:t>10A 加强型链条</w:t>
            </w:r>
          </w:p>
        </w:tc>
      </w:tr>
      <w:tr w14:paraId="1DADB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420" w:type="dxa"/>
            <w:vMerge w:val="continue"/>
            <w:vAlign w:val="center"/>
          </w:tcPr>
          <w:p w14:paraId="1E5970CB">
            <w:pPr>
              <w:keepNext w:val="0"/>
              <w:keepLines w:val="0"/>
              <w:pageBreakBefore w:val="0"/>
              <w:widowControl/>
              <w:kinsoku/>
              <w:wordWrap/>
              <w:overflowPunct/>
              <w:topLinePunct w:val="0"/>
              <w:autoSpaceDE/>
              <w:autoSpaceDN/>
              <w:bidi w:val="0"/>
              <w:adjustRightInd/>
              <w:snapToGrid/>
              <w:spacing w:line="336" w:lineRule="auto"/>
              <w:textAlignment w:val="auto"/>
              <w:rPr>
                <w:rFonts w:ascii="宋体" w:hAnsi="宋体" w:eastAsia="宋体" w:cs="宋体"/>
                <w:color w:val="auto"/>
                <w:kern w:val="0"/>
                <w:sz w:val="24"/>
                <w:highlight w:val="none"/>
                <w:lang w:bidi="ar"/>
              </w:rPr>
            </w:pPr>
          </w:p>
        </w:tc>
        <w:tc>
          <w:tcPr>
            <w:tcW w:w="1848" w:type="dxa"/>
            <w:vAlign w:val="center"/>
          </w:tcPr>
          <w:p w14:paraId="5513E3AD">
            <w:pPr>
              <w:keepNext w:val="0"/>
              <w:keepLines w:val="0"/>
              <w:pageBreakBefore w:val="0"/>
              <w:widowControl/>
              <w:kinsoku/>
              <w:wordWrap/>
              <w:overflowPunct/>
              <w:topLinePunct w:val="0"/>
              <w:autoSpaceDE/>
              <w:autoSpaceDN/>
              <w:bidi w:val="0"/>
              <w:adjustRightInd/>
              <w:snapToGrid/>
              <w:spacing w:line="336" w:lineRule="auto"/>
              <w:jc w:val="both"/>
              <w:textAlignment w:val="auto"/>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限位开关</w:t>
            </w:r>
          </w:p>
        </w:tc>
        <w:tc>
          <w:tcPr>
            <w:tcW w:w="6020" w:type="dxa"/>
            <w:vAlign w:val="center"/>
          </w:tcPr>
          <w:p w14:paraId="2910580A">
            <w:pPr>
              <w:keepNext w:val="0"/>
              <w:keepLines w:val="0"/>
              <w:pageBreakBefore w:val="0"/>
              <w:widowControl/>
              <w:kinsoku/>
              <w:wordWrap/>
              <w:overflowPunct/>
              <w:topLinePunct w:val="0"/>
              <w:autoSpaceDE/>
              <w:autoSpaceDN/>
              <w:bidi w:val="0"/>
              <w:adjustRightInd/>
              <w:snapToGrid/>
              <w:spacing w:line="336" w:lineRule="auto"/>
              <w:jc w:val="both"/>
              <w:textAlignment w:val="auto"/>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配置</w:t>
            </w:r>
            <w:r>
              <w:rPr>
                <w:rFonts w:hint="eastAsia" w:ascii="宋体" w:hAnsi="宋体" w:eastAsia="宋体" w:cs="宋体"/>
                <w:color w:val="auto"/>
                <w:kern w:val="0"/>
                <w:sz w:val="24"/>
                <w:highlight w:val="none"/>
                <w:lang w:val="en-US" w:eastAsia="zh-CN" w:bidi="ar"/>
              </w:rPr>
              <w:t>重力式</w:t>
            </w:r>
            <w:r>
              <w:rPr>
                <w:rFonts w:hint="eastAsia" w:ascii="宋体" w:hAnsi="宋体" w:eastAsia="宋体" w:cs="宋体"/>
                <w:color w:val="auto"/>
                <w:kern w:val="0"/>
                <w:sz w:val="24"/>
                <w:highlight w:val="none"/>
                <w:lang w:bidi="ar"/>
              </w:rPr>
              <w:t>限位开关</w:t>
            </w:r>
          </w:p>
        </w:tc>
      </w:tr>
      <w:tr w14:paraId="158AC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420" w:type="dxa"/>
            <w:vMerge w:val="continue"/>
            <w:vAlign w:val="center"/>
          </w:tcPr>
          <w:p w14:paraId="4FA85888">
            <w:pPr>
              <w:keepNext w:val="0"/>
              <w:keepLines w:val="0"/>
              <w:pageBreakBefore w:val="0"/>
              <w:widowControl/>
              <w:kinsoku/>
              <w:wordWrap/>
              <w:overflowPunct/>
              <w:topLinePunct w:val="0"/>
              <w:autoSpaceDE/>
              <w:autoSpaceDN/>
              <w:bidi w:val="0"/>
              <w:adjustRightInd/>
              <w:snapToGrid/>
              <w:spacing w:line="336" w:lineRule="auto"/>
              <w:textAlignment w:val="auto"/>
              <w:rPr>
                <w:rFonts w:ascii="宋体" w:hAnsi="宋体" w:eastAsia="宋体" w:cs="宋体"/>
                <w:color w:val="auto"/>
                <w:kern w:val="0"/>
                <w:sz w:val="24"/>
                <w:highlight w:val="none"/>
                <w:lang w:bidi="ar"/>
              </w:rPr>
            </w:pPr>
          </w:p>
        </w:tc>
        <w:tc>
          <w:tcPr>
            <w:tcW w:w="1848" w:type="dxa"/>
            <w:vAlign w:val="center"/>
          </w:tcPr>
          <w:p w14:paraId="32C9A23B">
            <w:pPr>
              <w:keepNext w:val="0"/>
              <w:keepLines w:val="0"/>
              <w:pageBreakBefore w:val="0"/>
              <w:widowControl/>
              <w:kinsoku/>
              <w:wordWrap/>
              <w:overflowPunct/>
              <w:topLinePunct w:val="0"/>
              <w:autoSpaceDE/>
              <w:autoSpaceDN/>
              <w:bidi w:val="0"/>
              <w:adjustRightInd/>
              <w:snapToGrid/>
              <w:spacing w:line="336" w:lineRule="auto"/>
              <w:jc w:val="both"/>
              <w:textAlignment w:val="auto"/>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rPr>
              <w:t>输送宽度</w:t>
            </w:r>
          </w:p>
        </w:tc>
        <w:tc>
          <w:tcPr>
            <w:tcW w:w="6020" w:type="dxa"/>
            <w:vAlign w:val="center"/>
          </w:tcPr>
          <w:p w14:paraId="13CEF134">
            <w:pPr>
              <w:keepNext w:val="0"/>
              <w:keepLines w:val="0"/>
              <w:pageBreakBefore w:val="0"/>
              <w:widowControl/>
              <w:kinsoku/>
              <w:wordWrap/>
              <w:overflowPunct/>
              <w:topLinePunct w:val="0"/>
              <w:autoSpaceDE/>
              <w:autoSpaceDN/>
              <w:bidi w:val="0"/>
              <w:adjustRightInd/>
              <w:snapToGrid/>
              <w:spacing w:line="336" w:lineRule="auto"/>
              <w:jc w:val="both"/>
              <w:textAlignment w:val="auto"/>
              <w:rPr>
                <w:rFonts w:hint="default" w:ascii="宋体" w:hAnsi="宋体" w:eastAsia="宋体" w:cs="宋体"/>
                <w:color w:val="auto"/>
                <w:kern w:val="0"/>
                <w:sz w:val="24"/>
                <w:highlight w:val="none"/>
                <w:lang w:val="en-US" w:eastAsia="zh-CN" w:bidi="ar"/>
              </w:rPr>
            </w:pPr>
            <w:r>
              <w:rPr>
                <w:rFonts w:hint="eastAsia" w:ascii="宋体" w:hAnsi="宋体" w:cs="宋体"/>
                <w:color w:val="auto"/>
                <w:kern w:val="0"/>
                <w:sz w:val="24"/>
                <w:highlight w:val="none"/>
                <w:lang w:val="en-US" w:eastAsia="zh-CN" w:bidi="ar"/>
              </w:rPr>
              <w:t>≥1600mm</w:t>
            </w:r>
          </w:p>
        </w:tc>
      </w:tr>
      <w:tr w14:paraId="126F2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1420" w:type="dxa"/>
            <w:vMerge w:val="continue"/>
            <w:vAlign w:val="center"/>
          </w:tcPr>
          <w:p w14:paraId="3E0F1111">
            <w:pPr>
              <w:keepNext w:val="0"/>
              <w:keepLines w:val="0"/>
              <w:pageBreakBefore w:val="0"/>
              <w:widowControl/>
              <w:kinsoku/>
              <w:wordWrap/>
              <w:overflowPunct/>
              <w:topLinePunct w:val="0"/>
              <w:autoSpaceDE/>
              <w:autoSpaceDN/>
              <w:bidi w:val="0"/>
              <w:adjustRightInd/>
              <w:snapToGrid/>
              <w:spacing w:line="336" w:lineRule="auto"/>
              <w:textAlignment w:val="auto"/>
              <w:rPr>
                <w:rFonts w:ascii="宋体" w:hAnsi="宋体" w:eastAsia="宋体" w:cs="宋体"/>
                <w:color w:val="auto"/>
                <w:kern w:val="0"/>
                <w:sz w:val="24"/>
                <w:highlight w:val="none"/>
                <w:lang w:bidi="ar"/>
              </w:rPr>
            </w:pPr>
          </w:p>
        </w:tc>
        <w:tc>
          <w:tcPr>
            <w:tcW w:w="1848" w:type="dxa"/>
            <w:vAlign w:val="center"/>
          </w:tcPr>
          <w:p w14:paraId="34188A1C">
            <w:pPr>
              <w:keepNext w:val="0"/>
              <w:keepLines w:val="0"/>
              <w:pageBreakBefore w:val="0"/>
              <w:widowControl/>
              <w:kinsoku/>
              <w:wordWrap/>
              <w:overflowPunct/>
              <w:topLinePunct w:val="0"/>
              <w:autoSpaceDE/>
              <w:autoSpaceDN/>
              <w:bidi w:val="0"/>
              <w:adjustRightInd/>
              <w:snapToGrid/>
              <w:spacing w:line="336" w:lineRule="auto"/>
              <w:jc w:val="both"/>
              <w:textAlignment w:val="auto"/>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rPr>
              <w:t>传动轴</w:t>
            </w:r>
          </w:p>
        </w:tc>
        <w:tc>
          <w:tcPr>
            <w:tcW w:w="6020" w:type="dxa"/>
            <w:vAlign w:val="center"/>
          </w:tcPr>
          <w:p w14:paraId="571FCBF2">
            <w:pPr>
              <w:keepNext w:val="0"/>
              <w:keepLines w:val="0"/>
              <w:pageBreakBefore w:val="0"/>
              <w:widowControl/>
              <w:kinsoku/>
              <w:wordWrap/>
              <w:overflowPunct/>
              <w:topLinePunct w:val="0"/>
              <w:autoSpaceDE/>
              <w:autoSpaceDN/>
              <w:bidi w:val="0"/>
              <w:adjustRightInd/>
              <w:snapToGrid/>
              <w:spacing w:line="336" w:lineRule="auto"/>
              <w:jc w:val="both"/>
              <w:textAlignment w:val="auto"/>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rPr>
              <w:t>材料均采用45#钢，表面镀锌钝化处理</w:t>
            </w:r>
          </w:p>
        </w:tc>
      </w:tr>
    </w:tbl>
    <w:p w14:paraId="1FCB5700">
      <w:pPr>
        <w:keepNext w:val="0"/>
        <w:keepLines w:val="0"/>
        <w:pageBreakBefore w:val="0"/>
        <w:widowControl/>
        <w:kinsoku/>
        <w:wordWrap/>
        <w:overflowPunct/>
        <w:topLinePunct w:val="0"/>
        <w:autoSpaceDE/>
        <w:autoSpaceDN/>
        <w:bidi w:val="0"/>
        <w:adjustRightInd/>
        <w:snapToGrid/>
        <w:spacing w:line="336" w:lineRule="auto"/>
        <w:jc w:val="both"/>
        <w:textAlignment w:val="auto"/>
        <w:rPr>
          <w:rFonts w:hint="eastAsia" w:ascii="宋体" w:hAnsi="宋体" w:cs="宋体"/>
          <w:b/>
          <w:bCs/>
          <w:color w:val="auto"/>
          <w:kern w:val="0"/>
          <w:sz w:val="24"/>
          <w:highlight w:val="none"/>
          <w:lang w:val="en-US" w:eastAsia="zh-CN" w:bidi="ar"/>
        </w:rPr>
      </w:pPr>
      <w:r>
        <w:rPr>
          <w:rFonts w:hint="eastAsia" w:ascii="宋体" w:hAnsi="宋体" w:cs="宋体"/>
          <w:b/>
          <w:bCs/>
          <w:color w:val="auto"/>
          <w:kern w:val="0"/>
          <w:sz w:val="24"/>
          <w:highlight w:val="none"/>
          <w:lang w:val="en-US" w:eastAsia="zh-CN" w:bidi="ar"/>
        </w:rPr>
        <w:t>2.3主要部件配置清单</w:t>
      </w:r>
    </w:p>
    <w:tbl>
      <w:tblPr>
        <w:tblStyle w:val="53"/>
        <w:tblW w:w="519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6"/>
        <w:gridCol w:w="2533"/>
        <w:gridCol w:w="3557"/>
        <w:gridCol w:w="2472"/>
      </w:tblGrid>
      <w:tr w14:paraId="37777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1" w:type="pct"/>
            <w:vAlign w:val="center"/>
          </w:tcPr>
          <w:p w14:paraId="2EAD2D40">
            <w:pPr>
              <w:widowControl/>
              <w:jc w:val="both"/>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序号</w:t>
            </w:r>
          </w:p>
        </w:tc>
        <w:tc>
          <w:tcPr>
            <w:tcW w:w="1363" w:type="pct"/>
            <w:vAlign w:val="center"/>
          </w:tcPr>
          <w:p w14:paraId="7C32CDA6">
            <w:pPr>
              <w:widowControl/>
              <w:jc w:val="both"/>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名称</w:t>
            </w:r>
          </w:p>
        </w:tc>
        <w:tc>
          <w:tcPr>
            <w:tcW w:w="1914" w:type="pct"/>
            <w:vAlign w:val="center"/>
          </w:tcPr>
          <w:p w14:paraId="0F3CF22D">
            <w:pPr>
              <w:widowControl/>
              <w:jc w:val="both"/>
              <w:rPr>
                <w:rFonts w:hint="default"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所用关键</w:t>
            </w:r>
            <w:r>
              <w:rPr>
                <w:rFonts w:hint="eastAsia" w:ascii="宋体" w:hAnsi="宋体" w:cs="宋体"/>
                <w:color w:val="auto"/>
                <w:kern w:val="0"/>
                <w:sz w:val="24"/>
                <w:highlight w:val="none"/>
                <w:lang w:val="en-US" w:eastAsia="zh-CN"/>
              </w:rPr>
              <w:t>部件配置应</w:t>
            </w:r>
            <w:r>
              <w:rPr>
                <w:rFonts w:hint="eastAsia" w:ascii="宋体" w:hAnsi="宋体" w:eastAsia="宋体" w:cs="宋体"/>
                <w:color w:val="auto"/>
                <w:kern w:val="0"/>
                <w:sz w:val="24"/>
                <w:highlight w:val="none"/>
                <w:lang w:val="en-US" w:eastAsia="zh-CN"/>
              </w:rPr>
              <w:t>优于或同</w:t>
            </w:r>
            <w:r>
              <w:rPr>
                <w:rFonts w:hint="eastAsia" w:ascii="宋体" w:hAnsi="宋体" w:cs="宋体"/>
                <w:color w:val="auto"/>
                <w:kern w:val="0"/>
                <w:sz w:val="24"/>
                <w:highlight w:val="none"/>
                <w:lang w:val="en-US" w:eastAsia="zh-CN"/>
              </w:rPr>
              <w:t>等</w:t>
            </w:r>
            <w:r>
              <w:rPr>
                <w:rFonts w:hint="eastAsia" w:ascii="宋体" w:hAnsi="宋体" w:eastAsia="宋体" w:cs="宋体"/>
                <w:color w:val="auto"/>
                <w:kern w:val="0"/>
                <w:sz w:val="24"/>
                <w:highlight w:val="none"/>
                <w:lang w:val="en-US" w:eastAsia="zh-CN"/>
              </w:rPr>
              <w:t>于以下品牌</w:t>
            </w:r>
            <w:r>
              <w:rPr>
                <w:rFonts w:hint="eastAsia" w:ascii="宋体" w:hAnsi="宋体" w:cs="宋体"/>
                <w:color w:val="auto"/>
                <w:kern w:val="0"/>
                <w:sz w:val="24"/>
                <w:highlight w:val="none"/>
                <w:lang w:val="en-US" w:eastAsia="zh-CN"/>
              </w:rPr>
              <w:t>（通用参数）</w:t>
            </w:r>
          </w:p>
        </w:tc>
        <w:tc>
          <w:tcPr>
            <w:tcW w:w="1330" w:type="pct"/>
            <w:vAlign w:val="center"/>
          </w:tcPr>
          <w:p w14:paraId="7BA7FD9C">
            <w:pPr>
              <w:widowControl/>
              <w:jc w:val="center"/>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备注</w:t>
            </w:r>
          </w:p>
        </w:tc>
      </w:tr>
      <w:tr w14:paraId="0D023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1" w:type="pct"/>
            <w:vAlign w:val="center"/>
          </w:tcPr>
          <w:p w14:paraId="77662D37">
            <w:pPr>
              <w:widowControl/>
              <w:jc w:val="both"/>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1</w:t>
            </w:r>
          </w:p>
        </w:tc>
        <w:tc>
          <w:tcPr>
            <w:tcW w:w="1363" w:type="pct"/>
            <w:vAlign w:val="center"/>
          </w:tcPr>
          <w:p w14:paraId="1A626FC4">
            <w:pPr>
              <w:widowControl/>
              <w:jc w:val="both"/>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val="en-US" w:eastAsia="zh-CN" w:bidi="ar"/>
              </w:rPr>
              <w:t>驱动主电机</w:t>
            </w:r>
          </w:p>
        </w:tc>
        <w:tc>
          <w:tcPr>
            <w:tcW w:w="1914" w:type="pct"/>
            <w:vAlign w:val="top"/>
          </w:tcPr>
          <w:p w14:paraId="172D69D1">
            <w:pPr>
              <w:widowControl/>
              <w:jc w:val="left"/>
              <w:rPr>
                <w:rFonts w:hint="default" w:ascii="宋体" w:hAnsi="宋体" w:eastAsia="宋体" w:cs="宋体"/>
                <w:color w:val="auto"/>
                <w:kern w:val="0"/>
                <w:sz w:val="24"/>
                <w:highlight w:val="none"/>
                <w:lang w:val="en-US" w:eastAsia="zh-CN" w:bidi="ar"/>
              </w:rPr>
            </w:pPr>
            <w:r>
              <w:rPr>
                <w:rFonts w:hint="eastAsia" w:ascii="宋体" w:hAnsi="宋体" w:eastAsia="宋体" w:cs="宋体"/>
                <w:color w:val="auto"/>
                <w:kern w:val="0"/>
                <w:sz w:val="24"/>
                <w:highlight w:val="none"/>
                <w:lang w:val="en-US" w:eastAsia="zh-CN" w:bidi="ar"/>
              </w:rPr>
              <w:t>SEW、诺德、伦茨</w:t>
            </w:r>
          </w:p>
        </w:tc>
        <w:tc>
          <w:tcPr>
            <w:tcW w:w="1330" w:type="pct"/>
            <w:vAlign w:val="center"/>
          </w:tcPr>
          <w:p w14:paraId="0452D79B">
            <w:pPr>
              <w:widowControl/>
              <w:jc w:val="center"/>
              <w:rPr>
                <w:rFonts w:hint="eastAsia" w:ascii="宋体" w:hAnsi="宋体" w:eastAsia="宋体" w:cs="宋体"/>
                <w:color w:val="auto"/>
                <w:kern w:val="0"/>
                <w:sz w:val="24"/>
                <w:highlight w:val="none"/>
                <w:lang w:bidi="ar"/>
              </w:rPr>
            </w:pPr>
          </w:p>
        </w:tc>
      </w:tr>
      <w:tr w14:paraId="3056F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1" w:type="pct"/>
            <w:vAlign w:val="center"/>
          </w:tcPr>
          <w:p w14:paraId="6923B1F4">
            <w:pPr>
              <w:widowControl/>
              <w:jc w:val="both"/>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2</w:t>
            </w:r>
          </w:p>
        </w:tc>
        <w:tc>
          <w:tcPr>
            <w:tcW w:w="1363" w:type="pct"/>
            <w:vAlign w:val="center"/>
          </w:tcPr>
          <w:p w14:paraId="3A26392B">
            <w:pPr>
              <w:widowControl/>
              <w:jc w:val="both"/>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val="en-US" w:eastAsia="zh-CN" w:bidi="ar"/>
              </w:rPr>
              <w:t xml:space="preserve">水平输送系统电机 </w:t>
            </w:r>
          </w:p>
        </w:tc>
        <w:tc>
          <w:tcPr>
            <w:tcW w:w="1914" w:type="pct"/>
            <w:vAlign w:val="top"/>
          </w:tcPr>
          <w:p w14:paraId="5B1831CE">
            <w:pPr>
              <w:widowControl/>
              <w:jc w:val="left"/>
              <w:rPr>
                <w:rFonts w:hint="default" w:ascii="宋体" w:hAnsi="宋体" w:eastAsia="宋体" w:cs="宋体"/>
                <w:color w:val="auto"/>
                <w:kern w:val="0"/>
                <w:sz w:val="24"/>
                <w:highlight w:val="none"/>
                <w:lang w:val="en-US" w:eastAsia="zh-CN" w:bidi="ar"/>
              </w:rPr>
            </w:pPr>
            <w:r>
              <w:rPr>
                <w:rFonts w:hint="eastAsia" w:ascii="宋体" w:hAnsi="宋体" w:eastAsia="宋体" w:cs="宋体"/>
                <w:color w:val="auto"/>
                <w:kern w:val="0"/>
                <w:sz w:val="24"/>
                <w:highlight w:val="none"/>
                <w:lang w:val="en-US" w:eastAsia="zh-CN" w:bidi="ar"/>
              </w:rPr>
              <w:t>晟邦、万鑫、东方</w:t>
            </w:r>
          </w:p>
        </w:tc>
        <w:tc>
          <w:tcPr>
            <w:tcW w:w="1330" w:type="pct"/>
            <w:vAlign w:val="center"/>
          </w:tcPr>
          <w:p w14:paraId="1720D6CE">
            <w:pPr>
              <w:widowControl/>
              <w:jc w:val="center"/>
              <w:rPr>
                <w:rFonts w:hint="eastAsia" w:ascii="宋体" w:hAnsi="宋体" w:eastAsia="宋体" w:cs="宋体"/>
                <w:color w:val="auto"/>
                <w:kern w:val="0"/>
                <w:sz w:val="24"/>
                <w:highlight w:val="none"/>
                <w:lang w:bidi="ar"/>
              </w:rPr>
            </w:pPr>
          </w:p>
        </w:tc>
      </w:tr>
      <w:tr w14:paraId="6076B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1" w:type="pct"/>
            <w:vAlign w:val="center"/>
          </w:tcPr>
          <w:p w14:paraId="7E56EEF1">
            <w:pPr>
              <w:widowControl/>
              <w:jc w:val="both"/>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3</w:t>
            </w:r>
          </w:p>
        </w:tc>
        <w:tc>
          <w:tcPr>
            <w:tcW w:w="1363" w:type="pct"/>
            <w:vAlign w:val="center"/>
          </w:tcPr>
          <w:p w14:paraId="3DC0BB75">
            <w:pPr>
              <w:widowControl/>
              <w:jc w:val="both"/>
              <w:rPr>
                <w:rFonts w:hint="default" w:ascii="宋体" w:hAnsi="宋体" w:eastAsia="宋体" w:cs="宋体"/>
                <w:color w:val="auto"/>
                <w:kern w:val="0"/>
                <w:sz w:val="24"/>
                <w:highlight w:val="none"/>
                <w:lang w:val="en-US" w:bidi="ar"/>
              </w:rPr>
            </w:pPr>
            <w:r>
              <w:rPr>
                <w:rFonts w:hint="eastAsia" w:ascii="宋体" w:hAnsi="宋体" w:eastAsia="宋体" w:cs="宋体"/>
                <w:color w:val="auto"/>
                <w:kern w:val="0"/>
                <w:sz w:val="24"/>
                <w:highlight w:val="none"/>
                <w:lang w:val="en-US" w:eastAsia="zh-CN" w:bidi="ar"/>
              </w:rPr>
              <w:t>链条</w:t>
            </w:r>
          </w:p>
        </w:tc>
        <w:tc>
          <w:tcPr>
            <w:tcW w:w="1914" w:type="pct"/>
            <w:vAlign w:val="top"/>
          </w:tcPr>
          <w:p w14:paraId="7FED6F70">
            <w:pPr>
              <w:widowControl/>
              <w:jc w:val="left"/>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val="en-US" w:eastAsia="zh-CN" w:bidi="ar"/>
              </w:rPr>
              <w:t>东华、东发、东方</w:t>
            </w:r>
          </w:p>
        </w:tc>
        <w:tc>
          <w:tcPr>
            <w:tcW w:w="1330" w:type="pct"/>
            <w:vAlign w:val="center"/>
          </w:tcPr>
          <w:p w14:paraId="6A637024">
            <w:pPr>
              <w:widowControl/>
              <w:jc w:val="center"/>
              <w:rPr>
                <w:rFonts w:hint="eastAsia" w:ascii="宋体" w:hAnsi="宋体" w:eastAsia="宋体" w:cs="宋体"/>
                <w:color w:val="auto"/>
                <w:kern w:val="0"/>
                <w:sz w:val="24"/>
                <w:highlight w:val="none"/>
                <w:lang w:bidi="ar"/>
              </w:rPr>
            </w:pPr>
          </w:p>
        </w:tc>
      </w:tr>
      <w:tr w14:paraId="7F12E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1" w:type="pct"/>
            <w:vAlign w:val="center"/>
          </w:tcPr>
          <w:p w14:paraId="2247F537">
            <w:pPr>
              <w:widowControl/>
              <w:jc w:val="both"/>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4</w:t>
            </w:r>
          </w:p>
        </w:tc>
        <w:tc>
          <w:tcPr>
            <w:tcW w:w="1363" w:type="pct"/>
            <w:vAlign w:val="center"/>
          </w:tcPr>
          <w:p w14:paraId="782838D4">
            <w:pPr>
              <w:widowControl/>
              <w:jc w:val="both"/>
              <w:rPr>
                <w:rFonts w:hint="default" w:ascii="宋体" w:hAnsi="宋体" w:eastAsia="宋体" w:cs="宋体"/>
                <w:color w:val="auto"/>
                <w:kern w:val="0"/>
                <w:sz w:val="24"/>
                <w:highlight w:val="none"/>
                <w:lang w:val="en-US" w:bidi="ar"/>
              </w:rPr>
            </w:pPr>
            <w:r>
              <w:rPr>
                <w:rFonts w:hint="eastAsia" w:ascii="宋体" w:hAnsi="宋体" w:eastAsia="宋体" w:cs="宋体"/>
                <w:color w:val="auto"/>
                <w:kern w:val="0"/>
                <w:sz w:val="24"/>
                <w:highlight w:val="none"/>
                <w:lang w:val="en-US" w:eastAsia="zh-CN" w:bidi="ar"/>
              </w:rPr>
              <w:t>提升机专用导轨</w:t>
            </w:r>
          </w:p>
        </w:tc>
        <w:tc>
          <w:tcPr>
            <w:tcW w:w="1914" w:type="pct"/>
            <w:vAlign w:val="top"/>
          </w:tcPr>
          <w:p w14:paraId="2DCA9EAF">
            <w:pPr>
              <w:widowControl/>
              <w:jc w:val="left"/>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val="en-US" w:eastAsia="zh-CN" w:bidi="ar"/>
              </w:rPr>
              <w:t>保利、三杭、广州中联</w:t>
            </w:r>
          </w:p>
        </w:tc>
        <w:tc>
          <w:tcPr>
            <w:tcW w:w="1330" w:type="pct"/>
            <w:vAlign w:val="center"/>
          </w:tcPr>
          <w:p w14:paraId="41A96A41">
            <w:pPr>
              <w:widowControl/>
              <w:jc w:val="center"/>
              <w:rPr>
                <w:rFonts w:hint="eastAsia" w:ascii="宋体" w:hAnsi="宋体" w:eastAsia="宋体" w:cs="宋体"/>
                <w:color w:val="auto"/>
                <w:kern w:val="0"/>
                <w:sz w:val="24"/>
                <w:highlight w:val="none"/>
                <w:lang w:bidi="ar"/>
              </w:rPr>
            </w:pPr>
          </w:p>
        </w:tc>
      </w:tr>
      <w:tr w14:paraId="32934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1" w:type="pct"/>
            <w:vAlign w:val="center"/>
          </w:tcPr>
          <w:p w14:paraId="1DBF25D3">
            <w:pPr>
              <w:widowControl/>
              <w:jc w:val="both"/>
              <w:rPr>
                <w:rFonts w:hint="default"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5</w:t>
            </w:r>
          </w:p>
        </w:tc>
        <w:tc>
          <w:tcPr>
            <w:tcW w:w="1363" w:type="pct"/>
            <w:vAlign w:val="center"/>
          </w:tcPr>
          <w:p w14:paraId="4025E3B7">
            <w:pPr>
              <w:widowControl/>
              <w:jc w:val="both"/>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val="en-US" w:eastAsia="zh-CN" w:bidi="ar"/>
              </w:rPr>
              <w:t>辊筒</w:t>
            </w:r>
          </w:p>
        </w:tc>
        <w:tc>
          <w:tcPr>
            <w:tcW w:w="1914" w:type="pct"/>
            <w:vAlign w:val="top"/>
          </w:tcPr>
          <w:p w14:paraId="650C16B6">
            <w:pPr>
              <w:widowControl/>
              <w:jc w:val="left"/>
              <w:rPr>
                <w:rFonts w:hint="default" w:ascii="宋体" w:hAnsi="宋体" w:eastAsia="宋体" w:cs="宋体"/>
                <w:color w:val="auto"/>
                <w:kern w:val="0"/>
                <w:sz w:val="24"/>
                <w:highlight w:val="none"/>
                <w:lang w:val="en-US" w:bidi="ar"/>
              </w:rPr>
            </w:pPr>
            <w:r>
              <w:rPr>
                <w:rFonts w:hint="eastAsia" w:ascii="宋体" w:hAnsi="宋体" w:eastAsia="宋体" w:cs="宋体"/>
                <w:color w:val="auto"/>
                <w:kern w:val="0"/>
                <w:sz w:val="24"/>
                <w:highlight w:val="none"/>
                <w:lang w:val="en-US" w:eastAsia="zh-CN" w:bidi="ar"/>
              </w:rPr>
              <w:t>德玛、正远、格利</w:t>
            </w:r>
          </w:p>
        </w:tc>
        <w:tc>
          <w:tcPr>
            <w:tcW w:w="1330" w:type="pct"/>
            <w:vAlign w:val="center"/>
          </w:tcPr>
          <w:p w14:paraId="114759BF">
            <w:pPr>
              <w:widowControl/>
              <w:jc w:val="center"/>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val="en-US" w:eastAsia="zh-CN" w:bidi="ar"/>
              </w:rPr>
              <w:t>直径为76mm，材质碳钢镀锌，部分带滚花。</w:t>
            </w:r>
          </w:p>
        </w:tc>
      </w:tr>
      <w:tr w14:paraId="3CBE8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1" w:type="pct"/>
            <w:vAlign w:val="center"/>
          </w:tcPr>
          <w:p w14:paraId="7BAD7630">
            <w:pPr>
              <w:widowControl/>
              <w:jc w:val="both"/>
              <w:rPr>
                <w:rFonts w:hint="default"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6</w:t>
            </w:r>
          </w:p>
        </w:tc>
        <w:tc>
          <w:tcPr>
            <w:tcW w:w="1363" w:type="pct"/>
            <w:vAlign w:val="center"/>
          </w:tcPr>
          <w:p w14:paraId="2B514551">
            <w:pPr>
              <w:widowControl/>
              <w:jc w:val="both"/>
              <w:rPr>
                <w:rFonts w:hint="default" w:ascii="宋体" w:hAnsi="宋体" w:eastAsia="宋体" w:cs="宋体"/>
                <w:color w:val="auto"/>
                <w:kern w:val="0"/>
                <w:sz w:val="24"/>
                <w:highlight w:val="none"/>
                <w:lang w:val="en-US" w:eastAsia="zh-CN" w:bidi="ar"/>
              </w:rPr>
            </w:pPr>
            <w:r>
              <w:rPr>
                <w:rFonts w:hint="eastAsia" w:ascii="宋体" w:hAnsi="宋体" w:eastAsia="宋体" w:cs="宋体"/>
                <w:color w:val="auto"/>
                <w:kern w:val="0"/>
                <w:sz w:val="24"/>
                <w:highlight w:val="none"/>
                <w:lang w:val="en-US" w:eastAsia="zh-CN" w:bidi="ar"/>
              </w:rPr>
              <w:t>轴承</w:t>
            </w:r>
          </w:p>
        </w:tc>
        <w:tc>
          <w:tcPr>
            <w:tcW w:w="1914" w:type="pct"/>
            <w:vAlign w:val="top"/>
          </w:tcPr>
          <w:p w14:paraId="590BA583">
            <w:pPr>
              <w:widowControl/>
              <w:jc w:val="left"/>
              <w:rPr>
                <w:rFonts w:hint="default" w:ascii="宋体" w:hAnsi="宋体" w:eastAsia="宋体" w:cs="宋体"/>
                <w:color w:val="auto"/>
                <w:kern w:val="0"/>
                <w:sz w:val="24"/>
                <w:highlight w:val="none"/>
                <w:lang w:val="en-US" w:eastAsia="zh-CN" w:bidi="ar"/>
              </w:rPr>
            </w:pPr>
            <w:r>
              <w:rPr>
                <w:rFonts w:hint="eastAsia" w:ascii="宋体" w:hAnsi="宋体" w:eastAsia="宋体" w:cs="宋体"/>
                <w:color w:val="auto"/>
                <w:kern w:val="0"/>
                <w:sz w:val="24"/>
                <w:highlight w:val="none"/>
                <w:lang w:val="en-US" w:eastAsia="zh-CN" w:bidi="ar"/>
              </w:rPr>
              <w:t>NSK、SKF、TR</w:t>
            </w:r>
          </w:p>
        </w:tc>
        <w:tc>
          <w:tcPr>
            <w:tcW w:w="1330" w:type="pct"/>
            <w:vAlign w:val="center"/>
          </w:tcPr>
          <w:p w14:paraId="14A2A4BE">
            <w:pPr>
              <w:widowControl/>
              <w:jc w:val="center"/>
              <w:rPr>
                <w:rFonts w:hint="eastAsia" w:ascii="宋体" w:hAnsi="宋体" w:eastAsia="宋体" w:cs="宋体"/>
                <w:color w:val="auto"/>
                <w:kern w:val="0"/>
                <w:sz w:val="24"/>
                <w:highlight w:val="none"/>
                <w:lang w:val="en-US" w:eastAsia="zh-CN" w:bidi="ar"/>
              </w:rPr>
            </w:pPr>
          </w:p>
        </w:tc>
      </w:tr>
      <w:tr w14:paraId="700CE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1" w:type="pct"/>
            <w:vAlign w:val="center"/>
          </w:tcPr>
          <w:p w14:paraId="25F2C0C8">
            <w:pPr>
              <w:widowControl/>
              <w:jc w:val="both"/>
              <w:rPr>
                <w:rFonts w:hint="default"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7</w:t>
            </w:r>
          </w:p>
        </w:tc>
        <w:tc>
          <w:tcPr>
            <w:tcW w:w="1363" w:type="pct"/>
            <w:vAlign w:val="center"/>
          </w:tcPr>
          <w:p w14:paraId="466512B9">
            <w:pPr>
              <w:widowControl/>
              <w:jc w:val="both"/>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bidi="ar"/>
              </w:rPr>
              <w:t>主提升电机变频器</w:t>
            </w:r>
          </w:p>
        </w:tc>
        <w:tc>
          <w:tcPr>
            <w:tcW w:w="1914" w:type="pct"/>
            <w:vAlign w:val="top"/>
          </w:tcPr>
          <w:p w14:paraId="4EFA6421">
            <w:pPr>
              <w:widowControl/>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西门子</w:t>
            </w:r>
            <w:r>
              <w:rPr>
                <w:rFonts w:hint="eastAsia" w:ascii="宋体" w:hAnsi="宋体" w:eastAsia="宋体" w:cs="宋体"/>
                <w:color w:val="auto"/>
                <w:kern w:val="0"/>
                <w:sz w:val="24"/>
                <w:highlight w:val="none"/>
                <w:lang w:val="en-US" w:eastAsia="zh-CN" w:bidi="ar"/>
              </w:rPr>
              <w:t>、</w:t>
            </w:r>
            <w:r>
              <w:rPr>
                <w:rFonts w:hint="eastAsia" w:ascii="宋体" w:hAnsi="宋体" w:eastAsia="宋体" w:cs="宋体"/>
                <w:color w:val="auto"/>
                <w:kern w:val="0"/>
                <w:sz w:val="24"/>
                <w:highlight w:val="none"/>
                <w:lang w:val="en-US" w:eastAsia="zh-CN"/>
              </w:rPr>
              <w:t>施耐德</w:t>
            </w:r>
            <w:r>
              <w:rPr>
                <w:rFonts w:hint="eastAsia" w:ascii="宋体" w:hAnsi="宋体" w:eastAsia="宋体" w:cs="宋体"/>
                <w:color w:val="auto"/>
                <w:kern w:val="0"/>
                <w:sz w:val="24"/>
                <w:highlight w:val="none"/>
                <w:lang w:val="en-US" w:eastAsia="zh-CN" w:bidi="ar"/>
              </w:rPr>
              <w:t>、</w:t>
            </w:r>
            <w:r>
              <w:rPr>
                <w:rFonts w:hint="eastAsia" w:ascii="宋体" w:hAnsi="宋体" w:eastAsia="宋体" w:cs="宋体"/>
                <w:color w:val="auto"/>
                <w:kern w:val="0"/>
                <w:sz w:val="24"/>
                <w:highlight w:val="none"/>
                <w:lang w:val="en-US" w:eastAsia="zh-CN"/>
              </w:rPr>
              <w:t>丹佛斯</w:t>
            </w:r>
          </w:p>
        </w:tc>
        <w:tc>
          <w:tcPr>
            <w:tcW w:w="1330" w:type="pct"/>
            <w:vAlign w:val="center"/>
          </w:tcPr>
          <w:p w14:paraId="372F284F">
            <w:pPr>
              <w:widowControl/>
              <w:ind w:firstLine="480" w:firstLineChars="0"/>
              <w:jc w:val="center"/>
              <w:rPr>
                <w:rFonts w:ascii="宋体" w:hAnsi="宋体" w:eastAsia="宋体" w:cs="宋体"/>
                <w:color w:val="auto"/>
                <w:kern w:val="0"/>
                <w:sz w:val="24"/>
                <w:highlight w:val="none"/>
              </w:rPr>
            </w:pPr>
          </w:p>
        </w:tc>
      </w:tr>
      <w:tr w14:paraId="3936D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1" w:type="pct"/>
            <w:vAlign w:val="center"/>
          </w:tcPr>
          <w:p w14:paraId="16FB1354">
            <w:pPr>
              <w:widowControl/>
              <w:jc w:val="both"/>
              <w:rPr>
                <w:rFonts w:hint="default" w:ascii="宋体" w:hAnsi="宋体" w:eastAsia="宋体" w:cs="宋体"/>
                <w:color w:val="auto"/>
                <w:kern w:val="0"/>
                <w:sz w:val="24"/>
                <w:highlight w:val="none"/>
                <w:lang w:val="en-US" w:eastAsia="zh-CN" w:bidi="ar"/>
              </w:rPr>
            </w:pPr>
            <w:r>
              <w:rPr>
                <w:rFonts w:hint="eastAsia" w:ascii="宋体" w:hAnsi="宋体" w:eastAsia="宋体" w:cs="宋体"/>
                <w:color w:val="auto"/>
                <w:kern w:val="0"/>
                <w:sz w:val="24"/>
                <w:highlight w:val="none"/>
                <w:lang w:val="en-US" w:eastAsia="zh-CN" w:bidi="ar"/>
              </w:rPr>
              <w:t>8</w:t>
            </w:r>
          </w:p>
        </w:tc>
        <w:tc>
          <w:tcPr>
            <w:tcW w:w="1363" w:type="pct"/>
            <w:vAlign w:val="center"/>
          </w:tcPr>
          <w:p w14:paraId="2E8DEE0D">
            <w:pPr>
              <w:widowControl/>
              <w:jc w:val="both"/>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bidi="ar"/>
              </w:rPr>
              <w:t>水平输送电机变频器</w:t>
            </w:r>
          </w:p>
        </w:tc>
        <w:tc>
          <w:tcPr>
            <w:tcW w:w="1914" w:type="pct"/>
            <w:vAlign w:val="top"/>
          </w:tcPr>
          <w:p w14:paraId="644F0E63">
            <w:pPr>
              <w:widowControl/>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西门子</w:t>
            </w:r>
            <w:r>
              <w:rPr>
                <w:rFonts w:hint="eastAsia" w:ascii="宋体" w:hAnsi="宋体" w:eastAsia="宋体" w:cs="宋体"/>
                <w:color w:val="auto"/>
                <w:kern w:val="0"/>
                <w:sz w:val="24"/>
                <w:highlight w:val="none"/>
                <w:lang w:val="en-US" w:eastAsia="zh-CN" w:bidi="ar"/>
              </w:rPr>
              <w:t>、</w:t>
            </w:r>
            <w:r>
              <w:rPr>
                <w:rFonts w:hint="eastAsia" w:ascii="宋体" w:hAnsi="宋体" w:eastAsia="宋体" w:cs="宋体"/>
                <w:color w:val="auto"/>
                <w:kern w:val="0"/>
                <w:sz w:val="24"/>
                <w:highlight w:val="none"/>
                <w:lang w:val="en-US" w:eastAsia="zh-CN"/>
              </w:rPr>
              <w:t>施耐德</w:t>
            </w:r>
            <w:r>
              <w:rPr>
                <w:rFonts w:hint="eastAsia" w:ascii="宋体" w:hAnsi="宋体" w:eastAsia="宋体" w:cs="宋体"/>
                <w:color w:val="auto"/>
                <w:kern w:val="0"/>
                <w:sz w:val="24"/>
                <w:highlight w:val="none"/>
                <w:lang w:val="en-US" w:eastAsia="zh-CN" w:bidi="ar"/>
              </w:rPr>
              <w:t>、</w:t>
            </w:r>
            <w:r>
              <w:rPr>
                <w:rFonts w:hint="eastAsia" w:ascii="宋体" w:hAnsi="宋体" w:eastAsia="宋体" w:cs="宋体"/>
                <w:color w:val="auto"/>
                <w:kern w:val="0"/>
                <w:sz w:val="24"/>
                <w:highlight w:val="none"/>
                <w:lang w:val="en-US" w:eastAsia="zh-CN"/>
              </w:rPr>
              <w:t>丹佛斯</w:t>
            </w:r>
          </w:p>
        </w:tc>
        <w:tc>
          <w:tcPr>
            <w:tcW w:w="1330" w:type="pct"/>
            <w:vAlign w:val="center"/>
          </w:tcPr>
          <w:p w14:paraId="662F6A14">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每个电机配置一台</w:t>
            </w:r>
          </w:p>
        </w:tc>
      </w:tr>
      <w:tr w14:paraId="38ED5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1" w:type="pct"/>
            <w:vAlign w:val="center"/>
          </w:tcPr>
          <w:p w14:paraId="06480878">
            <w:pPr>
              <w:widowControl/>
              <w:jc w:val="both"/>
              <w:rPr>
                <w:rFonts w:hint="default"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9</w:t>
            </w:r>
          </w:p>
        </w:tc>
        <w:tc>
          <w:tcPr>
            <w:tcW w:w="1363" w:type="pct"/>
            <w:vAlign w:val="center"/>
          </w:tcPr>
          <w:p w14:paraId="4AE610BE">
            <w:pPr>
              <w:widowControl/>
              <w:jc w:val="both"/>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bidi="ar"/>
              </w:rPr>
              <w:t>可编程控制器PLC</w:t>
            </w:r>
          </w:p>
        </w:tc>
        <w:tc>
          <w:tcPr>
            <w:tcW w:w="1914" w:type="pct"/>
            <w:vAlign w:val="top"/>
          </w:tcPr>
          <w:p w14:paraId="2C3E2913">
            <w:pPr>
              <w:widowControl/>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西门子</w:t>
            </w:r>
            <w:r>
              <w:rPr>
                <w:rFonts w:hint="eastAsia" w:ascii="宋体" w:hAnsi="宋体" w:eastAsia="宋体" w:cs="宋体"/>
                <w:color w:val="auto"/>
                <w:kern w:val="0"/>
                <w:sz w:val="24"/>
                <w:highlight w:val="none"/>
                <w:lang w:val="en-US" w:eastAsia="zh-CN" w:bidi="ar"/>
              </w:rPr>
              <w:t>、</w:t>
            </w:r>
            <w:r>
              <w:rPr>
                <w:rFonts w:hint="eastAsia" w:ascii="宋体" w:hAnsi="宋体" w:eastAsia="宋体" w:cs="宋体"/>
                <w:color w:val="auto"/>
                <w:kern w:val="0"/>
                <w:sz w:val="24"/>
                <w:highlight w:val="none"/>
                <w:lang w:val="en-US" w:eastAsia="zh-CN"/>
              </w:rPr>
              <w:t>三菱</w:t>
            </w:r>
            <w:r>
              <w:rPr>
                <w:rFonts w:hint="eastAsia" w:ascii="宋体" w:hAnsi="宋体" w:eastAsia="宋体" w:cs="宋体"/>
                <w:color w:val="auto"/>
                <w:kern w:val="0"/>
                <w:sz w:val="24"/>
                <w:highlight w:val="none"/>
                <w:lang w:val="en-US" w:eastAsia="zh-CN" w:bidi="ar"/>
              </w:rPr>
              <w:t>、</w:t>
            </w:r>
            <w:r>
              <w:rPr>
                <w:rFonts w:hint="eastAsia" w:ascii="宋体" w:hAnsi="宋体" w:eastAsia="宋体" w:cs="宋体"/>
                <w:color w:val="auto"/>
                <w:kern w:val="0"/>
                <w:sz w:val="24"/>
                <w:highlight w:val="none"/>
                <w:lang w:val="en-US" w:eastAsia="zh-CN"/>
              </w:rPr>
              <w:t>施耐德</w:t>
            </w:r>
          </w:p>
        </w:tc>
        <w:tc>
          <w:tcPr>
            <w:tcW w:w="1330" w:type="pct"/>
            <w:vAlign w:val="center"/>
          </w:tcPr>
          <w:p w14:paraId="4022ACEA">
            <w:pPr>
              <w:widowControl/>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bidi="ar"/>
              </w:rPr>
              <w:t>预留 10%点位，以便后期扩展。</w:t>
            </w:r>
          </w:p>
        </w:tc>
      </w:tr>
      <w:tr w14:paraId="31F71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1" w:type="pct"/>
            <w:vAlign w:val="center"/>
          </w:tcPr>
          <w:p w14:paraId="21E24C80">
            <w:pPr>
              <w:widowControl/>
              <w:jc w:val="both"/>
              <w:rPr>
                <w:rFonts w:hint="default"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10</w:t>
            </w:r>
          </w:p>
        </w:tc>
        <w:tc>
          <w:tcPr>
            <w:tcW w:w="1363" w:type="pct"/>
            <w:vAlign w:val="center"/>
          </w:tcPr>
          <w:p w14:paraId="68D2CD6D">
            <w:pPr>
              <w:widowControl/>
              <w:jc w:val="both"/>
              <w:rPr>
                <w:rFonts w:hint="default"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bidi="ar"/>
              </w:rPr>
              <w:t>接触器、继电器</w:t>
            </w:r>
          </w:p>
        </w:tc>
        <w:tc>
          <w:tcPr>
            <w:tcW w:w="1914" w:type="pct"/>
            <w:vAlign w:val="top"/>
          </w:tcPr>
          <w:p w14:paraId="4FBC1CB2">
            <w:pPr>
              <w:widowControl/>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ABB</w:t>
            </w:r>
            <w:r>
              <w:rPr>
                <w:rFonts w:hint="eastAsia" w:ascii="宋体" w:hAnsi="宋体" w:eastAsia="宋体" w:cs="宋体"/>
                <w:color w:val="auto"/>
                <w:kern w:val="0"/>
                <w:sz w:val="24"/>
                <w:highlight w:val="none"/>
                <w:lang w:val="en-US" w:eastAsia="zh-CN" w:bidi="ar"/>
              </w:rPr>
              <w:t>、</w:t>
            </w:r>
            <w:r>
              <w:rPr>
                <w:rFonts w:hint="eastAsia" w:ascii="宋体" w:hAnsi="宋体" w:eastAsia="宋体" w:cs="宋体"/>
                <w:color w:val="auto"/>
                <w:kern w:val="0"/>
                <w:sz w:val="24"/>
                <w:highlight w:val="none"/>
                <w:lang w:val="en-US" w:eastAsia="zh-CN"/>
              </w:rPr>
              <w:t>施耐德</w:t>
            </w:r>
            <w:r>
              <w:rPr>
                <w:rFonts w:hint="eastAsia" w:ascii="宋体" w:hAnsi="宋体" w:eastAsia="宋体" w:cs="宋体"/>
                <w:color w:val="auto"/>
                <w:kern w:val="0"/>
                <w:sz w:val="24"/>
                <w:highlight w:val="none"/>
                <w:lang w:val="en-US" w:eastAsia="zh-CN" w:bidi="ar"/>
              </w:rPr>
              <w:t>、</w:t>
            </w:r>
            <w:r>
              <w:rPr>
                <w:rFonts w:hint="eastAsia" w:ascii="宋体" w:hAnsi="宋体" w:eastAsia="宋体" w:cs="宋体"/>
                <w:color w:val="auto"/>
                <w:kern w:val="0"/>
                <w:sz w:val="24"/>
                <w:highlight w:val="none"/>
                <w:lang w:val="en-US" w:eastAsia="zh-CN"/>
              </w:rPr>
              <w:t>三菱</w:t>
            </w:r>
          </w:p>
        </w:tc>
        <w:tc>
          <w:tcPr>
            <w:tcW w:w="1330" w:type="pct"/>
            <w:vAlign w:val="center"/>
          </w:tcPr>
          <w:p w14:paraId="7490956F">
            <w:pPr>
              <w:widowControl/>
              <w:ind w:firstLine="480" w:firstLineChars="0"/>
              <w:jc w:val="center"/>
              <w:rPr>
                <w:rFonts w:ascii="宋体" w:hAnsi="宋体" w:eastAsia="宋体" w:cs="宋体"/>
                <w:color w:val="auto"/>
                <w:kern w:val="0"/>
                <w:sz w:val="24"/>
                <w:highlight w:val="none"/>
              </w:rPr>
            </w:pPr>
          </w:p>
        </w:tc>
      </w:tr>
      <w:tr w14:paraId="749F2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1" w:type="pct"/>
            <w:vAlign w:val="center"/>
          </w:tcPr>
          <w:p w14:paraId="4C6D6A62">
            <w:pPr>
              <w:widowControl/>
              <w:jc w:val="both"/>
              <w:rPr>
                <w:rFonts w:hint="default"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11</w:t>
            </w:r>
          </w:p>
        </w:tc>
        <w:tc>
          <w:tcPr>
            <w:tcW w:w="1363" w:type="pct"/>
            <w:vAlign w:val="center"/>
          </w:tcPr>
          <w:p w14:paraId="1EEA59D0">
            <w:pPr>
              <w:widowControl/>
              <w:jc w:val="both"/>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bidi="ar"/>
              </w:rPr>
              <w:t>通讯模块</w:t>
            </w:r>
          </w:p>
        </w:tc>
        <w:tc>
          <w:tcPr>
            <w:tcW w:w="1914" w:type="pct"/>
            <w:vAlign w:val="top"/>
          </w:tcPr>
          <w:p w14:paraId="043C40B2">
            <w:pPr>
              <w:widowControl/>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西门子</w:t>
            </w:r>
            <w:r>
              <w:rPr>
                <w:rFonts w:hint="eastAsia" w:ascii="宋体" w:hAnsi="宋体" w:eastAsia="宋体" w:cs="宋体"/>
                <w:color w:val="auto"/>
                <w:kern w:val="0"/>
                <w:sz w:val="24"/>
                <w:highlight w:val="none"/>
                <w:lang w:val="en-US" w:eastAsia="zh-CN" w:bidi="ar"/>
              </w:rPr>
              <w:t>、</w:t>
            </w:r>
            <w:r>
              <w:rPr>
                <w:rFonts w:hint="eastAsia" w:ascii="宋体" w:hAnsi="宋体" w:eastAsia="宋体" w:cs="宋体"/>
                <w:color w:val="auto"/>
                <w:kern w:val="0"/>
                <w:sz w:val="24"/>
                <w:highlight w:val="none"/>
                <w:lang w:val="en-US" w:eastAsia="zh-CN"/>
              </w:rPr>
              <w:t>三菱</w:t>
            </w:r>
            <w:r>
              <w:rPr>
                <w:rFonts w:hint="eastAsia" w:ascii="宋体" w:hAnsi="宋体" w:eastAsia="宋体" w:cs="宋体"/>
                <w:color w:val="auto"/>
                <w:kern w:val="0"/>
                <w:sz w:val="24"/>
                <w:highlight w:val="none"/>
                <w:lang w:val="en-US" w:eastAsia="zh-CN" w:bidi="ar"/>
              </w:rPr>
              <w:t>、</w:t>
            </w:r>
            <w:r>
              <w:rPr>
                <w:rFonts w:hint="eastAsia" w:ascii="宋体" w:hAnsi="宋体" w:eastAsia="宋体" w:cs="宋体"/>
                <w:color w:val="auto"/>
                <w:kern w:val="0"/>
                <w:sz w:val="24"/>
                <w:highlight w:val="none"/>
                <w:lang w:val="en-US" w:eastAsia="zh-CN"/>
              </w:rPr>
              <w:t>施耐德</w:t>
            </w:r>
          </w:p>
        </w:tc>
        <w:tc>
          <w:tcPr>
            <w:tcW w:w="1330" w:type="pct"/>
            <w:vAlign w:val="center"/>
          </w:tcPr>
          <w:p w14:paraId="0FD9BED6">
            <w:pPr>
              <w:widowControl/>
              <w:ind w:firstLine="480" w:firstLineChars="0"/>
              <w:jc w:val="center"/>
              <w:rPr>
                <w:rFonts w:ascii="宋体" w:hAnsi="宋体" w:eastAsia="宋体" w:cs="宋体"/>
                <w:color w:val="auto"/>
                <w:kern w:val="0"/>
                <w:sz w:val="24"/>
                <w:highlight w:val="none"/>
              </w:rPr>
            </w:pPr>
          </w:p>
        </w:tc>
      </w:tr>
      <w:tr w14:paraId="5F60F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1" w:type="pct"/>
            <w:vAlign w:val="center"/>
          </w:tcPr>
          <w:p w14:paraId="00E14479">
            <w:pPr>
              <w:widowControl/>
              <w:jc w:val="both"/>
              <w:rPr>
                <w:rFonts w:hint="default"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12</w:t>
            </w:r>
          </w:p>
        </w:tc>
        <w:tc>
          <w:tcPr>
            <w:tcW w:w="1363" w:type="pct"/>
            <w:vAlign w:val="center"/>
          </w:tcPr>
          <w:p w14:paraId="16C4E69A">
            <w:pPr>
              <w:widowControl/>
              <w:jc w:val="both"/>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bidi="ar"/>
              </w:rPr>
              <w:t>空气开关.断路器</w:t>
            </w:r>
          </w:p>
        </w:tc>
        <w:tc>
          <w:tcPr>
            <w:tcW w:w="1914" w:type="pct"/>
            <w:vAlign w:val="top"/>
          </w:tcPr>
          <w:p w14:paraId="325698EF">
            <w:pPr>
              <w:widowControl/>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ABB</w:t>
            </w:r>
            <w:r>
              <w:rPr>
                <w:rFonts w:hint="eastAsia" w:ascii="宋体" w:hAnsi="宋体" w:eastAsia="宋体" w:cs="宋体"/>
                <w:color w:val="auto"/>
                <w:kern w:val="0"/>
                <w:sz w:val="24"/>
                <w:highlight w:val="none"/>
                <w:lang w:val="en-US" w:eastAsia="zh-CN" w:bidi="ar"/>
              </w:rPr>
              <w:t>、</w:t>
            </w:r>
            <w:r>
              <w:rPr>
                <w:rFonts w:hint="eastAsia" w:ascii="宋体" w:hAnsi="宋体" w:eastAsia="宋体" w:cs="宋体"/>
                <w:color w:val="auto"/>
                <w:kern w:val="0"/>
                <w:sz w:val="24"/>
                <w:highlight w:val="none"/>
                <w:lang w:val="en-US" w:eastAsia="zh-CN"/>
              </w:rPr>
              <w:t>施耐德</w:t>
            </w:r>
            <w:r>
              <w:rPr>
                <w:rFonts w:hint="eastAsia" w:ascii="宋体" w:hAnsi="宋体" w:eastAsia="宋体" w:cs="宋体"/>
                <w:color w:val="auto"/>
                <w:kern w:val="0"/>
                <w:sz w:val="24"/>
                <w:highlight w:val="none"/>
                <w:lang w:val="en-US" w:eastAsia="zh-CN" w:bidi="ar"/>
              </w:rPr>
              <w:t>、</w:t>
            </w:r>
            <w:r>
              <w:rPr>
                <w:rFonts w:hint="eastAsia" w:ascii="宋体" w:hAnsi="宋体" w:eastAsia="宋体" w:cs="宋体"/>
                <w:color w:val="auto"/>
                <w:kern w:val="0"/>
                <w:sz w:val="24"/>
                <w:highlight w:val="none"/>
                <w:lang w:val="en-US" w:eastAsia="zh-CN"/>
              </w:rPr>
              <w:t>三菱</w:t>
            </w:r>
          </w:p>
        </w:tc>
        <w:tc>
          <w:tcPr>
            <w:tcW w:w="1330" w:type="pct"/>
            <w:vAlign w:val="center"/>
          </w:tcPr>
          <w:p w14:paraId="3008BC3B">
            <w:pPr>
              <w:widowControl/>
              <w:ind w:firstLine="480" w:firstLineChars="0"/>
              <w:jc w:val="center"/>
              <w:rPr>
                <w:rFonts w:ascii="宋体" w:hAnsi="宋体" w:eastAsia="宋体" w:cs="宋体"/>
                <w:color w:val="auto"/>
                <w:kern w:val="0"/>
                <w:sz w:val="24"/>
                <w:highlight w:val="none"/>
              </w:rPr>
            </w:pPr>
          </w:p>
        </w:tc>
      </w:tr>
      <w:tr w14:paraId="5A7B2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1" w:type="pct"/>
            <w:vAlign w:val="center"/>
          </w:tcPr>
          <w:p w14:paraId="67F050A0">
            <w:pPr>
              <w:widowControl/>
              <w:jc w:val="both"/>
              <w:rPr>
                <w:rFonts w:hint="default"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13</w:t>
            </w:r>
          </w:p>
        </w:tc>
        <w:tc>
          <w:tcPr>
            <w:tcW w:w="1363" w:type="pct"/>
            <w:vAlign w:val="center"/>
          </w:tcPr>
          <w:p w14:paraId="31B5743B">
            <w:pPr>
              <w:widowControl/>
              <w:jc w:val="both"/>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bidi="ar"/>
              </w:rPr>
              <w:t>开关电源</w:t>
            </w:r>
          </w:p>
        </w:tc>
        <w:tc>
          <w:tcPr>
            <w:tcW w:w="1914" w:type="pct"/>
            <w:vAlign w:val="top"/>
          </w:tcPr>
          <w:p w14:paraId="5650408B">
            <w:pPr>
              <w:widowControl/>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明纬</w:t>
            </w:r>
            <w:r>
              <w:rPr>
                <w:rFonts w:hint="eastAsia" w:ascii="宋体" w:hAnsi="宋体" w:eastAsia="宋体" w:cs="宋体"/>
                <w:color w:val="auto"/>
                <w:kern w:val="0"/>
                <w:sz w:val="24"/>
                <w:highlight w:val="none"/>
                <w:lang w:val="en-US" w:eastAsia="zh-CN" w:bidi="ar"/>
              </w:rPr>
              <w:t>、</w:t>
            </w:r>
            <w:r>
              <w:rPr>
                <w:rFonts w:hint="eastAsia" w:ascii="宋体" w:hAnsi="宋体" w:eastAsia="宋体" w:cs="宋体"/>
                <w:color w:val="auto"/>
                <w:kern w:val="0"/>
                <w:sz w:val="24"/>
                <w:highlight w:val="none"/>
                <w:lang w:val="en-US" w:eastAsia="zh-CN"/>
              </w:rPr>
              <w:t>施耐德</w:t>
            </w:r>
            <w:r>
              <w:rPr>
                <w:rFonts w:hint="eastAsia" w:ascii="宋体" w:hAnsi="宋体" w:eastAsia="宋体" w:cs="宋体"/>
                <w:color w:val="auto"/>
                <w:kern w:val="0"/>
                <w:sz w:val="24"/>
                <w:highlight w:val="none"/>
                <w:lang w:val="en-US" w:eastAsia="zh-CN" w:bidi="ar"/>
              </w:rPr>
              <w:t>、</w:t>
            </w:r>
            <w:r>
              <w:rPr>
                <w:rFonts w:hint="eastAsia" w:ascii="宋体" w:hAnsi="宋体" w:eastAsia="宋体" w:cs="宋体"/>
                <w:color w:val="auto"/>
                <w:kern w:val="0"/>
                <w:sz w:val="24"/>
                <w:highlight w:val="none"/>
                <w:lang w:val="en-US" w:eastAsia="zh-CN"/>
              </w:rPr>
              <w:t>台达</w:t>
            </w:r>
          </w:p>
        </w:tc>
        <w:tc>
          <w:tcPr>
            <w:tcW w:w="1330" w:type="pct"/>
            <w:vAlign w:val="center"/>
          </w:tcPr>
          <w:p w14:paraId="1AF21486">
            <w:pPr>
              <w:widowControl/>
              <w:ind w:firstLine="480" w:firstLineChars="0"/>
              <w:jc w:val="center"/>
              <w:rPr>
                <w:rFonts w:ascii="宋体" w:hAnsi="宋体" w:eastAsia="宋体" w:cs="宋体"/>
                <w:color w:val="auto"/>
                <w:kern w:val="0"/>
                <w:sz w:val="24"/>
                <w:highlight w:val="none"/>
              </w:rPr>
            </w:pPr>
          </w:p>
        </w:tc>
      </w:tr>
      <w:tr w14:paraId="79BA2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1" w:type="pct"/>
            <w:vAlign w:val="center"/>
          </w:tcPr>
          <w:p w14:paraId="39A4F8C3">
            <w:pPr>
              <w:widowControl/>
              <w:jc w:val="both"/>
              <w:rPr>
                <w:rFonts w:hint="default"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14</w:t>
            </w:r>
          </w:p>
        </w:tc>
        <w:tc>
          <w:tcPr>
            <w:tcW w:w="1363" w:type="pct"/>
            <w:vAlign w:val="center"/>
          </w:tcPr>
          <w:p w14:paraId="521D44CB">
            <w:pPr>
              <w:widowControl/>
              <w:jc w:val="both"/>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bidi="ar"/>
              </w:rPr>
              <w:t>主控箱触摸屏</w:t>
            </w:r>
          </w:p>
        </w:tc>
        <w:tc>
          <w:tcPr>
            <w:tcW w:w="1914" w:type="pct"/>
            <w:vAlign w:val="top"/>
          </w:tcPr>
          <w:p w14:paraId="106C1DDD">
            <w:pPr>
              <w:widowControl/>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bidi="ar"/>
              </w:rPr>
              <w:t>西门子（10寸）</w:t>
            </w:r>
            <w:r>
              <w:rPr>
                <w:rFonts w:hint="eastAsia" w:ascii="宋体" w:hAnsi="宋体" w:eastAsia="宋体" w:cs="宋体"/>
                <w:color w:val="auto"/>
                <w:kern w:val="0"/>
                <w:sz w:val="24"/>
                <w:highlight w:val="none"/>
                <w:lang w:val="en-US" w:eastAsia="zh-CN" w:bidi="ar"/>
              </w:rPr>
              <w:t>、</w:t>
            </w:r>
            <w:r>
              <w:rPr>
                <w:rFonts w:hint="eastAsia" w:ascii="宋体" w:hAnsi="宋体" w:cs="宋体"/>
                <w:color w:val="auto"/>
                <w:kern w:val="0"/>
                <w:sz w:val="24"/>
                <w:highlight w:val="none"/>
                <w:lang w:val="en-US" w:eastAsia="zh-CN" w:bidi="ar"/>
              </w:rPr>
              <w:t>三菱</w:t>
            </w:r>
            <w:r>
              <w:rPr>
                <w:rFonts w:hint="eastAsia" w:ascii="宋体" w:hAnsi="宋体" w:eastAsia="宋体" w:cs="宋体"/>
                <w:color w:val="auto"/>
                <w:kern w:val="0"/>
                <w:sz w:val="24"/>
                <w:highlight w:val="none"/>
                <w:lang w:bidi="ar"/>
              </w:rPr>
              <w:t>（10寸）</w:t>
            </w:r>
            <w:r>
              <w:rPr>
                <w:rFonts w:hint="eastAsia" w:ascii="宋体" w:hAnsi="宋体" w:eastAsia="宋体" w:cs="宋体"/>
                <w:color w:val="auto"/>
                <w:kern w:val="0"/>
                <w:sz w:val="24"/>
                <w:highlight w:val="none"/>
                <w:lang w:val="en-US" w:eastAsia="zh-CN" w:bidi="ar"/>
              </w:rPr>
              <w:t>、</w:t>
            </w:r>
            <w:r>
              <w:rPr>
                <w:rFonts w:hint="eastAsia" w:ascii="宋体" w:hAnsi="宋体" w:cs="宋体"/>
                <w:color w:val="auto"/>
                <w:kern w:val="0"/>
                <w:sz w:val="24"/>
                <w:highlight w:val="none"/>
                <w:lang w:val="en-US" w:eastAsia="zh-CN" w:bidi="ar"/>
              </w:rPr>
              <w:t>施耐德</w:t>
            </w:r>
            <w:r>
              <w:rPr>
                <w:rFonts w:hint="eastAsia" w:ascii="宋体" w:hAnsi="宋体" w:eastAsia="宋体" w:cs="宋体"/>
                <w:color w:val="auto"/>
                <w:kern w:val="0"/>
                <w:sz w:val="24"/>
                <w:highlight w:val="none"/>
                <w:lang w:bidi="ar"/>
              </w:rPr>
              <w:t>（10寸）</w:t>
            </w:r>
          </w:p>
        </w:tc>
        <w:tc>
          <w:tcPr>
            <w:tcW w:w="1330" w:type="pct"/>
            <w:vAlign w:val="center"/>
          </w:tcPr>
          <w:p w14:paraId="44F89E50">
            <w:pPr>
              <w:widowControl/>
              <w:ind w:firstLine="480" w:firstLineChars="0"/>
              <w:jc w:val="center"/>
              <w:rPr>
                <w:rFonts w:ascii="宋体" w:hAnsi="宋体" w:eastAsia="宋体" w:cs="宋体"/>
                <w:color w:val="auto"/>
                <w:kern w:val="0"/>
                <w:sz w:val="24"/>
                <w:highlight w:val="none"/>
              </w:rPr>
            </w:pPr>
          </w:p>
        </w:tc>
      </w:tr>
      <w:tr w14:paraId="13CAF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1" w:type="pct"/>
            <w:vAlign w:val="center"/>
          </w:tcPr>
          <w:p w14:paraId="6A46D62B">
            <w:pPr>
              <w:widowControl/>
              <w:jc w:val="both"/>
              <w:rPr>
                <w:rFonts w:hint="default" w:ascii="宋体" w:hAnsi="宋体" w:eastAsia="宋体" w:cs="宋体"/>
                <w:color w:val="auto"/>
                <w:kern w:val="0"/>
                <w:sz w:val="24"/>
                <w:highlight w:val="none"/>
                <w:lang w:val="en-US" w:eastAsia="zh-CN" w:bidi="ar"/>
              </w:rPr>
            </w:pPr>
            <w:r>
              <w:rPr>
                <w:rFonts w:hint="eastAsia" w:ascii="宋体" w:hAnsi="宋体" w:eastAsia="宋体" w:cs="宋体"/>
                <w:color w:val="auto"/>
                <w:kern w:val="0"/>
                <w:sz w:val="24"/>
                <w:highlight w:val="none"/>
                <w:lang w:val="en-US" w:eastAsia="zh-CN" w:bidi="ar"/>
              </w:rPr>
              <w:t>15</w:t>
            </w:r>
          </w:p>
        </w:tc>
        <w:tc>
          <w:tcPr>
            <w:tcW w:w="1363" w:type="pct"/>
            <w:vAlign w:val="center"/>
          </w:tcPr>
          <w:p w14:paraId="6D4B9FDF">
            <w:pPr>
              <w:widowControl/>
              <w:jc w:val="both"/>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分控箱触摸屏</w:t>
            </w:r>
          </w:p>
        </w:tc>
        <w:tc>
          <w:tcPr>
            <w:tcW w:w="1914" w:type="pct"/>
            <w:vAlign w:val="top"/>
          </w:tcPr>
          <w:p w14:paraId="05D92360">
            <w:pPr>
              <w:widowControl/>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bidi="ar"/>
              </w:rPr>
              <w:t>西门子（7寸）</w:t>
            </w:r>
            <w:r>
              <w:rPr>
                <w:rFonts w:hint="eastAsia" w:ascii="宋体" w:hAnsi="宋体" w:eastAsia="宋体" w:cs="宋体"/>
                <w:color w:val="auto"/>
                <w:kern w:val="0"/>
                <w:sz w:val="24"/>
                <w:highlight w:val="none"/>
                <w:lang w:val="en-US" w:eastAsia="zh-CN" w:bidi="ar"/>
              </w:rPr>
              <w:t>、</w:t>
            </w:r>
            <w:r>
              <w:rPr>
                <w:rFonts w:hint="eastAsia" w:ascii="宋体" w:hAnsi="宋体" w:cs="宋体"/>
                <w:color w:val="auto"/>
                <w:kern w:val="0"/>
                <w:sz w:val="24"/>
                <w:highlight w:val="none"/>
                <w:lang w:val="en-US" w:eastAsia="zh-CN" w:bidi="ar"/>
              </w:rPr>
              <w:t>三菱</w:t>
            </w:r>
            <w:r>
              <w:rPr>
                <w:rFonts w:hint="eastAsia" w:ascii="宋体" w:hAnsi="宋体" w:eastAsia="宋体" w:cs="宋体"/>
                <w:color w:val="auto"/>
                <w:kern w:val="0"/>
                <w:sz w:val="24"/>
                <w:highlight w:val="none"/>
                <w:lang w:bidi="ar"/>
              </w:rPr>
              <w:t>（7寸）</w:t>
            </w:r>
            <w:r>
              <w:rPr>
                <w:rFonts w:hint="eastAsia" w:ascii="宋体" w:hAnsi="宋体" w:eastAsia="宋体" w:cs="宋体"/>
                <w:color w:val="auto"/>
                <w:kern w:val="0"/>
                <w:sz w:val="24"/>
                <w:highlight w:val="none"/>
                <w:lang w:val="en-US" w:eastAsia="zh-CN" w:bidi="ar"/>
              </w:rPr>
              <w:t>、</w:t>
            </w:r>
            <w:r>
              <w:rPr>
                <w:rFonts w:hint="eastAsia" w:ascii="宋体" w:hAnsi="宋体" w:cs="宋体"/>
                <w:color w:val="auto"/>
                <w:kern w:val="0"/>
                <w:sz w:val="24"/>
                <w:highlight w:val="none"/>
                <w:lang w:val="en-US" w:eastAsia="zh-CN" w:bidi="ar"/>
              </w:rPr>
              <w:t>施耐德</w:t>
            </w:r>
            <w:r>
              <w:rPr>
                <w:rFonts w:hint="eastAsia" w:ascii="宋体" w:hAnsi="宋体" w:eastAsia="宋体" w:cs="宋体"/>
                <w:color w:val="auto"/>
                <w:kern w:val="0"/>
                <w:sz w:val="24"/>
                <w:highlight w:val="none"/>
                <w:lang w:bidi="ar"/>
              </w:rPr>
              <w:t>（</w:t>
            </w:r>
            <w:r>
              <w:rPr>
                <w:rFonts w:hint="eastAsia" w:ascii="宋体" w:hAnsi="宋体" w:cs="宋体"/>
                <w:color w:val="auto"/>
                <w:kern w:val="0"/>
                <w:sz w:val="24"/>
                <w:highlight w:val="none"/>
                <w:lang w:val="en-US" w:eastAsia="zh-CN" w:bidi="ar"/>
              </w:rPr>
              <w:t>7</w:t>
            </w:r>
            <w:r>
              <w:rPr>
                <w:rFonts w:hint="eastAsia" w:ascii="宋体" w:hAnsi="宋体" w:eastAsia="宋体" w:cs="宋体"/>
                <w:color w:val="auto"/>
                <w:kern w:val="0"/>
                <w:sz w:val="24"/>
                <w:highlight w:val="none"/>
                <w:lang w:bidi="ar"/>
              </w:rPr>
              <w:t>寸）</w:t>
            </w:r>
          </w:p>
        </w:tc>
        <w:tc>
          <w:tcPr>
            <w:tcW w:w="1330" w:type="pct"/>
            <w:vAlign w:val="center"/>
          </w:tcPr>
          <w:p w14:paraId="220251BB">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每层配置一套</w:t>
            </w:r>
          </w:p>
        </w:tc>
      </w:tr>
      <w:tr w14:paraId="6BDE8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1" w:type="pct"/>
            <w:vAlign w:val="center"/>
          </w:tcPr>
          <w:p w14:paraId="673CA7C5">
            <w:pPr>
              <w:widowControl/>
              <w:jc w:val="both"/>
              <w:rPr>
                <w:rFonts w:hint="default" w:ascii="宋体" w:hAnsi="宋体" w:eastAsia="宋体" w:cs="宋体"/>
                <w:color w:val="auto"/>
                <w:kern w:val="0"/>
                <w:sz w:val="24"/>
                <w:highlight w:val="none"/>
                <w:lang w:val="en-US" w:eastAsia="zh-CN" w:bidi="ar"/>
              </w:rPr>
            </w:pPr>
            <w:r>
              <w:rPr>
                <w:rFonts w:hint="eastAsia" w:ascii="宋体" w:hAnsi="宋体" w:eastAsia="宋体" w:cs="宋体"/>
                <w:color w:val="auto"/>
                <w:kern w:val="0"/>
                <w:sz w:val="24"/>
                <w:highlight w:val="none"/>
                <w:lang w:val="en-US" w:eastAsia="zh-CN" w:bidi="ar"/>
              </w:rPr>
              <w:t>16</w:t>
            </w:r>
          </w:p>
        </w:tc>
        <w:tc>
          <w:tcPr>
            <w:tcW w:w="1363" w:type="pct"/>
            <w:vAlign w:val="center"/>
          </w:tcPr>
          <w:p w14:paraId="5EDAD33E">
            <w:pPr>
              <w:widowControl/>
              <w:jc w:val="both"/>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光电开关</w:t>
            </w:r>
          </w:p>
        </w:tc>
        <w:tc>
          <w:tcPr>
            <w:tcW w:w="1914" w:type="pct"/>
            <w:vAlign w:val="top"/>
          </w:tcPr>
          <w:p w14:paraId="6EC8D5D2">
            <w:pPr>
              <w:widowControl/>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bidi="ar"/>
              </w:rPr>
              <w:t>SICK</w:t>
            </w:r>
            <w:r>
              <w:rPr>
                <w:rFonts w:hint="eastAsia" w:ascii="宋体" w:hAnsi="宋体" w:eastAsia="宋体" w:cs="宋体"/>
                <w:color w:val="auto"/>
                <w:kern w:val="0"/>
                <w:sz w:val="24"/>
                <w:highlight w:val="none"/>
                <w:lang w:val="en-US" w:eastAsia="zh-CN" w:bidi="ar"/>
              </w:rPr>
              <w:t>、倍加福、施耐德</w:t>
            </w:r>
          </w:p>
        </w:tc>
        <w:tc>
          <w:tcPr>
            <w:tcW w:w="1330" w:type="pct"/>
            <w:vAlign w:val="center"/>
          </w:tcPr>
          <w:p w14:paraId="738F456A">
            <w:pPr>
              <w:widowControl/>
              <w:jc w:val="center"/>
              <w:rPr>
                <w:rFonts w:hint="default" w:ascii="宋体" w:hAnsi="宋体" w:eastAsia="宋体" w:cs="宋体"/>
                <w:color w:val="auto"/>
                <w:kern w:val="0"/>
                <w:sz w:val="24"/>
                <w:highlight w:val="none"/>
                <w:lang w:val="en-US" w:eastAsia="zh-CN"/>
              </w:rPr>
            </w:pPr>
          </w:p>
        </w:tc>
      </w:tr>
      <w:tr w14:paraId="6508A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1" w:type="pct"/>
            <w:vAlign w:val="center"/>
          </w:tcPr>
          <w:p w14:paraId="6096520F">
            <w:pPr>
              <w:widowControl/>
              <w:jc w:val="both"/>
              <w:rPr>
                <w:rFonts w:hint="default" w:ascii="宋体" w:hAnsi="宋体" w:eastAsia="宋体" w:cs="宋体"/>
                <w:color w:val="auto"/>
                <w:kern w:val="0"/>
                <w:sz w:val="24"/>
                <w:highlight w:val="none"/>
                <w:lang w:val="en-US" w:eastAsia="zh-CN" w:bidi="ar"/>
              </w:rPr>
            </w:pPr>
            <w:r>
              <w:rPr>
                <w:rFonts w:hint="eastAsia" w:ascii="宋体" w:hAnsi="宋体" w:eastAsia="宋体" w:cs="宋体"/>
                <w:color w:val="auto"/>
                <w:kern w:val="0"/>
                <w:sz w:val="24"/>
                <w:highlight w:val="none"/>
                <w:lang w:val="en-US" w:eastAsia="zh-CN" w:bidi="ar"/>
              </w:rPr>
              <w:t>17</w:t>
            </w:r>
          </w:p>
        </w:tc>
        <w:tc>
          <w:tcPr>
            <w:tcW w:w="1363" w:type="pct"/>
            <w:vAlign w:val="center"/>
          </w:tcPr>
          <w:p w14:paraId="4D11CE57">
            <w:pPr>
              <w:widowControl/>
              <w:jc w:val="both"/>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行程开关</w:t>
            </w:r>
          </w:p>
        </w:tc>
        <w:tc>
          <w:tcPr>
            <w:tcW w:w="1914" w:type="pct"/>
            <w:vAlign w:val="top"/>
          </w:tcPr>
          <w:p w14:paraId="5E68A653">
            <w:pPr>
              <w:widowControl/>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bidi="ar"/>
              </w:rPr>
              <w:t>欧姆龙</w:t>
            </w:r>
            <w:r>
              <w:rPr>
                <w:rFonts w:hint="eastAsia" w:ascii="宋体" w:hAnsi="宋体" w:eastAsia="宋体" w:cs="宋体"/>
                <w:color w:val="auto"/>
                <w:kern w:val="0"/>
                <w:sz w:val="24"/>
                <w:highlight w:val="none"/>
                <w:lang w:val="en-US" w:eastAsia="zh-CN" w:bidi="ar"/>
              </w:rPr>
              <w:t>、施耐德、三菱</w:t>
            </w:r>
          </w:p>
        </w:tc>
        <w:tc>
          <w:tcPr>
            <w:tcW w:w="1330" w:type="pct"/>
            <w:vAlign w:val="center"/>
          </w:tcPr>
          <w:p w14:paraId="11240D39">
            <w:pPr>
              <w:widowControl/>
              <w:jc w:val="center"/>
              <w:rPr>
                <w:rFonts w:ascii="宋体" w:hAnsi="宋体" w:eastAsia="宋体" w:cs="宋体"/>
                <w:color w:val="auto"/>
                <w:kern w:val="0"/>
                <w:sz w:val="24"/>
                <w:highlight w:val="none"/>
              </w:rPr>
            </w:pPr>
          </w:p>
        </w:tc>
      </w:tr>
      <w:tr w14:paraId="0BF52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1" w:type="pct"/>
            <w:vAlign w:val="center"/>
          </w:tcPr>
          <w:p w14:paraId="1E206F9D">
            <w:pPr>
              <w:widowControl/>
              <w:jc w:val="both"/>
              <w:rPr>
                <w:rFonts w:hint="default" w:ascii="宋体" w:hAnsi="宋体" w:eastAsia="宋体" w:cs="宋体"/>
                <w:color w:val="auto"/>
                <w:kern w:val="0"/>
                <w:sz w:val="24"/>
                <w:highlight w:val="none"/>
                <w:lang w:val="en-US" w:eastAsia="zh-CN" w:bidi="ar"/>
              </w:rPr>
            </w:pPr>
            <w:r>
              <w:rPr>
                <w:rFonts w:hint="eastAsia" w:ascii="宋体" w:hAnsi="宋体" w:eastAsia="宋体" w:cs="宋体"/>
                <w:color w:val="auto"/>
                <w:kern w:val="0"/>
                <w:sz w:val="24"/>
                <w:highlight w:val="none"/>
                <w:lang w:val="en-US" w:eastAsia="zh-CN" w:bidi="ar"/>
              </w:rPr>
              <w:t>18</w:t>
            </w:r>
          </w:p>
        </w:tc>
        <w:tc>
          <w:tcPr>
            <w:tcW w:w="1363" w:type="pct"/>
            <w:vAlign w:val="center"/>
          </w:tcPr>
          <w:p w14:paraId="2C8ED6B5">
            <w:pPr>
              <w:widowControl/>
              <w:jc w:val="both"/>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网络交换机</w:t>
            </w:r>
          </w:p>
        </w:tc>
        <w:tc>
          <w:tcPr>
            <w:tcW w:w="1914" w:type="pct"/>
            <w:vAlign w:val="top"/>
          </w:tcPr>
          <w:p w14:paraId="7D202BB5">
            <w:pPr>
              <w:widowControl/>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bidi="ar"/>
              </w:rPr>
              <w:t>西门子</w:t>
            </w:r>
            <w:r>
              <w:rPr>
                <w:rFonts w:hint="eastAsia" w:ascii="宋体" w:hAnsi="宋体" w:eastAsia="宋体" w:cs="宋体"/>
                <w:color w:val="auto"/>
                <w:kern w:val="0"/>
                <w:sz w:val="24"/>
                <w:highlight w:val="none"/>
                <w:lang w:val="en-US" w:eastAsia="zh-CN" w:bidi="ar"/>
              </w:rPr>
              <w:t>、华为、海康威视</w:t>
            </w:r>
          </w:p>
        </w:tc>
        <w:tc>
          <w:tcPr>
            <w:tcW w:w="1330" w:type="pct"/>
            <w:vAlign w:val="center"/>
          </w:tcPr>
          <w:p w14:paraId="2AE95FC1">
            <w:pPr>
              <w:widowControl/>
              <w:jc w:val="center"/>
              <w:rPr>
                <w:rFonts w:ascii="宋体" w:hAnsi="宋体" w:eastAsia="宋体" w:cs="宋体"/>
                <w:color w:val="auto"/>
                <w:kern w:val="0"/>
                <w:sz w:val="24"/>
                <w:highlight w:val="none"/>
              </w:rPr>
            </w:pPr>
          </w:p>
        </w:tc>
      </w:tr>
    </w:tbl>
    <w:p w14:paraId="6FF0AC9F">
      <w:pPr>
        <w:widowControl/>
        <w:jc w:val="both"/>
        <w:rPr>
          <w:rFonts w:hint="eastAsia" w:ascii="宋体" w:hAnsi="宋体" w:eastAsia="宋体" w:cs="宋体"/>
          <w:b/>
          <w:bCs/>
          <w:color w:val="auto"/>
          <w:kern w:val="0"/>
          <w:sz w:val="24"/>
          <w:szCs w:val="24"/>
          <w:highlight w:val="none"/>
          <w:lang w:val="en-US" w:eastAsia="zh-CN" w:bidi="ar"/>
        </w:rPr>
      </w:pPr>
      <w:r>
        <w:rPr>
          <w:rFonts w:hint="eastAsia" w:ascii="宋体" w:hAnsi="宋体" w:cs="宋体"/>
          <w:b/>
          <w:bCs/>
          <w:color w:val="auto"/>
          <w:kern w:val="0"/>
          <w:sz w:val="24"/>
          <w:szCs w:val="24"/>
          <w:highlight w:val="none"/>
          <w:lang w:val="en-US" w:eastAsia="zh-CN" w:bidi="ar"/>
        </w:rPr>
        <w:t>2</w:t>
      </w:r>
      <w:r>
        <w:rPr>
          <w:rFonts w:hint="eastAsia" w:ascii="宋体" w:hAnsi="宋体" w:eastAsia="宋体" w:cs="宋体"/>
          <w:b/>
          <w:bCs/>
          <w:color w:val="auto"/>
          <w:kern w:val="0"/>
          <w:sz w:val="24"/>
          <w:szCs w:val="24"/>
          <w:highlight w:val="none"/>
          <w:lang w:val="en-US" w:eastAsia="zh-CN" w:bidi="ar"/>
        </w:rPr>
        <w:t>.</w:t>
      </w:r>
      <w:r>
        <w:rPr>
          <w:rFonts w:hint="eastAsia" w:ascii="宋体" w:hAnsi="宋体" w:cs="宋体"/>
          <w:b/>
          <w:bCs/>
          <w:color w:val="auto"/>
          <w:kern w:val="0"/>
          <w:sz w:val="24"/>
          <w:szCs w:val="24"/>
          <w:highlight w:val="none"/>
          <w:lang w:val="en-US" w:eastAsia="zh-CN" w:bidi="ar"/>
        </w:rPr>
        <w:t>4</w:t>
      </w:r>
      <w:r>
        <w:rPr>
          <w:rFonts w:hint="eastAsia" w:ascii="宋体" w:hAnsi="宋体" w:eastAsia="宋体" w:cs="宋体"/>
          <w:b/>
          <w:bCs/>
          <w:color w:val="auto"/>
          <w:kern w:val="0"/>
          <w:sz w:val="24"/>
          <w:szCs w:val="24"/>
          <w:highlight w:val="none"/>
          <w:lang w:val="en-US" w:eastAsia="zh-CN" w:bidi="ar"/>
        </w:rPr>
        <w:t>提升机</w:t>
      </w:r>
      <w:r>
        <w:rPr>
          <w:rFonts w:hint="eastAsia" w:ascii="宋体" w:hAnsi="宋体" w:cs="宋体"/>
          <w:b/>
          <w:bCs/>
          <w:color w:val="auto"/>
          <w:kern w:val="0"/>
          <w:sz w:val="24"/>
          <w:szCs w:val="24"/>
          <w:highlight w:val="none"/>
          <w:lang w:val="en-US" w:eastAsia="zh-CN" w:bidi="ar"/>
        </w:rPr>
        <w:t>安全防护及操作台配置</w:t>
      </w:r>
    </w:p>
    <w:tbl>
      <w:tblPr>
        <w:tblStyle w:val="53"/>
        <w:tblW w:w="92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38"/>
        <w:gridCol w:w="1753"/>
        <w:gridCol w:w="6107"/>
      </w:tblGrid>
      <w:tr w14:paraId="34D40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trPr>
        <w:tc>
          <w:tcPr>
            <w:tcW w:w="1438" w:type="dxa"/>
            <w:vMerge w:val="restart"/>
            <w:vAlign w:val="center"/>
          </w:tcPr>
          <w:p w14:paraId="489585CD">
            <w:pPr>
              <w:pageBreakBefore w:val="0"/>
              <w:widowControl/>
              <w:kinsoku/>
              <w:wordWrap/>
              <w:overflowPunct/>
              <w:topLinePunct w:val="0"/>
              <w:autoSpaceDE/>
              <w:autoSpaceDN/>
              <w:bidi w:val="0"/>
              <w:adjustRightInd/>
              <w:snapToGrid/>
              <w:spacing w:line="336" w:lineRule="auto"/>
              <w:jc w:val="both"/>
              <w:textAlignment w:val="auto"/>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安全防护</w:t>
            </w:r>
          </w:p>
        </w:tc>
        <w:tc>
          <w:tcPr>
            <w:tcW w:w="1753" w:type="dxa"/>
            <w:shd w:val="clear" w:color="auto" w:fill="auto"/>
            <w:vAlign w:val="center"/>
          </w:tcPr>
          <w:p w14:paraId="6611A8C4">
            <w:pPr>
              <w:pageBreakBefore w:val="0"/>
              <w:widowControl/>
              <w:kinsoku/>
              <w:wordWrap/>
              <w:overflowPunct/>
              <w:topLinePunct w:val="0"/>
              <w:autoSpaceDE/>
              <w:autoSpaceDN/>
              <w:bidi w:val="0"/>
              <w:adjustRightInd/>
              <w:snapToGrid/>
              <w:spacing w:line="336" w:lineRule="auto"/>
              <w:jc w:val="both"/>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highlight w:val="none"/>
                <w:lang w:bidi="ar"/>
              </w:rPr>
              <w:t>外型检测</w:t>
            </w:r>
          </w:p>
        </w:tc>
        <w:tc>
          <w:tcPr>
            <w:tcW w:w="6107" w:type="dxa"/>
            <w:shd w:val="clear" w:color="auto" w:fill="auto"/>
            <w:vAlign w:val="center"/>
          </w:tcPr>
          <w:p w14:paraId="3D56712B">
            <w:pPr>
              <w:pageBreakBefore w:val="0"/>
              <w:widowControl/>
              <w:kinsoku/>
              <w:wordWrap/>
              <w:overflowPunct/>
              <w:topLinePunct w:val="0"/>
              <w:autoSpaceDE/>
              <w:autoSpaceDN/>
              <w:bidi w:val="0"/>
              <w:adjustRightInd/>
              <w:snapToGrid/>
              <w:spacing w:line="336" w:lineRule="auto"/>
              <w:jc w:val="both"/>
              <w:textAlignment w:val="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bidi="ar"/>
              </w:rPr>
              <w:t>光电传感器外型检测装置，框架</w:t>
            </w:r>
            <w:r>
              <w:rPr>
                <w:rFonts w:hint="eastAsia" w:ascii="宋体" w:hAnsi="宋体" w:cs="宋体"/>
                <w:color w:val="auto"/>
                <w:kern w:val="0"/>
                <w:sz w:val="24"/>
                <w:highlight w:val="none"/>
                <w:lang w:val="en-US" w:eastAsia="zh-CN" w:bidi="ar"/>
              </w:rPr>
              <w:t>:</w:t>
            </w:r>
            <w:r>
              <w:rPr>
                <w:rFonts w:hint="eastAsia" w:ascii="宋体" w:hAnsi="宋体" w:eastAsia="宋体" w:cs="宋体"/>
                <w:color w:val="auto"/>
                <w:kern w:val="0"/>
                <w:sz w:val="24"/>
                <w:highlight w:val="none"/>
                <w:lang w:bidi="ar"/>
              </w:rPr>
              <w:t>铝型材</w:t>
            </w:r>
          </w:p>
          <w:p w14:paraId="5BD8762D">
            <w:pPr>
              <w:pageBreakBefore w:val="0"/>
              <w:widowControl/>
              <w:kinsoku/>
              <w:wordWrap/>
              <w:overflowPunct/>
              <w:topLinePunct w:val="0"/>
              <w:autoSpaceDE/>
              <w:autoSpaceDN/>
              <w:bidi w:val="0"/>
              <w:adjustRightInd/>
              <w:snapToGrid/>
              <w:spacing w:line="336" w:lineRule="auto"/>
              <w:jc w:val="both"/>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highlight w:val="none"/>
                <w:lang w:bidi="ar"/>
              </w:rPr>
              <w:t>光电每层配置</w:t>
            </w:r>
          </w:p>
        </w:tc>
      </w:tr>
      <w:tr w14:paraId="48367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1438" w:type="dxa"/>
            <w:vMerge w:val="continue"/>
            <w:vAlign w:val="center"/>
          </w:tcPr>
          <w:p w14:paraId="020168A0">
            <w:pPr>
              <w:pageBreakBefore w:val="0"/>
              <w:widowControl/>
              <w:kinsoku/>
              <w:wordWrap/>
              <w:overflowPunct/>
              <w:topLinePunct w:val="0"/>
              <w:autoSpaceDE/>
              <w:autoSpaceDN/>
              <w:bidi w:val="0"/>
              <w:adjustRightInd/>
              <w:snapToGrid/>
              <w:spacing w:line="336" w:lineRule="auto"/>
              <w:ind w:firstLine="480"/>
              <w:jc w:val="both"/>
              <w:textAlignment w:val="auto"/>
              <w:rPr>
                <w:rFonts w:ascii="宋体" w:hAnsi="宋体" w:eastAsia="宋体" w:cs="宋体"/>
                <w:color w:val="auto"/>
                <w:kern w:val="0"/>
                <w:sz w:val="24"/>
                <w:highlight w:val="none"/>
                <w:lang w:bidi="ar"/>
              </w:rPr>
            </w:pPr>
          </w:p>
        </w:tc>
        <w:tc>
          <w:tcPr>
            <w:tcW w:w="1753" w:type="dxa"/>
            <w:vAlign w:val="center"/>
          </w:tcPr>
          <w:p w14:paraId="102BCEDB">
            <w:pPr>
              <w:pageBreakBefore w:val="0"/>
              <w:widowControl/>
              <w:kinsoku/>
              <w:wordWrap/>
              <w:overflowPunct/>
              <w:topLinePunct w:val="0"/>
              <w:autoSpaceDE/>
              <w:autoSpaceDN/>
              <w:bidi w:val="0"/>
              <w:adjustRightInd/>
              <w:snapToGrid/>
              <w:spacing w:line="336" w:lineRule="auto"/>
              <w:jc w:val="both"/>
              <w:textAlignment w:val="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bidi="ar"/>
              </w:rPr>
              <w:t>出入口保护</w:t>
            </w:r>
          </w:p>
        </w:tc>
        <w:tc>
          <w:tcPr>
            <w:tcW w:w="6107" w:type="dxa"/>
            <w:vAlign w:val="center"/>
          </w:tcPr>
          <w:p w14:paraId="004A11D4">
            <w:pPr>
              <w:pageBreakBefore w:val="0"/>
              <w:widowControl/>
              <w:kinsoku/>
              <w:wordWrap/>
              <w:overflowPunct/>
              <w:topLinePunct w:val="0"/>
              <w:autoSpaceDE/>
              <w:autoSpaceDN/>
              <w:bidi w:val="0"/>
              <w:adjustRightInd/>
              <w:snapToGrid/>
              <w:spacing w:line="336" w:lineRule="auto"/>
              <w:jc w:val="both"/>
              <w:textAlignment w:val="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bidi="ar"/>
              </w:rPr>
              <w:t>光电安全检测</w:t>
            </w:r>
          </w:p>
        </w:tc>
      </w:tr>
      <w:tr w14:paraId="7BC5F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1438" w:type="dxa"/>
            <w:vMerge w:val="continue"/>
            <w:vAlign w:val="center"/>
          </w:tcPr>
          <w:p w14:paraId="4D008814">
            <w:pPr>
              <w:pageBreakBefore w:val="0"/>
              <w:widowControl/>
              <w:kinsoku/>
              <w:wordWrap/>
              <w:overflowPunct/>
              <w:topLinePunct w:val="0"/>
              <w:autoSpaceDE/>
              <w:autoSpaceDN/>
              <w:bidi w:val="0"/>
              <w:adjustRightInd/>
              <w:snapToGrid/>
              <w:spacing w:line="336" w:lineRule="auto"/>
              <w:ind w:firstLine="480"/>
              <w:jc w:val="both"/>
              <w:textAlignment w:val="auto"/>
              <w:rPr>
                <w:rFonts w:ascii="宋体" w:hAnsi="宋体" w:eastAsia="宋体" w:cs="宋体"/>
                <w:color w:val="auto"/>
                <w:kern w:val="0"/>
                <w:sz w:val="24"/>
                <w:highlight w:val="none"/>
                <w:lang w:bidi="ar"/>
              </w:rPr>
            </w:pPr>
          </w:p>
        </w:tc>
        <w:tc>
          <w:tcPr>
            <w:tcW w:w="1753" w:type="dxa"/>
            <w:vAlign w:val="center"/>
          </w:tcPr>
          <w:p w14:paraId="4CC2D787">
            <w:pPr>
              <w:pageBreakBefore w:val="0"/>
              <w:widowControl/>
              <w:kinsoku/>
              <w:wordWrap/>
              <w:overflowPunct/>
              <w:topLinePunct w:val="0"/>
              <w:autoSpaceDE/>
              <w:autoSpaceDN/>
              <w:bidi w:val="0"/>
              <w:adjustRightInd/>
              <w:snapToGrid/>
              <w:spacing w:line="336" w:lineRule="auto"/>
              <w:jc w:val="both"/>
              <w:textAlignment w:val="auto"/>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防护栏</w:t>
            </w:r>
          </w:p>
        </w:tc>
        <w:tc>
          <w:tcPr>
            <w:tcW w:w="6107" w:type="dxa"/>
            <w:vAlign w:val="center"/>
          </w:tcPr>
          <w:p w14:paraId="274BE59E">
            <w:pPr>
              <w:pageBreakBefore w:val="0"/>
              <w:widowControl/>
              <w:kinsoku/>
              <w:wordWrap/>
              <w:overflowPunct/>
              <w:topLinePunct w:val="0"/>
              <w:autoSpaceDE/>
              <w:autoSpaceDN/>
              <w:bidi w:val="0"/>
              <w:adjustRightInd/>
              <w:snapToGrid/>
              <w:spacing w:line="336" w:lineRule="auto"/>
              <w:jc w:val="both"/>
              <w:textAlignment w:val="auto"/>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输送线两侧安全防护栏 H=1200mm，方管制作</w:t>
            </w:r>
          </w:p>
        </w:tc>
      </w:tr>
      <w:tr w14:paraId="3B308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1438" w:type="dxa"/>
            <w:vMerge w:val="continue"/>
            <w:vAlign w:val="center"/>
          </w:tcPr>
          <w:p w14:paraId="73F3A882">
            <w:pPr>
              <w:pageBreakBefore w:val="0"/>
              <w:widowControl/>
              <w:kinsoku/>
              <w:wordWrap/>
              <w:overflowPunct/>
              <w:topLinePunct w:val="0"/>
              <w:autoSpaceDE/>
              <w:autoSpaceDN/>
              <w:bidi w:val="0"/>
              <w:adjustRightInd/>
              <w:snapToGrid/>
              <w:spacing w:line="336" w:lineRule="auto"/>
              <w:ind w:firstLine="480"/>
              <w:jc w:val="both"/>
              <w:textAlignment w:val="auto"/>
              <w:rPr>
                <w:rFonts w:ascii="宋体" w:hAnsi="宋体" w:eastAsia="宋体" w:cs="宋体"/>
                <w:color w:val="auto"/>
                <w:kern w:val="0"/>
                <w:sz w:val="24"/>
                <w:highlight w:val="none"/>
                <w:lang w:bidi="ar"/>
              </w:rPr>
            </w:pPr>
          </w:p>
        </w:tc>
        <w:tc>
          <w:tcPr>
            <w:tcW w:w="1753" w:type="dxa"/>
            <w:vAlign w:val="center"/>
          </w:tcPr>
          <w:p w14:paraId="5F1BCB0C">
            <w:pPr>
              <w:pageBreakBefore w:val="0"/>
              <w:widowControl/>
              <w:kinsoku/>
              <w:wordWrap/>
              <w:overflowPunct/>
              <w:topLinePunct w:val="0"/>
              <w:autoSpaceDE/>
              <w:autoSpaceDN/>
              <w:bidi w:val="0"/>
              <w:adjustRightInd/>
              <w:snapToGrid/>
              <w:spacing w:line="336" w:lineRule="auto"/>
              <w:jc w:val="both"/>
              <w:textAlignment w:val="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bidi="ar"/>
              </w:rPr>
              <w:t>防撞装置</w:t>
            </w:r>
          </w:p>
        </w:tc>
        <w:tc>
          <w:tcPr>
            <w:tcW w:w="6107" w:type="dxa"/>
            <w:vAlign w:val="center"/>
          </w:tcPr>
          <w:p w14:paraId="2B1B7512">
            <w:pPr>
              <w:pageBreakBefore w:val="0"/>
              <w:widowControl/>
              <w:kinsoku/>
              <w:wordWrap/>
              <w:overflowPunct/>
              <w:topLinePunct w:val="0"/>
              <w:autoSpaceDE/>
              <w:autoSpaceDN/>
              <w:bidi w:val="0"/>
              <w:adjustRightInd/>
              <w:snapToGrid/>
              <w:spacing w:line="336" w:lineRule="auto"/>
              <w:jc w:val="both"/>
              <w:textAlignment w:val="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bidi="ar"/>
              </w:rPr>
              <w:t>辊道线</w:t>
            </w:r>
            <w:r>
              <w:rPr>
                <w:rFonts w:hint="eastAsia" w:ascii="宋体" w:hAnsi="宋体" w:eastAsia="宋体" w:cs="宋体"/>
                <w:color w:val="auto"/>
                <w:kern w:val="0"/>
                <w:sz w:val="24"/>
                <w:highlight w:val="none"/>
                <w:lang w:bidi="ar"/>
              </w:rPr>
              <w:t>入口处加强型防撞档杆及叉车限位</w:t>
            </w:r>
          </w:p>
        </w:tc>
      </w:tr>
      <w:tr w14:paraId="08E7D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1438" w:type="dxa"/>
            <w:vMerge w:val="continue"/>
            <w:vAlign w:val="center"/>
          </w:tcPr>
          <w:p w14:paraId="4855E1DB">
            <w:pPr>
              <w:pageBreakBefore w:val="0"/>
              <w:widowControl/>
              <w:kinsoku/>
              <w:wordWrap/>
              <w:overflowPunct/>
              <w:topLinePunct w:val="0"/>
              <w:autoSpaceDE/>
              <w:autoSpaceDN/>
              <w:bidi w:val="0"/>
              <w:adjustRightInd/>
              <w:snapToGrid/>
              <w:spacing w:line="336" w:lineRule="auto"/>
              <w:ind w:firstLine="480"/>
              <w:jc w:val="both"/>
              <w:textAlignment w:val="auto"/>
              <w:rPr>
                <w:rFonts w:ascii="宋体" w:hAnsi="宋体" w:eastAsia="宋体" w:cs="宋体"/>
                <w:color w:val="auto"/>
                <w:kern w:val="0"/>
                <w:sz w:val="24"/>
                <w:highlight w:val="none"/>
                <w:lang w:bidi="ar"/>
              </w:rPr>
            </w:pPr>
          </w:p>
        </w:tc>
        <w:tc>
          <w:tcPr>
            <w:tcW w:w="1753" w:type="dxa"/>
            <w:vAlign w:val="center"/>
          </w:tcPr>
          <w:p w14:paraId="1ABE7A1F">
            <w:pPr>
              <w:pageBreakBefore w:val="0"/>
              <w:widowControl/>
              <w:kinsoku/>
              <w:wordWrap/>
              <w:overflowPunct/>
              <w:topLinePunct w:val="0"/>
              <w:autoSpaceDE/>
              <w:autoSpaceDN/>
              <w:bidi w:val="0"/>
              <w:adjustRightInd/>
              <w:snapToGrid/>
              <w:spacing w:line="336" w:lineRule="auto"/>
              <w:jc w:val="both"/>
              <w:textAlignment w:val="auto"/>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链条检测</w:t>
            </w:r>
          </w:p>
        </w:tc>
        <w:tc>
          <w:tcPr>
            <w:tcW w:w="6107" w:type="dxa"/>
            <w:vAlign w:val="center"/>
          </w:tcPr>
          <w:p w14:paraId="14751B72">
            <w:pPr>
              <w:pageBreakBefore w:val="0"/>
              <w:widowControl/>
              <w:kinsoku/>
              <w:wordWrap/>
              <w:overflowPunct/>
              <w:topLinePunct w:val="0"/>
              <w:autoSpaceDE/>
              <w:autoSpaceDN/>
              <w:bidi w:val="0"/>
              <w:adjustRightInd/>
              <w:snapToGrid/>
              <w:spacing w:line="336" w:lineRule="auto"/>
              <w:jc w:val="both"/>
              <w:textAlignment w:val="auto"/>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检测链条</w:t>
            </w:r>
            <w:r>
              <w:rPr>
                <w:rFonts w:hint="eastAsia" w:ascii="宋体" w:hAnsi="宋体" w:eastAsia="宋体" w:cs="宋体"/>
                <w:color w:val="auto"/>
                <w:kern w:val="0"/>
                <w:sz w:val="24"/>
                <w:highlight w:val="none"/>
                <w:lang w:eastAsia="zh-CN" w:bidi="ar"/>
              </w:rPr>
              <w:t>松链</w:t>
            </w:r>
            <w:r>
              <w:rPr>
                <w:rFonts w:hint="eastAsia" w:ascii="宋体" w:hAnsi="宋体" w:eastAsia="宋体" w:cs="宋体"/>
                <w:color w:val="auto"/>
                <w:kern w:val="0"/>
                <w:sz w:val="24"/>
                <w:highlight w:val="none"/>
                <w:lang w:bidi="ar"/>
              </w:rPr>
              <w:t>及</w:t>
            </w:r>
            <w:r>
              <w:rPr>
                <w:rFonts w:hint="eastAsia" w:ascii="宋体" w:hAnsi="宋体" w:eastAsia="宋体" w:cs="宋体"/>
                <w:color w:val="auto"/>
                <w:kern w:val="0"/>
                <w:sz w:val="24"/>
                <w:highlight w:val="none"/>
                <w:lang w:eastAsia="zh-CN" w:bidi="ar"/>
              </w:rPr>
              <w:t>链条</w:t>
            </w:r>
            <w:r>
              <w:rPr>
                <w:rFonts w:hint="eastAsia" w:ascii="宋体" w:hAnsi="宋体" w:eastAsia="宋体" w:cs="宋体"/>
                <w:color w:val="auto"/>
                <w:kern w:val="0"/>
                <w:sz w:val="24"/>
                <w:highlight w:val="none"/>
                <w:lang w:bidi="ar"/>
              </w:rPr>
              <w:t>断裂</w:t>
            </w:r>
          </w:p>
        </w:tc>
      </w:tr>
      <w:tr w14:paraId="5E04D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1438" w:type="dxa"/>
            <w:vMerge w:val="continue"/>
            <w:vAlign w:val="center"/>
          </w:tcPr>
          <w:p w14:paraId="278C3EE6">
            <w:pPr>
              <w:pageBreakBefore w:val="0"/>
              <w:widowControl/>
              <w:kinsoku/>
              <w:wordWrap/>
              <w:overflowPunct/>
              <w:topLinePunct w:val="0"/>
              <w:autoSpaceDE/>
              <w:autoSpaceDN/>
              <w:bidi w:val="0"/>
              <w:adjustRightInd/>
              <w:snapToGrid/>
              <w:spacing w:line="336" w:lineRule="auto"/>
              <w:ind w:firstLine="480"/>
              <w:jc w:val="both"/>
              <w:textAlignment w:val="auto"/>
              <w:rPr>
                <w:rFonts w:ascii="宋体" w:hAnsi="宋体" w:eastAsia="宋体" w:cs="宋体"/>
                <w:color w:val="auto"/>
                <w:kern w:val="0"/>
                <w:sz w:val="24"/>
                <w:highlight w:val="none"/>
                <w:lang w:bidi="ar"/>
              </w:rPr>
            </w:pPr>
          </w:p>
        </w:tc>
        <w:tc>
          <w:tcPr>
            <w:tcW w:w="1753" w:type="dxa"/>
            <w:vAlign w:val="center"/>
          </w:tcPr>
          <w:p w14:paraId="69440F12">
            <w:pPr>
              <w:pageBreakBefore w:val="0"/>
              <w:widowControl/>
              <w:kinsoku/>
              <w:wordWrap/>
              <w:overflowPunct/>
              <w:topLinePunct w:val="0"/>
              <w:autoSpaceDE/>
              <w:autoSpaceDN/>
              <w:bidi w:val="0"/>
              <w:adjustRightInd/>
              <w:snapToGrid/>
              <w:spacing w:line="336" w:lineRule="auto"/>
              <w:jc w:val="both"/>
              <w:textAlignment w:val="auto"/>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限位保护</w:t>
            </w:r>
          </w:p>
        </w:tc>
        <w:tc>
          <w:tcPr>
            <w:tcW w:w="6107" w:type="dxa"/>
            <w:vAlign w:val="center"/>
          </w:tcPr>
          <w:p w14:paraId="3A0B167F">
            <w:pPr>
              <w:pageBreakBefore w:val="0"/>
              <w:widowControl/>
              <w:kinsoku/>
              <w:wordWrap/>
              <w:overflowPunct/>
              <w:topLinePunct w:val="0"/>
              <w:autoSpaceDE/>
              <w:autoSpaceDN/>
              <w:bidi w:val="0"/>
              <w:adjustRightInd/>
              <w:snapToGrid/>
              <w:spacing w:line="336" w:lineRule="auto"/>
              <w:jc w:val="both"/>
              <w:textAlignment w:val="auto"/>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轿厢与配重上下极限位检测开关</w:t>
            </w:r>
          </w:p>
        </w:tc>
      </w:tr>
      <w:tr w14:paraId="6AE9C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1438" w:type="dxa"/>
            <w:vMerge w:val="continue"/>
            <w:vAlign w:val="center"/>
          </w:tcPr>
          <w:p w14:paraId="5B7FBC45">
            <w:pPr>
              <w:pageBreakBefore w:val="0"/>
              <w:widowControl/>
              <w:kinsoku/>
              <w:wordWrap/>
              <w:overflowPunct/>
              <w:topLinePunct w:val="0"/>
              <w:autoSpaceDE/>
              <w:autoSpaceDN/>
              <w:bidi w:val="0"/>
              <w:adjustRightInd/>
              <w:snapToGrid/>
              <w:spacing w:line="336" w:lineRule="auto"/>
              <w:ind w:firstLine="480"/>
              <w:jc w:val="both"/>
              <w:textAlignment w:val="auto"/>
              <w:rPr>
                <w:rFonts w:ascii="宋体" w:hAnsi="宋体" w:eastAsia="宋体" w:cs="宋体"/>
                <w:color w:val="auto"/>
                <w:kern w:val="0"/>
                <w:sz w:val="24"/>
                <w:highlight w:val="none"/>
                <w:lang w:bidi="ar"/>
              </w:rPr>
            </w:pPr>
          </w:p>
        </w:tc>
        <w:tc>
          <w:tcPr>
            <w:tcW w:w="1753" w:type="dxa"/>
            <w:vAlign w:val="center"/>
          </w:tcPr>
          <w:p w14:paraId="143CD1FF">
            <w:pPr>
              <w:pageBreakBefore w:val="0"/>
              <w:widowControl/>
              <w:kinsoku/>
              <w:wordWrap/>
              <w:overflowPunct/>
              <w:topLinePunct w:val="0"/>
              <w:autoSpaceDE/>
              <w:autoSpaceDN/>
              <w:bidi w:val="0"/>
              <w:adjustRightInd/>
              <w:snapToGrid/>
              <w:spacing w:line="336" w:lineRule="auto"/>
              <w:jc w:val="both"/>
              <w:textAlignment w:val="auto"/>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轿厢升降保护</w:t>
            </w:r>
          </w:p>
        </w:tc>
        <w:tc>
          <w:tcPr>
            <w:tcW w:w="6107" w:type="dxa"/>
            <w:vAlign w:val="center"/>
          </w:tcPr>
          <w:p w14:paraId="6F00C4A1">
            <w:pPr>
              <w:pageBreakBefore w:val="0"/>
              <w:widowControl/>
              <w:kinsoku/>
              <w:wordWrap/>
              <w:overflowPunct/>
              <w:topLinePunct w:val="0"/>
              <w:autoSpaceDE/>
              <w:autoSpaceDN/>
              <w:bidi w:val="0"/>
              <w:adjustRightInd/>
              <w:snapToGrid/>
              <w:spacing w:line="336" w:lineRule="auto"/>
              <w:jc w:val="both"/>
              <w:textAlignment w:val="auto"/>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光电安全检测，检测异物</w:t>
            </w:r>
          </w:p>
        </w:tc>
      </w:tr>
      <w:tr w14:paraId="7A493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1438" w:type="dxa"/>
            <w:vMerge w:val="continue"/>
            <w:vAlign w:val="center"/>
          </w:tcPr>
          <w:p w14:paraId="79AAD0F2">
            <w:pPr>
              <w:pageBreakBefore w:val="0"/>
              <w:widowControl/>
              <w:kinsoku/>
              <w:wordWrap/>
              <w:overflowPunct/>
              <w:topLinePunct w:val="0"/>
              <w:autoSpaceDE/>
              <w:autoSpaceDN/>
              <w:bidi w:val="0"/>
              <w:adjustRightInd/>
              <w:snapToGrid/>
              <w:spacing w:line="336" w:lineRule="auto"/>
              <w:ind w:firstLine="480"/>
              <w:jc w:val="both"/>
              <w:textAlignment w:val="auto"/>
              <w:rPr>
                <w:rFonts w:ascii="宋体" w:hAnsi="宋体" w:eastAsia="宋体" w:cs="宋体"/>
                <w:color w:val="auto"/>
                <w:kern w:val="0"/>
                <w:sz w:val="24"/>
                <w:highlight w:val="none"/>
                <w:lang w:bidi="ar"/>
              </w:rPr>
            </w:pPr>
          </w:p>
        </w:tc>
        <w:tc>
          <w:tcPr>
            <w:tcW w:w="1753" w:type="dxa"/>
            <w:vAlign w:val="center"/>
          </w:tcPr>
          <w:p w14:paraId="25D7B493">
            <w:pPr>
              <w:pageBreakBefore w:val="0"/>
              <w:widowControl/>
              <w:kinsoku/>
              <w:wordWrap/>
              <w:overflowPunct/>
              <w:topLinePunct w:val="0"/>
              <w:autoSpaceDE/>
              <w:autoSpaceDN/>
              <w:bidi w:val="0"/>
              <w:adjustRightInd/>
              <w:snapToGrid/>
              <w:spacing w:line="336" w:lineRule="auto"/>
              <w:jc w:val="both"/>
              <w:textAlignment w:val="auto"/>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轿厢</w:t>
            </w:r>
            <w:r>
              <w:rPr>
                <w:rFonts w:hint="eastAsia" w:ascii="宋体" w:hAnsi="宋体" w:eastAsia="宋体" w:cs="宋体"/>
                <w:color w:val="auto"/>
                <w:kern w:val="0"/>
                <w:sz w:val="24"/>
                <w:highlight w:val="none"/>
                <w:lang w:eastAsia="zh-CN" w:bidi="ar"/>
              </w:rPr>
              <w:t>卡死</w:t>
            </w:r>
            <w:r>
              <w:rPr>
                <w:rFonts w:hint="eastAsia" w:ascii="宋体" w:hAnsi="宋体" w:eastAsia="宋体" w:cs="宋体"/>
                <w:color w:val="auto"/>
                <w:kern w:val="0"/>
                <w:sz w:val="24"/>
                <w:highlight w:val="none"/>
                <w:lang w:bidi="ar"/>
              </w:rPr>
              <w:t>检测</w:t>
            </w:r>
          </w:p>
        </w:tc>
        <w:tc>
          <w:tcPr>
            <w:tcW w:w="6107" w:type="dxa"/>
            <w:vAlign w:val="center"/>
          </w:tcPr>
          <w:p w14:paraId="356FF665">
            <w:pPr>
              <w:pageBreakBefore w:val="0"/>
              <w:widowControl/>
              <w:kinsoku/>
              <w:wordWrap/>
              <w:overflowPunct/>
              <w:topLinePunct w:val="0"/>
              <w:autoSpaceDE/>
              <w:autoSpaceDN/>
              <w:bidi w:val="0"/>
              <w:adjustRightInd/>
              <w:snapToGrid/>
              <w:spacing w:line="336" w:lineRule="auto"/>
              <w:jc w:val="both"/>
              <w:textAlignment w:val="auto"/>
              <w:rPr>
                <w:rFonts w:hint="eastAsia" w:ascii="宋体" w:hAnsi="宋体" w:eastAsia="宋体" w:cs="宋体"/>
                <w:color w:val="auto"/>
                <w:kern w:val="0"/>
                <w:sz w:val="24"/>
                <w:highlight w:val="none"/>
                <w:lang w:eastAsia="zh-CN" w:bidi="ar"/>
              </w:rPr>
            </w:pPr>
            <w:r>
              <w:rPr>
                <w:rFonts w:hint="eastAsia" w:ascii="宋体" w:hAnsi="宋体" w:eastAsia="宋体" w:cs="宋体"/>
                <w:color w:val="auto"/>
                <w:kern w:val="0"/>
                <w:sz w:val="24"/>
                <w:highlight w:val="none"/>
                <w:lang w:eastAsia="zh-CN" w:bidi="ar"/>
              </w:rPr>
              <w:t>轿厢卡位检测</w:t>
            </w:r>
          </w:p>
        </w:tc>
      </w:tr>
      <w:tr w14:paraId="22D1B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1438" w:type="dxa"/>
            <w:vMerge w:val="continue"/>
            <w:vAlign w:val="center"/>
          </w:tcPr>
          <w:p w14:paraId="7E13C531">
            <w:pPr>
              <w:pageBreakBefore w:val="0"/>
              <w:widowControl/>
              <w:kinsoku/>
              <w:wordWrap/>
              <w:overflowPunct/>
              <w:topLinePunct w:val="0"/>
              <w:autoSpaceDE/>
              <w:autoSpaceDN/>
              <w:bidi w:val="0"/>
              <w:adjustRightInd/>
              <w:snapToGrid/>
              <w:spacing w:line="336" w:lineRule="auto"/>
              <w:ind w:firstLine="480"/>
              <w:jc w:val="both"/>
              <w:textAlignment w:val="auto"/>
              <w:rPr>
                <w:rFonts w:ascii="宋体" w:hAnsi="宋体" w:eastAsia="宋体" w:cs="宋体"/>
                <w:color w:val="auto"/>
                <w:kern w:val="0"/>
                <w:sz w:val="24"/>
                <w:highlight w:val="none"/>
                <w:lang w:bidi="ar"/>
              </w:rPr>
            </w:pPr>
          </w:p>
        </w:tc>
        <w:tc>
          <w:tcPr>
            <w:tcW w:w="1753" w:type="dxa"/>
            <w:vAlign w:val="center"/>
          </w:tcPr>
          <w:p w14:paraId="0F5E24D4">
            <w:pPr>
              <w:pageBreakBefore w:val="0"/>
              <w:widowControl/>
              <w:kinsoku/>
              <w:wordWrap/>
              <w:overflowPunct/>
              <w:topLinePunct w:val="0"/>
              <w:autoSpaceDE/>
              <w:autoSpaceDN/>
              <w:bidi w:val="0"/>
              <w:adjustRightInd/>
              <w:snapToGrid/>
              <w:spacing w:line="336" w:lineRule="auto"/>
              <w:jc w:val="both"/>
              <w:textAlignment w:val="auto"/>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平层检测</w:t>
            </w:r>
          </w:p>
        </w:tc>
        <w:tc>
          <w:tcPr>
            <w:tcW w:w="6107" w:type="dxa"/>
            <w:vAlign w:val="center"/>
          </w:tcPr>
          <w:p w14:paraId="1511602A">
            <w:pPr>
              <w:pageBreakBefore w:val="0"/>
              <w:widowControl/>
              <w:kinsoku/>
              <w:wordWrap/>
              <w:overflowPunct/>
              <w:topLinePunct w:val="0"/>
              <w:autoSpaceDE/>
              <w:autoSpaceDN/>
              <w:bidi w:val="0"/>
              <w:adjustRightInd/>
              <w:snapToGrid/>
              <w:spacing w:line="336" w:lineRule="auto"/>
              <w:jc w:val="both"/>
              <w:textAlignment w:val="auto"/>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检测平层状态</w:t>
            </w:r>
          </w:p>
        </w:tc>
      </w:tr>
      <w:tr w14:paraId="6BFC0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1438" w:type="dxa"/>
            <w:vMerge w:val="continue"/>
            <w:vAlign w:val="center"/>
          </w:tcPr>
          <w:p w14:paraId="12FCB914">
            <w:pPr>
              <w:pageBreakBefore w:val="0"/>
              <w:widowControl/>
              <w:kinsoku/>
              <w:wordWrap/>
              <w:overflowPunct/>
              <w:topLinePunct w:val="0"/>
              <w:autoSpaceDE/>
              <w:autoSpaceDN/>
              <w:bidi w:val="0"/>
              <w:adjustRightInd/>
              <w:snapToGrid/>
              <w:spacing w:line="336" w:lineRule="auto"/>
              <w:ind w:firstLine="480"/>
              <w:jc w:val="both"/>
              <w:textAlignment w:val="auto"/>
              <w:rPr>
                <w:rFonts w:ascii="宋体" w:hAnsi="宋体" w:eastAsia="宋体" w:cs="宋体"/>
                <w:color w:val="auto"/>
                <w:kern w:val="0"/>
                <w:sz w:val="24"/>
                <w:highlight w:val="none"/>
                <w:lang w:bidi="ar"/>
              </w:rPr>
            </w:pPr>
          </w:p>
        </w:tc>
        <w:tc>
          <w:tcPr>
            <w:tcW w:w="1753" w:type="dxa"/>
            <w:vAlign w:val="center"/>
          </w:tcPr>
          <w:p w14:paraId="7DAD48ED">
            <w:pPr>
              <w:pageBreakBefore w:val="0"/>
              <w:widowControl/>
              <w:kinsoku/>
              <w:wordWrap/>
              <w:overflowPunct/>
              <w:topLinePunct w:val="0"/>
              <w:autoSpaceDE/>
              <w:autoSpaceDN/>
              <w:bidi w:val="0"/>
              <w:adjustRightInd/>
              <w:snapToGrid/>
              <w:spacing w:line="336" w:lineRule="auto"/>
              <w:jc w:val="both"/>
              <w:textAlignment w:val="auto"/>
              <w:rPr>
                <w:rFonts w:hint="eastAsia" w:ascii="宋体" w:hAnsi="宋体" w:eastAsia="宋体" w:cs="宋体"/>
                <w:color w:val="auto"/>
                <w:kern w:val="0"/>
                <w:sz w:val="24"/>
                <w:highlight w:val="none"/>
                <w:lang w:eastAsia="zh-CN" w:bidi="ar"/>
              </w:rPr>
            </w:pPr>
            <w:r>
              <w:rPr>
                <w:rFonts w:hint="eastAsia" w:ascii="宋体" w:hAnsi="宋体" w:eastAsia="宋体" w:cs="宋体"/>
                <w:color w:val="auto"/>
                <w:kern w:val="0"/>
                <w:sz w:val="24"/>
                <w:highlight w:val="none"/>
                <w:lang w:eastAsia="zh-CN" w:bidi="ar"/>
              </w:rPr>
              <w:t>称重检测</w:t>
            </w:r>
          </w:p>
        </w:tc>
        <w:tc>
          <w:tcPr>
            <w:tcW w:w="6107" w:type="dxa"/>
            <w:vAlign w:val="center"/>
          </w:tcPr>
          <w:p w14:paraId="0D8CAA52">
            <w:pPr>
              <w:pageBreakBefore w:val="0"/>
              <w:widowControl/>
              <w:kinsoku/>
              <w:wordWrap/>
              <w:overflowPunct/>
              <w:topLinePunct w:val="0"/>
              <w:autoSpaceDE/>
              <w:autoSpaceDN/>
              <w:bidi w:val="0"/>
              <w:adjustRightInd/>
              <w:snapToGrid/>
              <w:spacing w:line="336" w:lineRule="auto"/>
              <w:jc w:val="both"/>
              <w:textAlignment w:val="auto"/>
              <w:rPr>
                <w:rFonts w:hint="eastAsia" w:ascii="宋体" w:hAnsi="宋体" w:eastAsia="宋体" w:cs="宋体"/>
                <w:color w:val="auto"/>
                <w:kern w:val="0"/>
                <w:sz w:val="24"/>
                <w:highlight w:val="none"/>
                <w:lang w:eastAsia="zh-CN" w:bidi="ar"/>
              </w:rPr>
            </w:pPr>
            <w:r>
              <w:rPr>
                <w:rFonts w:hint="eastAsia" w:ascii="宋体" w:hAnsi="宋体" w:eastAsia="宋体" w:cs="宋体"/>
                <w:color w:val="auto"/>
                <w:kern w:val="0"/>
                <w:sz w:val="24"/>
                <w:highlight w:val="none"/>
                <w:lang w:eastAsia="zh-CN" w:bidi="ar"/>
              </w:rPr>
              <w:t>货物超重过载检测</w:t>
            </w:r>
          </w:p>
        </w:tc>
      </w:tr>
      <w:tr w14:paraId="3D712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2" w:hRule="atLeast"/>
        </w:trPr>
        <w:tc>
          <w:tcPr>
            <w:tcW w:w="3191" w:type="dxa"/>
            <w:gridSpan w:val="2"/>
            <w:vAlign w:val="center"/>
          </w:tcPr>
          <w:p w14:paraId="3DFCB0DE">
            <w:pPr>
              <w:pageBreakBefore w:val="0"/>
              <w:widowControl/>
              <w:kinsoku/>
              <w:wordWrap/>
              <w:overflowPunct/>
              <w:topLinePunct w:val="0"/>
              <w:autoSpaceDE/>
              <w:autoSpaceDN/>
              <w:bidi w:val="0"/>
              <w:adjustRightInd/>
              <w:snapToGrid/>
              <w:spacing w:line="336" w:lineRule="auto"/>
              <w:ind w:firstLine="480"/>
              <w:jc w:val="both"/>
              <w:textAlignment w:val="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bidi="ar"/>
              </w:rPr>
              <w:t>操作台</w:t>
            </w:r>
          </w:p>
          <w:p w14:paraId="26F83BDD">
            <w:pPr>
              <w:pageBreakBefore w:val="0"/>
              <w:widowControl/>
              <w:kinsoku/>
              <w:wordWrap/>
              <w:overflowPunct/>
              <w:topLinePunct w:val="0"/>
              <w:autoSpaceDE/>
              <w:autoSpaceDN/>
              <w:bidi w:val="0"/>
              <w:adjustRightInd/>
              <w:snapToGrid/>
              <w:spacing w:line="336" w:lineRule="auto"/>
              <w:ind w:firstLine="480"/>
              <w:jc w:val="both"/>
              <w:textAlignment w:val="auto"/>
              <w:rPr>
                <w:rFonts w:ascii="宋体" w:hAnsi="宋体" w:eastAsia="宋体" w:cs="宋体"/>
                <w:color w:val="auto"/>
                <w:kern w:val="0"/>
                <w:sz w:val="24"/>
                <w:highlight w:val="none"/>
                <w:lang w:bidi="ar"/>
              </w:rPr>
            </w:pPr>
          </w:p>
        </w:tc>
        <w:tc>
          <w:tcPr>
            <w:tcW w:w="6107" w:type="dxa"/>
            <w:vAlign w:val="center"/>
          </w:tcPr>
          <w:p w14:paraId="4B18007A">
            <w:pPr>
              <w:pageBreakBefore w:val="0"/>
              <w:widowControl/>
              <w:kinsoku/>
              <w:wordWrap/>
              <w:overflowPunct/>
              <w:topLinePunct w:val="0"/>
              <w:autoSpaceDE/>
              <w:autoSpaceDN/>
              <w:bidi w:val="0"/>
              <w:adjustRightInd/>
              <w:snapToGrid/>
              <w:spacing w:line="336" w:lineRule="auto"/>
              <w:jc w:val="both"/>
              <w:textAlignment w:val="auto"/>
              <w:rPr>
                <w:color w:val="auto"/>
                <w:highlight w:val="none"/>
              </w:rPr>
            </w:pPr>
            <w:r>
              <w:rPr>
                <w:rFonts w:hint="eastAsia" w:ascii="宋体" w:hAnsi="宋体" w:eastAsia="宋体" w:cs="宋体"/>
                <w:color w:val="auto"/>
                <w:kern w:val="0"/>
                <w:sz w:val="24"/>
                <w:highlight w:val="none"/>
                <w:lang w:bidi="ar"/>
              </w:rPr>
              <w:t>液晶触摸屏</w:t>
            </w:r>
            <w:r>
              <w:rPr>
                <w:rFonts w:hint="eastAsia" w:ascii="宋体" w:hAnsi="宋体" w:cs="宋体"/>
                <w:color w:val="auto"/>
                <w:kern w:val="0"/>
                <w:sz w:val="24"/>
                <w:highlight w:val="none"/>
                <w:lang w:val="en-US" w:eastAsia="zh-CN" w:bidi="ar"/>
              </w:rPr>
              <w:t>、</w:t>
            </w:r>
            <w:r>
              <w:rPr>
                <w:rFonts w:hint="eastAsia" w:ascii="宋体" w:hAnsi="宋体" w:eastAsia="宋体" w:cs="宋体"/>
                <w:color w:val="auto"/>
                <w:kern w:val="0"/>
                <w:sz w:val="24"/>
                <w:highlight w:val="none"/>
                <w:lang w:bidi="ar"/>
              </w:rPr>
              <w:t>定制操作面板</w:t>
            </w:r>
            <w:r>
              <w:rPr>
                <w:rFonts w:hint="eastAsia" w:ascii="宋体" w:hAnsi="宋体" w:cs="宋体"/>
                <w:color w:val="auto"/>
                <w:kern w:val="0"/>
                <w:sz w:val="24"/>
                <w:highlight w:val="none"/>
                <w:lang w:val="en-US" w:eastAsia="zh-CN" w:bidi="ar"/>
              </w:rPr>
              <w:t>、</w:t>
            </w:r>
            <w:r>
              <w:rPr>
                <w:rFonts w:hint="eastAsia" w:ascii="宋体" w:hAnsi="宋体" w:eastAsia="宋体" w:cs="宋体"/>
                <w:color w:val="auto"/>
                <w:kern w:val="0"/>
                <w:sz w:val="24"/>
                <w:highlight w:val="none"/>
                <w:lang w:bidi="ar"/>
              </w:rPr>
              <w:t>发光微动按钮</w:t>
            </w:r>
            <w:r>
              <w:rPr>
                <w:rFonts w:hint="eastAsia" w:ascii="宋体" w:hAnsi="宋体" w:cs="宋体"/>
                <w:color w:val="auto"/>
                <w:kern w:val="0"/>
                <w:sz w:val="24"/>
                <w:highlight w:val="none"/>
                <w:lang w:val="en-US" w:eastAsia="zh-CN" w:bidi="ar"/>
              </w:rPr>
              <w:t>、</w:t>
            </w:r>
            <w:r>
              <w:rPr>
                <w:rFonts w:hint="eastAsia" w:ascii="宋体" w:hAnsi="宋体" w:eastAsia="宋体" w:cs="宋体"/>
                <w:color w:val="auto"/>
                <w:kern w:val="0"/>
                <w:sz w:val="24"/>
                <w:highlight w:val="none"/>
                <w:lang w:bidi="ar"/>
              </w:rPr>
              <w:t>基站钥匙开关</w:t>
            </w:r>
            <w:r>
              <w:rPr>
                <w:rFonts w:hint="eastAsia" w:ascii="宋体" w:hAnsi="宋体" w:cs="宋体"/>
                <w:color w:val="auto"/>
                <w:kern w:val="0"/>
                <w:sz w:val="24"/>
                <w:highlight w:val="none"/>
                <w:lang w:val="en-US" w:eastAsia="zh-CN" w:bidi="ar"/>
              </w:rPr>
              <w:t>、</w:t>
            </w:r>
            <w:r>
              <w:rPr>
                <w:rFonts w:hint="eastAsia" w:ascii="宋体" w:hAnsi="宋体" w:eastAsia="宋体" w:cs="宋体"/>
                <w:color w:val="auto"/>
                <w:kern w:val="0"/>
                <w:sz w:val="24"/>
                <w:highlight w:val="none"/>
                <w:lang w:bidi="ar"/>
              </w:rPr>
              <w:t xml:space="preserve">手自动切换开关 </w:t>
            </w:r>
          </w:p>
          <w:p w14:paraId="1E16AB97">
            <w:pPr>
              <w:pageBreakBefore w:val="0"/>
              <w:widowControl/>
              <w:kinsoku/>
              <w:wordWrap/>
              <w:overflowPunct/>
              <w:topLinePunct w:val="0"/>
              <w:autoSpaceDE/>
              <w:autoSpaceDN/>
              <w:bidi w:val="0"/>
              <w:adjustRightInd/>
              <w:snapToGrid/>
              <w:spacing w:line="336" w:lineRule="auto"/>
              <w:jc w:val="both"/>
              <w:textAlignment w:val="auto"/>
              <w:rPr>
                <w:rFonts w:hint="eastAsia" w:ascii="宋体" w:hAnsi="宋体" w:eastAsia="宋体" w:cs="宋体"/>
                <w:color w:val="auto"/>
                <w:kern w:val="0"/>
                <w:sz w:val="24"/>
                <w:highlight w:val="none"/>
                <w:lang w:bidi="ar"/>
              </w:rPr>
            </w:pPr>
            <w:r>
              <w:rPr>
                <w:rFonts w:hint="eastAsia" w:ascii="宋体" w:hAnsi="宋体" w:cs="宋体"/>
                <w:color w:val="auto"/>
                <w:kern w:val="0"/>
                <w:sz w:val="24"/>
                <w:highlight w:val="none"/>
                <w:lang w:val="en-US" w:eastAsia="zh-CN" w:bidi="ar"/>
              </w:rPr>
              <w:t>、</w:t>
            </w:r>
            <w:r>
              <w:rPr>
                <w:rFonts w:hint="eastAsia" w:ascii="宋体" w:hAnsi="宋体" w:eastAsia="宋体" w:cs="宋体"/>
                <w:color w:val="auto"/>
                <w:kern w:val="0"/>
                <w:sz w:val="24"/>
                <w:highlight w:val="none"/>
                <w:lang w:bidi="ar"/>
              </w:rPr>
              <w:t>红绿黄输送台工作状态三色灯</w:t>
            </w:r>
            <w:r>
              <w:rPr>
                <w:rFonts w:hint="eastAsia" w:ascii="宋体" w:hAnsi="宋体" w:cs="宋体"/>
                <w:color w:val="auto"/>
                <w:kern w:val="0"/>
                <w:sz w:val="24"/>
                <w:highlight w:val="none"/>
                <w:lang w:val="en-US" w:eastAsia="zh-CN" w:bidi="ar"/>
              </w:rPr>
              <w:t>、</w:t>
            </w:r>
            <w:r>
              <w:rPr>
                <w:rFonts w:hint="eastAsia" w:ascii="宋体" w:hAnsi="宋体" w:eastAsia="宋体" w:cs="宋体"/>
                <w:color w:val="auto"/>
                <w:kern w:val="0"/>
                <w:sz w:val="24"/>
                <w:highlight w:val="none"/>
                <w:lang w:bidi="ar"/>
              </w:rPr>
              <w:t>每层配置急停开关</w:t>
            </w:r>
            <w:r>
              <w:rPr>
                <w:rFonts w:hint="eastAsia" w:ascii="宋体" w:hAnsi="宋体" w:cs="宋体"/>
                <w:color w:val="auto"/>
                <w:kern w:val="0"/>
                <w:sz w:val="24"/>
                <w:highlight w:val="none"/>
                <w:lang w:val="en-US" w:eastAsia="zh-CN" w:bidi="ar"/>
              </w:rPr>
              <w:t>、</w:t>
            </w:r>
          </w:p>
          <w:p w14:paraId="3998A060">
            <w:pPr>
              <w:pageBreakBefore w:val="0"/>
              <w:kinsoku/>
              <w:wordWrap/>
              <w:overflowPunct/>
              <w:topLinePunct w:val="0"/>
              <w:autoSpaceDE/>
              <w:autoSpaceDN/>
              <w:bidi w:val="0"/>
              <w:adjustRightInd/>
              <w:snapToGrid/>
              <w:spacing w:line="336" w:lineRule="auto"/>
              <w:jc w:val="both"/>
              <w:textAlignment w:val="auto"/>
              <w:rPr>
                <w:rFonts w:hint="eastAsia"/>
                <w:color w:val="auto"/>
                <w:sz w:val="24"/>
                <w:szCs w:val="24"/>
                <w:highlight w:val="none"/>
                <w:lang w:val="en-US" w:eastAsia="zh-CN"/>
              </w:rPr>
            </w:pPr>
            <w:r>
              <w:rPr>
                <w:rFonts w:hint="eastAsia" w:ascii="宋体" w:hAnsi="宋体" w:eastAsia="宋体" w:cs="宋体"/>
                <w:color w:val="auto"/>
                <w:kern w:val="0"/>
                <w:sz w:val="24"/>
                <w:highlight w:val="none"/>
                <w:lang w:val="en-US" w:eastAsia="zh-CN" w:bidi="ar"/>
              </w:rPr>
              <w:t>对讲机</w:t>
            </w:r>
            <w:r>
              <w:rPr>
                <w:rFonts w:hint="eastAsia" w:ascii="宋体" w:hAnsi="宋体" w:cs="宋体"/>
                <w:color w:val="auto"/>
                <w:kern w:val="0"/>
                <w:sz w:val="24"/>
                <w:highlight w:val="none"/>
                <w:lang w:val="en-US" w:eastAsia="zh-CN" w:bidi="ar"/>
              </w:rPr>
              <w:t>、</w:t>
            </w:r>
            <w:r>
              <w:rPr>
                <w:rFonts w:hint="eastAsia"/>
                <w:color w:val="auto"/>
                <w:sz w:val="24"/>
                <w:szCs w:val="24"/>
                <w:highlight w:val="none"/>
                <w:lang w:val="en-US" w:eastAsia="zh-CN"/>
              </w:rPr>
              <w:t>产量统计</w:t>
            </w:r>
            <w:r>
              <w:rPr>
                <w:rFonts w:hint="eastAsia" w:ascii="宋体" w:hAnsi="宋体" w:cs="宋体"/>
                <w:color w:val="auto"/>
                <w:kern w:val="0"/>
                <w:sz w:val="24"/>
                <w:highlight w:val="none"/>
                <w:lang w:val="en-US" w:eastAsia="zh-CN" w:bidi="ar"/>
              </w:rPr>
              <w:t>、</w:t>
            </w:r>
            <w:r>
              <w:rPr>
                <w:rFonts w:hint="eastAsia"/>
                <w:color w:val="auto"/>
                <w:sz w:val="24"/>
                <w:szCs w:val="24"/>
                <w:highlight w:val="none"/>
                <w:lang w:val="en-US" w:eastAsia="zh-CN"/>
              </w:rPr>
              <w:t>电机电流、转矩、转速实时显示</w:t>
            </w:r>
            <w:r>
              <w:rPr>
                <w:rFonts w:hint="eastAsia" w:ascii="宋体" w:hAnsi="宋体" w:cs="宋体"/>
                <w:color w:val="auto"/>
                <w:kern w:val="0"/>
                <w:sz w:val="24"/>
                <w:highlight w:val="none"/>
                <w:lang w:val="en-US" w:eastAsia="zh-CN" w:bidi="ar"/>
              </w:rPr>
              <w:t>、</w:t>
            </w:r>
          </w:p>
          <w:p w14:paraId="60E6B55A">
            <w:pPr>
              <w:pageBreakBefore w:val="0"/>
              <w:kinsoku/>
              <w:wordWrap/>
              <w:overflowPunct/>
              <w:topLinePunct w:val="0"/>
              <w:autoSpaceDE/>
              <w:autoSpaceDN/>
              <w:bidi w:val="0"/>
              <w:adjustRightInd/>
              <w:snapToGrid/>
              <w:spacing w:line="336" w:lineRule="auto"/>
              <w:jc w:val="both"/>
              <w:textAlignment w:val="auto"/>
              <w:rPr>
                <w:rFonts w:hint="default"/>
                <w:color w:val="auto"/>
                <w:sz w:val="24"/>
                <w:szCs w:val="24"/>
                <w:highlight w:val="none"/>
                <w:lang w:val="en-US" w:eastAsia="zh-CN"/>
              </w:rPr>
            </w:pPr>
            <w:r>
              <w:rPr>
                <w:rFonts w:hint="eastAsia"/>
                <w:color w:val="auto"/>
                <w:sz w:val="24"/>
                <w:szCs w:val="24"/>
                <w:highlight w:val="none"/>
                <w:lang w:val="en-US" w:eastAsia="zh-CN"/>
              </w:rPr>
              <w:t>链条拉力显示</w:t>
            </w:r>
            <w:r>
              <w:rPr>
                <w:rFonts w:hint="eastAsia" w:ascii="宋体" w:hAnsi="宋体" w:cs="宋体"/>
                <w:color w:val="auto"/>
                <w:kern w:val="0"/>
                <w:sz w:val="24"/>
                <w:highlight w:val="none"/>
                <w:lang w:val="en-US" w:eastAsia="zh-CN" w:bidi="ar"/>
              </w:rPr>
              <w:t>、</w:t>
            </w:r>
            <w:r>
              <w:rPr>
                <w:rFonts w:hint="eastAsia"/>
                <w:color w:val="auto"/>
                <w:sz w:val="24"/>
                <w:szCs w:val="24"/>
                <w:highlight w:val="none"/>
                <w:lang w:val="en-US" w:eastAsia="zh-CN"/>
              </w:rPr>
              <w:t>报警、故障实时显示设备到期保养提示</w:t>
            </w:r>
          </w:p>
        </w:tc>
      </w:tr>
    </w:tbl>
    <w:p w14:paraId="340DF13C">
      <w:pPr>
        <w:widowControl/>
        <w:jc w:val="both"/>
        <w:rPr>
          <w:rFonts w:hint="eastAsia" w:ascii="宋体" w:hAnsi="宋体" w:eastAsia="宋体" w:cs="宋体"/>
          <w:b/>
          <w:bCs/>
          <w:color w:val="auto"/>
          <w:kern w:val="0"/>
          <w:sz w:val="24"/>
          <w:szCs w:val="24"/>
          <w:highlight w:val="none"/>
          <w:lang w:val="en-US" w:eastAsia="zh-CN" w:bidi="ar"/>
        </w:rPr>
      </w:pPr>
      <w:r>
        <w:rPr>
          <w:rFonts w:hint="eastAsia" w:ascii="宋体" w:hAnsi="宋体" w:cs="宋体"/>
          <w:b/>
          <w:bCs/>
          <w:color w:val="auto"/>
          <w:kern w:val="0"/>
          <w:sz w:val="24"/>
          <w:szCs w:val="24"/>
          <w:highlight w:val="none"/>
          <w:lang w:val="en-US" w:eastAsia="zh-CN" w:bidi="ar"/>
        </w:rPr>
        <w:t>2.5提升机功能描述</w:t>
      </w:r>
    </w:p>
    <w:tbl>
      <w:tblPr>
        <w:tblStyle w:val="53"/>
        <w:tblW w:w="92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1"/>
        <w:gridCol w:w="2047"/>
        <w:gridCol w:w="6100"/>
      </w:tblGrid>
      <w:tr w14:paraId="14F48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198" w:type="dxa"/>
            <w:gridSpan w:val="2"/>
            <w:vAlign w:val="center"/>
          </w:tcPr>
          <w:p w14:paraId="01A03F17">
            <w:pPr>
              <w:widowControl/>
              <w:ind w:firstLine="480"/>
              <w:jc w:val="both"/>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功能</w:t>
            </w:r>
          </w:p>
        </w:tc>
        <w:tc>
          <w:tcPr>
            <w:tcW w:w="6100" w:type="dxa"/>
            <w:vAlign w:val="center"/>
          </w:tcPr>
          <w:p w14:paraId="180B7D8F">
            <w:pPr>
              <w:widowControl/>
              <w:ind w:firstLine="480"/>
              <w:jc w:val="both"/>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功能说明</w:t>
            </w:r>
          </w:p>
        </w:tc>
      </w:tr>
      <w:tr w14:paraId="7E6B3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151" w:type="dxa"/>
            <w:vMerge w:val="restart"/>
            <w:textDirection w:val="tbRlV"/>
            <w:vAlign w:val="center"/>
          </w:tcPr>
          <w:p w14:paraId="450D8CFA">
            <w:pPr>
              <w:bidi w:val="0"/>
              <w:jc w:val="both"/>
              <w:rPr>
                <w:color w:val="auto"/>
                <w:highlight w:val="none"/>
              </w:rPr>
            </w:pPr>
          </w:p>
          <w:p w14:paraId="1D4BDF2D">
            <w:pPr>
              <w:pStyle w:val="6"/>
              <w:ind w:left="0" w:leftChars="0" w:firstLine="0" w:firstLineChars="0"/>
              <w:jc w:val="both"/>
              <w:rPr>
                <w:rFonts w:hint="default" w:ascii="宋体" w:hAnsi="宋体" w:eastAsia="宋体" w:cs="宋体"/>
                <w:color w:val="auto"/>
                <w:kern w:val="0"/>
                <w:sz w:val="24"/>
                <w:highlight w:val="none"/>
                <w:lang w:val="en-US" w:eastAsia="zh-CN" w:bidi="ar"/>
              </w:rPr>
            </w:pPr>
            <w:r>
              <w:rPr>
                <w:rFonts w:hint="eastAsia" w:ascii="宋体" w:hAnsi="宋体" w:eastAsia="宋体" w:cs="宋体"/>
                <w:b w:val="0"/>
                <w:bCs w:val="0"/>
                <w:color w:val="auto"/>
                <w:kern w:val="0"/>
                <w:sz w:val="24"/>
                <w:szCs w:val="24"/>
                <w:highlight w:val="none"/>
                <w:lang w:val="en-US" w:eastAsia="zh-CN" w:bidi="ar"/>
              </w:rPr>
              <w:t>安全功能</w:t>
            </w:r>
          </w:p>
          <w:p w14:paraId="408E1ED7">
            <w:pPr>
              <w:jc w:val="both"/>
              <w:rPr>
                <w:color w:val="auto"/>
                <w:highlight w:val="none"/>
              </w:rPr>
            </w:pPr>
          </w:p>
          <w:p w14:paraId="33288A92">
            <w:pPr>
              <w:jc w:val="both"/>
              <w:rPr>
                <w:rFonts w:ascii="宋体" w:hAnsi="宋体" w:eastAsia="宋体" w:cs="宋体"/>
                <w:color w:val="auto"/>
                <w:kern w:val="0"/>
                <w:sz w:val="24"/>
                <w:highlight w:val="none"/>
                <w:lang w:bidi="ar"/>
              </w:rPr>
            </w:pPr>
          </w:p>
          <w:p w14:paraId="1EED8A7D">
            <w:pPr>
              <w:pStyle w:val="6"/>
              <w:jc w:val="both"/>
              <w:rPr>
                <w:rFonts w:ascii="宋体" w:hAnsi="宋体" w:eastAsia="宋体" w:cs="宋体"/>
                <w:color w:val="auto"/>
                <w:kern w:val="0"/>
                <w:sz w:val="24"/>
                <w:highlight w:val="none"/>
                <w:lang w:bidi="ar"/>
              </w:rPr>
            </w:pPr>
          </w:p>
          <w:p w14:paraId="23DDA4EF">
            <w:pPr>
              <w:jc w:val="both"/>
              <w:rPr>
                <w:rFonts w:ascii="宋体" w:hAnsi="宋体" w:eastAsia="宋体" w:cs="宋体"/>
                <w:color w:val="auto"/>
                <w:kern w:val="0"/>
                <w:sz w:val="24"/>
                <w:highlight w:val="none"/>
                <w:lang w:bidi="ar"/>
              </w:rPr>
            </w:pPr>
          </w:p>
          <w:p w14:paraId="1574A486">
            <w:pPr>
              <w:pStyle w:val="6"/>
              <w:jc w:val="both"/>
              <w:rPr>
                <w:rFonts w:ascii="宋体" w:hAnsi="宋体" w:eastAsia="宋体" w:cs="宋体"/>
                <w:color w:val="auto"/>
                <w:kern w:val="0"/>
                <w:sz w:val="24"/>
                <w:highlight w:val="none"/>
                <w:lang w:bidi="ar"/>
              </w:rPr>
            </w:pPr>
          </w:p>
          <w:p w14:paraId="1101D5D4">
            <w:pPr>
              <w:jc w:val="both"/>
              <w:rPr>
                <w:rFonts w:ascii="宋体" w:hAnsi="宋体" w:eastAsia="宋体" w:cs="宋体"/>
                <w:color w:val="auto"/>
                <w:kern w:val="0"/>
                <w:sz w:val="24"/>
                <w:highlight w:val="none"/>
                <w:lang w:bidi="ar"/>
              </w:rPr>
            </w:pPr>
          </w:p>
          <w:p w14:paraId="14376A3F">
            <w:pPr>
              <w:pStyle w:val="6"/>
              <w:jc w:val="both"/>
              <w:rPr>
                <w:rFonts w:ascii="宋体" w:hAnsi="宋体" w:eastAsia="宋体" w:cs="宋体"/>
                <w:color w:val="auto"/>
                <w:kern w:val="0"/>
                <w:sz w:val="24"/>
                <w:highlight w:val="none"/>
                <w:lang w:bidi="ar"/>
              </w:rPr>
            </w:pPr>
          </w:p>
          <w:p w14:paraId="5E1EA6EB">
            <w:pPr>
              <w:jc w:val="both"/>
              <w:rPr>
                <w:rFonts w:ascii="宋体" w:hAnsi="宋体" w:eastAsia="宋体" w:cs="宋体"/>
                <w:color w:val="auto"/>
                <w:kern w:val="0"/>
                <w:sz w:val="24"/>
                <w:highlight w:val="none"/>
                <w:lang w:bidi="ar"/>
              </w:rPr>
            </w:pPr>
          </w:p>
          <w:p w14:paraId="2347EB5A">
            <w:pPr>
              <w:pStyle w:val="6"/>
              <w:jc w:val="both"/>
              <w:rPr>
                <w:rFonts w:ascii="宋体" w:hAnsi="宋体" w:eastAsia="宋体" w:cs="宋体"/>
                <w:color w:val="auto"/>
                <w:kern w:val="0"/>
                <w:sz w:val="24"/>
                <w:highlight w:val="none"/>
                <w:lang w:bidi="ar"/>
              </w:rPr>
            </w:pPr>
          </w:p>
          <w:p w14:paraId="12EB9EE1">
            <w:pPr>
              <w:jc w:val="both"/>
              <w:rPr>
                <w:rFonts w:ascii="宋体" w:hAnsi="宋体" w:eastAsia="宋体" w:cs="宋体"/>
                <w:color w:val="auto"/>
                <w:kern w:val="0"/>
                <w:sz w:val="24"/>
                <w:highlight w:val="none"/>
                <w:lang w:bidi="ar"/>
              </w:rPr>
            </w:pPr>
          </w:p>
          <w:p w14:paraId="23F2E536">
            <w:pPr>
              <w:pStyle w:val="6"/>
              <w:jc w:val="both"/>
              <w:rPr>
                <w:rFonts w:ascii="宋体" w:hAnsi="宋体" w:eastAsia="宋体" w:cs="宋体"/>
                <w:color w:val="auto"/>
                <w:kern w:val="0"/>
                <w:sz w:val="24"/>
                <w:highlight w:val="none"/>
                <w:lang w:bidi="ar"/>
              </w:rPr>
            </w:pPr>
          </w:p>
          <w:p w14:paraId="005746E0">
            <w:pPr>
              <w:jc w:val="both"/>
              <w:rPr>
                <w:color w:val="auto"/>
                <w:highlight w:val="none"/>
              </w:rPr>
            </w:pPr>
          </w:p>
        </w:tc>
        <w:tc>
          <w:tcPr>
            <w:tcW w:w="2047" w:type="dxa"/>
            <w:vAlign w:val="center"/>
          </w:tcPr>
          <w:p w14:paraId="6330D81F">
            <w:pPr>
              <w:widowControl/>
              <w:jc w:val="both"/>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bidi="ar"/>
              </w:rPr>
              <w:t>超载保护</w:t>
            </w:r>
          </w:p>
        </w:tc>
        <w:tc>
          <w:tcPr>
            <w:tcW w:w="6100" w:type="dxa"/>
            <w:vAlign w:val="center"/>
          </w:tcPr>
          <w:p w14:paraId="547BB93C">
            <w:pPr>
              <w:widowControl/>
              <w:jc w:val="both"/>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bidi="ar"/>
              </w:rPr>
              <w:t xml:space="preserve">超过允许的最大载重时，设备禁止启动运行。 </w:t>
            </w:r>
          </w:p>
        </w:tc>
      </w:tr>
      <w:tr w14:paraId="135A9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151" w:type="dxa"/>
            <w:vMerge w:val="continue"/>
            <w:vAlign w:val="center"/>
          </w:tcPr>
          <w:p w14:paraId="27DD97D8">
            <w:pPr>
              <w:widowControl/>
              <w:ind w:firstLine="480"/>
              <w:jc w:val="both"/>
              <w:rPr>
                <w:rFonts w:ascii="宋体" w:hAnsi="宋体" w:eastAsia="宋体" w:cs="宋体"/>
                <w:color w:val="auto"/>
                <w:kern w:val="0"/>
                <w:sz w:val="24"/>
                <w:highlight w:val="none"/>
                <w:lang w:bidi="ar"/>
              </w:rPr>
            </w:pPr>
          </w:p>
        </w:tc>
        <w:tc>
          <w:tcPr>
            <w:tcW w:w="2047" w:type="dxa"/>
            <w:vAlign w:val="center"/>
          </w:tcPr>
          <w:p w14:paraId="730C67AC">
            <w:pPr>
              <w:widowControl/>
              <w:jc w:val="both"/>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超速保护</w:t>
            </w:r>
          </w:p>
        </w:tc>
        <w:tc>
          <w:tcPr>
            <w:tcW w:w="6100" w:type="dxa"/>
            <w:vAlign w:val="center"/>
          </w:tcPr>
          <w:p w14:paraId="2561DC06">
            <w:pPr>
              <w:widowControl/>
              <w:jc w:val="both"/>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bidi="ar"/>
              </w:rPr>
              <w:t>超过额定提升或下降的速度时，设备进行制停保护，并进入 故障保护状态。</w:t>
            </w:r>
          </w:p>
        </w:tc>
      </w:tr>
      <w:tr w14:paraId="5695F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151" w:type="dxa"/>
            <w:vMerge w:val="continue"/>
            <w:vAlign w:val="center"/>
          </w:tcPr>
          <w:p w14:paraId="492E02EA">
            <w:pPr>
              <w:widowControl/>
              <w:ind w:firstLine="480"/>
              <w:jc w:val="both"/>
              <w:rPr>
                <w:rFonts w:ascii="宋体" w:hAnsi="宋体" w:eastAsia="宋体" w:cs="宋体"/>
                <w:color w:val="auto"/>
                <w:kern w:val="0"/>
                <w:sz w:val="24"/>
                <w:highlight w:val="none"/>
                <w:lang w:bidi="ar"/>
              </w:rPr>
            </w:pPr>
          </w:p>
        </w:tc>
        <w:tc>
          <w:tcPr>
            <w:tcW w:w="2047" w:type="dxa"/>
            <w:vAlign w:val="center"/>
          </w:tcPr>
          <w:p w14:paraId="6C6068AD">
            <w:pPr>
              <w:widowControl/>
              <w:jc w:val="both"/>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bidi="ar"/>
              </w:rPr>
              <w:t>外形检测</w:t>
            </w:r>
          </w:p>
        </w:tc>
        <w:tc>
          <w:tcPr>
            <w:tcW w:w="6100" w:type="dxa"/>
            <w:vAlign w:val="center"/>
          </w:tcPr>
          <w:p w14:paraId="58DF823E">
            <w:pPr>
              <w:widowControl/>
              <w:jc w:val="both"/>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bidi="ar"/>
              </w:rPr>
              <w:t>超出规定尺寸的货物，设备不能启动。</w:t>
            </w:r>
          </w:p>
        </w:tc>
      </w:tr>
      <w:tr w14:paraId="5544E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151" w:type="dxa"/>
            <w:vMerge w:val="continue"/>
            <w:vAlign w:val="center"/>
          </w:tcPr>
          <w:p w14:paraId="25AEA5ED">
            <w:pPr>
              <w:widowControl/>
              <w:ind w:firstLine="480"/>
              <w:jc w:val="both"/>
              <w:rPr>
                <w:rFonts w:ascii="宋体" w:hAnsi="宋体" w:eastAsia="宋体" w:cs="宋体"/>
                <w:color w:val="auto"/>
                <w:kern w:val="0"/>
                <w:sz w:val="24"/>
                <w:highlight w:val="none"/>
                <w:lang w:bidi="ar"/>
              </w:rPr>
            </w:pPr>
          </w:p>
        </w:tc>
        <w:tc>
          <w:tcPr>
            <w:tcW w:w="2047" w:type="dxa"/>
            <w:vAlign w:val="center"/>
          </w:tcPr>
          <w:p w14:paraId="7FB3406B">
            <w:pPr>
              <w:widowControl/>
              <w:jc w:val="both"/>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水平输送机限位保护</w:t>
            </w:r>
          </w:p>
        </w:tc>
        <w:tc>
          <w:tcPr>
            <w:tcW w:w="6100" w:type="dxa"/>
            <w:vAlign w:val="center"/>
          </w:tcPr>
          <w:p w14:paraId="3E1409FC">
            <w:pPr>
              <w:widowControl/>
              <w:jc w:val="both"/>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bidi="ar"/>
              </w:rPr>
              <w:t>货物未完全放入输送线或输送时超出输送线，通过机械和电气的联动装置使设备不能启动或停止运行。</w:t>
            </w:r>
          </w:p>
        </w:tc>
      </w:tr>
      <w:tr w14:paraId="6EC09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151" w:type="dxa"/>
            <w:vMerge w:val="continue"/>
            <w:vAlign w:val="center"/>
          </w:tcPr>
          <w:p w14:paraId="077E8BFA">
            <w:pPr>
              <w:widowControl/>
              <w:ind w:firstLine="480"/>
              <w:jc w:val="both"/>
              <w:rPr>
                <w:rFonts w:ascii="宋体" w:hAnsi="宋体" w:eastAsia="宋体" w:cs="宋体"/>
                <w:color w:val="auto"/>
                <w:kern w:val="0"/>
                <w:sz w:val="24"/>
                <w:highlight w:val="none"/>
                <w:lang w:bidi="ar"/>
              </w:rPr>
            </w:pPr>
          </w:p>
        </w:tc>
        <w:tc>
          <w:tcPr>
            <w:tcW w:w="2047" w:type="dxa"/>
            <w:vAlign w:val="center"/>
          </w:tcPr>
          <w:p w14:paraId="3BF27013">
            <w:pPr>
              <w:widowControl/>
              <w:jc w:val="both"/>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终端越位保护</w:t>
            </w:r>
          </w:p>
        </w:tc>
        <w:tc>
          <w:tcPr>
            <w:tcW w:w="6100" w:type="dxa"/>
            <w:vAlign w:val="center"/>
          </w:tcPr>
          <w:p w14:paraId="7E759513">
            <w:pPr>
              <w:widowControl/>
              <w:jc w:val="both"/>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bidi="ar"/>
              </w:rPr>
              <w:t>提升机货箱超越上下站端极限位置时，启动保护，防止越程</w:t>
            </w:r>
            <w:r>
              <w:rPr>
                <w:rFonts w:hint="eastAsia" w:ascii="宋体" w:hAnsi="宋体" w:eastAsia="宋体" w:cs="宋体"/>
                <w:color w:val="auto"/>
                <w:kern w:val="0"/>
                <w:sz w:val="24"/>
                <w:highlight w:val="none"/>
                <w:lang w:eastAsia="zh-CN" w:bidi="ar"/>
              </w:rPr>
              <w:t>。</w:t>
            </w:r>
          </w:p>
        </w:tc>
      </w:tr>
      <w:tr w14:paraId="25355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151" w:type="dxa"/>
            <w:vMerge w:val="continue"/>
            <w:vAlign w:val="center"/>
          </w:tcPr>
          <w:p w14:paraId="540F2920">
            <w:pPr>
              <w:widowControl/>
              <w:ind w:firstLine="480"/>
              <w:jc w:val="both"/>
              <w:rPr>
                <w:rFonts w:ascii="宋体" w:hAnsi="宋体" w:eastAsia="宋体" w:cs="宋体"/>
                <w:color w:val="auto"/>
                <w:kern w:val="0"/>
                <w:sz w:val="24"/>
                <w:highlight w:val="none"/>
                <w:lang w:bidi="ar"/>
              </w:rPr>
            </w:pPr>
          </w:p>
        </w:tc>
        <w:tc>
          <w:tcPr>
            <w:tcW w:w="2047" w:type="dxa"/>
            <w:vAlign w:val="center"/>
          </w:tcPr>
          <w:p w14:paraId="50E7B384">
            <w:pPr>
              <w:widowControl/>
              <w:jc w:val="both"/>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 xml:space="preserve">底坑缓冲器保护 </w:t>
            </w:r>
          </w:p>
        </w:tc>
        <w:tc>
          <w:tcPr>
            <w:tcW w:w="6100" w:type="dxa"/>
            <w:vAlign w:val="center"/>
          </w:tcPr>
          <w:p w14:paraId="2D703583">
            <w:pPr>
              <w:widowControl/>
              <w:jc w:val="both"/>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轿厢的最后一道安全保障，减缓坠落冲击。</w:t>
            </w:r>
          </w:p>
        </w:tc>
      </w:tr>
      <w:tr w14:paraId="1D0BC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151" w:type="dxa"/>
            <w:vMerge w:val="continue"/>
            <w:vAlign w:val="center"/>
          </w:tcPr>
          <w:p w14:paraId="7FD18097">
            <w:pPr>
              <w:widowControl/>
              <w:ind w:firstLine="480"/>
              <w:jc w:val="both"/>
              <w:rPr>
                <w:rFonts w:ascii="宋体" w:hAnsi="宋体" w:eastAsia="宋体" w:cs="宋体"/>
                <w:color w:val="auto"/>
                <w:kern w:val="0"/>
                <w:sz w:val="24"/>
                <w:highlight w:val="none"/>
                <w:lang w:bidi="ar"/>
              </w:rPr>
            </w:pPr>
          </w:p>
        </w:tc>
        <w:tc>
          <w:tcPr>
            <w:tcW w:w="2047" w:type="dxa"/>
            <w:vAlign w:val="center"/>
          </w:tcPr>
          <w:p w14:paraId="28B016A6">
            <w:pPr>
              <w:widowControl/>
              <w:jc w:val="both"/>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轿厢顶部缓冲器保护</w:t>
            </w:r>
          </w:p>
        </w:tc>
        <w:tc>
          <w:tcPr>
            <w:tcW w:w="6100" w:type="dxa"/>
            <w:vAlign w:val="center"/>
          </w:tcPr>
          <w:p w14:paraId="7EDBCF29">
            <w:pPr>
              <w:widowControl/>
              <w:jc w:val="both"/>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减缓轿厢冲顶冲击</w:t>
            </w:r>
          </w:p>
        </w:tc>
      </w:tr>
      <w:tr w14:paraId="0A597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151" w:type="dxa"/>
            <w:vMerge w:val="continue"/>
            <w:vAlign w:val="center"/>
          </w:tcPr>
          <w:p w14:paraId="74297AF6">
            <w:pPr>
              <w:widowControl/>
              <w:ind w:firstLine="480"/>
              <w:jc w:val="both"/>
              <w:rPr>
                <w:rFonts w:ascii="宋体" w:hAnsi="宋体" w:eastAsia="宋体" w:cs="宋体"/>
                <w:color w:val="auto"/>
                <w:kern w:val="0"/>
                <w:sz w:val="24"/>
                <w:highlight w:val="none"/>
                <w:lang w:bidi="ar"/>
              </w:rPr>
            </w:pPr>
          </w:p>
        </w:tc>
        <w:tc>
          <w:tcPr>
            <w:tcW w:w="2047" w:type="dxa"/>
            <w:vAlign w:val="center"/>
          </w:tcPr>
          <w:p w14:paraId="40690F23">
            <w:pPr>
              <w:widowControl/>
              <w:jc w:val="both"/>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门锁回路保</w:t>
            </w:r>
            <w:r>
              <w:rPr>
                <w:rFonts w:hint="eastAsia" w:ascii="宋体" w:hAnsi="宋体" w:eastAsia="宋体" w:cs="宋体"/>
                <w:color w:val="auto"/>
                <w:kern w:val="0"/>
                <w:sz w:val="24"/>
                <w:highlight w:val="none"/>
                <w:lang w:val="en-US" w:eastAsia="zh-CN" w:bidi="ar"/>
              </w:rPr>
              <w:t>护</w:t>
            </w:r>
          </w:p>
        </w:tc>
        <w:tc>
          <w:tcPr>
            <w:tcW w:w="6100" w:type="dxa"/>
            <w:vAlign w:val="center"/>
          </w:tcPr>
          <w:p w14:paraId="05E1F34F">
            <w:pPr>
              <w:widowControl/>
              <w:jc w:val="both"/>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bidi="ar"/>
              </w:rPr>
              <w:t>货物不在平层位置时，自动门保持关闭；自动门未完全关闭 时，设备不能启动运行</w:t>
            </w:r>
          </w:p>
        </w:tc>
      </w:tr>
      <w:tr w14:paraId="2D999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151" w:type="dxa"/>
            <w:vMerge w:val="continue"/>
            <w:vAlign w:val="center"/>
          </w:tcPr>
          <w:p w14:paraId="5C5BD4E3">
            <w:pPr>
              <w:widowControl/>
              <w:ind w:firstLine="480"/>
              <w:jc w:val="both"/>
              <w:rPr>
                <w:rFonts w:ascii="宋体" w:hAnsi="宋体" w:eastAsia="宋体" w:cs="宋体"/>
                <w:color w:val="auto"/>
                <w:kern w:val="0"/>
                <w:sz w:val="24"/>
                <w:highlight w:val="none"/>
                <w:lang w:bidi="ar"/>
              </w:rPr>
            </w:pPr>
          </w:p>
        </w:tc>
        <w:tc>
          <w:tcPr>
            <w:tcW w:w="2047" w:type="dxa"/>
            <w:vAlign w:val="center"/>
          </w:tcPr>
          <w:p w14:paraId="68878875">
            <w:pPr>
              <w:widowControl/>
              <w:jc w:val="both"/>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bidi="ar"/>
              </w:rPr>
              <w:t>门安全保护</w:t>
            </w:r>
          </w:p>
        </w:tc>
        <w:tc>
          <w:tcPr>
            <w:tcW w:w="6100" w:type="dxa"/>
            <w:vAlign w:val="center"/>
          </w:tcPr>
          <w:p w14:paraId="4752AD44">
            <w:pPr>
              <w:widowControl/>
              <w:jc w:val="both"/>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bidi="ar"/>
              </w:rPr>
              <w:t>货物通过自动门时，自动门保持打开状态。</w:t>
            </w:r>
          </w:p>
        </w:tc>
      </w:tr>
      <w:tr w14:paraId="08F9B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151" w:type="dxa"/>
            <w:vMerge w:val="continue"/>
            <w:vAlign w:val="center"/>
          </w:tcPr>
          <w:p w14:paraId="686B03D1">
            <w:pPr>
              <w:widowControl/>
              <w:ind w:firstLine="480"/>
              <w:jc w:val="both"/>
              <w:rPr>
                <w:rFonts w:ascii="宋体" w:hAnsi="宋体" w:eastAsia="宋体" w:cs="宋体"/>
                <w:color w:val="auto"/>
                <w:kern w:val="0"/>
                <w:sz w:val="24"/>
                <w:highlight w:val="none"/>
                <w:lang w:bidi="ar"/>
              </w:rPr>
            </w:pPr>
          </w:p>
        </w:tc>
        <w:tc>
          <w:tcPr>
            <w:tcW w:w="2047" w:type="dxa"/>
            <w:vAlign w:val="center"/>
          </w:tcPr>
          <w:p w14:paraId="6D7C858A">
            <w:pPr>
              <w:widowControl/>
              <w:jc w:val="both"/>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bidi="ar"/>
              </w:rPr>
              <w:t>自动门系统</w:t>
            </w:r>
          </w:p>
        </w:tc>
        <w:tc>
          <w:tcPr>
            <w:tcW w:w="6100" w:type="dxa"/>
            <w:vAlign w:val="center"/>
          </w:tcPr>
          <w:p w14:paraId="178E7AA7">
            <w:pPr>
              <w:widowControl/>
              <w:jc w:val="both"/>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bidi="ar"/>
              </w:rPr>
              <w:t>自动开关门，保障货物运行过程中的安全</w:t>
            </w:r>
          </w:p>
        </w:tc>
      </w:tr>
      <w:tr w14:paraId="52D56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151" w:type="dxa"/>
            <w:vMerge w:val="continue"/>
            <w:vAlign w:val="center"/>
          </w:tcPr>
          <w:p w14:paraId="5C4F6328">
            <w:pPr>
              <w:widowControl/>
              <w:ind w:firstLine="480"/>
              <w:jc w:val="both"/>
              <w:rPr>
                <w:rFonts w:ascii="宋体" w:hAnsi="宋体" w:eastAsia="宋体" w:cs="宋体"/>
                <w:color w:val="auto"/>
                <w:kern w:val="0"/>
                <w:sz w:val="24"/>
                <w:highlight w:val="none"/>
                <w:lang w:bidi="ar"/>
              </w:rPr>
            </w:pPr>
          </w:p>
        </w:tc>
        <w:tc>
          <w:tcPr>
            <w:tcW w:w="2047" w:type="dxa"/>
            <w:vAlign w:val="center"/>
          </w:tcPr>
          <w:p w14:paraId="272A57F6">
            <w:pPr>
              <w:widowControl/>
              <w:jc w:val="both"/>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安全回路保护</w:t>
            </w:r>
          </w:p>
        </w:tc>
        <w:tc>
          <w:tcPr>
            <w:tcW w:w="6100" w:type="dxa"/>
            <w:vAlign w:val="center"/>
          </w:tcPr>
          <w:p w14:paraId="5955E3EC">
            <w:pPr>
              <w:widowControl/>
              <w:jc w:val="both"/>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bidi="ar"/>
              </w:rPr>
              <w:t>设备在关键部位设置安全保护开关，安全开关串联成回路用于控制主接触器的线圈，以保护任何关键部位失效时切断主动力输出。</w:t>
            </w:r>
          </w:p>
        </w:tc>
      </w:tr>
      <w:tr w14:paraId="769D8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151" w:type="dxa"/>
            <w:vMerge w:val="continue"/>
            <w:vAlign w:val="center"/>
          </w:tcPr>
          <w:p w14:paraId="4158F14E">
            <w:pPr>
              <w:widowControl/>
              <w:ind w:firstLine="480"/>
              <w:jc w:val="both"/>
              <w:rPr>
                <w:rFonts w:ascii="宋体" w:hAnsi="宋体" w:eastAsia="宋体" w:cs="宋体"/>
                <w:color w:val="auto"/>
                <w:kern w:val="0"/>
                <w:sz w:val="24"/>
                <w:highlight w:val="none"/>
                <w:lang w:bidi="ar"/>
              </w:rPr>
            </w:pPr>
          </w:p>
        </w:tc>
        <w:tc>
          <w:tcPr>
            <w:tcW w:w="2047" w:type="dxa"/>
            <w:vAlign w:val="center"/>
          </w:tcPr>
          <w:p w14:paraId="0E2A5E05">
            <w:pPr>
              <w:widowControl/>
              <w:jc w:val="both"/>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链条保护</w:t>
            </w:r>
          </w:p>
        </w:tc>
        <w:tc>
          <w:tcPr>
            <w:tcW w:w="6100" w:type="dxa"/>
            <w:vAlign w:val="center"/>
          </w:tcPr>
          <w:p w14:paraId="6737B2D5">
            <w:pPr>
              <w:widowControl/>
              <w:jc w:val="both"/>
              <w:rPr>
                <w:rFonts w:hint="eastAsia" w:ascii="宋体" w:hAnsi="宋体" w:eastAsia="宋体" w:cs="宋体"/>
                <w:color w:val="auto"/>
                <w:kern w:val="0"/>
                <w:sz w:val="24"/>
                <w:highlight w:val="none"/>
                <w:lang w:eastAsia="zh-CN" w:bidi="ar"/>
              </w:rPr>
            </w:pPr>
            <w:r>
              <w:rPr>
                <w:rFonts w:hint="eastAsia" w:ascii="宋体" w:hAnsi="宋体" w:eastAsia="宋体" w:cs="宋体"/>
                <w:color w:val="auto"/>
                <w:kern w:val="0"/>
                <w:sz w:val="24"/>
                <w:highlight w:val="none"/>
                <w:lang w:bidi="ar"/>
              </w:rPr>
              <w:t>链条松动或断裂时，设备禁止启动运行</w:t>
            </w:r>
            <w:r>
              <w:rPr>
                <w:rFonts w:hint="eastAsia" w:ascii="宋体" w:hAnsi="宋体" w:eastAsia="宋体" w:cs="宋体"/>
                <w:color w:val="auto"/>
                <w:kern w:val="0"/>
                <w:sz w:val="24"/>
                <w:highlight w:val="none"/>
                <w:lang w:eastAsia="zh-CN" w:bidi="ar"/>
              </w:rPr>
              <w:t>。</w:t>
            </w:r>
          </w:p>
        </w:tc>
      </w:tr>
      <w:tr w14:paraId="18CC0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151" w:type="dxa"/>
            <w:vMerge w:val="continue"/>
            <w:vAlign w:val="center"/>
          </w:tcPr>
          <w:p w14:paraId="78E54515">
            <w:pPr>
              <w:widowControl/>
              <w:ind w:firstLine="480"/>
              <w:jc w:val="both"/>
              <w:rPr>
                <w:rFonts w:ascii="宋体" w:hAnsi="宋体" w:eastAsia="宋体" w:cs="宋体"/>
                <w:color w:val="auto"/>
                <w:kern w:val="0"/>
                <w:sz w:val="24"/>
                <w:highlight w:val="none"/>
                <w:lang w:bidi="ar"/>
              </w:rPr>
            </w:pPr>
          </w:p>
        </w:tc>
        <w:tc>
          <w:tcPr>
            <w:tcW w:w="2047" w:type="dxa"/>
            <w:vAlign w:val="center"/>
          </w:tcPr>
          <w:p w14:paraId="35477982">
            <w:pPr>
              <w:widowControl/>
              <w:jc w:val="both"/>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断相、错相保护</w:t>
            </w:r>
          </w:p>
        </w:tc>
        <w:tc>
          <w:tcPr>
            <w:tcW w:w="6100" w:type="dxa"/>
            <w:vAlign w:val="center"/>
          </w:tcPr>
          <w:p w14:paraId="7167CDEE">
            <w:pPr>
              <w:widowControl/>
              <w:jc w:val="both"/>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bidi="ar"/>
              </w:rPr>
              <w:t>当供电电源错相、断相或相位不平衡时，设备进入安全保护状态</w:t>
            </w:r>
          </w:p>
        </w:tc>
      </w:tr>
      <w:tr w14:paraId="369A8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151" w:type="dxa"/>
            <w:vMerge w:val="continue"/>
            <w:vAlign w:val="center"/>
          </w:tcPr>
          <w:p w14:paraId="3B2B5016">
            <w:pPr>
              <w:widowControl/>
              <w:ind w:firstLine="480"/>
              <w:jc w:val="both"/>
              <w:rPr>
                <w:rFonts w:ascii="宋体" w:hAnsi="宋体" w:eastAsia="宋体" w:cs="宋体"/>
                <w:color w:val="auto"/>
                <w:kern w:val="0"/>
                <w:sz w:val="24"/>
                <w:highlight w:val="none"/>
                <w:lang w:bidi="ar"/>
              </w:rPr>
            </w:pPr>
          </w:p>
        </w:tc>
        <w:tc>
          <w:tcPr>
            <w:tcW w:w="2047" w:type="dxa"/>
            <w:vAlign w:val="center"/>
          </w:tcPr>
          <w:p w14:paraId="606EF256">
            <w:pPr>
              <w:widowControl/>
              <w:ind w:firstLine="480"/>
              <w:jc w:val="both"/>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急停</w:t>
            </w:r>
          </w:p>
        </w:tc>
        <w:tc>
          <w:tcPr>
            <w:tcW w:w="6100" w:type="dxa"/>
            <w:vAlign w:val="center"/>
          </w:tcPr>
          <w:p w14:paraId="24848A36">
            <w:pPr>
              <w:jc w:val="both"/>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设备在使用和维护中，用于停止设备运行或禁止启动的紧急按钮</w:t>
            </w:r>
          </w:p>
        </w:tc>
      </w:tr>
      <w:tr w14:paraId="24910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151" w:type="dxa"/>
            <w:vMerge w:val="restart"/>
            <w:textDirection w:val="tbLrV"/>
            <w:vAlign w:val="center"/>
          </w:tcPr>
          <w:p w14:paraId="28F15174">
            <w:pPr>
              <w:widowControl/>
              <w:ind w:left="113" w:right="113" w:firstLine="480"/>
              <w:jc w:val="both"/>
              <w:rPr>
                <w:rFonts w:ascii="宋体" w:hAnsi="宋体" w:eastAsia="宋体" w:cs="宋体"/>
                <w:color w:val="auto"/>
                <w:kern w:val="0"/>
                <w:sz w:val="24"/>
                <w:highlight w:val="none"/>
                <w:lang w:bidi="ar"/>
              </w:rPr>
            </w:pPr>
          </w:p>
        </w:tc>
        <w:tc>
          <w:tcPr>
            <w:tcW w:w="2047" w:type="dxa"/>
            <w:vAlign w:val="center"/>
          </w:tcPr>
          <w:p w14:paraId="6E2A4DDC">
            <w:pPr>
              <w:widowControl/>
              <w:jc w:val="both"/>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手动/自换操作</w:t>
            </w:r>
          </w:p>
        </w:tc>
        <w:tc>
          <w:tcPr>
            <w:tcW w:w="6100" w:type="dxa"/>
            <w:vAlign w:val="center"/>
          </w:tcPr>
          <w:p w14:paraId="0213F139">
            <w:pPr>
              <w:widowControl/>
              <w:jc w:val="both"/>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bidi="ar"/>
              </w:rPr>
              <w:t>可通过手动/自动切换开关对货物进行手动/自动进出货操作</w:t>
            </w:r>
          </w:p>
        </w:tc>
      </w:tr>
      <w:tr w14:paraId="2DE72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151" w:type="dxa"/>
            <w:vMerge w:val="continue"/>
            <w:vAlign w:val="center"/>
          </w:tcPr>
          <w:p w14:paraId="4FCC7344">
            <w:pPr>
              <w:widowControl/>
              <w:ind w:firstLine="480"/>
              <w:jc w:val="both"/>
              <w:rPr>
                <w:rFonts w:ascii="宋体" w:hAnsi="宋体" w:eastAsia="宋体" w:cs="宋体"/>
                <w:color w:val="auto"/>
                <w:kern w:val="0"/>
                <w:sz w:val="24"/>
                <w:highlight w:val="none"/>
                <w:lang w:bidi="ar"/>
              </w:rPr>
            </w:pPr>
          </w:p>
        </w:tc>
        <w:tc>
          <w:tcPr>
            <w:tcW w:w="2047" w:type="dxa"/>
            <w:vAlign w:val="center"/>
          </w:tcPr>
          <w:p w14:paraId="75C9D3A1">
            <w:pPr>
              <w:widowControl/>
              <w:jc w:val="both"/>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bidi="ar"/>
              </w:rPr>
              <w:t>触摸操作台</w:t>
            </w:r>
          </w:p>
        </w:tc>
        <w:tc>
          <w:tcPr>
            <w:tcW w:w="6100" w:type="dxa"/>
            <w:vAlign w:val="center"/>
          </w:tcPr>
          <w:p w14:paraId="4A33CEAD">
            <w:pPr>
              <w:widowControl/>
              <w:jc w:val="both"/>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bidi="ar"/>
              </w:rPr>
              <w:t>配置触摸液晶屏，每层配置</w:t>
            </w:r>
            <w:r>
              <w:rPr>
                <w:rFonts w:hint="eastAsia" w:ascii="宋体" w:hAnsi="宋体" w:eastAsia="宋体" w:cs="宋体"/>
                <w:color w:val="auto"/>
                <w:kern w:val="0"/>
                <w:sz w:val="24"/>
                <w:highlight w:val="none"/>
                <w:lang w:eastAsia="zh-CN" w:bidi="ar"/>
              </w:rPr>
              <w:t>。</w:t>
            </w:r>
          </w:p>
        </w:tc>
      </w:tr>
      <w:tr w14:paraId="7181F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151" w:type="dxa"/>
            <w:vMerge w:val="continue"/>
            <w:vAlign w:val="center"/>
          </w:tcPr>
          <w:p w14:paraId="2693C249">
            <w:pPr>
              <w:widowControl/>
              <w:ind w:firstLine="480"/>
              <w:jc w:val="both"/>
              <w:rPr>
                <w:rFonts w:ascii="宋体" w:hAnsi="宋体" w:eastAsia="宋体" w:cs="宋体"/>
                <w:color w:val="auto"/>
                <w:kern w:val="0"/>
                <w:sz w:val="24"/>
                <w:highlight w:val="none"/>
                <w:lang w:bidi="ar"/>
              </w:rPr>
            </w:pPr>
          </w:p>
        </w:tc>
        <w:tc>
          <w:tcPr>
            <w:tcW w:w="2047" w:type="dxa"/>
            <w:vAlign w:val="center"/>
          </w:tcPr>
          <w:p w14:paraId="44244D2E">
            <w:pPr>
              <w:widowControl/>
              <w:jc w:val="both"/>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bidi="ar"/>
              </w:rPr>
              <w:t>操作台按钮调度</w:t>
            </w:r>
            <w:r>
              <w:rPr>
                <w:rFonts w:hint="eastAsia" w:ascii="宋体" w:hAnsi="宋体" w:eastAsia="宋体" w:cs="宋体"/>
                <w:color w:val="auto"/>
                <w:kern w:val="0"/>
                <w:sz w:val="24"/>
                <w:highlight w:val="none"/>
              </w:rPr>
              <w:t>（手动）</w:t>
            </w:r>
          </w:p>
        </w:tc>
        <w:tc>
          <w:tcPr>
            <w:tcW w:w="6100" w:type="dxa"/>
            <w:vAlign w:val="center"/>
          </w:tcPr>
          <w:p w14:paraId="1EEDF744">
            <w:pPr>
              <w:widowControl/>
              <w:jc w:val="both"/>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bidi="ar"/>
              </w:rPr>
              <w:t>通过操作台上的对应按钮完成某层站的货物发送到目标层站 的调度操作</w:t>
            </w:r>
          </w:p>
        </w:tc>
      </w:tr>
      <w:tr w14:paraId="500DD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151" w:type="dxa"/>
            <w:vMerge w:val="continue"/>
            <w:vAlign w:val="center"/>
          </w:tcPr>
          <w:p w14:paraId="7BDAEDED">
            <w:pPr>
              <w:widowControl/>
              <w:ind w:firstLine="480"/>
              <w:jc w:val="both"/>
              <w:rPr>
                <w:rFonts w:ascii="宋体" w:hAnsi="宋体" w:eastAsia="宋体" w:cs="宋体"/>
                <w:color w:val="auto"/>
                <w:kern w:val="0"/>
                <w:sz w:val="24"/>
                <w:highlight w:val="none"/>
                <w:lang w:bidi="ar"/>
              </w:rPr>
            </w:pPr>
          </w:p>
        </w:tc>
        <w:tc>
          <w:tcPr>
            <w:tcW w:w="2047" w:type="dxa"/>
            <w:vAlign w:val="center"/>
          </w:tcPr>
          <w:p w14:paraId="68F21D87">
            <w:pPr>
              <w:widowControl/>
              <w:jc w:val="both"/>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锁定通道运行功能（自动）</w:t>
            </w:r>
          </w:p>
        </w:tc>
        <w:tc>
          <w:tcPr>
            <w:tcW w:w="6100" w:type="dxa"/>
            <w:vAlign w:val="center"/>
          </w:tcPr>
          <w:p w14:paraId="41922A13">
            <w:pPr>
              <w:widowControl/>
              <w:jc w:val="both"/>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bidi="ar"/>
              </w:rPr>
              <w:t>通过操作台的功能设置，设备锁定一独立的调度通道。优先满足该通道的运货要求，其他层站不执行进出货功能</w:t>
            </w:r>
            <w:r>
              <w:rPr>
                <w:rFonts w:hint="eastAsia" w:ascii="宋体" w:hAnsi="宋体" w:eastAsia="宋体" w:cs="宋体"/>
                <w:color w:val="auto"/>
                <w:kern w:val="0"/>
                <w:sz w:val="24"/>
                <w:highlight w:val="none"/>
                <w:lang w:eastAsia="zh-CN" w:bidi="ar"/>
              </w:rPr>
              <w:t>。</w:t>
            </w:r>
          </w:p>
        </w:tc>
      </w:tr>
      <w:tr w14:paraId="5E10A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151" w:type="dxa"/>
            <w:vMerge w:val="continue"/>
            <w:vAlign w:val="center"/>
          </w:tcPr>
          <w:p w14:paraId="71786D1D">
            <w:pPr>
              <w:widowControl/>
              <w:ind w:firstLine="480"/>
              <w:jc w:val="both"/>
              <w:rPr>
                <w:rFonts w:ascii="宋体" w:hAnsi="宋体" w:eastAsia="宋体" w:cs="宋体"/>
                <w:color w:val="auto"/>
                <w:kern w:val="0"/>
                <w:sz w:val="24"/>
                <w:highlight w:val="none"/>
                <w:lang w:bidi="ar"/>
              </w:rPr>
            </w:pPr>
          </w:p>
        </w:tc>
        <w:tc>
          <w:tcPr>
            <w:tcW w:w="2047" w:type="dxa"/>
            <w:vAlign w:val="center"/>
          </w:tcPr>
          <w:p w14:paraId="05506D7E">
            <w:pPr>
              <w:widowControl/>
              <w:jc w:val="both"/>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定向运行功能</w:t>
            </w:r>
          </w:p>
        </w:tc>
        <w:tc>
          <w:tcPr>
            <w:tcW w:w="6100" w:type="dxa"/>
            <w:vAlign w:val="center"/>
          </w:tcPr>
          <w:p w14:paraId="4B7F0564">
            <w:pPr>
              <w:widowControl/>
              <w:jc w:val="both"/>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bidi="ar"/>
              </w:rPr>
              <w:t>通过操作台的可设置每一层的默认目标出货层站。当输送台放置货物后，系统自动检测并发货到初始设置的目标层站</w:t>
            </w:r>
            <w:r>
              <w:rPr>
                <w:rFonts w:hint="eastAsia" w:ascii="宋体" w:hAnsi="宋体" w:eastAsia="宋体" w:cs="宋体"/>
                <w:color w:val="auto"/>
                <w:kern w:val="0"/>
                <w:sz w:val="24"/>
                <w:highlight w:val="none"/>
                <w:lang w:eastAsia="zh-CN" w:bidi="ar"/>
              </w:rPr>
              <w:t>。</w:t>
            </w:r>
          </w:p>
        </w:tc>
      </w:tr>
      <w:tr w14:paraId="56A1F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151" w:type="dxa"/>
            <w:vMerge w:val="continue"/>
            <w:textDirection w:val="tbLrV"/>
            <w:vAlign w:val="center"/>
          </w:tcPr>
          <w:p w14:paraId="04A60E07">
            <w:pPr>
              <w:widowControl/>
              <w:ind w:left="113" w:right="113"/>
              <w:jc w:val="both"/>
              <w:rPr>
                <w:rFonts w:ascii="宋体" w:hAnsi="宋体" w:eastAsia="宋体" w:cs="宋体"/>
                <w:color w:val="auto"/>
                <w:kern w:val="0"/>
                <w:sz w:val="24"/>
                <w:highlight w:val="none"/>
              </w:rPr>
            </w:pPr>
          </w:p>
        </w:tc>
        <w:tc>
          <w:tcPr>
            <w:tcW w:w="2047" w:type="dxa"/>
            <w:vAlign w:val="center"/>
          </w:tcPr>
          <w:p w14:paraId="2C6026F2">
            <w:pPr>
              <w:widowControl/>
              <w:jc w:val="both"/>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bidi="ar"/>
              </w:rPr>
              <w:t>货物到站提醒</w:t>
            </w:r>
          </w:p>
        </w:tc>
        <w:tc>
          <w:tcPr>
            <w:tcW w:w="6100" w:type="dxa"/>
            <w:vAlign w:val="center"/>
          </w:tcPr>
          <w:p w14:paraId="65C15460">
            <w:pPr>
              <w:widowControl/>
              <w:jc w:val="both"/>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bidi="ar"/>
              </w:rPr>
              <w:t>楼层货物未及时卸货，当货厢到达该楼层警铃报警</w:t>
            </w:r>
          </w:p>
        </w:tc>
      </w:tr>
      <w:tr w14:paraId="5730A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151" w:type="dxa"/>
            <w:vMerge w:val="continue"/>
            <w:vAlign w:val="center"/>
          </w:tcPr>
          <w:p w14:paraId="58084C94">
            <w:pPr>
              <w:widowControl/>
              <w:ind w:firstLine="480"/>
              <w:jc w:val="both"/>
              <w:rPr>
                <w:rFonts w:ascii="宋体" w:hAnsi="宋体" w:eastAsia="宋体" w:cs="宋体"/>
                <w:color w:val="auto"/>
                <w:kern w:val="0"/>
                <w:sz w:val="24"/>
                <w:highlight w:val="none"/>
                <w:lang w:bidi="ar"/>
              </w:rPr>
            </w:pPr>
          </w:p>
        </w:tc>
        <w:tc>
          <w:tcPr>
            <w:tcW w:w="2047" w:type="dxa"/>
            <w:vAlign w:val="center"/>
          </w:tcPr>
          <w:p w14:paraId="2B920A1E">
            <w:pPr>
              <w:widowControl/>
              <w:jc w:val="both"/>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bidi="ar"/>
              </w:rPr>
              <w:t>货厢位置指示</w:t>
            </w:r>
          </w:p>
        </w:tc>
        <w:tc>
          <w:tcPr>
            <w:tcW w:w="6100" w:type="dxa"/>
            <w:vAlign w:val="center"/>
          </w:tcPr>
          <w:p w14:paraId="752DCEBF">
            <w:pPr>
              <w:widowControl/>
              <w:jc w:val="both"/>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bidi="ar"/>
              </w:rPr>
              <w:t>货厢所在位置楼层状态显示</w:t>
            </w:r>
          </w:p>
        </w:tc>
      </w:tr>
      <w:tr w14:paraId="66EF2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151" w:type="dxa"/>
            <w:vMerge w:val="continue"/>
            <w:vAlign w:val="center"/>
          </w:tcPr>
          <w:p w14:paraId="4C4D143B">
            <w:pPr>
              <w:widowControl/>
              <w:ind w:firstLine="480"/>
              <w:jc w:val="both"/>
              <w:rPr>
                <w:rFonts w:ascii="宋体" w:hAnsi="宋体" w:eastAsia="宋体" w:cs="宋体"/>
                <w:color w:val="auto"/>
                <w:kern w:val="0"/>
                <w:sz w:val="24"/>
                <w:highlight w:val="none"/>
                <w:lang w:bidi="ar"/>
              </w:rPr>
            </w:pPr>
          </w:p>
        </w:tc>
        <w:tc>
          <w:tcPr>
            <w:tcW w:w="2047" w:type="dxa"/>
            <w:vAlign w:val="center"/>
          </w:tcPr>
          <w:p w14:paraId="600A182E">
            <w:pPr>
              <w:widowControl/>
              <w:jc w:val="both"/>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bidi="ar"/>
              </w:rPr>
              <w:t>货物进出状态指示</w:t>
            </w:r>
          </w:p>
        </w:tc>
        <w:tc>
          <w:tcPr>
            <w:tcW w:w="6100" w:type="dxa"/>
            <w:vAlign w:val="center"/>
          </w:tcPr>
          <w:p w14:paraId="4CB99EFC">
            <w:pPr>
              <w:widowControl/>
              <w:jc w:val="both"/>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bidi="ar"/>
              </w:rPr>
              <w:t>轿厢是保持待机、出货、进货状态</w:t>
            </w:r>
            <w:r>
              <w:rPr>
                <w:rFonts w:hint="eastAsia" w:ascii="宋体" w:hAnsi="宋体" w:eastAsia="宋体" w:cs="宋体"/>
                <w:color w:val="auto"/>
                <w:kern w:val="0"/>
                <w:sz w:val="24"/>
                <w:highlight w:val="none"/>
                <w:lang w:val="en-US" w:eastAsia="zh-CN" w:bidi="ar"/>
              </w:rPr>
              <w:t>显示。</w:t>
            </w:r>
          </w:p>
        </w:tc>
      </w:tr>
      <w:tr w14:paraId="2B758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151" w:type="dxa"/>
            <w:vMerge w:val="continue"/>
            <w:vAlign w:val="center"/>
          </w:tcPr>
          <w:p w14:paraId="3DC1AF67">
            <w:pPr>
              <w:widowControl/>
              <w:ind w:firstLine="480"/>
              <w:jc w:val="both"/>
              <w:rPr>
                <w:rFonts w:ascii="宋体" w:hAnsi="宋体" w:eastAsia="宋体" w:cs="宋体"/>
                <w:color w:val="auto"/>
                <w:kern w:val="0"/>
                <w:sz w:val="24"/>
                <w:highlight w:val="none"/>
                <w:lang w:bidi="ar"/>
              </w:rPr>
            </w:pPr>
          </w:p>
        </w:tc>
        <w:tc>
          <w:tcPr>
            <w:tcW w:w="2047" w:type="dxa"/>
            <w:vAlign w:val="center"/>
          </w:tcPr>
          <w:p w14:paraId="1CC23652">
            <w:pPr>
              <w:widowControl/>
              <w:jc w:val="both"/>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bidi="ar"/>
              </w:rPr>
              <w:t>货物进出目的楼层位置指示</w:t>
            </w:r>
          </w:p>
        </w:tc>
        <w:tc>
          <w:tcPr>
            <w:tcW w:w="6100" w:type="dxa"/>
            <w:vAlign w:val="center"/>
          </w:tcPr>
          <w:p w14:paraId="12240B0B">
            <w:pPr>
              <w:widowControl/>
              <w:jc w:val="both"/>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bidi="ar"/>
              </w:rPr>
              <w:t>显示输送线上的货物被送往具体目标层的数值，及对应设备状态（检修、故障、手动/自动、正常）。</w:t>
            </w:r>
          </w:p>
        </w:tc>
      </w:tr>
      <w:tr w14:paraId="45C80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151" w:type="dxa"/>
            <w:vMerge w:val="continue"/>
            <w:vAlign w:val="center"/>
          </w:tcPr>
          <w:p w14:paraId="22659955">
            <w:pPr>
              <w:widowControl/>
              <w:ind w:firstLine="480"/>
              <w:jc w:val="both"/>
              <w:rPr>
                <w:rFonts w:ascii="宋体" w:hAnsi="宋体" w:eastAsia="宋体" w:cs="宋体"/>
                <w:color w:val="auto"/>
                <w:kern w:val="0"/>
                <w:sz w:val="24"/>
                <w:highlight w:val="none"/>
                <w:lang w:bidi="ar"/>
              </w:rPr>
            </w:pPr>
          </w:p>
        </w:tc>
        <w:tc>
          <w:tcPr>
            <w:tcW w:w="2047" w:type="dxa"/>
            <w:vAlign w:val="center"/>
          </w:tcPr>
          <w:p w14:paraId="5A450D31">
            <w:pPr>
              <w:widowControl/>
              <w:jc w:val="both"/>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信号灯指示</w:t>
            </w:r>
          </w:p>
        </w:tc>
        <w:tc>
          <w:tcPr>
            <w:tcW w:w="6100" w:type="dxa"/>
            <w:vAlign w:val="center"/>
          </w:tcPr>
          <w:p w14:paraId="3303362D">
            <w:pPr>
              <w:widowControl/>
              <w:jc w:val="both"/>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bidi="ar"/>
              </w:rPr>
              <w:t>通过红黄绿三色信号灯提示操作者，是否可以在输送线上放置货物。</w:t>
            </w:r>
          </w:p>
        </w:tc>
      </w:tr>
      <w:tr w14:paraId="2B62B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151" w:type="dxa"/>
            <w:vMerge w:val="continue"/>
            <w:vAlign w:val="center"/>
          </w:tcPr>
          <w:p w14:paraId="14D425E9">
            <w:pPr>
              <w:widowControl/>
              <w:ind w:firstLine="480"/>
              <w:jc w:val="both"/>
              <w:rPr>
                <w:rFonts w:ascii="宋体" w:hAnsi="宋体" w:eastAsia="宋体" w:cs="宋体"/>
                <w:color w:val="auto"/>
                <w:kern w:val="0"/>
                <w:sz w:val="24"/>
                <w:highlight w:val="none"/>
                <w:lang w:bidi="ar"/>
              </w:rPr>
            </w:pPr>
          </w:p>
        </w:tc>
        <w:tc>
          <w:tcPr>
            <w:tcW w:w="2047" w:type="dxa"/>
            <w:vAlign w:val="center"/>
          </w:tcPr>
          <w:p w14:paraId="155F3620">
            <w:pPr>
              <w:widowControl/>
              <w:jc w:val="both"/>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bidi="ar"/>
              </w:rPr>
              <w:t>检修操作</w:t>
            </w:r>
          </w:p>
        </w:tc>
        <w:tc>
          <w:tcPr>
            <w:tcW w:w="6100" w:type="dxa"/>
            <w:vAlign w:val="center"/>
          </w:tcPr>
          <w:p w14:paraId="7AC05B95">
            <w:pPr>
              <w:widowControl/>
              <w:jc w:val="both"/>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bidi="ar"/>
              </w:rPr>
              <w:t>制柜处和轿顶处设置设备的检修操作运行功能。</w:t>
            </w:r>
          </w:p>
        </w:tc>
      </w:tr>
      <w:tr w14:paraId="0DC34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198" w:type="dxa"/>
            <w:gridSpan w:val="2"/>
            <w:vAlign w:val="center"/>
          </w:tcPr>
          <w:p w14:paraId="541302BE">
            <w:pPr>
              <w:widowControl/>
              <w:ind w:firstLine="480"/>
              <w:jc w:val="both"/>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搬运记录、故 障输出</w:t>
            </w:r>
          </w:p>
        </w:tc>
        <w:tc>
          <w:tcPr>
            <w:tcW w:w="6100" w:type="dxa"/>
            <w:vAlign w:val="center"/>
          </w:tcPr>
          <w:p w14:paraId="51E3AE31">
            <w:pPr>
              <w:widowControl/>
              <w:jc w:val="both"/>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bidi="ar"/>
              </w:rPr>
              <w:t>预留通讯</w:t>
            </w:r>
            <w:r>
              <w:rPr>
                <w:rFonts w:hint="eastAsia" w:ascii="宋体" w:hAnsi="宋体" w:eastAsia="宋体" w:cs="宋体"/>
                <w:color w:val="auto"/>
                <w:kern w:val="0"/>
                <w:sz w:val="24"/>
                <w:highlight w:val="none"/>
                <w:lang w:bidi="ar"/>
              </w:rPr>
              <w:t>接口，可按用户的数据格式要求，可输出搬运记录、故障信息等数据，可实现与相关仓储系统数据对接</w:t>
            </w:r>
          </w:p>
        </w:tc>
      </w:tr>
      <w:tr w14:paraId="1DF69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9298" w:type="dxa"/>
            <w:gridSpan w:val="3"/>
            <w:vAlign w:val="center"/>
          </w:tcPr>
          <w:p w14:paraId="75D611ED">
            <w:pPr>
              <w:widowControl/>
              <w:numPr>
                <w:ilvl w:val="0"/>
                <w:numId w:val="0"/>
              </w:numPr>
              <w:autoSpaceDE w:val="0"/>
              <w:autoSpaceDN w:val="0"/>
              <w:adjustRightInd w:val="0"/>
              <w:spacing w:line="420" w:lineRule="exact"/>
              <w:jc w:val="left"/>
              <w:textAlignment w:val="bottom"/>
              <w:rPr>
                <w:rFonts w:hint="eastAsia" w:ascii="宋体" w:hAnsi="宋体" w:eastAsia="宋体" w:cs="宋体"/>
                <w:color w:val="auto"/>
                <w:kern w:val="0"/>
                <w:sz w:val="24"/>
                <w:highlight w:val="none"/>
                <w:lang w:val="en-US" w:eastAsia="zh-CN" w:bidi="ar"/>
              </w:rPr>
            </w:pPr>
            <w:r>
              <w:rPr>
                <w:rFonts w:hint="eastAsia" w:ascii="宋体" w:hAnsi="宋体" w:cs="宋体"/>
                <w:b/>
                <w:bCs/>
                <w:color w:val="auto"/>
                <w:kern w:val="0"/>
                <w:sz w:val="24"/>
                <w:szCs w:val="24"/>
                <w:highlight w:val="none"/>
                <w:lang w:val="en-US" w:eastAsia="zh-CN" w:bidi="en-US"/>
              </w:rPr>
              <w:t>注：</w:t>
            </w:r>
            <w:r>
              <w:rPr>
                <w:rFonts w:hint="eastAsia" w:ascii="宋体" w:hAnsi="宋体" w:cs="宋体"/>
                <w:b/>
                <w:bCs/>
                <w:color w:val="auto"/>
                <w:kern w:val="0"/>
                <w:sz w:val="24"/>
                <w:szCs w:val="24"/>
                <w:highlight w:val="none"/>
                <w:lang w:bidi="en-US"/>
              </w:rPr>
              <w:t>对于该设备的可选功能项，</w:t>
            </w:r>
            <w:r>
              <w:rPr>
                <w:rFonts w:hint="eastAsia" w:ascii="宋体" w:hAnsi="宋体" w:cs="宋体"/>
                <w:b/>
                <w:bCs/>
                <w:color w:val="auto"/>
                <w:kern w:val="0"/>
                <w:sz w:val="24"/>
                <w:szCs w:val="24"/>
                <w:highlight w:val="none"/>
                <w:lang w:val="en-US" w:eastAsia="zh-CN" w:bidi="en-US"/>
              </w:rPr>
              <w:t>中标人可</w:t>
            </w:r>
            <w:r>
              <w:rPr>
                <w:rFonts w:hint="eastAsia" w:ascii="宋体" w:hAnsi="宋体" w:cs="宋体"/>
                <w:b/>
                <w:bCs/>
                <w:color w:val="auto"/>
                <w:kern w:val="0"/>
                <w:sz w:val="24"/>
                <w:szCs w:val="24"/>
                <w:highlight w:val="none"/>
                <w:lang w:bidi="en-US"/>
              </w:rPr>
              <w:t>提出合理建议供甲方进行选择</w:t>
            </w:r>
            <w:r>
              <w:rPr>
                <w:rFonts w:hint="eastAsia" w:ascii="宋体" w:hAnsi="宋体" w:cs="宋体"/>
                <w:b/>
                <w:bCs/>
                <w:color w:val="auto"/>
                <w:kern w:val="0"/>
                <w:sz w:val="24"/>
                <w:szCs w:val="24"/>
                <w:highlight w:val="none"/>
                <w:lang w:eastAsia="zh-CN" w:bidi="en-US"/>
              </w:rPr>
              <w:t>，</w:t>
            </w:r>
            <w:r>
              <w:rPr>
                <w:rFonts w:hint="eastAsia" w:ascii="宋体" w:hAnsi="宋体" w:cs="宋体"/>
                <w:b/>
                <w:bCs/>
                <w:color w:val="auto"/>
                <w:kern w:val="0"/>
                <w:sz w:val="24"/>
                <w:szCs w:val="24"/>
                <w:highlight w:val="none"/>
                <w:lang w:val="en-US" w:eastAsia="zh-CN" w:bidi="en-US"/>
              </w:rPr>
              <w:t>中标价不变。</w:t>
            </w:r>
          </w:p>
        </w:tc>
      </w:tr>
    </w:tbl>
    <w:p w14:paraId="582DA223">
      <w:pPr>
        <w:pStyle w:val="29"/>
        <w:spacing w:line="276" w:lineRule="auto"/>
        <w:rPr>
          <w:rFonts w:hint="default" w:hAnsi="宋体" w:eastAsia="宋体" w:cs="宋体"/>
          <w:b/>
          <w:bCs/>
          <w:color w:val="auto"/>
          <w:sz w:val="24"/>
          <w:highlight w:val="none"/>
          <w:lang w:val="en-US" w:eastAsia="zh-CN"/>
        </w:rPr>
      </w:pPr>
      <w:r>
        <w:rPr>
          <w:rFonts w:hint="eastAsia" w:hAnsi="宋体" w:cs="宋体"/>
          <w:b/>
          <w:bCs/>
          <w:color w:val="auto"/>
          <w:sz w:val="24"/>
          <w:highlight w:val="none"/>
          <w:lang w:val="en-US" w:eastAsia="zh-CN"/>
        </w:rPr>
        <w:t>2.6其他要求说明</w:t>
      </w:r>
    </w:p>
    <w:p w14:paraId="01D5D0B3">
      <w:pPr>
        <w:pStyle w:val="29"/>
        <w:spacing w:line="360" w:lineRule="auto"/>
        <w:rPr>
          <w:rFonts w:hAnsi="宋体" w:eastAsia="宋体" w:cs="宋体"/>
          <w:color w:val="auto"/>
          <w:sz w:val="24"/>
          <w:highlight w:val="none"/>
        </w:rPr>
      </w:pPr>
      <w:r>
        <w:rPr>
          <w:rFonts w:hint="eastAsia" w:hAnsi="宋体" w:cs="宋体"/>
          <w:color w:val="auto"/>
          <w:sz w:val="24"/>
          <w:highlight w:val="none"/>
        </w:rPr>
        <w:t>电气设计应安全、可靠,操作调整方便，宜于维护，电气设计、安装应符合国家</w:t>
      </w:r>
      <w:r>
        <w:rPr>
          <w:rFonts w:hint="eastAsia" w:hAnsi="宋体" w:eastAsia="宋体" w:cs="宋体"/>
          <w:color w:val="auto"/>
          <w:sz w:val="24"/>
          <w:highlight w:val="none"/>
        </w:rPr>
        <w:t>相应标准。</w:t>
      </w:r>
    </w:p>
    <w:p w14:paraId="1D5BC7C7">
      <w:pPr>
        <w:pStyle w:val="29"/>
        <w:numPr>
          <w:ilvl w:val="0"/>
          <w:numId w:val="5"/>
        </w:numPr>
        <w:spacing w:line="276" w:lineRule="auto"/>
        <w:ind w:left="425" w:leftChars="0" w:hanging="425" w:firstLineChars="0"/>
        <w:rPr>
          <w:rFonts w:hint="eastAsia" w:hAnsi="宋体" w:eastAsia="宋体" w:cs="宋体"/>
          <w:color w:val="auto"/>
          <w:sz w:val="24"/>
          <w:highlight w:val="none"/>
        </w:rPr>
      </w:pPr>
      <w:r>
        <w:rPr>
          <w:rFonts w:hint="eastAsia" w:hAnsi="宋体" w:eastAsia="宋体" w:cs="宋体"/>
          <w:color w:val="auto"/>
          <w:sz w:val="24"/>
          <w:highlight w:val="none"/>
        </w:rPr>
        <w:t>电缆线及控制线选用国标电缆</w:t>
      </w:r>
    </w:p>
    <w:p w14:paraId="230DB322">
      <w:pPr>
        <w:pStyle w:val="29"/>
        <w:numPr>
          <w:ilvl w:val="0"/>
          <w:numId w:val="5"/>
        </w:numPr>
        <w:spacing w:line="276" w:lineRule="auto"/>
        <w:ind w:left="425" w:leftChars="0" w:hanging="425" w:firstLineChars="0"/>
        <w:rPr>
          <w:rFonts w:hAnsi="宋体" w:eastAsia="宋体" w:cs="宋体"/>
          <w:color w:val="auto"/>
          <w:sz w:val="24"/>
          <w:highlight w:val="none"/>
        </w:rPr>
      </w:pPr>
      <w:r>
        <w:rPr>
          <w:rFonts w:hint="eastAsia" w:hAnsi="宋体" w:eastAsia="宋体" w:cs="宋体"/>
          <w:color w:val="auto"/>
          <w:sz w:val="24"/>
          <w:highlight w:val="none"/>
        </w:rPr>
        <w:t>控制柜或箱应独立设计，安装在甲方指定位置，便于操作。</w:t>
      </w:r>
    </w:p>
    <w:p w14:paraId="1ADF46E3">
      <w:pPr>
        <w:pStyle w:val="29"/>
        <w:numPr>
          <w:ilvl w:val="0"/>
          <w:numId w:val="5"/>
        </w:numPr>
        <w:spacing w:line="276" w:lineRule="auto"/>
        <w:ind w:left="425" w:leftChars="0" w:hanging="425" w:firstLineChars="0"/>
        <w:rPr>
          <w:rFonts w:hAnsi="宋体" w:eastAsia="宋体" w:cs="宋体"/>
          <w:color w:val="auto"/>
          <w:sz w:val="24"/>
          <w:highlight w:val="none"/>
        </w:rPr>
      </w:pPr>
      <w:r>
        <w:rPr>
          <w:rFonts w:hint="eastAsia" w:hAnsi="宋体" w:eastAsia="宋体" w:cs="宋体"/>
          <w:color w:val="auto"/>
          <w:sz w:val="24"/>
          <w:highlight w:val="none"/>
        </w:rPr>
        <w:t>电气控制设置过载和短路保护装置，设置必要的紧急停止开关。</w:t>
      </w:r>
    </w:p>
    <w:p w14:paraId="220E9218">
      <w:pPr>
        <w:pStyle w:val="29"/>
        <w:numPr>
          <w:ilvl w:val="0"/>
          <w:numId w:val="5"/>
        </w:numPr>
        <w:spacing w:line="276" w:lineRule="auto"/>
        <w:ind w:left="425" w:leftChars="0" w:hanging="425" w:firstLineChars="0"/>
        <w:rPr>
          <w:rFonts w:hAnsi="宋体" w:eastAsia="宋体" w:cs="宋体"/>
          <w:color w:val="auto"/>
          <w:sz w:val="24"/>
          <w:highlight w:val="none"/>
        </w:rPr>
      </w:pPr>
      <w:r>
        <w:rPr>
          <w:rFonts w:hint="eastAsia" w:hAnsi="宋体" w:eastAsia="宋体" w:cs="宋体"/>
          <w:color w:val="auto"/>
          <w:sz w:val="24"/>
          <w:highlight w:val="none"/>
        </w:rPr>
        <w:t>电气控制设置应采用自动及手动两种操作模式，并实现两种模式之间转换功能。</w:t>
      </w:r>
    </w:p>
    <w:p w14:paraId="133B6A73">
      <w:pPr>
        <w:numPr>
          <w:ilvl w:val="0"/>
          <w:numId w:val="5"/>
        </w:numPr>
        <w:spacing w:line="360" w:lineRule="auto"/>
        <w:ind w:left="425" w:leftChars="0" w:hanging="425" w:firstLineChars="0"/>
        <w:rPr>
          <w:rFonts w:hint="eastAsia" w:eastAsia="宋体"/>
          <w:color w:val="auto"/>
          <w:sz w:val="24"/>
          <w:highlight w:val="none"/>
        </w:rPr>
      </w:pPr>
      <w:r>
        <w:rPr>
          <w:rFonts w:hint="eastAsia" w:ascii="宋体" w:hAnsi="宋体" w:eastAsia="宋体" w:cs="宋体"/>
          <w:color w:val="auto"/>
          <w:sz w:val="24"/>
          <w:highlight w:val="none"/>
        </w:rPr>
        <w:t>控制柜器件布置及走线（内部暗敷桥架可采用镀锌桥架进行敷设，线槽需做盖板，防止鼠患）应整齐、美观，导线与器件的连接可靠，导线上线号管标识，并与图纸相符。</w:t>
      </w:r>
      <w:r>
        <w:rPr>
          <w:rFonts w:hint="eastAsia" w:eastAsia="宋体"/>
          <w:color w:val="auto"/>
          <w:sz w:val="24"/>
          <w:highlight w:val="none"/>
        </w:rPr>
        <w:t>电气设备接线与配电箱接线：接线应使用专用的压线鼻进行压接安装，接入配电箱时应每个出线孔只允许接入一根线缆，如需要增加孔需要使用专用开孔器进行开孔不可使用电焊穿孔。</w:t>
      </w:r>
    </w:p>
    <w:p w14:paraId="5C9552A9">
      <w:pPr>
        <w:numPr>
          <w:ilvl w:val="0"/>
          <w:numId w:val="0"/>
        </w:numPr>
        <w:tabs>
          <w:tab w:val="left" w:pos="900"/>
          <w:tab w:val="left" w:pos="1440"/>
        </w:tabs>
        <w:spacing w:line="360" w:lineRule="auto"/>
        <w:ind w:leftChars="0"/>
        <w:rPr>
          <w:rFonts w:hint="eastAsia"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lang w:eastAsia="zh-CN"/>
        </w:rPr>
        <w:t>）</w:t>
      </w:r>
      <w:r>
        <w:rPr>
          <w:rFonts w:hint="eastAsia" w:ascii="宋体" w:hAnsi="宋体" w:cs="宋体"/>
          <w:color w:val="auto"/>
          <w:sz w:val="24"/>
          <w:highlight w:val="none"/>
        </w:rPr>
        <w:t>主控制柜内配一个多用途单相三极 220V / 5A 以上的电源插座，动力箱与控制箱分开配制，防止信号相互干扰；</w:t>
      </w:r>
    </w:p>
    <w:p w14:paraId="1B209ED3">
      <w:pPr>
        <w:numPr>
          <w:ilvl w:val="0"/>
          <w:numId w:val="0"/>
        </w:numPr>
        <w:bidi w:val="0"/>
        <w:ind w:leftChars="0"/>
        <w:rPr>
          <w:rFonts w:hint="eastAsia" w:ascii="宋体" w:hAnsi="宋体" w:eastAsia="宋体" w:cs="宋体"/>
          <w:b/>
          <w:bCs/>
          <w:color w:val="auto"/>
          <w:kern w:val="0"/>
          <w:sz w:val="24"/>
          <w:highlight w:val="none"/>
        </w:rPr>
      </w:pPr>
      <w:r>
        <w:rPr>
          <w:rFonts w:hint="eastAsia" w:ascii="宋体" w:hAnsi="宋体" w:cs="宋体"/>
          <w:color w:val="auto"/>
          <w:sz w:val="24"/>
          <w:highlight w:val="none"/>
          <w:lang w:val="en-US" w:eastAsia="zh-CN"/>
        </w:rPr>
        <w:t>7</w:t>
      </w:r>
      <w:r>
        <w:rPr>
          <w:rFonts w:hint="eastAsia" w:ascii="宋体" w:hAnsi="宋体" w:cs="宋体"/>
          <w:color w:val="auto"/>
          <w:sz w:val="24"/>
          <w:highlight w:val="none"/>
          <w:lang w:eastAsia="zh-CN"/>
        </w:rPr>
        <w:t>）</w:t>
      </w:r>
      <w:r>
        <w:rPr>
          <w:rFonts w:hint="eastAsia" w:ascii="宋体" w:hAnsi="宋体" w:cs="宋体"/>
          <w:color w:val="auto"/>
          <w:sz w:val="24"/>
          <w:highlight w:val="none"/>
        </w:rPr>
        <w:t>总线使用Profinet通讯方式；</w:t>
      </w:r>
    </w:p>
    <w:p w14:paraId="093EF2BD">
      <w:pPr>
        <w:widowControl/>
        <w:spacing w:line="276" w:lineRule="auto"/>
        <w:rPr>
          <w:rFonts w:ascii="宋体" w:hAnsi="宋体" w:eastAsia="宋体" w:cs="宋体"/>
          <w:b/>
          <w:bCs/>
          <w:color w:val="auto"/>
          <w:kern w:val="0"/>
          <w:sz w:val="24"/>
          <w:highlight w:val="none"/>
        </w:rPr>
      </w:pPr>
      <w:r>
        <w:rPr>
          <w:rFonts w:hint="eastAsia" w:ascii="宋体" w:hAnsi="宋体" w:cs="宋体"/>
          <w:b/>
          <w:bCs/>
          <w:color w:val="auto"/>
          <w:kern w:val="0"/>
          <w:sz w:val="24"/>
          <w:highlight w:val="none"/>
          <w:lang w:val="en-US" w:eastAsia="zh-CN"/>
        </w:rPr>
        <w:t>2.7</w:t>
      </w:r>
      <w:r>
        <w:rPr>
          <w:rFonts w:hint="eastAsia" w:ascii="宋体" w:hAnsi="宋体" w:eastAsia="宋体" w:cs="宋体"/>
          <w:b/>
          <w:bCs/>
          <w:color w:val="auto"/>
          <w:kern w:val="0"/>
          <w:sz w:val="24"/>
          <w:highlight w:val="none"/>
        </w:rPr>
        <w:t>电器安全要求：</w:t>
      </w:r>
    </w:p>
    <w:p w14:paraId="6C0EA468">
      <w:pPr>
        <w:pStyle w:val="29"/>
        <w:numPr>
          <w:ilvl w:val="0"/>
          <w:numId w:val="0"/>
        </w:numPr>
        <w:spacing w:line="276" w:lineRule="auto"/>
        <w:ind w:leftChars="0"/>
        <w:rPr>
          <w:rFonts w:hAnsi="宋体" w:eastAsia="宋体" w:cs="宋体"/>
          <w:color w:val="auto"/>
          <w:sz w:val="24"/>
          <w:highlight w:val="none"/>
        </w:rPr>
      </w:pPr>
      <w:r>
        <w:rPr>
          <w:rFonts w:hint="eastAsia" w:hAnsi="宋体" w:cs="宋体"/>
          <w:color w:val="auto"/>
          <w:sz w:val="24"/>
          <w:highlight w:val="none"/>
          <w:lang w:val="en-US" w:eastAsia="zh-CN"/>
        </w:rPr>
        <w:t>1</w:t>
      </w:r>
      <w:r>
        <w:rPr>
          <w:rFonts w:hint="eastAsia" w:hAnsi="宋体" w:cs="宋体"/>
          <w:color w:val="auto"/>
          <w:sz w:val="24"/>
          <w:highlight w:val="none"/>
          <w:lang w:eastAsia="zh-CN"/>
        </w:rPr>
        <w:t>）</w:t>
      </w:r>
      <w:r>
        <w:rPr>
          <w:rFonts w:hint="eastAsia" w:hAnsi="宋体" w:eastAsia="宋体" w:cs="宋体"/>
          <w:color w:val="auto"/>
          <w:sz w:val="24"/>
          <w:highlight w:val="none"/>
        </w:rPr>
        <w:t xml:space="preserve"> 控制系统能保证在设备的供给能源在发生异常时也不会产生危险，设备本身不会损坏，也不会对人员产生伤害，电气控制回路采用DC24V安全电压。</w:t>
      </w:r>
    </w:p>
    <w:p w14:paraId="72A9A6AC">
      <w:pPr>
        <w:pStyle w:val="29"/>
        <w:numPr>
          <w:ilvl w:val="0"/>
          <w:numId w:val="0"/>
        </w:numPr>
        <w:spacing w:line="276" w:lineRule="auto"/>
        <w:ind w:leftChars="0"/>
        <w:rPr>
          <w:rFonts w:hAnsi="宋体" w:eastAsia="宋体" w:cs="宋体"/>
          <w:color w:val="auto"/>
          <w:sz w:val="24"/>
          <w:highlight w:val="none"/>
        </w:rPr>
      </w:pPr>
      <w:r>
        <w:rPr>
          <w:rFonts w:hint="eastAsia" w:hAnsi="宋体" w:cs="宋体"/>
          <w:color w:val="auto"/>
          <w:sz w:val="24"/>
          <w:highlight w:val="none"/>
          <w:lang w:val="en-US" w:eastAsia="zh-CN"/>
        </w:rPr>
        <w:t>2</w:t>
      </w:r>
      <w:r>
        <w:rPr>
          <w:rFonts w:hint="eastAsia" w:hAnsi="宋体" w:cs="宋体"/>
          <w:color w:val="auto"/>
          <w:sz w:val="24"/>
          <w:highlight w:val="none"/>
          <w:lang w:eastAsia="zh-CN"/>
        </w:rPr>
        <w:t>）</w:t>
      </w:r>
      <w:r>
        <w:rPr>
          <w:rFonts w:hint="eastAsia" w:hAnsi="宋体" w:eastAsia="宋体" w:cs="宋体"/>
          <w:color w:val="auto"/>
          <w:sz w:val="24"/>
          <w:highlight w:val="none"/>
        </w:rPr>
        <w:t>控制系统应远离易燃易爆以及高温、高湿、高腐蚀区域，如果无法避免则应设置必要的屏蔽措施，控制柜应具备良好的散热条件。控制线路，应保证即使线路发生故障或损坏也不会造成危害。</w:t>
      </w:r>
    </w:p>
    <w:p w14:paraId="7D523975">
      <w:pPr>
        <w:pStyle w:val="29"/>
        <w:numPr>
          <w:ilvl w:val="0"/>
          <w:numId w:val="0"/>
        </w:numPr>
        <w:spacing w:line="276" w:lineRule="auto"/>
        <w:ind w:leftChars="0"/>
        <w:rPr>
          <w:rFonts w:hAnsi="宋体" w:eastAsia="宋体" w:cs="宋体"/>
          <w:color w:val="auto"/>
          <w:sz w:val="24"/>
          <w:highlight w:val="none"/>
        </w:rPr>
      </w:pPr>
      <w:r>
        <w:rPr>
          <w:rFonts w:hint="eastAsia" w:hAnsi="宋体" w:cs="宋体"/>
          <w:color w:val="auto"/>
          <w:sz w:val="24"/>
          <w:highlight w:val="none"/>
          <w:lang w:val="en-US" w:eastAsia="zh-CN"/>
        </w:rPr>
        <w:t>3</w:t>
      </w:r>
      <w:r>
        <w:rPr>
          <w:rFonts w:hint="eastAsia" w:hAnsi="宋体" w:cs="宋体"/>
          <w:color w:val="auto"/>
          <w:sz w:val="24"/>
          <w:highlight w:val="none"/>
          <w:lang w:eastAsia="zh-CN"/>
        </w:rPr>
        <w:t>）</w:t>
      </w:r>
      <w:r>
        <w:rPr>
          <w:rFonts w:hint="eastAsia" w:hAnsi="宋体" w:eastAsia="宋体" w:cs="宋体"/>
          <w:color w:val="auto"/>
          <w:sz w:val="24"/>
          <w:highlight w:val="none"/>
        </w:rPr>
        <w:t>控制系统放置在操作者便于操作和观察的部位。设备根据具体情况设置了必要的急停开关；配电柜出口周围有防止电线磨损的措施，电源线中间无接头。</w:t>
      </w:r>
    </w:p>
    <w:p w14:paraId="7E2FA5C8">
      <w:pPr>
        <w:pStyle w:val="29"/>
        <w:numPr>
          <w:ilvl w:val="0"/>
          <w:numId w:val="0"/>
        </w:numPr>
        <w:spacing w:line="276" w:lineRule="auto"/>
        <w:ind w:leftChars="0"/>
        <w:rPr>
          <w:rFonts w:hAnsi="宋体" w:eastAsia="宋体" w:cs="宋体"/>
          <w:color w:val="auto"/>
          <w:sz w:val="24"/>
          <w:highlight w:val="none"/>
        </w:rPr>
      </w:pPr>
      <w:r>
        <w:rPr>
          <w:rFonts w:hint="eastAsia" w:hAnsi="宋体" w:cs="宋体"/>
          <w:color w:val="auto"/>
          <w:sz w:val="24"/>
          <w:highlight w:val="none"/>
          <w:lang w:val="en-US" w:eastAsia="zh-CN"/>
        </w:rPr>
        <w:t>4</w:t>
      </w:r>
      <w:r>
        <w:rPr>
          <w:rFonts w:hint="eastAsia" w:hAnsi="宋体" w:cs="宋体"/>
          <w:color w:val="auto"/>
          <w:sz w:val="24"/>
          <w:highlight w:val="none"/>
          <w:lang w:eastAsia="zh-CN"/>
        </w:rPr>
        <w:t>）</w:t>
      </w:r>
      <w:r>
        <w:rPr>
          <w:rFonts w:hint="eastAsia" w:hAnsi="宋体" w:eastAsia="宋体" w:cs="宋体"/>
          <w:color w:val="auto"/>
          <w:sz w:val="24"/>
          <w:highlight w:val="none"/>
        </w:rPr>
        <w:t>设备的电气控制系统：具备过载保护和短路保护功能。当设备的线路发生碰壳时，控制系统在0.1秒内切断该线路的供电。</w:t>
      </w:r>
    </w:p>
    <w:p w14:paraId="5A7B7C8D">
      <w:pPr>
        <w:pStyle w:val="29"/>
        <w:numPr>
          <w:ilvl w:val="0"/>
          <w:numId w:val="0"/>
        </w:numPr>
        <w:spacing w:line="276" w:lineRule="auto"/>
        <w:ind w:leftChars="0"/>
        <w:rPr>
          <w:rFonts w:hAnsi="宋体" w:eastAsia="宋体" w:cs="宋体"/>
          <w:color w:val="auto"/>
          <w:sz w:val="24"/>
          <w:highlight w:val="none"/>
        </w:rPr>
      </w:pPr>
      <w:r>
        <w:rPr>
          <w:rFonts w:hint="eastAsia" w:hAnsi="宋体" w:cs="宋体"/>
          <w:color w:val="auto"/>
          <w:sz w:val="24"/>
          <w:highlight w:val="none"/>
          <w:lang w:val="en-US" w:eastAsia="zh-CN"/>
        </w:rPr>
        <w:t>5</w:t>
      </w:r>
      <w:r>
        <w:rPr>
          <w:rFonts w:hint="eastAsia" w:hAnsi="宋体" w:cs="宋体"/>
          <w:color w:val="auto"/>
          <w:sz w:val="24"/>
          <w:highlight w:val="none"/>
          <w:lang w:eastAsia="zh-CN"/>
        </w:rPr>
        <w:t>）</w:t>
      </w:r>
      <w:r>
        <w:rPr>
          <w:rFonts w:hint="eastAsia" w:hAnsi="宋体" w:eastAsia="宋体" w:cs="宋体"/>
          <w:color w:val="auto"/>
          <w:sz w:val="24"/>
          <w:highlight w:val="none"/>
        </w:rPr>
        <w:t>电器装置和主机的金属外壳应有接地装置，接地端应位于接线的位置，并标有保护接地符号或字母PE；</w:t>
      </w:r>
    </w:p>
    <w:p w14:paraId="2B9FD5A5">
      <w:pPr>
        <w:pStyle w:val="405"/>
        <w:numPr>
          <w:ilvl w:val="0"/>
          <w:numId w:val="5"/>
        </w:numPr>
        <w:spacing w:line="276" w:lineRule="auto"/>
        <w:ind w:left="425" w:leftChars="0" w:hanging="425" w:firstLineChars="0"/>
        <w:rPr>
          <w:rFonts w:eastAsia="宋体" w:cs="宋体"/>
          <w:color w:val="auto"/>
          <w:sz w:val="24"/>
          <w:szCs w:val="24"/>
          <w:highlight w:val="none"/>
        </w:rPr>
      </w:pPr>
      <w:r>
        <w:rPr>
          <w:rFonts w:hint="eastAsia" w:eastAsia="宋体" w:cs="宋体"/>
          <w:color w:val="auto"/>
          <w:sz w:val="24"/>
          <w:szCs w:val="24"/>
          <w:highlight w:val="none"/>
        </w:rPr>
        <w:t>对于在检查、调整、维修时，需要察看危险区域或人体局部需要伸进危险区域的生产设备，必须防止误启动。当设备因意外起动可能危及人身安全时，必须配置起强制作用的安全防护装置，以防止意外起动。</w:t>
      </w:r>
    </w:p>
    <w:p w14:paraId="71BC50E9">
      <w:pPr>
        <w:pStyle w:val="405"/>
        <w:numPr>
          <w:ilvl w:val="0"/>
          <w:numId w:val="5"/>
        </w:numPr>
        <w:spacing w:line="276" w:lineRule="auto"/>
        <w:ind w:left="425" w:leftChars="0" w:hanging="425" w:firstLineChars="0"/>
        <w:rPr>
          <w:rFonts w:eastAsia="宋体" w:cs="宋体"/>
          <w:color w:val="auto"/>
          <w:sz w:val="24"/>
          <w:szCs w:val="24"/>
          <w:highlight w:val="none"/>
        </w:rPr>
      </w:pPr>
      <w:r>
        <w:rPr>
          <w:rFonts w:hint="eastAsia" w:eastAsia="宋体" w:cs="宋体"/>
          <w:color w:val="auto"/>
          <w:sz w:val="24"/>
          <w:szCs w:val="24"/>
          <w:highlight w:val="none"/>
        </w:rPr>
        <w:t>能源偶然切断后又重新接通时，设备必须能避免危险运转。</w:t>
      </w:r>
    </w:p>
    <w:p w14:paraId="58EE3102">
      <w:pPr>
        <w:pStyle w:val="405"/>
        <w:numPr>
          <w:ilvl w:val="0"/>
          <w:numId w:val="5"/>
        </w:numPr>
        <w:spacing w:line="276" w:lineRule="auto"/>
        <w:ind w:left="425" w:leftChars="0" w:hanging="425" w:firstLineChars="0"/>
        <w:rPr>
          <w:rFonts w:eastAsia="宋体" w:cs="宋体"/>
          <w:color w:val="auto"/>
          <w:sz w:val="24"/>
          <w:szCs w:val="24"/>
          <w:highlight w:val="none"/>
        </w:rPr>
      </w:pPr>
      <w:r>
        <w:rPr>
          <w:rFonts w:hint="eastAsia" w:eastAsia="宋体" w:cs="宋体"/>
          <w:color w:val="auto"/>
          <w:sz w:val="24"/>
          <w:szCs w:val="24"/>
          <w:highlight w:val="none"/>
        </w:rPr>
        <w:t>采用三相五线制供电系统，设备外壳采用保护接零措施</w:t>
      </w:r>
    </w:p>
    <w:p w14:paraId="6F841711">
      <w:pPr>
        <w:pStyle w:val="405"/>
        <w:numPr>
          <w:ilvl w:val="0"/>
          <w:numId w:val="5"/>
        </w:numPr>
        <w:spacing w:line="276" w:lineRule="auto"/>
        <w:ind w:left="425" w:leftChars="0" w:hanging="425" w:firstLineChars="0"/>
        <w:rPr>
          <w:rFonts w:eastAsia="宋体" w:cs="宋体"/>
          <w:color w:val="auto"/>
          <w:sz w:val="24"/>
          <w:szCs w:val="24"/>
          <w:highlight w:val="none"/>
        </w:rPr>
      </w:pPr>
      <w:r>
        <w:rPr>
          <w:rFonts w:hint="eastAsia" w:eastAsia="宋体" w:cs="宋体"/>
          <w:color w:val="auto"/>
          <w:sz w:val="24"/>
          <w:szCs w:val="24"/>
          <w:highlight w:val="none"/>
        </w:rPr>
        <w:t>设备安全防护设施齐全，满足相关安全规范要求。</w:t>
      </w:r>
    </w:p>
    <w:p w14:paraId="42E59E7B">
      <w:pPr>
        <w:numPr>
          <w:ilvl w:val="0"/>
          <w:numId w:val="5"/>
        </w:numPr>
        <w:spacing w:line="276" w:lineRule="auto"/>
        <w:ind w:left="425" w:leftChars="0" w:hanging="425" w:firstLineChars="0"/>
        <w:rPr>
          <w:rFonts w:ascii="宋体" w:hAnsi="宋体" w:eastAsia="宋体" w:cs="宋体"/>
          <w:color w:val="auto"/>
          <w:sz w:val="24"/>
          <w:highlight w:val="none"/>
        </w:rPr>
      </w:pPr>
      <w:r>
        <w:rPr>
          <w:rFonts w:hint="eastAsia" w:ascii="宋体" w:hAnsi="宋体" w:eastAsia="宋体" w:cs="宋体"/>
          <w:color w:val="auto"/>
          <w:sz w:val="24"/>
          <w:highlight w:val="none"/>
        </w:rPr>
        <w:t>上下两侧的控制设计为单侧控制，即一侧处于控制态，另一侧处于监控态；反之亦然。</w:t>
      </w:r>
    </w:p>
    <w:p w14:paraId="0CF785BB">
      <w:pPr>
        <w:pStyle w:val="405"/>
        <w:numPr>
          <w:ilvl w:val="0"/>
          <w:numId w:val="5"/>
        </w:numPr>
        <w:spacing w:line="276" w:lineRule="auto"/>
        <w:ind w:left="425" w:leftChars="0" w:hanging="425" w:firstLineChars="0"/>
        <w:rPr>
          <w:rFonts w:hint="eastAsia" w:ascii="宋体" w:hAnsi="宋体" w:eastAsia="宋体" w:cs="宋体"/>
          <w:color w:val="auto"/>
          <w:sz w:val="24"/>
          <w:highlight w:val="none"/>
        </w:rPr>
      </w:pPr>
      <w:r>
        <w:rPr>
          <w:rFonts w:hint="eastAsia" w:eastAsia="宋体" w:cs="宋体"/>
          <w:color w:val="auto"/>
          <w:sz w:val="24"/>
          <w:szCs w:val="24"/>
          <w:highlight w:val="none"/>
        </w:rPr>
        <w:t>具备过载保护功能，具备轿箱沉底缓冲装置。</w:t>
      </w:r>
    </w:p>
    <w:p w14:paraId="284BA56B">
      <w:pPr>
        <w:numPr>
          <w:ilvl w:val="0"/>
          <w:numId w:val="0"/>
        </w:numPr>
        <w:spacing w:line="360" w:lineRule="auto"/>
        <w:ind w:leftChars="0"/>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t>二</w:t>
      </w:r>
      <w:r>
        <w:rPr>
          <w:rFonts w:hint="eastAsia" w:ascii="宋体" w:hAnsi="宋体"/>
          <w:b/>
          <w:color w:val="auto"/>
          <w:sz w:val="24"/>
          <w:szCs w:val="24"/>
          <w:highlight w:val="none"/>
        </w:rPr>
        <w:t>、工作范围</w:t>
      </w:r>
    </w:p>
    <w:p w14:paraId="3016A774">
      <w:pPr>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根据招标文件，投标人须按国家有关标准及规范完成下列工作：</w:t>
      </w:r>
    </w:p>
    <w:p w14:paraId="09F8637A">
      <w:pPr>
        <w:widowControl/>
        <w:numPr>
          <w:ilvl w:val="0"/>
          <w:numId w:val="0"/>
        </w:numPr>
        <w:autoSpaceDE w:val="0"/>
        <w:autoSpaceDN w:val="0"/>
        <w:adjustRightInd w:val="0"/>
        <w:spacing w:line="420" w:lineRule="exact"/>
        <w:ind w:firstLine="482" w:firstLineChars="200"/>
        <w:jc w:val="left"/>
        <w:textAlignment w:val="bottom"/>
        <w:rPr>
          <w:rFonts w:hint="default" w:ascii="宋体" w:hAnsi="宋体" w:eastAsia="宋体" w:cs="宋体"/>
          <w:b/>
          <w:bCs/>
          <w:color w:val="auto"/>
          <w:kern w:val="0"/>
          <w:sz w:val="24"/>
          <w:szCs w:val="24"/>
          <w:highlight w:val="none"/>
          <w:lang w:val="en-US" w:eastAsia="zh-CN" w:bidi="en-US"/>
        </w:rPr>
      </w:pPr>
      <w:r>
        <w:rPr>
          <w:rFonts w:hint="eastAsia" w:ascii="宋体" w:hAnsi="宋体" w:cs="宋体"/>
          <w:b/>
          <w:bCs/>
          <w:color w:val="auto"/>
          <w:kern w:val="0"/>
          <w:sz w:val="24"/>
          <w:szCs w:val="24"/>
          <w:highlight w:val="none"/>
          <w:lang w:bidi="en-US"/>
        </w:rPr>
        <w:t>本次招标为交钥匙工程，投标人需按现场踏勘的实际情况、技术规格书、招标人提供施工图纸的要求完成包括但不仅限于材料的设计选型、制造、运输、装卸、现场设备保管、现场设备的安装、与设备图纸不符的土建改造、设备基础、安全防护、防盗、产品保护、调试及试运行（调试临时电缆由投标人负责）、有关行业有关部门验收、培训、售后服务及维修、修复安装时被破坏的建筑和装修、二次保护及拆除、清除安装过程中产生的垃圾等工作，并接受</w:t>
      </w:r>
      <w:r>
        <w:rPr>
          <w:rFonts w:hint="eastAsia" w:ascii="宋体" w:hAnsi="宋体" w:cs="宋体"/>
          <w:b/>
          <w:bCs/>
          <w:color w:val="auto"/>
          <w:sz w:val="24"/>
          <w:szCs w:val="24"/>
          <w:highlight w:val="none"/>
        </w:rPr>
        <w:t>施工总承包</w:t>
      </w:r>
      <w:r>
        <w:rPr>
          <w:rFonts w:hint="eastAsia" w:ascii="宋体" w:hAnsi="宋体" w:cs="宋体"/>
          <w:b/>
          <w:bCs/>
          <w:color w:val="auto"/>
          <w:kern w:val="0"/>
          <w:sz w:val="24"/>
          <w:szCs w:val="24"/>
          <w:highlight w:val="none"/>
          <w:lang w:bidi="en-US"/>
        </w:rPr>
        <w:t>单位管理。</w:t>
      </w:r>
      <w:r>
        <w:rPr>
          <w:rFonts w:hint="eastAsia" w:ascii="宋体" w:hAnsi="宋体" w:cs="宋体"/>
          <w:b/>
          <w:bCs/>
          <w:color w:val="auto"/>
          <w:sz w:val="24"/>
          <w:szCs w:val="24"/>
          <w:highlight w:val="none"/>
        </w:rPr>
        <w:t>施工总承包</w:t>
      </w:r>
      <w:r>
        <w:rPr>
          <w:rFonts w:hint="eastAsia" w:ascii="宋体" w:hAnsi="宋体" w:cs="宋体"/>
          <w:b/>
          <w:bCs/>
          <w:color w:val="auto"/>
          <w:kern w:val="0"/>
          <w:sz w:val="24"/>
          <w:szCs w:val="24"/>
          <w:highlight w:val="none"/>
          <w:lang w:bidi="en-US"/>
        </w:rPr>
        <w:t>单位仅提供井道等必要安装条件，与其他工种的衔接处理细节（主体结构严重偏差除外）如：积水排除、浮浆凿除、脚手架等技术措施、凿洞取洞封堵、配电箱至土建预留供电箱的电缆、与总承包单位统筹协调及管理费用等由投标人自行负责，相关费用均包含在中标价内。投标人须自行考虑综合风险，不得由此拒绝施工和调整报价。</w:t>
      </w:r>
    </w:p>
    <w:p w14:paraId="48215A57">
      <w:pPr>
        <w:spacing w:line="420" w:lineRule="exact"/>
        <w:rPr>
          <w:rFonts w:hint="default" w:ascii="宋体" w:hAnsi="宋体" w:eastAsia="宋体"/>
          <w:b/>
          <w:color w:val="auto"/>
          <w:sz w:val="24"/>
          <w:szCs w:val="24"/>
          <w:highlight w:val="none"/>
          <w:lang w:val="en-US" w:eastAsia="zh-CN"/>
        </w:rPr>
      </w:pPr>
      <w:r>
        <w:rPr>
          <w:rFonts w:hint="eastAsia" w:ascii="宋体" w:hAnsi="宋体"/>
          <w:b/>
          <w:color w:val="auto"/>
          <w:sz w:val="24"/>
          <w:szCs w:val="24"/>
          <w:highlight w:val="none"/>
          <w:lang w:val="en-US" w:eastAsia="zh-CN"/>
        </w:rPr>
        <w:t>三</w:t>
      </w:r>
      <w:r>
        <w:rPr>
          <w:rFonts w:hint="eastAsia" w:ascii="宋体" w:hAnsi="宋体"/>
          <w:b/>
          <w:color w:val="auto"/>
          <w:sz w:val="24"/>
          <w:szCs w:val="24"/>
          <w:highlight w:val="none"/>
        </w:rPr>
        <w:t>、质量保证</w:t>
      </w:r>
      <w:r>
        <w:rPr>
          <w:rFonts w:hint="eastAsia" w:ascii="宋体" w:hAnsi="宋体"/>
          <w:b/>
          <w:color w:val="auto"/>
          <w:sz w:val="24"/>
          <w:szCs w:val="24"/>
          <w:highlight w:val="none"/>
          <w:lang w:val="en-US" w:eastAsia="zh-CN"/>
        </w:rPr>
        <w:t>及售后服务</w:t>
      </w:r>
    </w:p>
    <w:p w14:paraId="5B9BFC33">
      <w:pPr>
        <w:spacing w:line="420" w:lineRule="exact"/>
        <w:rPr>
          <w:rFonts w:hint="eastAsia" w:ascii="宋体" w:hAnsi="宋体"/>
          <w:color w:val="auto"/>
          <w:sz w:val="24"/>
          <w:szCs w:val="24"/>
          <w:highlight w:val="none"/>
        </w:rPr>
      </w:pPr>
      <w:r>
        <w:rPr>
          <w:rFonts w:hint="eastAsia" w:ascii="宋体" w:hAnsi="宋体"/>
          <w:b/>
          <w:bCs/>
          <w:color w:val="auto"/>
          <w:sz w:val="24"/>
          <w:szCs w:val="24"/>
          <w:highlight w:val="none"/>
        </w:rPr>
        <w:t>(一)质量要求</w:t>
      </w:r>
    </w:p>
    <w:p w14:paraId="4FB8AB6E">
      <w:pPr>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（1）合格及以上</w:t>
      </w:r>
      <w:r>
        <w:rPr>
          <w:rFonts w:hint="eastAsia" w:ascii="宋体" w:hAnsi="宋体"/>
          <w:color w:val="auto"/>
          <w:sz w:val="24"/>
          <w:szCs w:val="24"/>
          <w:highlight w:val="none"/>
          <w:lang w:eastAsia="zh-CN"/>
        </w:rPr>
        <w:t>，</w:t>
      </w:r>
      <w:r>
        <w:rPr>
          <w:rFonts w:hint="eastAsia" w:ascii="宋体" w:hAnsi="宋体"/>
          <w:color w:val="auto"/>
          <w:sz w:val="24"/>
          <w:szCs w:val="24"/>
          <w:highlight w:val="none"/>
        </w:rPr>
        <w:t>符合国家规定的质量要求。</w:t>
      </w:r>
    </w:p>
    <w:p w14:paraId="707C6111">
      <w:pPr>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（2）验收过程中，由于质量不合格或运输等原因所造成的一切费用均由投标人负责。</w:t>
      </w:r>
    </w:p>
    <w:p w14:paraId="0344D27E">
      <w:pPr>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（3）中标供应商须对因投标货物使用期内本身的固有缺陷和瑕疵承担责任。</w:t>
      </w:r>
    </w:p>
    <w:p w14:paraId="18BE8771">
      <w:pPr>
        <w:widowControl/>
        <w:snapToGrid w:val="0"/>
        <w:spacing w:line="420" w:lineRule="exact"/>
        <w:jc w:val="left"/>
        <w:rPr>
          <w:rFonts w:hint="eastAsia" w:ascii="宋体" w:hAnsi="宋体"/>
          <w:b/>
          <w:color w:val="auto"/>
          <w:sz w:val="24"/>
          <w:szCs w:val="24"/>
          <w:highlight w:val="none"/>
          <w:shd w:val="pct10" w:color="auto" w:fill="FFFFFF"/>
        </w:rPr>
      </w:pPr>
      <w:r>
        <w:rPr>
          <w:rFonts w:hint="eastAsia" w:ascii="宋体" w:hAnsi="宋体"/>
          <w:b/>
          <w:color w:val="auto"/>
          <w:sz w:val="24"/>
          <w:szCs w:val="24"/>
          <w:highlight w:val="none"/>
          <w:shd w:val="pct10" w:color="auto" w:fill="FFFFFF"/>
        </w:rPr>
        <w:t>（二）售后服务要求</w:t>
      </w:r>
    </w:p>
    <w:p w14:paraId="360CE5DF">
      <w:pPr>
        <w:keepNext w:val="0"/>
        <w:keepLines w:val="0"/>
        <w:pageBreakBefore w:val="0"/>
        <w:widowControl/>
        <w:kinsoku/>
        <w:wordWrap/>
        <w:overflowPunct/>
        <w:topLinePunct w:val="0"/>
        <w:autoSpaceDE/>
        <w:autoSpaceDN/>
        <w:bidi w:val="0"/>
        <w:adjustRightInd/>
        <w:snapToGrid/>
        <w:spacing w:line="420" w:lineRule="exact"/>
        <w:jc w:val="left"/>
        <w:textAlignment w:val="auto"/>
        <w:rPr>
          <w:rFonts w:hint="eastAsia" w:cs="宋体"/>
          <w:bCs/>
          <w:color w:val="auto"/>
          <w:sz w:val="24"/>
          <w:szCs w:val="24"/>
          <w:highlight w:val="none"/>
          <w:shd w:val="clear" w:color="auto" w:fill="auto"/>
        </w:rPr>
      </w:pPr>
      <w:r>
        <w:rPr>
          <w:rFonts w:hint="eastAsia" w:ascii="宋体" w:hAnsi="宋体" w:eastAsia="宋体" w:cs="宋体"/>
          <w:b/>
          <w:color w:val="auto"/>
          <w:sz w:val="24"/>
          <w:highlight w:val="none"/>
          <w:shd w:val="clear" w:color="auto" w:fill="auto"/>
        </w:rPr>
        <w:t>▲</w:t>
      </w:r>
      <w:r>
        <w:rPr>
          <w:rFonts w:hint="eastAsia" w:ascii="Times New Roman" w:hAnsi="Times New Roman" w:eastAsia="宋体" w:cs="宋体"/>
          <w:bCs/>
          <w:color w:val="auto"/>
          <w:sz w:val="24"/>
          <w:szCs w:val="24"/>
          <w:highlight w:val="none"/>
          <w:shd w:val="clear" w:color="auto" w:fill="auto"/>
          <w:lang w:eastAsia="zh-CN"/>
        </w:rPr>
        <w:t>（</w:t>
      </w:r>
      <w:r>
        <w:rPr>
          <w:rFonts w:hint="eastAsia" w:ascii="Times New Roman" w:hAnsi="Times New Roman" w:eastAsia="宋体" w:cs="宋体"/>
          <w:bCs/>
          <w:color w:val="auto"/>
          <w:sz w:val="24"/>
          <w:szCs w:val="24"/>
          <w:highlight w:val="none"/>
          <w:shd w:val="clear" w:color="auto" w:fill="auto"/>
          <w:lang w:val="en-US" w:eastAsia="zh-CN"/>
        </w:rPr>
        <w:t>1</w:t>
      </w:r>
      <w:r>
        <w:rPr>
          <w:rFonts w:hint="eastAsia" w:ascii="Times New Roman" w:hAnsi="Times New Roman" w:eastAsia="宋体" w:cs="宋体"/>
          <w:bCs/>
          <w:color w:val="auto"/>
          <w:sz w:val="24"/>
          <w:szCs w:val="24"/>
          <w:highlight w:val="none"/>
          <w:shd w:val="clear" w:color="auto" w:fill="auto"/>
          <w:lang w:eastAsia="zh-CN"/>
        </w:rPr>
        <w:t>）投</w:t>
      </w:r>
      <w:r>
        <w:rPr>
          <w:rFonts w:hint="eastAsia" w:cs="宋体"/>
          <w:bCs/>
          <w:color w:val="auto"/>
          <w:sz w:val="24"/>
          <w:szCs w:val="24"/>
          <w:highlight w:val="none"/>
          <w:shd w:val="clear" w:color="auto" w:fill="auto"/>
        </w:rPr>
        <w:t>标设备质保期不少于2年（</w:t>
      </w:r>
      <w:r>
        <w:rPr>
          <w:rFonts w:hint="eastAsia" w:cs="宋体"/>
          <w:bCs/>
          <w:color w:val="auto"/>
          <w:sz w:val="24"/>
          <w:szCs w:val="24"/>
          <w:highlight w:val="none"/>
          <w:shd w:val="clear" w:color="auto" w:fill="auto"/>
          <w:lang w:val="en-US" w:eastAsia="zh-CN"/>
        </w:rPr>
        <w:t>自</w:t>
      </w:r>
      <w:r>
        <w:rPr>
          <w:rFonts w:hint="eastAsia" w:cs="宋体"/>
          <w:bCs/>
          <w:color w:val="auto"/>
          <w:sz w:val="24"/>
          <w:szCs w:val="24"/>
          <w:highlight w:val="none"/>
          <w:shd w:val="clear" w:color="auto" w:fill="auto"/>
        </w:rPr>
        <w:t>整体项目验收</w:t>
      </w:r>
      <w:r>
        <w:rPr>
          <w:rFonts w:hint="eastAsia" w:cs="宋体"/>
          <w:bCs/>
          <w:color w:val="auto"/>
          <w:sz w:val="24"/>
          <w:szCs w:val="24"/>
          <w:highlight w:val="none"/>
          <w:shd w:val="clear" w:color="auto" w:fill="auto"/>
          <w:lang w:val="en-US" w:eastAsia="zh-CN"/>
        </w:rPr>
        <w:t>合格</w:t>
      </w:r>
      <w:r>
        <w:rPr>
          <w:rFonts w:hint="eastAsia" w:cs="宋体"/>
          <w:bCs/>
          <w:color w:val="auto"/>
          <w:sz w:val="24"/>
          <w:szCs w:val="24"/>
          <w:highlight w:val="none"/>
          <w:shd w:val="clear" w:color="auto" w:fill="auto"/>
        </w:rPr>
        <w:t>之日起开始计算）。</w:t>
      </w:r>
    </w:p>
    <w:p w14:paraId="7318EF41">
      <w:pPr>
        <w:keepNext w:val="0"/>
        <w:keepLines w:val="0"/>
        <w:pageBreakBefore w:val="0"/>
        <w:widowControl/>
        <w:kinsoku/>
        <w:wordWrap/>
        <w:overflowPunct/>
        <w:topLinePunct w:val="0"/>
        <w:autoSpaceDE/>
        <w:autoSpaceDN/>
        <w:bidi w:val="0"/>
        <w:adjustRightInd/>
        <w:snapToGrid/>
        <w:spacing w:line="420" w:lineRule="exact"/>
        <w:jc w:val="left"/>
        <w:textAlignment w:val="auto"/>
        <w:rPr>
          <w:rFonts w:hint="eastAsia" w:cs="宋体"/>
          <w:bCs/>
          <w:color w:val="auto"/>
          <w:sz w:val="24"/>
          <w:szCs w:val="24"/>
          <w:highlight w:val="none"/>
          <w:shd w:val="clear" w:color="auto" w:fill="auto"/>
        </w:rPr>
      </w:pPr>
      <w:r>
        <w:rPr>
          <w:rFonts w:hint="eastAsia" w:cs="宋体"/>
          <w:bCs/>
          <w:color w:val="auto"/>
          <w:sz w:val="24"/>
          <w:szCs w:val="24"/>
          <w:highlight w:val="none"/>
          <w:shd w:val="clear" w:color="auto" w:fill="auto"/>
          <w:lang w:eastAsia="zh-CN"/>
        </w:rPr>
        <w:t>（</w:t>
      </w:r>
      <w:r>
        <w:rPr>
          <w:rFonts w:hint="eastAsia" w:cs="宋体"/>
          <w:bCs/>
          <w:color w:val="auto"/>
          <w:sz w:val="24"/>
          <w:szCs w:val="24"/>
          <w:highlight w:val="none"/>
          <w:shd w:val="clear" w:color="auto" w:fill="auto"/>
          <w:lang w:val="en-US" w:eastAsia="zh-CN"/>
        </w:rPr>
        <w:t>2</w:t>
      </w:r>
      <w:r>
        <w:rPr>
          <w:rFonts w:hint="eastAsia" w:cs="宋体"/>
          <w:bCs/>
          <w:color w:val="auto"/>
          <w:sz w:val="24"/>
          <w:szCs w:val="24"/>
          <w:highlight w:val="none"/>
          <w:shd w:val="clear" w:color="auto" w:fill="auto"/>
          <w:lang w:eastAsia="zh-CN"/>
        </w:rPr>
        <w:t>）</w:t>
      </w:r>
      <w:r>
        <w:rPr>
          <w:rFonts w:hint="eastAsia" w:cs="宋体"/>
          <w:bCs/>
          <w:color w:val="auto"/>
          <w:sz w:val="24"/>
          <w:szCs w:val="24"/>
          <w:highlight w:val="none"/>
          <w:shd w:val="clear" w:color="auto" w:fill="auto"/>
        </w:rPr>
        <w:t>在质保期内</w:t>
      </w:r>
      <w:r>
        <w:rPr>
          <w:rFonts w:hint="eastAsia" w:ascii="宋体" w:hAnsi="宋体"/>
          <w:color w:val="auto"/>
          <w:kern w:val="0"/>
          <w:sz w:val="24"/>
          <w:szCs w:val="24"/>
          <w:highlight w:val="none"/>
          <w:lang w:val="en-US" w:eastAsia="zh-CN" w:bidi="en-US"/>
        </w:rPr>
        <w:t>定期检验费</w:t>
      </w:r>
      <w:r>
        <w:rPr>
          <w:rFonts w:hint="eastAsia" w:cs="宋体"/>
          <w:bCs/>
          <w:color w:val="auto"/>
          <w:sz w:val="24"/>
          <w:szCs w:val="24"/>
          <w:highlight w:val="none"/>
          <w:shd w:val="clear" w:color="auto" w:fill="auto"/>
        </w:rPr>
        <w:t>，</w:t>
      </w:r>
      <w:r>
        <w:rPr>
          <w:rFonts w:hint="eastAsia" w:cs="宋体"/>
          <w:bCs/>
          <w:color w:val="auto"/>
          <w:sz w:val="24"/>
          <w:szCs w:val="24"/>
          <w:highlight w:val="none"/>
          <w:shd w:val="clear" w:color="auto" w:fill="auto"/>
          <w:lang w:val="en-US" w:eastAsia="zh-CN"/>
        </w:rPr>
        <w:t>中标人</w:t>
      </w:r>
      <w:r>
        <w:rPr>
          <w:rFonts w:hint="eastAsia" w:cs="宋体"/>
          <w:bCs/>
          <w:color w:val="auto"/>
          <w:sz w:val="24"/>
          <w:szCs w:val="24"/>
          <w:highlight w:val="none"/>
          <w:shd w:val="clear" w:color="auto" w:fill="auto"/>
        </w:rPr>
        <w:t>保证提升系统的正常运行，对机械、电器、控制等各部分进行及时的维护、保养和必要的更新升级。质保期内，以上内容及服务进行免费，因</w:t>
      </w:r>
      <w:r>
        <w:rPr>
          <w:rFonts w:hint="eastAsia" w:cs="宋体"/>
          <w:bCs/>
          <w:color w:val="auto"/>
          <w:sz w:val="24"/>
          <w:szCs w:val="24"/>
          <w:highlight w:val="none"/>
          <w:shd w:val="clear" w:color="auto" w:fill="auto"/>
          <w:lang w:val="en-US" w:eastAsia="zh-CN"/>
        </w:rPr>
        <w:t>招标人</w:t>
      </w:r>
      <w:r>
        <w:rPr>
          <w:rFonts w:hint="eastAsia" w:cs="宋体"/>
          <w:bCs/>
          <w:color w:val="auto"/>
          <w:sz w:val="24"/>
          <w:szCs w:val="24"/>
          <w:highlight w:val="none"/>
          <w:shd w:val="clear" w:color="auto" w:fill="auto"/>
        </w:rPr>
        <w:t>不正常使用或人为因素造成的故障，</w:t>
      </w:r>
      <w:r>
        <w:rPr>
          <w:rFonts w:hint="eastAsia" w:cs="宋体"/>
          <w:bCs/>
          <w:color w:val="auto"/>
          <w:sz w:val="24"/>
          <w:szCs w:val="24"/>
          <w:highlight w:val="none"/>
          <w:shd w:val="clear" w:color="auto" w:fill="auto"/>
          <w:lang w:val="en-US" w:eastAsia="zh-CN"/>
        </w:rPr>
        <w:t>中标人</w:t>
      </w:r>
      <w:r>
        <w:rPr>
          <w:rFonts w:hint="eastAsia" w:cs="宋体"/>
          <w:bCs/>
          <w:color w:val="auto"/>
          <w:sz w:val="24"/>
          <w:szCs w:val="24"/>
          <w:highlight w:val="none"/>
          <w:shd w:val="clear" w:color="auto" w:fill="auto"/>
        </w:rPr>
        <w:t>负责设备的维修服务，只收取相应的成本费用，</w:t>
      </w:r>
      <w:r>
        <w:rPr>
          <w:rFonts w:hint="eastAsia" w:cs="宋体"/>
          <w:bCs/>
          <w:color w:val="auto"/>
          <w:sz w:val="24"/>
          <w:szCs w:val="24"/>
          <w:highlight w:val="none"/>
          <w:shd w:val="clear" w:color="auto" w:fill="auto"/>
          <w:lang w:val="en-US" w:eastAsia="zh-CN"/>
        </w:rPr>
        <w:t>质保期</w:t>
      </w:r>
      <w:r>
        <w:rPr>
          <w:rFonts w:hint="eastAsia" w:cs="宋体"/>
          <w:bCs/>
          <w:color w:val="auto"/>
          <w:sz w:val="24"/>
          <w:szCs w:val="24"/>
          <w:highlight w:val="none"/>
          <w:shd w:val="clear" w:color="auto" w:fill="auto"/>
        </w:rPr>
        <w:t>满后，</w:t>
      </w:r>
      <w:r>
        <w:rPr>
          <w:rFonts w:hint="eastAsia" w:cs="宋体"/>
          <w:bCs/>
          <w:color w:val="auto"/>
          <w:sz w:val="24"/>
          <w:szCs w:val="24"/>
          <w:highlight w:val="none"/>
          <w:shd w:val="clear" w:color="auto" w:fill="auto"/>
          <w:lang w:val="en-US" w:eastAsia="zh-CN"/>
        </w:rPr>
        <w:t>中标人</w:t>
      </w:r>
      <w:r>
        <w:rPr>
          <w:rFonts w:hint="eastAsia" w:cs="宋体"/>
          <w:bCs/>
          <w:color w:val="auto"/>
          <w:sz w:val="24"/>
          <w:szCs w:val="24"/>
          <w:highlight w:val="none"/>
          <w:shd w:val="clear" w:color="auto" w:fill="auto"/>
        </w:rPr>
        <w:t xml:space="preserve">负责设备的维修服务，也只收取相应的成本费用。 </w:t>
      </w:r>
    </w:p>
    <w:p w14:paraId="6D39478B">
      <w:pPr>
        <w:keepNext w:val="0"/>
        <w:keepLines w:val="0"/>
        <w:pageBreakBefore w:val="0"/>
        <w:widowControl/>
        <w:kinsoku/>
        <w:wordWrap/>
        <w:overflowPunct/>
        <w:topLinePunct w:val="0"/>
        <w:autoSpaceDE/>
        <w:autoSpaceDN/>
        <w:bidi w:val="0"/>
        <w:adjustRightInd/>
        <w:snapToGrid/>
        <w:spacing w:line="420" w:lineRule="exact"/>
        <w:jc w:val="left"/>
        <w:textAlignment w:val="auto"/>
        <w:rPr>
          <w:rFonts w:hint="eastAsia" w:cs="宋体"/>
          <w:bCs/>
          <w:color w:val="auto"/>
          <w:sz w:val="24"/>
          <w:szCs w:val="24"/>
          <w:highlight w:val="none"/>
          <w:shd w:val="clear" w:color="auto" w:fill="auto"/>
        </w:rPr>
      </w:pPr>
      <w:r>
        <w:rPr>
          <w:rFonts w:hint="eastAsia" w:cs="宋体"/>
          <w:bCs/>
          <w:color w:val="auto"/>
          <w:sz w:val="24"/>
          <w:szCs w:val="24"/>
          <w:highlight w:val="none"/>
          <w:shd w:val="clear" w:color="auto" w:fill="auto"/>
          <w:lang w:eastAsia="zh-CN"/>
        </w:rPr>
        <w:t>（</w:t>
      </w:r>
      <w:r>
        <w:rPr>
          <w:rFonts w:hint="eastAsia" w:cs="宋体"/>
          <w:bCs/>
          <w:color w:val="auto"/>
          <w:sz w:val="24"/>
          <w:szCs w:val="24"/>
          <w:highlight w:val="none"/>
          <w:shd w:val="clear" w:color="auto" w:fill="auto"/>
          <w:lang w:val="en-US" w:eastAsia="zh-CN"/>
        </w:rPr>
        <w:t>3</w:t>
      </w:r>
      <w:r>
        <w:rPr>
          <w:rFonts w:hint="eastAsia" w:cs="宋体"/>
          <w:bCs/>
          <w:color w:val="auto"/>
          <w:sz w:val="24"/>
          <w:szCs w:val="24"/>
          <w:highlight w:val="none"/>
          <w:shd w:val="clear" w:color="auto" w:fill="auto"/>
          <w:lang w:eastAsia="zh-CN"/>
        </w:rPr>
        <w:t>）</w:t>
      </w:r>
      <w:r>
        <w:rPr>
          <w:rFonts w:hint="eastAsia" w:cs="宋体"/>
          <w:bCs/>
          <w:color w:val="auto"/>
          <w:sz w:val="24"/>
          <w:szCs w:val="24"/>
          <w:highlight w:val="none"/>
          <w:shd w:val="clear" w:color="auto" w:fill="auto"/>
        </w:rPr>
        <w:t>当</w:t>
      </w:r>
      <w:r>
        <w:rPr>
          <w:rFonts w:hint="eastAsia" w:cs="宋体"/>
          <w:bCs/>
          <w:color w:val="auto"/>
          <w:sz w:val="24"/>
          <w:szCs w:val="24"/>
          <w:highlight w:val="none"/>
          <w:shd w:val="clear" w:color="auto" w:fill="auto"/>
          <w:lang w:val="en-US" w:eastAsia="zh-CN"/>
        </w:rPr>
        <w:t>招标人</w:t>
      </w:r>
      <w:r>
        <w:rPr>
          <w:rFonts w:hint="eastAsia" w:cs="宋体"/>
          <w:bCs/>
          <w:color w:val="auto"/>
          <w:sz w:val="24"/>
          <w:szCs w:val="24"/>
          <w:highlight w:val="none"/>
          <w:shd w:val="clear" w:color="auto" w:fill="auto"/>
        </w:rPr>
        <w:t>需要进行扩充或改造系统设备时</w:t>
      </w:r>
      <w:r>
        <w:rPr>
          <w:rFonts w:hint="eastAsia" w:cs="宋体"/>
          <w:bCs/>
          <w:color w:val="auto"/>
          <w:sz w:val="24"/>
          <w:szCs w:val="24"/>
          <w:highlight w:val="none"/>
          <w:shd w:val="clear" w:color="auto" w:fill="auto"/>
          <w:lang w:eastAsia="zh-CN"/>
        </w:rPr>
        <w:t>，</w:t>
      </w:r>
      <w:r>
        <w:rPr>
          <w:rFonts w:hint="eastAsia" w:cs="宋体"/>
          <w:bCs/>
          <w:color w:val="auto"/>
          <w:sz w:val="24"/>
          <w:szCs w:val="24"/>
          <w:highlight w:val="none"/>
          <w:shd w:val="clear" w:color="auto" w:fill="auto"/>
          <w:lang w:val="en-US" w:eastAsia="zh-CN"/>
        </w:rPr>
        <w:t>对招标人</w:t>
      </w:r>
      <w:r>
        <w:rPr>
          <w:rFonts w:hint="eastAsia" w:cs="宋体"/>
          <w:bCs/>
          <w:color w:val="auto"/>
          <w:sz w:val="24"/>
          <w:szCs w:val="24"/>
          <w:highlight w:val="none"/>
          <w:shd w:val="clear" w:color="auto" w:fill="auto"/>
        </w:rPr>
        <w:t>提供技术支持。所提供的系统设备在以后利用新技术对系统硬件、软件进行性能、功能改进或产品更新时，及时书面通知用户，供</w:t>
      </w:r>
      <w:r>
        <w:rPr>
          <w:rFonts w:hint="eastAsia" w:cs="宋体"/>
          <w:bCs/>
          <w:color w:val="auto"/>
          <w:sz w:val="24"/>
          <w:szCs w:val="24"/>
          <w:highlight w:val="none"/>
          <w:shd w:val="clear" w:color="auto" w:fill="auto"/>
          <w:lang w:val="en-US" w:eastAsia="zh-CN"/>
        </w:rPr>
        <w:t>招标人</w:t>
      </w:r>
      <w:r>
        <w:rPr>
          <w:rFonts w:hint="eastAsia" w:cs="宋体"/>
          <w:bCs/>
          <w:color w:val="auto"/>
          <w:sz w:val="24"/>
          <w:szCs w:val="24"/>
          <w:highlight w:val="none"/>
          <w:shd w:val="clear" w:color="auto" w:fill="auto"/>
        </w:rPr>
        <w:t>选择。</w:t>
      </w:r>
    </w:p>
    <w:p w14:paraId="2D9DE94B">
      <w:pPr>
        <w:keepNext w:val="0"/>
        <w:keepLines w:val="0"/>
        <w:pageBreakBefore w:val="0"/>
        <w:widowControl/>
        <w:kinsoku/>
        <w:wordWrap/>
        <w:overflowPunct/>
        <w:topLinePunct w:val="0"/>
        <w:autoSpaceDE/>
        <w:autoSpaceDN/>
        <w:bidi w:val="0"/>
        <w:adjustRightInd/>
        <w:snapToGrid/>
        <w:spacing w:line="420" w:lineRule="exact"/>
        <w:jc w:val="left"/>
        <w:textAlignment w:val="auto"/>
        <w:rPr>
          <w:rFonts w:hint="eastAsia" w:cs="宋体"/>
          <w:bCs/>
          <w:color w:val="auto"/>
          <w:sz w:val="24"/>
          <w:szCs w:val="24"/>
          <w:highlight w:val="none"/>
          <w:shd w:val="clear" w:color="auto" w:fill="auto"/>
        </w:rPr>
      </w:pPr>
      <w:r>
        <w:rPr>
          <w:rFonts w:hint="eastAsia" w:cs="宋体"/>
          <w:bCs/>
          <w:color w:val="auto"/>
          <w:sz w:val="24"/>
          <w:szCs w:val="24"/>
          <w:highlight w:val="none"/>
          <w:shd w:val="clear" w:color="auto" w:fill="auto"/>
          <w:lang w:eastAsia="zh-CN"/>
        </w:rPr>
        <w:t>（</w:t>
      </w:r>
      <w:r>
        <w:rPr>
          <w:rFonts w:hint="eastAsia" w:cs="宋体"/>
          <w:bCs/>
          <w:color w:val="auto"/>
          <w:sz w:val="24"/>
          <w:szCs w:val="24"/>
          <w:highlight w:val="none"/>
          <w:shd w:val="clear" w:color="auto" w:fill="auto"/>
          <w:lang w:val="en-US" w:eastAsia="zh-CN"/>
        </w:rPr>
        <w:t>4</w:t>
      </w:r>
      <w:r>
        <w:rPr>
          <w:rFonts w:hint="eastAsia" w:cs="宋体"/>
          <w:bCs/>
          <w:color w:val="auto"/>
          <w:sz w:val="24"/>
          <w:szCs w:val="24"/>
          <w:highlight w:val="none"/>
          <w:shd w:val="clear" w:color="auto" w:fill="auto"/>
          <w:lang w:eastAsia="zh-CN"/>
        </w:rPr>
        <w:t>）</w:t>
      </w:r>
      <w:r>
        <w:rPr>
          <w:rFonts w:hint="eastAsia" w:cs="宋体"/>
          <w:bCs/>
          <w:color w:val="auto"/>
          <w:sz w:val="24"/>
          <w:szCs w:val="24"/>
          <w:highlight w:val="none"/>
          <w:shd w:val="clear" w:color="auto" w:fill="auto"/>
        </w:rPr>
        <w:t>承诺为提供的产品终身技术支持，按</w:t>
      </w:r>
      <w:r>
        <w:rPr>
          <w:rFonts w:hint="eastAsia" w:cs="宋体"/>
          <w:bCs/>
          <w:color w:val="auto"/>
          <w:sz w:val="24"/>
          <w:szCs w:val="24"/>
          <w:highlight w:val="none"/>
          <w:shd w:val="clear" w:color="auto" w:fill="auto"/>
          <w:lang w:val="en-US" w:eastAsia="zh-CN"/>
        </w:rPr>
        <w:t>招标人</w:t>
      </w:r>
      <w:r>
        <w:rPr>
          <w:rFonts w:hint="eastAsia" w:cs="宋体"/>
          <w:bCs/>
          <w:color w:val="auto"/>
          <w:sz w:val="24"/>
          <w:szCs w:val="24"/>
          <w:highlight w:val="none"/>
          <w:shd w:val="clear" w:color="auto" w:fill="auto"/>
        </w:rPr>
        <w:t>的需求提供软件升级、修改、完善等技术支持，在质保期内完全免费，质保期外仅收取成本。</w:t>
      </w:r>
    </w:p>
    <w:p w14:paraId="02D77B6D">
      <w:pPr>
        <w:keepNext w:val="0"/>
        <w:keepLines w:val="0"/>
        <w:pageBreakBefore w:val="0"/>
        <w:widowControl/>
        <w:kinsoku/>
        <w:wordWrap/>
        <w:overflowPunct/>
        <w:topLinePunct w:val="0"/>
        <w:autoSpaceDE/>
        <w:autoSpaceDN/>
        <w:bidi w:val="0"/>
        <w:adjustRightInd/>
        <w:snapToGrid/>
        <w:spacing w:line="420" w:lineRule="exact"/>
        <w:jc w:val="left"/>
        <w:textAlignment w:val="auto"/>
        <w:rPr>
          <w:rFonts w:hint="eastAsia" w:cs="宋体"/>
          <w:bCs/>
          <w:color w:val="auto"/>
          <w:sz w:val="24"/>
          <w:szCs w:val="24"/>
          <w:highlight w:val="none"/>
          <w:shd w:val="clear" w:color="auto" w:fill="auto"/>
        </w:rPr>
      </w:pPr>
      <w:r>
        <w:rPr>
          <w:rFonts w:hint="eastAsia" w:cs="宋体"/>
          <w:bCs/>
          <w:color w:val="auto"/>
          <w:sz w:val="24"/>
          <w:szCs w:val="24"/>
          <w:highlight w:val="none"/>
          <w:shd w:val="clear" w:color="auto" w:fill="auto"/>
          <w:lang w:eastAsia="zh-CN"/>
        </w:rPr>
        <w:t>（</w:t>
      </w:r>
      <w:r>
        <w:rPr>
          <w:rFonts w:hint="eastAsia" w:cs="宋体"/>
          <w:bCs/>
          <w:color w:val="auto"/>
          <w:sz w:val="24"/>
          <w:szCs w:val="24"/>
          <w:highlight w:val="none"/>
          <w:shd w:val="clear" w:color="auto" w:fill="auto"/>
          <w:lang w:val="en-US" w:eastAsia="zh-CN"/>
        </w:rPr>
        <w:t>5</w:t>
      </w:r>
      <w:r>
        <w:rPr>
          <w:rFonts w:hint="eastAsia" w:cs="宋体"/>
          <w:bCs/>
          <w:color w:val="auto"/>
          <w:sz w:val="24"/>
          <w:szCs w:val="24"/>
          <w:highlight w:val="none"/>
          <w:shd w:val="clear" w:color="auto" w:fill="auto"/>
          <w:lang w:eastAsia="zh-CN"/>
        </w:rPr>
        <w:t>）</w:t>
      </w:r>
      <w:r>
        <w:rPr>
          <w:rFonts w:hint="eastAsia" w:cs="宋体"/>
          <w:bCs/>
          <w:color w:val="auto"/>
          <w:sz w:val="24"/>
          <w:szCs w:val="24"/>
          <w:highlight w:val="none"/>
          <w:shd w:val="clear" w:color="auto" w:fill="auto"/>
        </w:rPr>
        <w:t>在设备/系统运行初期一段时间内，现场监督设备/系统运行，并培训</w:t>
      </w:r>
      <w:r>
        <w:rPr>
          <w:rFonts w:hint="eastAsia" w:cs="宋体"/>
          <w:bCs/>
          <w:color w:val="auto"/>
          <w:sz w:val="24"/>
          <w:szCs w:val="24"/>
          <w:highlight w:val="none"/>
          <w:shd w:val="clear" w:color="auto" w:fill="auto"/>
          <w:lang w:val="en-US" w:eastAsia="zh-CN"/>
        </w:rPr>
        <w:t>招标人</w:t>
      </w:r>
      <w:r>
        <w:rPr>
          <w:rFonts w:hint="eastAsia" w:cs="宋体"/>
          <w:bCs/>
          <w:color w:val="auto"/>
          <w:sz w:val="24"/>
          <w:szCs w:val="24"/>
          <w:highlight w:val="none"/>
          <w:shd w:val="clear" w:color="auto" w:fill="auto"/>
        </w:rPr>
        <w:t>的维护人员，保证设备/系统的正常运行，并提供所开发接口程序的安装介质，保证</w:t>
      </w:r>
      <w:r>
        <w:rPr>
          <w:rFonts w:hint="eastAsia" w:cs="宋体"/>
          <w:bCs/>
          <w:color w:val="auto"/>
          <w:sz w:val="24"/>
          <w:szCs w:val="24"/>
          <w:highlight w:val="none"/>
          <w:shd w:val="clear" w:color="auto" w:fill="auto"/>
          <w:lang w:val="en-US" w:eastAsia="zh-CN"/>
        </w:rPr>
        <w:t>招标人</w:t>
      </w:r>
      <w:r>
        <w:rPr>
          <w:rFonts w:hint="eastAsia" w:cs="宋体"/>
          <w:bCs/>
          <w:color w:val="auto"/>
          <w:sz w:val="24"/>
          <w:szCs w:val="24"/>
          <w:highlight w:val="none"/>
          <w:shd w:val="clear" w:color="auto" w:fill="auto"/>
        </w:rPr>
        <w:t>不会因此而耽误系统运行。根据</w:t>
      </w:r>
      <w:r>
        <w:rPr>
          <w:rFonts w:hint="eastAsia" w:cs="宋体"/>
          <w:bCs/>
          <w:color w:val="auto"/>
          <w:sz w:val="24"/>
          <w:szCs w:val="24"/>
          <w:highlight w:val="none"/>
          <w:shd w:val="clear" w:color="auto" w:fill="auto"/>
          <w:lang w:val="en-US" w:eastAsia="zh-CN"/>
        </w:rPr>
        <w:t>招标人</w:t>
      </w:r>
      <w:r>
        <w:rPr>
          <w:rFonts w:hint="eastAsia" w:cs="宋体"/>
          <w:bCs/>
          <w:color w:val="auto"/>
          <w:sz w:val="24"/>
          <w:szCs w:val="24"/>
          <w:highlight w:val="none"/>
          <w:shd w:val="clear" w:color="auto" w:fill="auto"/>
        </w:rPr>
        <w:t>的要求，负责制定系统维护计划。每年（不少于四次，</w:t>
      </w:r>
      <w:r>
        <w:rPr>
          <w:rFonts w:hint="eastAsia" w:cs="宋体"/>
          <w:bCs/>
          <w:color w:val="auto"/>
          <w:sz w:val="24"/>
          <w:szCs w:val="24"/>
          <w:highlight w:val="none"/>
          <w:shd w:val="clear" w:color="auto" w:fill="auto"/>
          <w:lang w:val="en-US" w:eastAsia="zh-CN"/>
        </w:rPr>
        <w:t>按照招标人</w:t>
      </w:r>
      <w:r>
        <w:rPr>
          <w:rFonts w:hint="eastAsia" w:cs="宋体"/>
          <w:bCs/>
          <w:color w:val="auto"/>
          <w:sz w:val="24"/>
          <w:szCs w:val="24"/>
          <w:highlight w:val="none"/>
          <w:shd w:val="clear" w:color="auto" w:fill="auto"/>
        </w:rPr>
        <w:t>要求）派专家到现场，对所提供设备进行巡视检查，并提出相应的巡检报告。巡检主要内容：检查设备运行情况，解决</w:t>
      </w:r>
      <w:r>
        <w:rPr>
          <w:rFonts w:hint="eastAsia" w:cs="宋体"/>
          <w:bCs/>
          <w:color w:val="auto"/>
          <w:sz w:val="24"/>
          <w:szCs w:val="24"/>
          <w:highlight w:val="none"/>
          <w:shd w:val="clear" w:color="auto" w:fill="auto"/>
          <w:lang w:val="en-US" w:eastAsia="zh-CN"/>
        </w:rPr>
        <w:t>招标人</w:t>
      </w:r>
      <w:r>
        <w:rPr>
          <w:rFonts w:hint="eastAsia" w:cs="宋体"/>
          <w:bCs/>
          <w:color w:val="auto"/>
          <w:sz w:val="24"/>
          <w:szCs w:val="24"/>
          <w:highlight w:val="none"/>
          <w:shd w:val="clear" w:color="auto" w:fill="auto"/>
        </w:rPr>
        <w:t>遇到的问题。</w:t>
      </w:r>
    </w:p>
    <w:p w14:paraId="76ADF542">
      <w:pPr>
        <w:keepNext w:val="0"/>
        <w:keepLines w:val="0"/>
        <w:pageBreakBefore w:val="0"/>
        <w:widowControl/>
        <w:kinsoku/>
        <w:wordWrap/>
        <w:overflowPunct/>
        <w:topLinePunct w:val="0"/>
        <w:autoSpaceDE/>
        <w:autoSpaceDN/>
        <w:bidi w:val="0"/>
        <w:adjustRightInd/>
        <w:snapToGrid/>
        <w:spacing w:line="420" w:lineRule="exact"/>
        <w:jc w:val="left"/>
        <w:textAlignment w:val="auto"/>
        <w:rPr>
          <w:rFonts w:hint="eastAsia" w:cs="宋体"/>
          <w:bCs/>
          <w:color w:val="auto"/>
          <w:sz w:val="24"/>
          <w:szCs w:val="24"/>
          <w:highlight w:val="none"/>
          <w:shd w:val="clear" w:color="auto" w:fill="auto"/>
        </w:rPr>
      </w:pPr>
      <w:r>
        <w:rPr>
          <w:rFonts w:hint="eastAsia" w:cs="宋体"/>
          <w:bCs/>
          <w:color w:val="auto"/>
          <w:sz w:val="24"/>
          <w:szCs w:val="24"/>
          <w:highlight w:val="none"/>
          <w:shd w:val="clear" w:color="auto" w:fill="auto"/>
          <w:lang w:eastAsia="zh-CN"/>
        </w:rPr>
        <w:t>（</w:t>
      </w:r>
      <w:r>
        <w:rPr>
          <w:rFonts w:hint="eastAsia" w:cs="宋体"/>
          <w:bCs/>
          <w:color w:val="auto"/>
          <w:sz w:val="24"/>
          <w:szCs w:val="24"/>
          <w:highlight w:val="none"/>
          <w:shd w:val="clear" w:color="auto" w:fill="auto"/>
          <w:lang w:val="en-US" w:eastAsia="zh-CN"/>
        </w:rPr>
        <w:t>6</w:t>
      </w:r>
      <w:r>
        <w:rPr>
          <w:rFonts w:hint="eastAsia" w:cs="宋体"/>
          <w:bCs/>
          <w:color w:val="auto"/>
          <w:sz w:val="24"/>
          <w:szCs w:val="24"/>
          <w:highlight w:val="none"/>
          <w:shd w:val="clear" w:color="auto" w:fill="auto"/>
          <w:lang w:eastAsia="zh-CN"/>
        </w:rPr>
        <w:t>）</w:t>
      </w:r>
      <w:r>
        <w:rPr>
          <w:rFonts w:hint="eastAsia" w:cs="宋体"/>
          <w:bCs/>
          <w:color w:val="auto"/>
          <w:sz w:val="24"/>
          <w:szCs w:val="24"/>
          <w:highlight w:val="none"/>
          <w:shd w:val="clear" w:color="auto" w:fill="auto"/>
        </w:rPr>
        <w:t>协助</w:t>
      </w:r>
      <w:r>
        <w:rPr>
          <w:rFonts w:hint="eastAsia" w:cs="宋体"/>
          <w:bCs/>
          <w:color w:val="auto"/>
          <w:sz w:val="24"/>
          <w:szCs w:val="24"/>
          <w:highlight w:val="none"/>
          <w:shd w:val="clear" w:color="auto" w:fill="auto"/>
          <w:lang w:val="en-US" w:eastAsia="zh-CN"/>
        </w:rPr>
        <w:t>招标人</w:t>
      </w:r>
      <w:r>
        <w:rPr>
          <w:rFonts w:hint="eastAsia" w:cs="宋体"/>
          <w:bCs/>
          <w:color w:val="auto"/>
          <w:sz w:val="24"/>
          <w:szCs w:val="24"/>
          <w:highlight w:val="none"/>
          <w:shd w:val="clear" w:color="auto" w:fill="auto"/>
        </w:rPr>
        <w:t>制定岗位作业规范和管理制度。</w:t>
      </w:r>
    </w:p>
    <w:p w14:paraId="6E0E0D6B">
      <w:pPr>
        <w:keepNext w:val="0"/>
        <w:keepLines w:val="0"/>
        <w:pageBreakBefore w:val="0"/>
        <w:widowControl/>
        <w:kinsoku/>
        <w:wordWrap/>
        <w:overflowPunct/>
        <w:topLinePunct w:val="0"/>
        <w:autoSpaceDE/>
        <w:autoSpaceDN/>
        <w:bidi w:val="0"/>
        <w:adjustRightInd/>
        <w:snapToGrid/>
        <w:spacing w:line="420" w:lineRule="exact"/>
        <w:jc w:val="left"/>
        <w:textAlignment w:val="auto"/>
        <w:rPr>
          <w:rFonts w:hint="eastAsia" w:cs="宋体"/>
          <w:bCs/>
          <w:color w:val="auto"/>
          <w:sz w:val="24"/>
          <w:szCs w:val="24"/>
          <w:highlight w:val="none"/>
          <w:shd w:val="clear" w:color="auto" w:fill="auto"/>
        </w:rPr>
      </w:pPr>
      <w:r>
        <w:rPr>
          <w:rFonts w:hint="eastAsia" w:cs="宋体"/>
          <w:bCs/>
          <w:color w:val="auto"/>
          <w:sz w:val="24"/>
          <w:szCs w:val="24"/>
          <w:highlight w:val="none"/>
          <w:shd w:val="clear" w:color="auto" w:fill="auto"/>
          <w:lang w:eastAsia="zh-CN"/>
        </w:rPr>
        <w:t>（</w:t>
      </w:r>
      <w:r>
        <w:rPr>
          <w:rFonts w:hint="eastAsia" w:cs="宋体"/>
          <w:bCs/>
          <w:color w:val="auto"/>
          <w:sz w:val="24"/>
          <w:szCs w:val="24"/>
          <w:highlight w:val="none"/>
          <w:shd w:val="clear" w:color="auto" w:fill="auto"/>
          <w:lang w:val="en-US" w:eastAsia="zh-CN"/>
        </w:rPr>
        <w:t>7</w:t>
      </w:r>
      <w:r>
        <w:rPr>
          <w:rFonts w:hint="eastAsia" w:cs="宋体"/>
          <w:bCs/>
          <w:color w:val="auto"/>
          <w:sz w:val="24"/>
          <w:szCs w:val="24"/>
          <w:highlight w:val="none"/>
          <w:shd w:val="clear" w:color="auto" w:fill="auto"/>
          <w:lang w:eastAsia="zh-CN"/>
        </w:rPr>
        <w:t>）</w:t>
      </w:r>
      <w:r>
        <w:rPr>
          <w:rFonts w:hint="eastAsia" w:cs="宋体"/>
          <w:bCs/>
          <w:color w:val="auto"/>
          <w:sz w:val="24"/>
          <w:szCs w:val="24"/>
          <w:highlight w:val="none"/>
          <w:shd w:val="clear" w:color="auto" w:fill="auto"/>
          <w:lang w:val="en-US" w:eastAsia="zh-CN"/>
        </w:rPr>
        <w:t>中标人</w:t>
      </w:r>
      <w:r>
        <w:rPr>
          <w:rFonts w:hint="eastAsia" w:cs="宋体"/>
          <w:bCs/>
          <w:color w:val="auto"/>
          <w:sz w:val="24"/>
          <w:szCs w:val="24"/>
          <w:highlight w:val="none"/>
          <w:shd w:val="clear" w:color="auto" w:fill="auto"/>
        </w:rPr>
        <w:t>按照售后服务条款开展售后维修服务工作。现场设备出现故障时，应在接到</w:t>
      </w:r>
      <w:r>
        <w:rPr>
          <w:rFonts w:hint="eastAsia" w:cs="宋体"/>
          <w:bCs/>
          <w:color w:val="auto"/>
          <w:sz w:val="24"/>
          <w:szCs w:val="24"/>
          <w:highlight w:val="none"/>
          <w:shd w:val="clear" w:color="auto" w:fill="auto"/>
          <w:lang w:val="en-US" w:eastAsia="zh-CN"/>
        </w:rPr>
        <w:t>招标人</w:t>
      </w:r>
      <w:r>
        <w:rPr>
          <w:rFonts w:hint="eastAsia" w:cs="宋体"/>
          <w:bCs/>
          <w:color w:val="auto"/>
          <w:sz w:val="24"/>
          <w:szCs w:val="24"/>
          <w:highlight w:val="none"/>
          <w:shd w:val="clear" w:color="auto" w:fill="auto"/>
        </w:rPr>
        <w:t>电话通知后的1小时内反应，并提出解决方案。如果通过电话不能解决现场故障，应在接到电话后的12小时内派人到达现场，并尽快排除故障。</w:t>
      </w:r>
    </w:p>
    <w:p w14:paraId="11FCA02C">
      <w:pPr>
        <w:widowControl/>
        <w:spacing w:line="420" w:lineRule="exact"/>
        <w:jc w:val="left"/>
        <w:rPr>
          <w:rFonts w:hint="eastAsia" w:ascii="宋体" w:hAnsi="宋体" w:cs="宋体"/>
          <w:b/>
          <w:color w:val="auto"/>
          <w:kern w:val="0"/>
          <w:sz w:val="24"/>
          <w:szCs w:val="24"/>
          <w:highlight w:val="none"/>
          <w:lang w:bidi="en-US"/>
        </w:rPr>
      </w:pPr>
      <w:r>
        <w:rPr>
          <w:rFonts w:hint="eastAsia" w:ascii="宋体" w:hAnsi="宋体" w:cs="宋体"/>
          <w:b/>
          <w:bCs/>
          <w:color w:val="auto"/>
          <w:kern w:val="0"/>
          <w:sz w:val="24"/>
          <w:szCs w:val="24"/>
          <w:highlight w:val="none"/>
          <w:lang w:val="en-US" w:eastAsia="zh-CN" w:bidi="en-US"/>
        </w:rPr>
        <w:t>四、</w:t>
      </w:r>
      <w:r>
        <w:rPr>
          <w:rFonts w:hint="eastAsia" w:ascii="宋体" w:hAnsi="宋体" w:cs="宋体"/>
          <w:b/>
          <w:bCs/>
          <w:color w:val="auto"/>
          <w:kern w:val="0"/>
          <w:sz w:val="24"/>
          <w:szCs w:val="24"/>
          <w:highlight w:val="none"/>
          <w:lang w:bidi="en-US"/>
        </w:rPr>
        <w:t>安装</w:t>
      </w:r>
      <w:r>
        <w:rPr>
          <w:rFonts w:hint="eastAsia" w:ascii="宋体" w:hAnsi="宋体" w:cs="宋体"/>
          <w:b/>
          <w:color w:val="auto"/>
          <w:kern w:val="0"/>
          <w:sz w:val="24"/>
          <w:szCs w:val="24"/>
          <w:highlight w:val="none"/>
          <w:lang w:bidi="en-US"/>
        </w:rPr>
        <w:t>、调试和验收要求</w:t>
      </w:r>
    </w:p>
    <w:p w14:paraId="58DF30F4">
      <w:pPr>
        <w:widowControl/>
        <w:spacing w:line="420" w:lineRule="exact"/>
        <w:ind w:firstLine="360" w:firstLineChars="150"/>
        <w:jc w:val="left"/>
        <w:rPr>
          <w:rFonts w:hint="eastAsia" w:ascii="宋体" w:hAnsi="宋体" w:cs="宋体"/>
          <w:color w:val="auto"/>
          <w:kern w:val="0"/>
          <w:sz w:val="24"/>
          <w:szCs w:val="24"/>
          <w:highlight w:val="none"/>
          <w:lang w:bidi="en-US"/>
        </w:rPr>
      </w:pPr>
      <w:r>
        <w:rPr>
          <w:rFonts w:hint="eastAsia" w:ascii="宋体" w:hAnsi="宋体" w:cs="宋体"/>
          <w:color w:val="auto"/>
          <w:kern w:val="0"/>
          <w:sz w:val="24"/>
          <w:szCs w:val="24"/>
          <w:highlight w:val="none"/>
          <w:lang w:bidi="en-US"/>
        </w:rPr>
        <w:t>（一）中标人对制造、运输、安装、调试、试运行等负责。</w:t>
      </w:r>
    </w:p>
    <w:p w14:paraId="22CF6FDF">
      <w:pPr>
        <w:widowControl/>
        <w:spacing w:line="420" w:lineRule="exact"/>
        <w:ind w:firstLine="360" w:firstLineChars="150"/>
        <w:jc w:val="left"/>
        <w:rPr>
          <w:rFonts w:hint="eastAsia" w:ascii="宋体" w:hAnsi="宋体" w:cs="宋体"/>
          <w:color w:val="auto"/>
          <w:kern w:val="0"/>
          <w:sz w:val="24"/>
          <w:szCs w:val="24"/>
          <w:highlight w:val="none"/>
          <w:lang w:bidi="en-US"/>
        </w:rPr>
      </w:pPr>
      <w:r>
        <w:rPr>
          <w:rFonts w:hint="eastAsia" w:ascii="宋体" w:hAnsi="宋体" w:cs="宋体"/>
          <w:color w:val="auto"/>
          <w:kern w:val="0"/>
          <w:sz w:val="24"/>
          <w:szCs w:val="24"/>
          <w:highlight w:val="none"/>
          <w:lang w:bidi="en-US"/>
        </w:rPr>
        <w:t>（二）中标人有责任检查安装现场是否符合产品安装条件。</w:t>
      </w:r>
    </w:p>
    <w:p w14:paraId="2FBFBCB9">
      <w:pPr>
        <w:widowControl/>
        <w:adjustRightInd w:val="0"/>
        <w:snapToGrid w:val="0"/>
        <w:spacing w:line="420" w:lineRule="exact"/>
        <w:ind w:firstLine="360" w:firstLineChars="150"/>
        <w:jc w:val="left"/>
        <w:rPr>
          <w:rFonts w:hint="eastAsia" w:ascii="宋体" w:hAnsi="宋体" w:cs="宋体"/>
          <w:color w:val="auto"/>
          <w:kern w:val="0"/>
          <w:sz w:val="24"/>
          <w:szCs w:val="24"/>
          <w:highlight w:val="none"/>
          <w:lang w:bidi="en-US"/>
        </w:rPr>
      </w:pPr>
      <w:r>
        <w:rPr>
          <w:rFonts w:hint="eastAsia" w:ascii="宋体" w:hAnsi="宋体" w:cs="宋体"/>
          <w:color w:val="auto"/>
          <w:kern w:val="0"/>
          <w:sz w:val="24"/>
          <w:szCs w:val="24"/>
          <w:highlight w:val="none"/>
          <w:lang w:bidi="en-US"/>
        </w:rPr>
        <w:t>（三）现场安装须符合国家的相关条例，服从监理单位和总承包单位的管理和检查。</w:t>
      </w:r>
    </w:p>
    <w:p w14:paraId="1922F276">
      <w:pPr>
        <w:widowControl/>
        <w:spacing w:line="420" w:lineRule="exact"/>
        <w:ind w:firstLine="360" w:firstLineChars="150"/>
        <w:jc w:val="left"/>
        <w:rPr>
          <w:rFonts w:hint="eastAsia" w:ascii="宋体" w:hAnsi="宋体" w:cs="宋体"/>
          <w:color w:val="auto"/>
          <w:kern w:val="0"/>
          <w:sz w:val="24"/>
          <w:szCs w:val="24"/>
          <w:highlight w:val="none"/>
          <w:lang w:bidi="en-US"/>
        </w:rPr>
      </w:pPr>
      <w:r>
        <w:rPr>
          <w:rFonts w:hint="eastAsia" w:ascii="宋体" w:hAnsi="宋体" w:cs="宋体"/>
          <w:color w:val="auto"/>
          <w:kern w:val="0"/>
          <w:sz w:val="24"/>
          <w:szCs w:val="24"/>
          <w:highlight w:val="none"/>
          <w:lang w:bidi="en-US"/>
        </w:rPr>
        <w:t>（</w:t>
      </w:r>
      <w:r>
        <w:rPr>
          <w:rFonts w:hint="eastAsia" w:ascii="宋体" w:hAnsi="宋体" w:cs="宋体"/>
          <w:color w:val="auto"/>
          <w:kern w:val="0"/>
          <w:sz w:val="24"/>
          <w:szCs w:val="24"/>
          <w:highlight w:val="none"/>
          <w:lang w:val="en-US" w:eastAsia="zh-CN" w:bidi="en-US"/>
        </w:rPr>
        <w:t>四</w:t>
      </w:r>
      <w:r>
        <w:rPr>
          <w:rFonts w:hint="eastAsia" w:ascii="宋体" w:hAnsi="宋体" w:cs="宋体"/>
          <w:color w:val="auto"/>
          <w:kern w:val="0"/>
          <w:sz w:val="24"/>
          <w:szCs w:val="24"/>
          <w:highlight w:val="none"/>
          <w:lang w:bidi="en-US"/>
        </w:rPr>
        <w:t>）中标人应派</w:t>
      </w:r>
      <w:r>
        <w:rPr>
          <w:rFonts w:hint="eastAsia" w:ascii="宋体" w:hAnsi="宋体" w:cs="宋体"/>
          <w:color w:val="auto"/>
          <w:kern w:val="0"/>
          <w:sz w:val="24"/>
          <w:szCs w:val="24"/>
          <w:highlight w:val="none"/>
          <w:lang w:val="en-US" w:eastAsia="zh-CN" w:bidi="en-US"/>
        </w:rPr>
        <w:t>专业</w:t>
      </w:r>
      <w:r>
        <w:rPr>
          <w:rFonts w:hint="eastAsia" w:ascii="宋体" w:hAnsi="宋体" w:cs="宋体"/>
          <w:color w:val="auto"/>
          <w:kern w:val="0"/>
          <w:sz w:val="24"/>
          <w:szCs w:val="24"/>
          <w:highlight w:val="none"/>
          <w:lang w:bidi="en-US"/>
        </w:rPr>
        <w:t>工程师在现场负责测试和调试，以检测其设计、制造、运行效果等。并提供所有测试和调试所需的工具、材料、仪器和劳务人员。</w:t>
      </w:r>
    </w:p>
    <w:p w14:paraId="15661B38">
      <w:pPr>
        <w:widowControl/>
        <w:spacing w:line="420" w:lineRule="exact"/>
        <w:ind w:firstLine="360" w:firstLineChars="150"/>
        <w:jc w:val="left"/>
        <w:rPr>
          <w:rFonts w:hint="eastAsia" w:ascii="宋体" w:hAnsi="宋体" w:eastAsia="宋体" w:cs="宋体"/>
          <w:color w:val="auto"/>
          <w:kern w:val="0"/>
          <w:sz w:val="24"/>
          <w:szCs w:val="24"/>
          <w:highlight w:val="none"/>
          <w:lang w:eastAsia="zh-CN" w:bidi="en-US"/>
        </w:rPr>
      </w:pPr>
      <w:r>
        <w:rPr>
          <w:rFonts w:hint="eastAsia" w:ascii="宋体" w:hAnsi="宋体" w:cs="宋体"/>
          <w:color w:val="auto"/>
          <w:kern w:val="0"/>
          <w:sz w:val="24"/>
          <w:szCs w:val="24"/>
          <w:highlight w:val="none"/>
          <w:lang w:bidi="en-US"/>
        </w:rPr>
        <w:t>（</w:t>
      </w:r>
      <w:r>
        <w:rPr>
          <w:rFonts w:hint="eastAsia" w:ascii="宋体" w:hAnsi="宋体" w:cs="宋体"/>
          <w:color w:val="auto"/>
          <w:kern w:val="0"/>
          <w:sz w:val="24"/>
          <w:szCs w:val="24"/>
          <w:highlight w:val="none"/>
          <w:lang w:val="en-US" w:eastAsia="zh-CN" w:bidi="en-US"/>
        </w:rPr>
        <w:t>五</w:t>
      </w:r>
      <w:r>
        <w:rPr>
          <w:rFonts w:hint="eastAsia" w:ascii="宋体" w:hAnsi="宋体" w:cs="宋体"/>
          <w:color w:val="auto"/>
          <w:kern w:val="0"/>
          <w:sz w:val="24"/>
          <w:szCs w:val="24"/>
          <w:highlight w:val="none"/>
          <w:lang w:bidi="en-US"/>
        </w:rPr>
        <w:t>）设备试运行应在有关部门及</w:t>
      </w:r>
      <w:r>
        <w:rPr>
          <w:rFonts w:hint="eastAsia" w:ascii="宋体" w:hAnsi="宋体" w:cs="宋体"/>
          <w:color w:val="auto"/>
          <w:kern w:val="0"/>
          <w:sz w:val="24"/>
          <w:szCs w:val="24"/>
          <w:highlight w:val="none"/>
          <w:lang w:val="en-US" w:eastAsia="zh-CN" w:bidi="en-US"/>
        </w:rPr>
        <w:t>招标人</w:t>
      </w:r>
      <w:r>
        <w:rPr>
          <w:rFonts w:hint="eastAsia" w:ascii="宋体" w:hAnsi="宋体" w:cs="宋体"/>
          <w:color w:val="auto"/>
          <w:kern w:val="0"/>
          <w:sz w:val="24"/>
          <w:szCs w:val="24"/>
          <w:highlight w:val="none"/>
          <w:lang w:bidi="en-US"/>
        </w:rPr>
        <w:t>有关人员的监督下进行</w:t>
      </w:r>
      <w:r>
        <w:rPr>
          <w:rFonts w:hint="eastAsia" w:ascii="宋体" w:hAnsi="宋体" w:cs="宋体"/>
          <w:color w:val="auto"/>
          <w:kern w:val="0"/>
          <w:sz w:val="24"/>
          <w:szCs w:val="24"/>
          <w:highlight w:val="none"/>
          <w:lang w:eastAsia="zh-CN" w:bidi="en-US"/>
        </w:rPr>
        <w:t>。</w:t>
      </w:r>
    </w:p>
    <w:p w14:paraId="4F4E5B2F">
      <w:pPr>
        <w:widowControl/>
        <w:snapToGrid w:val="0"/>
        <w:spacing w:line="420" w:lineRule="exact"/>
        <w:ind w:firstLine="360" w:firstLineChars="150"/>
        <w:jc w:val="left"/>
        <w:rPr>
          <w:rFonts w:hint="eastAsia" w:ascii="宋体" w:hAnsi="宋体" w:cs="宋体"/>
          <w:color w:val="auto"/>
          <w:kern w:val="0"/>
          <w:sz w:val="24"/>
          <w:szCs w:val="24"/>
          <w:highlight w:val="none"/>
          <w:lang w:bidi="en-US"/>
        </w:rPr>
      </w:pPr>
      <w:r>
        <w:rPr>
          <w:rFonts w:hint="eastAsia" w:ascii="宋体" w:hAnsi="宋体" w:cs="宋体"/>
          <w:color w:val="auto"/>
          <w:kern w:val="0"/>
          <w:sz w:val="24"/>
          <w:szCs w:val="24"/>
          <w:highlight w:val="none"/>
          <w:lang w:bidi="en-US"/>
        </w:rPr>
        <w:t>（</w:t>
      </w:r>
      <w:r>
        <w:rPr>
          <w:rFonts w:hint="eastAsia" w:ascii="宋体" w:hAnsi="宋体" w:cs="宋体"/>
          <w:color w:val="auto"/>
          <w:kern w:val="0"/>
          <w:sz w:val="24"/>
          <w:szCs w:val="24"/>
          <w:highlight w:val="none"/>
          <w:lang w:val="en-US" w:eastAsia="zh-CN" w:bidi="en-US"/>
        </w:rPr>
        <w:t>六</w:t>
      </w:r>
      <w:r>
        <w:rPr>
          <w:rFonts w:hint="eastAsia" w:ascii="宋体" w:hAnsi="宋体" w:cs="宋体"/>
          <w:color w:val="auto"/>
          <w:kern w:val="0"/>
          <w:sz w:val="24"/>
          <w:szCs w:val="24"/>
          <w:highlight w:val="none"/>
          <w:lang w:bidi="en-US"/>
        </w:rPr>
        <w:t>）验收</w:t>
      </w:r>
    </w:p>
    <w:p w14:paraId="4A0F31E1">
      <w:pPr>
        <w:widowControl/>
        <w:adjustRightInd w:val="0"/>
        <w:snapToGrid w:val="0"/>
        <w:spacing w:line="420" w:lineRule="exact"/>
        <w:ind w:firstLine="480" w:firstLineChars="200"/>
        <w:jc w:val="left"/>
        <w:rPr>
          <w:rFonts w:hint="eastAsia" w:ascii="宋体" w:hAnsi="宋体" w:cs="宋体"/>
          <w:color w:val="auto"/>
          <w:kern w:val="0"/>
          <w:sz w:val="24"/>
          <w:szCs w:val="24"/>
          <w:highlight w:val="none"/>
          <w:lang w:bidi="en-US"/>
        </w:rPr>
      </w:pPr>
      <w:r>
        <w:rPr>
          <w:rFonts w:hint="eastAsia" w:ascii="宋体" w:hAnsi="宋体" w:cs="宋体"/>
          <w:color w:val="auto"/>
          <w:kern w:val="0"/>
          <w:sz w:val="24"/>
          <w:szCs w:val="24"/>
          <w:highlight w:val="none"/>
          <w:lang w:bidi="en-US"/>
        </w:rPr>
        <w:t>1、产品保护</w:t>
      </w:r>
    </w:p>
    <w:p w14:paraId="34F9B19F">
      <w:pPr>
        <w:widowControl/>
        <w:adjustRightInd w:val="0"/>
        <w:snapToGrid w:val="0"/>
        <w:spacing w:line="420" w:lineRule="exact"/>
        <w:jc w:val="left"/>
        <w:rPr>
          <w:rFonts w:hint="eastAsia" w:ascii="宋体" w:hAnsi="宋体" w:cs="宋体"/>
          <w:color w:val="auto"/>
          <w:kern w:val="0"/>
          <w:sz w:val="24"/>
          <w:szCs w:val="24"/>
          <w:highlight w:val="none"/>
          <w:lang w:bidi="en-US"/>
        </w:rPr>
      </w:pPr>
      <w:r>
        <w:rPr>
          <w:rFonts w:hint="eastAsia" w:ascii="宋体" w:hAnsi="宋体" w:cs="宋体"/>
          <w:color w:val="auto"/>
          <w:kern w:val="0"/>
          <w:sz w:val="24"/>
          <w:szCs w:val="24"/>
          <w:highlight w:val="none"/>
          <w:lang w:bidi="en-US"/>
        </w:rPr>
        <w:t xml:space="preserve">    工程完成后，中标人须负责全部设备的保护和清洁工作，直至设备验收合格并正常运行后为止。在安装过程中，如由于中标方原因导致建筑结构或其它设备被损坏，中标人将要负责修理或赔偿损失。</w:t>
      </w:r>
    </w:p>
    <w:p w14:paraId="3231AB7A">
      <w:pPr>
        <w:widowControl/>
        <w:adjustRightInd w:val="0"/>
        <w:snapToGrid w:val="0"/>
        <w:spacing w:line="420" w:lineRule="exact"/>
        <w:jc w:val="left"/>
        <w:rPr>
          <w:rFonts w:hint="eastAsia" w:ascii="宋体" w:hAnsi="宋体" w:cs="宋体"/>
          <w:color w:val="auto"/>
          <w:kern w:val="0"/>
          <w:sz w:val="24"/>
          <w:szCs w:val="24"/>
          <w:highlight w:val="none"/>
          <w:lang w:bidi="en-US"/>
        </w:rPr>
      </w:pPr>
      <w:r>
        <w:rPr>
          <w:rFonts w:hint="eastAsia" w:ascii="宋体" w:hAnsi="宋体" w:cs="宋体"/>
          <w:color w:val="auto"/>
          <w:kern w:val="0"/>
          <w:sz w:val="24"/>
          <w:szCs w:val="24"/>
          <w:highlight w:val="none"/>
          <w:lang w:bidi="en-US"/>
        </w:rPr>
        <w:t xml:space="preserve">    2、验收合格条件</w:t>
      </w:r>
    </w:p>
    <w:p w14:paraId="378A6FD4">
      <w:pPr>
        <w:widowControl/>
        <w:adjustRightInd w:val="0"/>
        <w:snapToGrid w:val="0"/>
        <w:spacing w:line="420" w:lineRule="exact"/>
        <w:jc w:val="left"/>
        <w:rPr>
          <w:rFonts w:hint="eastAsia" w:ascii="宋体" w:hAnsi="宋体" w:cs="宋体"/>
          <w:color w:val="auto"/>
          <w:kern w:val="0"/>
          <w:sz w:val="24"/>
          <w:szCs w:val="24"/>
          <w:highlight w:val="none"/>
          <w:lang w:bidi="en-US"/>
        </w:rPr>
      </w:pPr>
      <w:r>
        <w:rPr>
          <w:rFonts w:hint="eastAsia" w:ascii="宋体" w:hAnsi="宋体" w:cs="宋体"/>
          <w:color w:val="auto"/>
          <w:kern w:val="0"/>
          <w:sz w:val="24"/>
          <w:szCs w:val="24"/>
          <w:highlight w:val="none"/>
          <w:lang w:bidi="en-US"/>
        </w:rPr>
        <w:t xml:space="preserve">   （1）运行结果符合产品标准和技术规格书及合同要求。</w:t>
      </w:r>
    </w:p>
    <w:p w14:paraId="000F77BB">
      <w:pPr>
        <w:widowControl/>
        <w:adjustRightInd w:val="0"/>
        <w:snapToGrid w:val="0"/>
        <w:spacing w:line="420" w:lineRule="exact"/>
        <w:jc w:val="left"/>
        <w:rPr>
          <w:rFonts w:hint="eastAsia" w:ascii="宋体" w:hAnsi="宋体" w:cs="宋体"/>
          <w:color w:val="auto"/>
          <w:kern w:val="0"/>
          <w:sz w:val="24"/>
          <w:szCs w:val="24"/>
          <w:highlight w:val="none"/>
          <w:lang w:bidi="en-US"/>
        </w:rPr>
      </w:pPr>
      <w:r>
        <w:rPr>
          <w:rFonts w:hint="eastAsia" w:ascii="宋体" w:hAnsi="宋体" w:cs="宋体"/>
          <w:color w:val="auto"/>
          <w:kern w:val="0"/>
          <w:sz w:val="24"/>
          <w:szCs w:val="24"/>
          <w:highlight w:val="none"/>
          <w:lang w:bidi="en-US"/>
        </w:rPr>
        <w:t xml:space="preserve">   （2）在进行测试和验收运行过程中发生的故障已被消除并得到</w:t>
      </w:r>
      <w:r>
        <w:rPr>
          <w:rFonts w:hint="eastAsia" w:ascii="宋体" w:hAnsi="宋体" w:cs="宋体"/>
          <w:color w:val="auto"/>
          <w:kern w:val="0"/>
          <w:sz w:val="24"/>
          <w:szCs w:val="24"/>
          <w:highlight w:val="none"/>
          <w:lang w:val="en-US" w:eastAsia="zh-CN" w:bidi="en-US"/>
        </w:rPr>
        <w:t>招标人</w:t>
      </w:r>
      <w:r>
        <w:rPr>
          <w:rFonts w:hint="eastAsia" w:ascii="宋体" w:hAnsi="宋体" w:cs="宋体"/>
          <w:color w:val="auto"/>
          <w:kern w:val="0"/>
          <w:sz w:val="24"/>
          <w:szCs w:val="24"/>
          <w:highlight w:val="none"/>
          <w:lang w:bidi="en-US"/>
        </w:rPr>
        <w:t>的认可。</w:t>
      </w:r>
    </w:p>
    <w:p w14:paraId="001D7B63">
      <w:pPr>
        <w:widowControl/>
        <w:adjustRightInd w:val="0"/>
        <w:snapToGrid w:val="0"/>
        <w:spacing w:line="420" w:lineRule="exact"/>
        <w:jc w:val="left"/>
        <w:rPr>
          <w:rFonts w:hint="eastAsia" w:ascii="宋体" w:hAnsi="宋体" w:cs="宋体"/>
          <w:color w:val="auto"/>
          <w:kern w:val="0"/>
          <w:sz w:val="24"/>
          <w:szCs w:val="24"/>
          <w:highlight w:val="none"/>
          <w:lang w:bidi="en-US"/>
        </w:rPr>
      </w:pPr>
      <w:r>
        <w:rPr>
          <w:rFonts w:hint="eastAsia" w:ascii="宋体" w:hAnsi="宋体" w:cs="宋体"/>
          <w:color w:val="auto"/>
          <w:kern w:val="0"/>
          <w:sz w:val="24"/>
          <w:szCs w:val="24"/>
          <w:highlight w:val="none"/>
          <w:lang w:bidi="en-US"/>
        </w:rPr>
        <w:t xml:space="preserve">   （3）所有合同中规定的货物和材料都已提交。</w:t>
      </w:r>
    </w:p>
    <w:p w14:paraId="6640580F">
      <w:pPr>
        <w:widowControl/>
        <w:adjustRightInd w:val="0"/>
        <w:snapToGrid w:val="0"/>
        <w:spacing w:line="420" w:lineRule="exact"/>
        <w:jc w:val="left"/>
        <w:rPr>
          <w:rFonts w:hint="eastAsia" w:ascii="宋体" w:hAnsi="宋体" w:cs="宋体"/>
          <w:color w:val="auto"/>
          <w:kern w:val="0"/>
          <w:sz w:val="24"/>
          <w:szCs w:val="24"/>
          <w:highlight w:val="none"/>
          <w:lang w:bidi="en-US"/>
        </w:rPr>
      </w:pPr>
      <w:r>
        <w:rPr>
          <w:rFonts w:hint="eastAsia" w:ascii="宋体" w:hAnsi="宋体" w:cs="宋体"/>
          <w:color w:val="auto"/>
          <w:kern w:val="0"/>
          <w:sz w:val="24"/>
          <w:szCs w:val="24"/>
          <w:highlight w:val="none"/>
          <w:lang w:bidi="en-US"/>
        </w:rPr>
        <w:t xml:space="preserve">   （4）交由</w:t>
      </w:r>
      <w:r>
        <w:rPr>
          <w:rFonts w:hint="eastAsia" w:ascii="宋体" w:hAnsi="宋体" w:cs="宋体"/>
          <w:color w:val="auto"/>
          <w:kern w:val="0"/>
          <w:sz w:val="24"/>
          <w:szCs w:val="24"/>
          <w:highlight w:val="none"/>
          <w:lang w:val="en-US" w:eastAsia="zh-CN" w:bidi="en-US"/>
        </w:rPr>
        <w:t>招标人</w:t>
      </w:r>
      <w:r>
        <w:rPr>
          <w:rFonts w:hint="eastAsia" w:ascii="宋体" w:hAnsi="宋体" w:cs="宋体"/>
          <w:color w:val="auto"/>
          <w:kern w:val="0"/>
          <w:sz w:val="24"/>
          <w:szCs w:val="24"/>
          <w:highlight w:val="none"/>
          <w:lang w:bidi="en-US"/>
        </w:rPr>
        <w:t>使用之前已通过有关部门的验收。</w:t>
      </w:r>
    </w:p>
    <w:p w14:paraId="02451C96">
      <w:pPr>
        <w:widowControl/>
        <w:adjustRightInd w:val="0"/>
        <w:snapToGrid w:val="0"/>
        <w:spacing w:line="420" w:lineRule="exact"/>
        <w:ind w:firstLine="360" w:firstLineChars="150"/>
        <w:jc w:val="left"/>
        <w:rPr>
          <w:rFonts w:hint="eastAsia" w:ascii="宋体" w:hAnsi="宋体" w:cs="宋体"/>
          <w:color w:val="auto"/>
          <w:kern w:val="0"/>
          <w:sz w:val="24"/>
          <w:szCs w:val="24"/>
          <w:highlight w:val="none"/>
          <w:lang w:bidi="en-US"/>
        </w:rPr>
      </w:pPr>
      <w:r>
        <w:rPr>
          <w:rFonts w:hint="eastAsia" w:ascii="宋体" w:hAnsi="宋体" w:cs="宋体"/>
          <w:color w:val="auto"/>
          <w:kern w:val="0"/>
          <w:sz w:val="24"/>
          <w:szCs w:val="24"/>
          <w:highlight w:val="none"/>
          <w:lang w:bidi="en-US"/>
        </w:rPr>
        <w:t>（5）整套设备图纸及技术文件都已提交并得到接受。</w:t>
      </w:r>
    </w:p>
    <w:p w14:paraId="09E9E1F8">
      <w:pPr>
        <w:widowControl/>
        <w:adjustRightInd w:val="0"/>
        <w:snapToGrid w:val="0"/>
        <w:spacing w:line="420" w:lineRule="exact"/>
        <w:ind w:firstLine="360" w:firstLineChars="150"/>
        <w:jc w:val="left"/>
        <w:rPr>
          <w:rFonts w:hint="eastAsia" w:ascii="宋体" w:hAnsi="宋体" w:cs="宋体"/>
          <w:color w:val="auto"/>
          <w:kern w:val="0"/>
          <w:sz w:val="24"/>
          <w:szCs w:val="24"/>
          <w:highlight w:val="none"/>
          <w:lang w:bidi="en-US"/>
        </w:rPr>
      </w:pPr>
      <w:r>
        <w:rPr>
          <w:rFonts w:hint="eastAsia" w:ascii="宋体" w:hAnsi="宋体" w:cs="宋体"/>
          <w:color w:val="auto"/>
          <w:kern w:val="0"/>
          <w:sz w:val="24"/>
          <w:szCs w:val="24"/>
          <w:highlight w:val="none"/>
          <w:lang w:bidi="en-US"/>
        </w:rPr>
        <w:t>（</w:t>
      </w:r>
      <w:r>
        <w:rPr>
          <w:rFonts w:hint="eastAsia" w:ascii="宋体" w:hAnsi="宋体" w:cs="宋体"/>
          <w:color w:val="auto"/>
          <w:kern w:val="0"/>
          <w:sz w:val="24"/>
          <w:szCs w:val="24"/>
          <w:highlight w:val="none"/>
          <w:lang w:val="en-US" w:eastAsia="zh-CN" w:bidi="en-US"/>
        </w:rPr>
        <w:t>七</w:t>
      </w:r>
      <w:r>
        <w:rPr>
          <w:rFonts w:hint="eastAsia" w:ascii="宋体" w:hAnsi="宋体" w:cs="宋体"/>
          <w:color w:val="auto"/>
          <w:kern w:val="0"/>
          <w:sz w:val="24"/>
          <w:szCs w:val="24"/>
          <w:highlight w:val="none"/>
          <w:lang w:bidi="en-US"/>
        </w:rPr>
        <w:t>）技术培训</w:t>
      </w:r>
    </w:p>
    <w:p w14:paraId="03ABD6E9">
      <w:pPr>
        <w:widowControl/>
        <w:adjustRightInd w:val="0"/>
        <w:snapToGrid w:val="0"/>
        <w:spacing w:line="420" w:lineRule="exact"/>
        <w:ind w:firstLine="480" w:firstLineChars="200"/>
        <w:jc w:val="left"/>
        <w:rPr>
          <w:color w:val="auto"/>
          <w:sz w:val="24"/>
          <w:szCs w:val="24"/>
          <w:highlight w:val="none"/>
        </w:rPr>
      </w:pPr>
      <w:r>
        <w:rPr>
          <w:rFonts w:hint="eastAsia" w:ascii="宋体" w:hAnsi="宋体" w:cs="宋体"/>
          <w:color w:val="auto"/>
          <w:kern w:val="0"/>
          <w:sz w:val="24"/>
          <w:szCs w:val="24"/>
          <w:highlight w:val="none"/>
          <w:lang w:bidi="en-US"/>
        </w:rPr>
        <w:t>中标人须对招标人的技术人员、维修人员及操作人员进行培训。培训为工地培训。投标人须在投标文件中提供详细的培训计划，包括培训内容、培训时间、培训费用等，费用计入投标总价。投标人提供的负责培训的人员应具备同类产品5年以上的维修经验。</w:t>
      </w:r>
      <w:bookmarkEnd w:id="4"/>
    </w:p>
    <w:p w14:paraId="00D55203">
      <w:pPr>
        <w:widowControl/>
        <w:adjustRightInd w:val="0"/>
        <w:snapToGrid w:val="0"/>
        <w:spacing w:line="420" w:lineRule="exact"/>
        <w:jc w:val="left"/>
        <w:rPr>
          <w:rFonts w:hint="eastAsia" w:ascii="宋体" w:hAnsi="宋体" w:cs="宋体"/>
          <w:color w:val="auto"/>
          <w:kern w:val="0"/>
          <w:sz w:val="24"/>
          <w:szCs w:val="24"/>
          <w:highlight w:val="none"/>
          <w:lang w:val="en-US" w:eastAsia="zh-CN" w:bidi="en-US"/>
        </w:rPr>
      </w:pPr>
      <w:r>
        <w:rPr>
          <w:rFonts w:hint="eastAsia" w:ascii="宋体" w:hAnsi="宋体" w:eastAsia="宋体" w:cs="宋体"/>
          <w:b/>
          <w:color w:val="auto"/>
          <w:sz w:val="24"/>
          <w:highlight w:val="none"/>
          <w:shd w:val="clear" w:color="auto" w:fill="auto"/>
        </w:rPr>
        <w:t>▲</w:t>
      </w:r>
      <w:r>
        <w:rPr>
          <w:rFonts w:hint="eastAsia" w:ascii="宋体" w:hAnsi="宋体" w:cs="宋体"/>
          <w:b/>
          <w:color w:val="auto"/>
          <w:sz w:val="24"/>
          <w:highlight w:val="none"/>
          <w:shd w:val="clear" w:color="auto" w:fill="auto"/>
          <w:lang w:val="en-US" w:eastAsia="zh-CN"/>
        </w:rPr>
        <w:t>五</w:t>
      </w:r>
      <w:r>
        <w:rPr>
          <w:rFonts w:hint="eastAsia" w:ascii="宋体" w:hAnsi="宋体" w:cs="宋体"/>
          <w:b/>
          <w:bCs/>
          <w:color w:val="auto"/>
          <w:kern w:val="0"/>
          <w:sz w:val="24"/>
          <w:szCs w:val="24"/>
          <w:highlight w:val="none"/>
          <w:lang w:val="en-US" w:eastAsia="zh-CN" w:bidi="en-US"/>
        </w:rPr>
        <w:t>、付款方式</w:t>
      </w:r>
    </w:p>
    <w:p w14:paraId="64CD57A8">
      <w:pPr>
        <w:widowControl/>
        <w:adjustRightInd w:val="0"/>
        <w:snapToGrid w:val="0"/>
        <w:spacing w:line="420" w:lineRule="exact"/>
        <w:ind w:firstLine="480" w:firstLineChars="200"/>
        <w:jc w:val="left"/>
        <w:rPr>
          <w:rFonts w:hint="eastAsia" w:ascii="宋体" w:hAnsi="宋体" w:cs="宋体"/>
          <w:color w:val="auto"/>
          <w:kern w:val="0"/>
          <w:sz w:val="24"/>
          <w:szCs w:val="24"/>
          <w:highlight w:val="none"/>
          <w:lang w:eastAsia="zh-CN" w:bidi="en-US"/>
        </w:rPr>
      </w:pPr>
      <w:r>
        <w:rPr>
          <w:rFonts w:hint="eastAsia" w:ascii="宋体" w:hAnsi="宋体" w:eastAsia="宋体" w:cs="宋体"/>
          <w:color w:val="auto"/>
          <w:kern w:val="0"/>
          <w:sz w:val="24"/>
          <w:szCs w:val="24"/>
          <w:highlight w:val="none"/>
          <w:lang w:bidi="en-US"/>
        </w:rPr>
        <w:t>合同签订</w:t>
      </w:r>
      <w:r>
        <w:rPr>
          <w:rFonts w:hint="eastAsia" w:ascii="宋体" w:hAnsi="宋体" w:eastAsia="宋体" w:cs="宋体"/>
          <w:color w:val="auto"/>
          <w:kern w:val="0"/>
          <w:sz w:val="24"/>
          <w:szCs w:val="24"/>
          <w:highlight w:val="none"/>
          <w:lang w:val="en-US" w:eastAsia="zh-CN" w:bidi="en-US"/>
        </w:rPr>
        <w:t>并具备实施条件</w:t>
      </w:r>
      <w:r>
        <w:rPr>
          <w:rFonts w:hint="eastAsia" w:ascii="宋体" w:hAnsi="宋体" w:eastAsia="宋体" w:cs="宋体"/>
          <w:color w:val="auto"/>
          <w:kern w:val="0"/>
          <w:sz w:val="24"/>
          <w:szCs w:val="24"/>
          <w:highlight w:val="none"/>
          <w:lang w:bidi="en-US"/>
        </w:rPr>
        <w:t>后30日历天内付至</w:t>
      </w:r>
      <w:r>
        <w:rPr>
          <w:rFonts w:hint="eastAsia" w:ascii="宋体" w:hAnsi="宋体" w:eastAsia="宋体" w:cs="宋体"/>
          <w:color w:val="auto"/>
          <w:kern w:val="0"/>
          <w:sz w:val="24"/>
          <w:szCs w:val="24"/>
          <w:highlight w:val="none"/>
          <w:lang w:val="en-US" w:eastAsia="zh-CN" w:bidi="en-US"/>
        </w:rPr>
        <w:t>合同</w:t>
      </w:r>
      <w:r>
        <w:rPr>
          <w:rFonts w:hint="eastAsia" w:ascii="宋体" w:hAnsi="宋体" w:cs="宋体"/>
          <w:color w:val="auto"/>
          <w:kern w:val="0"/>
          <w:sz w:val="24"/>
          <w:szCs w:val="24"/>
          <w:highlight w:val="none"/>
          <w:lang w:val="en-US" w:eastAsia="zh-CN" w:bidi="en-US"/>
        </w:rPr>
        <w:t>价</w:t>
      </w:r>
      <w:r>
        <w:rPr>
          <w:rFonts w:hint="eastAsia" w:ascii="宋体" w:hAnsi="宋体" w:eastAsia="宋体" w:cs="宋体"/>
          <w:color w:val="auto"/>
          <w:kern w:val="0"/>
          <w:sz w:val="24"/>
          <w:szCs w:val="24"/>
          <w:highlight w:val="none"/>
          <w:lang w:bidi="en-US"/>
        </w:rPr>
        <w:t>的</w:t>
      </w:r>
      <w:r>
        <w:rPr>
          <w:rFonts w:hint="eastAsia" w:ascii="宋体" w:hAnsi="宋体" w:eastAsia="宋体" w:cs="宋体"/>
          <w:color w:val="auto"/>
          <w:kern w:val="0"/>
          <w:sz w:val="24"/>
          <w:szCs w:val="24"/>
          <w:highlight w:val="none"/>
          <w:lang w:val="en-US" w:eastAsia="zh-CN" w:bidi="en-US"/>
        </w:rPr>
        <w:t>3</w:t>
      </w:r>
      <w:r>
        <w:rPr>
          <w:rFonts w:hint="eastAsia" w:ascii="宋体" w:hAnsi="宋体" w:eastAsia="宋体" w:cs="宋体"/>
          <w:color w:val="auto"/>
          <w:kern w:val="0"/>
          <w:sz w:val="24"/>
          <w:szCs w:val="24"/>
          <w:highlight w:val="none"/>
          <w:lang w:bidi="en-US"/>
        </w:rPr>
        <w:t>0%，</w:t>
      </w:r>
      <w:r>
        <w:rPr>
          <w:rFonts w:hint="eastAsia" w:ascii="宋体" w:hAnsi="宋体" w:eastAsia="宋体" w:cs="宋体"/>
          <w:color w:val="auto"/>
          <w:kern w:val="0"/>
          <w:sz w:val="24"/>
          <w:szCs w:val="24"/>
          <w:highlight w:val="none"/>
          <w:lang w:val="en-US" w:eastAsia="zh-CN" w:bidi="en-US"/>
        </w:rPr>
        <w:t>项目</w:t>
      </w:r>
      <w:r>
        <w:rPr>
          <w:rFonts w:hint="eastAsia" w:ascii="宋体" w:hAnsi="宋体" w:eastAsia="宋体" w:cs="宋体"/>
          <w:color w:val="auto"/>
          <w:kern w:val="0"/>
          <w:sz w:val="24"/>
          <w:szCs w:val="24"/>
          <w:highlight w:val="none"/>
          <w:lang w:bidi="en-US"/>
        </w:rPr>
        <w:t>验收合格</w:t>
      </w:r>
      <w:r>
        <w:rPr>
          <w:rFonts w:hint="eastAsia" w:ascii="宋体" w:hAnsi="宋体" w:eastAsia="宋体" w:cs="宋体"/>
          <w:color w:val="auto"/>
          <w:kern w:val="0"/>
          <w:sz w:val="24"/>
          <w:szCs w:val="24"/>
          <w:highlight w:val="none"/>
          <w:lang w:val="en-US" w:eastAsia="zh-CN" w:bidi="en-US"/>
        </w:rPr>
        <w:t>并试运行三个月</w:t>
      </w:r>
      <w:r>
        <w:rPr>
          <w:rFonts w:hint="eastAsia" w:ascii="宋体" w:hAnsi="宋体" w:eastAsia="宋体" w:cs="宋体"/>
          <w:color w:val="auto"/>
          <w:kern w:val="0"/>
          <w:sz w:val="24"/>
          <w:szCs w:val="24"/>
          <w:highlight w:val="none"/>
          <w:lang w:bidi="en-US"/>
        </w:rPr>
        <w:t>后30日历天内付至</w:t>
      </w:r>
      <w:r>
        <w:rPr>
          <w:rFonts w:hint="eastAsia" w:ascii="宋体" w:hAnsi="宋体" w:eastAsia="宋体" w:cs="宋体"/>
          <w:color w:val="auto"/>
          <w:kern w:val="0"/>
          <w:sz w:val="24"/>
          <w:szCs w:val="24"/>
          <w:highlight w:val="none"/>
          <w:lang w:val="en-US" w:eastAsia="zh-CN" w:bidi="en-US"/>
        </w:rPr>
        <w:t>合同约定价</w:t>
      </w:r>
      <w:r>
        <w:rPr>
          <w:rFonts w:hint="eastAsia" w:ascii="宋体" w:hAnsi="宋体" w:eastAsia="宋体" w:cs="宋体"/>
          <w:color w:val="auto"/>
          <w:kern w:val="0"/>
          <w:sz w:val="24"/>
          <w:szCs w:val="24"/>
          <w:highlight w:val="none"/>
          <w:lang w:bidi="en-US"/>
        </w:rPr>
        <w:t>的97%，质保期满后付清余款。</w:t>
      </w:r>
      <w:r>
        <w:rPr>
          <w:rFonts w:hint="eastAsia" w:ascii="宋体" w:hAnsi="宋体" w:cs="宋体"/>
          <w:color w:val="auto"/>
          <w:kern w:val="0"/>
          <w:sz w:val="24"/>
          <w:szCs w:val="24"/>
          <w:highlight w:val="none"/>
          <w:lang w:eastAsia="zh-CN" w:bidi="en-US"/>
        </w:rPr>
        <w:t>付款前，开具增值税税率为13%的</w:t>
      </w:r>
      <w:r>
        <w:rPr>
          <w:rFonts w:hint="eastAsia" w:ascii="宋体" w:hAnsi="宋体" w:eastAsia="宋体" w:cs="宋体"/>
          <w:color w:val="auto"/>
          <w:kern w:val="0"/>
          <w:sz w:val="24"/>
          <w:szCs w:val="24"/>
          <w:highlight w:val="none"/>
          <w:lang w:val="en-US" w:eastAsia="zh-CN" w:bidi="en-US"/>
        </w:rPr>
        <w:t>增值税专用</w:t>
      </w:r>
      <w:r>
        <w:rPr>
          <w:rFonts w:hint="eastAsia" w:ascii="宋体" w:hAnsi="宋体" w:eastAsia="宋体" w:cs="宋体"/>
          <w:color w:val="auto"/>
          <w:kern w:val="0"/>
          <w:sz w:val="24"/>
          <w:szCs w:val="24"/>
          <w:highlight w:val="none"/>
          <w:lang w:bidi="en-US"/>
        </w:rPr>
        <w:t>发票</w:t>
      </w:r>
      <w:r>
        <w:rPr>
          <w:rFonts w:hint="eastAsia" w:ascii="宋体" w:hAnsi="宋体" w:eastAsia="宋体" w:cs="宋体"/>
          <w:color w:val="auto"/>
          <w:kern w:val="0"/>
          <w:sz w:val="24"/>
          <w:szCs w:val="24"/>
          <w:highlight w:val="none"/>
          <w:lang w:eastAsia="zh-CN" w:bidi="en-US"/>
        </w:rPr>
        <w:t>（</w:t>
      </w:r>
      <w:r>
        <w:rPr>
          <w:rFonts w:hint="eastAsia" w:ascii="宋体" w:hAnsi="宋体" w:eastAsia="宋体" w:cs="宋体"/>
          <w:color w:val="auto"/>
          <w:kern w:val="0"/>
          <w:sz w:val="24"/>
          <w:szCs w:val="24"/>
          <w:highlight w:val="none"/>
          <w:lang w:bidi="en-US"/>
        </w:rPr>
        <w:t>货物销售类</w:t>
      </w:r>
      <w:r>
        <w:rPr>
          <w:rFonts w:hint="eastAsia" w:ascii="宋体" w:hAnsi="宋体" w:eastAsia="宋体" w:cs="宋体"/>
          <w:color w:val="auto"/>
          <w:kern w:val="0"/>
          <w:sz w:val="24"/>
          <w:szCs w:val="24"/>
          <w:highlight w:val="none"/>
          <w:lang w:eastAsia="zh-CN" w:bidi="en-US"/>
        </w:rPr>
        <w:t>）</w:t>
      </w:r>
      <w:r>
        <w:rPr>
          <w:rFonts w:hint="eastAsia" w:ascii="宋体" w:hAnsi="宋体" w:eastAsia="宋体" w:cs="宋体"/>
          <w:color w:val="auto"/>
          <w:kern w:val="0"/>
          <w:sz w:val="24"/>
          <w:szCs w:val="24"/>
          <w:highlight w:val="none"/>
          <w:lang w:bidi="en-US"/>
        </w:rPr>
        <w:t>应随付款进度及时提供</w:t>
      </w:r>
      <w:r>
        <w:rPr>
          <w:rFonts w:hint="eastAsia" w:ascii="宋体" w:hAnsi="宋体" w:cs="宋体"/>
          <w:color w:val="auto"/>
          <w:kern w:val="0"/>
          <w:sz w:val="24"/>
          <w:szCs w:val="24"/>
          <w:highlight w:val="none"/>
          <w:lang w:eastAsia="zh-CN" w:bidi="en-US"/>
        </w:rPr>
        <w:t>，</w:t>
      </w:r>
      <w:r>
        <w:rPr>
          <w:rFonts w:hint="eastAsia" w:ascii="宋体" w:hAnsi="宋体" w:eastAsia="宋体" w:cs="宋体"/>
          <w:color w:val="auto"/>
          <w:kern w:val="0"/>
          <w:sz w:val="24"/>
          <w:szCs w:val="24"/>
          <w:highlight w:val="none"/>
          <w:lang w:bidi="en-US"/>
        </w:rPr>
        <w:t>本项目的合同价款由临海大诚建设工程有限公司支付给中标人</w:t>
      </w:r>
      <w:r>
        <w:rPr>
          <w:rFonts w:hint="eastAsia" w:ascii="宋体" w:hAnsi="宋体" w:cs="宋体"/>
          <w:color w:val="auto"/>
          <w:kern w:val="0"/>
          <w:sz w:val="24"/>
          <w:szCs w:val="24"/>
          <w:highlight w:val="none"/>
          <w:lang w:eastAsia="zh-CN" w:bidi="en-US"/>
        </w:rPr>
        <w:t>。</w:t>
      </w:r>
    </w:p>
    <w:p w14:paraId="4A057809">
      <w:pPr>
        <w:spacing w:line="360" w:lineRule="auto"/>
        <w:ind w:firstLine="443" w:firstLineChars="147"/>
        <w:jc w:val="center"/>
        <w:outlineLvl w:val="0"/>
        <w:rPr>
          <w:rFonts w:hint="eastAsia" w:ascii="宋体" w:hAnsi="宋体" w:eastAsia="宋体" w:cs="宋体"/>
          <w:b/>
          <w:color w:val="auto"/>
          <w:sz w:val="30"/>
          <w:szCs w:val="30"/>
          <w:highlight w:val="none"/>
          <w:shd w:val="clear" w:color="auto" w:fill="auto"/>
        </w:rPr>
      </w:pPr>
    </w:p>
    <w:p w14:paraId="62A3D6E5">
      <w:pPr>
        <w:spacing w:line="360" w:lineRule="auto"/>
        <w:ind w:firstLine="443" w:firstLineChars="147"/>
        <w:jc w:val="center"/>
        <w:outlineLvl w:val="0"/>
        <w:rPr>
          <w:rFonts w:hint="eastAsia" w:ascii="宋体" w:hAnsi="宋体" w:eastAsia="宋体" w:cs="宋体"/>
          <w:b/>
          <w:color w:val="auto"/>
          <w:sz w:val="30"/>
          <w:szCs w:val="30"/>
          <w:highlight w:val="none"/>
          <w:shd w:val="clear" w:color="auto" w:fill="auto"/>
        </w:rPr>
      </w:pPr>
    </w:p>
    <w:p w14:paraId="46D8EEBC">
      <w:pPr>
        <w:spacing w:line="360" w:lineRule="auto"/>
        <w:ind w:firstLine="443" w:firstLineChars="147"/>
        <w:jc w:val="center"/>
        <w:outlineLvl w:val="0"/>
        <w:rPr>
          <w:rFonts w:hint="eastAsia" w:ascii="宋体" w:hAnsi="宋体" w:eastAsia="宋体" w:cs="宋体"/>
          <w:b/>
          <w:color w:val="auto"/>
          <w:sz w:val="30"/>
          <w:szCs w:val="30"/>
          <w:highlight w:val="none"/>
          <w:shd w:val="clear" w:color="auto" w:fill="auto"/>
        </w:rPr>
      </w:pPr>
    </w:p>
    <w:p w14:paraId="3ACD21FE">
      <w:pPr>
        <w:spacing w:line="360" w:lineRule="auto"/>
        <w:ind w:firstLine="443" w:firstLineChars="147"/>
        <w:jc w:val="center"/>
        <w:outlineLvl w:val="0"/>
        <w:rPr>
          <w:rFonts w:hint="eastAsia" w:ascii="宋体" w:hAnsi="宋体" w:eastAsia="宋体" w:cs="宋体"/>
          <w:b/>
          <w:color w:val="auto"/>
          <w:sz w:val="30"/>
          <w:szCs w:val="30"/>
          <w:highlight w:val="none"/>
          <w:shd w:val="clear" w:color="auto" w:fill="auto"/>
        </w:rPr>
      </w:pPr>
    </w:p>
    <w:p w14:paraId="522392E9">
      <w:pPr>
        <w:spacing w:line="360" w:lineRule="auto"/>
        <w:ind w:firstLine="443" w:firstLineChars="147"/>
        <w:jc w:val="center"/>
        <w:outlineLvl w:val="0"/>
        <w:rPr>
          <w:rFonts w:hint="eastAsia" w:ascii="宋体" w:hAnsi="宋体" w:eastAsia="宋体" w:cs="宋体"/>
          <w:b/>
          <w:color w:val="auto"/>
          <w:sz w:val="30"/>
          <w:szCs w:val="30"/>
          <w:highlight w:val="none"/>
          <w:shd w:val="clear" w:color="auto" w:fill="auto"/>
        </w:rPr>
      </w:pPr>
    </w:p>
    <w:p w14:paraId="235B918B">
      <w:pPr>
        <w:spacing w:line="360" w:lineRule="auto"/>
        <w:jc w:val="both"/>
        <w:outlineLvl w:val="0"/>
        <w:rPr>
          <w:rFonts w:hint="eastAsia" w:ascii="宋体" w:hAnsi="宋体" w:eastAsia="宋体" w:cs="宋体"/>
          <w:b/>
          <w:color w:val="auto"/>
          <w:sz w:val="30"/>
          <w:szCs w:val="30"/>
          <w:highlight w:val="none"/>
          <w:shd w:val="clear" w:color="auto" w:fill="auto"/>
        </w:rPr>
      </w:pPr>
    </w:p>
    <w:p w14:paraId="39FFA743">
      <w:pPr>
        <w:spacing w:line="360" w:lineRule="auto"/>
        <w:jc w:val="both"/>
        <w:outlineLvl w:val="0"/>
        <w:rPr>
          <w:rFonts w:hint="eastAsia" w:ascii="宋体" w:hAnsi="宋体" w:eastAsia="宋体" w:cs="宋体"/>
          <w:b/>
          <w:color w:val="auto"/>
          <w:sz w:val="30"/>
          <w:szCs w:val="30"/>
          <w:highlight w:val="none"/>
          <w:shd w:val="clear" w:color="auto" w:fill="auto"/>
        </w:rPr>
      </w:pPr>
    </w:p>
    <w:p w14:paraId="28857228">
      <w:pPr>
        <w:spacing w:line="360" w:lineRule="auto"/>
        <w:jc w:val="both"/>
        <w:outlineLvl w:val="0"/>
        <w:rPr>
          <w:rFonts w:hint="eastAsia" w:ascii="宋体" w:hAnsi="宋体" w:eastAsia="宋体" w:cs="宋体"/>
          <w:b/>
          <w:color w:val="auto"/>
          <w:sz w:val="30"/>
          <w:szCs w:val="30"/>
          <w:highlight w:val="none"/>
          <w:shd w:val="clear" w:color="auto" w:fill="auto"/>
        </w:rPr>
      </w:pPr>
    </w:p>
    <w:p w14:paraId="3E962836">
      <w:pPr>
        <w:spacing w:line="360" w:lineRule="auto"/>
        <w:jc w:val="both"/>
        <w:outlineLvl w:val="0"/>
        <w:rPr>
          <w:rFonts w:hint="eastAsia" w:ascii="宋体" w:hAnsi="宋体" w:eastAsia="宋体" w:cs="宋体"/>
          <w:b/>
          <w:color w:val="auto"/>
          <w:sz w:val="30"/>
          <w:szCs w:val="30"/>
          <w:highlight w:val="none"/>
          <w:shd w:val="clear" w:color="auto" w:fill="auto"/>
        </w:rPr>
      </w:pPr>
    </w:p>
    <w:p w14:paraId="5616800A">
      <w:pPr>
        <w:spacing w:line="360" w:lineRule="auto"/>
        <w:jc w:val="both"/>
        <w:outlineLvl w:val="0"/>
        <w:rPr>
          <w:rFonts w:hint="eastAsia" w:ascii="宋体" w:hAnsi="宋体" w:eastAsia="宋体" w:cs="宋体"/>
          <w:b/>
          <w:color w:val="auto"/>
          <w:sz w:val="30"/>
          <w:szCs w:val="30"/>
          <w:highlight w:val="none"/>
          <w:shd w:val="clear" w:color="auto" w:fill="auto"/>
        </w:rPr>
      </w:pPr>
    </w:p>
    <w:p w14:paraId="05B172A7">
      <w:pPr>
        <w:spacing w:line="360" w:lineRule="auto"/>
        <w:jc w:val="both"/>
        <w:outlineLvl w:val="0"/>
        <w:rPr>
          <w:rFonts w:hint="eastAsia" w:ascii="宋体" w:hAnsi="宋体" w:eastAsia="宋体" w:cs="宋体"/>
          <w:b/>
          <w:color w:val="auto"/>
          <w:sz w:val="30"/>
          <w:szCs w:val="30"/>
          <w:highlight w:val="none"/>
          <w:shd w:val="clear" w:color="auto" w:fill="auto"/>
        </w:rPr>
      </w:pPr>
    </w:p>
    <w:p w14:paraId="72BEFB27">
      <w:pPr>
        <w:spacing w:line="360" w:lineRule="auto"/>
        <w:jc w:val="both"/>
        <w:outlineLvl w:val="0"/>
        <w:rPr>
          <w:rFonts w:hint="eastAsia" w:ascii="宋体" w:hAnsi="宋体" w:eastAsia="宋体" w:cs="宋体"/>
          <w:b/>
          <w:color w:val="auto"/>
          <w:sz w:val="30"/>
          <w:szCs w:val="30"/>
          <w:highlight w:val="none"/>
          <w:shd w:val="clear" w:color="auto" w:fill="auto"/>
        </w:rPr>
      </w:pPr>
    </w:p>
    <w:p w14:paraId="2F1C6F6E">
      <w:pPr>
        <w:spacing w:line="360" w:lineRule="auto"/>
        <w:jc w:val="both"/>
        <w:outlineLvl w:val="0"/>
        <w:rPr>
          <w:rFonts w:hint="eastAsia" w:ascii="宋体" w:hAnsi="宋体" w:eastAsia="宋体" w:cs="宋体"/>
          <w:b/>
          <w:color w:val="auto"/>
          <w:sz w:val="30"/>
          <w:szCs w:val="30"/>
          <w:highlight w:val="none"/>
          <w:shd w:val="clear" w:color="auto" w:fill="auto"/>
        </w:rPr>
      </w:pPr>
    </w:p>
    <w:p w14:paraId="2C9E3DCA">
      <w:pPr>
        <w:spacing w:line="360" w:lineRule="auto"/>
        <w:jc w:val="both"/>
        <w:outlineLvl w:val="0"/>
        <w:rPr>
          <w:rFonts w:hint="eastAsia" w:ascii="宋体" w:hAnsi="宋体" w:eastAsia="宋体" w:cs="宋体"/>
          <w:b/>
          <w:color w:val="auto"/>
          <w:sz w:val="30"/>
          <w:szCs w:val="30"/>
          <w:highlight w:val="none"/>
          <w:shd w:val="clear" w:color="auto" w:fill="auto"/>
        </w:rPr>
      </w:pPr>
    </w:p>
    <w:p w14:paraId="5ED17530">
      <w:pPr>
        <w:spacing w:line="360" w:lineRule="auto"/>
        <w:jc w:val="both"/>
        <w:outlineLvl w:val="0"/>
        <w:rPr>
          <w:rFonts w:hint="eastAsia" w:ascii="宋体" w:hAnsi="宋体" w:eastAsia="宋体" w:cs="宋体"/>
          <w:b/>
          <w:color w:val="auto"/>
          <w:sz w:val="30"/>
          <w:szCs w:val="30"/>
          <w:highlight w:val="none"/>
          <w:shd w:val="clear" w:color="auto" w:fill="auto"/>
        </w:rPr>
      </w:pPr>
    </w:p>
    <w:p w14:paraId="360D1D56">
      <w:pPr>
        <w:pStyle w:val="61"/>
        <w:ind w:left="0" w:leftChars="0" w:firstLine="0" w:firstLineChars="0"/>
        <w:rPr>
          <w:rFonts w:hint="eastAsia"/>
          <w:color w:val="auto"/>
          <w:highlight w:val="none"/>
        </w:rPr>
      </w:pPr>
    </w:p>
    <w:p w14:paraId="3238ED4D">
      <w:pPr>
        <w:spacing w:line="360" w:lineRule="auto"/>
        <w:ind w:firstLine="443" w:firstLineChars="147"/>
        <w:jc w:val="center"/>
        <w:outlineLvl w:val="0"/>
        <w:rPr>
          <w:rFonts w:hint="eastAsia" w:ascii="宋体" w:hAnsi="宋体" w:eastAsia="宋体" w:cs="宋体"/>
          <w:b/>
          <w:color w:val="auto"/>
          <w:sz w:val="30"/>
          <w:szCs w:val="30"/>
          <w:highlight w:val="none"/>
          <w:shd w:val="clear" w:color="auto" w:fill="auto"/>
        </w:rPr>
      </w:pPr>
      <w:r>
        <w:rPr>
          <w:rFonts w:hint="eastAsia" w:ascii="宋体" w:hAnsi="宋体" w:eastAsia="宋体" w:cs="宋体"/>
          <w:b/>
          <w:color w:val="auto"/>
          <w:sz w:val="30"/>
          <w:szCs w:val="30"/>
          <w:highlight w:val="none"/>
          <w:shd w:val="clear" w:color="auto" w:fill="auto"/>
        </w:rPr>
        <w:t>第三章  投标人须知</w:t>
      </w:r>
      <w:bookmarkEnd w:id="5"/>
      <w:bookmarkEnd w:id="6"/>
    </w:p>
    <w:p w14:paraId="4DC14EBA">
      <w:pPr>
        <w:snapToGrid w:val="0"/>
        <w:spacing w:before="120" w:beforeLines="50" w:after="120" w:afterLines="50" w:line="280" w:lineRule="exact"/>
        <w:ind w:left="476"/>
        <w:jc w:val="center"/>
        <w:rPr>
          <w:rFonts w:hint="eastAsia" w:ascii="宋体" w:hAnsi="宋体" w:eastAsia="宋体" w:cs="宋体"/>
          <w:b/>
          <w:color w:val="auto"/>
          <w:szCs w:val="21"/>
          <w:highlight w:val="none"/>
          <w:shd w:val="clear" w:color="auto" w:fill="auto"/>
        </w:rPr>
      </w:pPr>
      <w:r>
        <w:rPr>
          <w:rFonts w:hint="eastAsia" w:ascii="宋体" w:hAnsi="宋体" w:eastAsia="宋体" w:cs="宋体"/>
          <w:b/>
          <w:color w:val="auto"/>
          <w:szCs w:val="21"/>
          <w:highlight w:val="none"/>
          <w:shd w:val="clear" w:color="auto" w:fill="auto"/>
        </w:rPr>
        <w:t>前附表</w:t>
      </w:r>
    </w:p>
    <w:tbl>
      <w:tblPr>
        <w:tblStyle w:val="52"/>
        <w:tblW w:w="10471" w:type="dxa"/>
        <w:tblInd w:w="-58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87"/>
        <w:gridCol w:w="9684"/>
      </w:tblGrid>
      <w:tr w14:paraId="5CA36FA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9" w:hRule="atLeast"/>
        </w:trPr>
        <w:tc>
          <w:tcPr>
            <w:tcW w:w="787" w:type="dxa"/>
            <w:tcBorders>
              <w:top w:val="single" w:color="auto" w:sz="4" w:space="0"/>
              <w:left w:val="single" w:color="auto" w:sz="4" w:space="0"/>
              <w:bottom w:val="single" w:color="auto" w:sz="4" w:space="0"/>
              <w:right w:val="single" w:color="auto" w:sz="4" w:space="0"/>
            </w:tcBorders>
            <w:vAlign w:val="center"/>
          </w:tcPr>
          <w:p w14:paraId="26AF9C88">
            <w:pPr>
              <w:snapToGrid w:val="0"/>
              <w:spacing w:line="400" w:lineRule="exact"/>
              <w:jc w:val="center"/>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序号</w:t>
            </w:r>
          </w:p>
        </w:tc>
        <w:tc>
          <w:tcPr>
            <w:tcW w:w="9684" w:type="dxa"/>
            <w:tcBorders>
              <w:top w:val="single" w:color="auto" w:sz="4" w:space="0"/>
              <w:left w:val="single" w:color="auto" w:sz="4" w:space="0"/>
              <w:bottom w:val="single" w:color="auto" w:sz="4" w:space="0"/>
              <w:right w:val="single" w:color="auto" w:sz="4" w:space="0"/>
            </w:tcBorders>
            <w:vAlign w:val="center"/>
          </w:tcPr>
          <w:p w14:paraId="52C7DA1E">
            <w:pPr>
              <w:snapToGrid w:val="0"/>
              <w:spacing w:line="400" w:lineRule="exact"/>
              <w:jc w:val="center"/>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内容、要求</w:t>
            </w:r>
          </w:p>
        </w:tc>
      </w:tr>
      <w:tr w14:paraId="2347A72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4" w:hRule="atLeast"/>
        </w:trPr>
        <w:tc>
          <w:tcPr>
            <w:tcW w:w="787" w:type="dxa"/>
            <w:tcBorders>
              <w:top w:val="single" w:color="auto" w:sz="4" w:space="0"/>
              <w:left w:val="single" w:color="auto" w:sz="4" w:space="0"/>
              <w:bottom w:val="single" w:color="auto" w:sz="4" w:space="0"/>
              <w:right w:val="single" w:color="auto" w:sz="4" w:space="0"/>
            </w:tcBorders>
            <w:vAlign w:val="center"/>
          </w:tcPr>
          <w:p w14:paraId="1525E753">
            <w:pPr>
              <w:snapToGrid w:val="0"/>
              <w:spacing w:line="400" w:lineRule="exact"/>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w:t>
            </w:r>
          </w:p>
        </w:tc>
        <w:tc>
          <w:tcPr>
            <w:tcW w:w="9684" w:type="dxa"/>
            <w:tcBorders>
              <w:top w:val="single" w:color="auto" w:sz="4" w:space="0"/>
              <w:left w:val="single" w:color="auto" w:sz="4" w:space="0"/>
              <w:bottom w:val="single" w:color="auto" w:sz="4" w:space="0"/>
              <w:right w:val="single" w:color="auto" w:sz="4" w:space="0"/>
            </w:tcBorders>
            <w:vAlign w:val="center"/>
          </w:tcPr>
          <w:p w14:paraId="437E985E">
            <w:pPr>
              <w:pStyle w:val="45"/>
              <w:spacing w:before="0" w:beforeAutospacing="0" w:after="0" w:afterAutospacing="0" w:line="400" w:lineRule="exact"/>
              <w:rPr>
                <w:rFonts w:hint="eastAsia" w:ascii="宋体" w:hAnsi="宋体" w:eastAsia="宋体" w:cs="宋体"/>
                <w:color w:val="auto"/>
                <w:kern w:val="2"/>
                <w:highlight w:val="none"/>
                <w:shd w:val="clear" w:color="auto" w:fill="auto"/>
                <w:lang w:eastAsia="zh-CN"/>
              </w:rPr>
            </w:pPr>
            <w:r>
              <w:rPr>
                <w:rFonts w:hint="eastAsia" w:ascii="宋体" w:hAnsi="宋体" w:eastAsia="宋体" w:cs="宋体"/>
                <w:color w:val="auto"/>
                <w:kern w:val="2"/>
                <w:highlight w:val="none"/>
                <w:shd w:val="clear" w:color="auto" w:fill="auto"/>
              </w:rPr>
              <w:t>项目名称：</w:t>
            </w:r>
            <w:r>
              <w:rPr>
                <w:rFonts w:hint="eastAsia" w:cs="宋体"/>
                <w:color w:val="auto"/>
                <w:kern w:val="2"/>
                <w:highlight w:val="none"/>
                <w:shd w:val="clear" w:color="auto" w:fill="auto"/>
                <w:lang w:eastAsia="zh-CN"/>
              </w:rPr>
              <w:t>台州综合保税区2020-4地块建设工程(区块一、区块三)-提升机采购</w:t>
            </w:r>
          </w:p>
        </w:tc>
      </w:tr>
      <w:tr w14:paraId="0A2270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7" w:type="dxa"/>
            <w:tcBorders>
              <w:top w:val="single" w:color="auto" w:sz="4" w:space="0"/>
              <w:left w:val="single" w:color="auto" w:sz="4" w:space="0"/>
              <w:bottom w:val="single" w:color="auto" w:sz="4" w:space="0"/>
              <w:right w:val="single" w:color="auto" w:sz="4" w:space="0"/>
            </w:tcBorders>
            <w:vAlign w:val="center"/>
          </w:tcPr>
          <w:p w14:paraId="1C355903">
            <w:pPr>
              <w:snapToGrid w:val="0"/>
              <w:spacing w:line="400" w:lineRule="exact"/>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w:t>
            </w:r>
          </w:p>
        </w:tc>
        <w:tc>
          <w:tcPr>
            <w:tcW w:w="9684" w:type="dxa"/>
            <w:tcBorders>
              <w:top w:val="single" w:color="auto" w:sz="4" w:space="0"/>
              <w:left w:val="single" w:color="auto" w:sz="4" w:space="0"/>
              <w:bottom w:val="single" w:color="auto" w:sz="4" w:space="0"/>
              <w:right w:val="single" w:color="auto" w:sz="4" w:space="0"/>
            </w:tcBorders>
            <w:vAlign w:val="center"/>
          </w:tcPr>
          <w:p w14:paraId="10953F41">
            <w:pPr>
              <w:snapToGrid w:val="0"/>
              <w:spacing w:line="400" w:lineRule="exac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采购内容及数量：详见“第二章 招标需求”</w:t>
            </w:r>
          </w:p>
        </w:tc>
      </w:tr>
      <w:tr w14:paraId="7FCA9C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02" w:hRule="atLeast"/>
        </w:trPr>
        <w:tc>
          <w:tcPr>
            <w:tcW w:w="787" w:type="dxa"/>
            <w:tcBorders>
              <w:top w:val="single" w:color="auto" w:sz="4" w:space="0"/>
              <w:left w:val="single" w:color="auto" w:sz="4" w:space="0"/>
              <w:bottom w:val="single" w:color="auto" w:sz="4" w:space="0"/>
              <w:right w:val="single" w:color="auto" w:sz="4" w:space="0"/>
            </w:tcBorders>
            <w:vAlign w:val="center"/>
          </w:tcPr>
          <w:p w14:paraId="4AE2E266">
            <w:pPr>
              <w:snapToGrid w:val="0"/>
              <w:spacing w:line="400" w:lineRule="exact"/>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3</w:t>
            </w:r>
          </w:p>
        </w:tc>
        <w:tc>
          <w:tcPr>
            <w:tcW w:w="9684" w:type="dxa"/>
            <w:tcBorders>
              <w:top w:val="single" w:color="auto" w:sz="4" w:space="0"/>
              <w:left w:val="single" w:color="auto" w:sz="4" w:space="0"/>
              <w:bottom w:val="single" w:color="auto" w:sz="4" w:space="0"/>
              <w:right w:val="single" w:color="auto" w:sz="4" w:space="0"/>
            </w:tcBorders>
            <w:vAlign w:val="center"/>
          </w:tcPr>
          <w:p w14:paraId="20CB8DB8">
            <w:pPr>
              <w:snapToGrid w:val="0"/>
              <w:spacing w:line="400" w:lineRule="exact"/>
              <w:rPr>
                <w:rFonts w:hint="default" w:ascii="宋体" w:hAnsi="宋体" w:eastAsia="宋体" w:cs="宋体"/>
                <w:b/>
                <w:bCs/>
                <w:color w:val="auto"/>
                <w:sz w:val="24"/>
                <w:highlight w:val="none"/>
                <w:shd w:val="clear" w:color="auto" w:fill="auto"/>
                <w:lang w:val="en-US" w:eastAsia="zh-CN"/>
              </w:rPr>
            </w:pPr>
            <w:r>
              <w:rPr>
                <w:rFonts w:hint="eastAsia" w:ascii="宋体" w:hAnsi="宋体" w:eastAsia="宋体" w:cs="宋体"/>
                <w:color w:val="auto"/>
                <w:sz w:val="24"/>
                <w:highlight w:val="none"/>
                <w:shd w:val="clear" w:color="auto" w:fill="auto"/>
              </w:rPr>
              <w:t>投标报价及费用：1、本项目投标应以人民币报价；2、不论投标结果如何，投标人均应自行承担所有与投标有关的全部费用；3、本项目招标代理服务费由中标人支付给采购代理机构，在采购代理机构发出成交通知书前一次性付清招标代理服务费用，收费采用中标价按照下列差额定率累进计费方式计取，具体标准如下：</w:t>
            </w:r>
            <w:r>
              <w:rPr>
                <w:rFonts w:hint="eastAsia" w:ascii="宋体" w:hAnsi="宋体" w:cs="宋体"/>
                <w:color w:val="auto"/>
                <w:sz w:val="24"/>
                <w:highlight w:val="none"/>
                <w:shd w:val="clear" w:color="auto" w:fill="auto"/>
                <w:lang w:val="en-US" w:eastAsia="zh-CN"/>
              </w:rPr>
              <w:t>100万*1.5%</w:t>
            </w:r>
            <w:r>
              <w:rPr>
                <w:rFonts w:hint="eastAsia" w:ascii="宋体" w:hAnsi="宋体" w:eastAsia="宋体" w:cs="宋体"/>
                <w:color w:val="auto"/>
                <w:sz w:val="24"/>
                <w:highlight w:val="none"/>
                <w:shd w:val="clear" w:color="auto" w:fill="auto"/>
              </w:rPr>
              <w:t>+（</w:t>
            </w:r>
            <w:r>
              <w:rPr>
                <w:rFonts w:hint="eastAsia" w:ascii="宋体" w:hAnsi="宋体" w:eastAsia="宋体" w:cs="宋体"/>
                <w:color w:val="auto"/>
                <w:sz w:val="24"/>
                <w:highlight w:val="none"/>
                <w:shd w:val="clear" w:color="auto" w:fill="auto"/>
                <w:lang w:val="en-US" w:eastAsia="zh-CN"/>
              </w:rPr>
              <w:t>中标价</w:t>
            </w:r>
            <w:r>
              <w:rPr>
                <w:rFonts w:hint="eastAsia" w:ascii="宋体" w:hAnsi="宋体" w:eastAsia="宋体" w:cs="宋体"/>
                <w:color w:val="auto"/>
                <w:sz w:val="24"/>
                <w:highlight w:val="none"/>
                <w:shd w:val="clear" w:color="auto" w:fill="auto"/>
              </w:rPr>
              <w:t>-100）万*1.1%*80%</w:t>
            </w:r>
            <w:r>
              <w:rPr>
                <w:rFonts w:hint="eastAsia" w:ascii="宋体" w:hAnsi="宋体" w:cs="宋体"/>
                <w:color w:val="auto"/>
                <w:sz w:val="24"/>
                <w:highlight w:val="none"/>
                <w:shd w:val="clear" w:color="auto" w:fill="auto"/>
                <w:lang w:val="en-US" w:eastAsia="zh-CN"/>
              </w:rPr>
              <w:t>。</w:t>
            </w:r>
          </w:p>
        </w:tc>
      </w:tr>
      <w:tr w14:paraId="3915A34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7" w:type="dxa"/>
            <w:tcBorders>
              <w:top w:val="single" w:color="auto" w:sz="4" w:space="0"/>
              <w:left w:val="single" w:color="auto" w:sz="4" w:space="0"/>
              <w:bottom w:val="single" w:color="auto" w:sz="4" w:space="0"/>
              <w:right w:val="single" w:color="auto" w:sz="4" w:space="0"/>
            </w:tcBorders>
            <w:vAlign w:val="center"/>
          </w:tcPr>
          <w:p w14:paraId="32D126AA">
            <w:pPr>
              <w:snapToGrid w:val="0"/>
              <w:spacing w:line="400" w:lineRule="exact"/>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4</w:t>
            </w:r>
          </w:p>
        </w:tc>
        <w:tc>
          <w:tcPr>
            <w:tcW w:w="9684" w:type="dxa"/>
            <w:tcBorders>
              <w:top w:val="single" w:color="auto" w:sz="4" w:space="0"/>
              <w:left w:val="single" w:color="auto" w:sz="4" w:space="0"/>
              <w:bottom w:val="single" w:color="auto" w:sz="4" w:space="0"/>
              <w:right w:val="single" w:color="auto" w:sz="4" w:space="0"/>
            </w:tcBorders>
            <w:vAlign w:val="center"/>
          </w:tcPr>
          <w:p w14:paraId="3A47A112">
            <w:pPr>
              <w:snapToGrid w:val="0"/>
              <w:spacing w:line="400" w:lineRule="exact"/>
              <w:rPr>
                <w:rFonts w:hint="eastAsia" w:ascii="宋体" w:hAnsi="宋体" w:eastAsia="宋体" w:cs="宋体"/>
                <w:color w:val="auto"/>
                <w:sz w:val="24"/>
                <w:highlight w:val="none"/>
                <w:shd w:val="clear" w:color="auto" w:fill="auto"/>
              </w:rPr>
            </w:pPr>
            <w:r>
              <w:rPr>
                <w:rFonts w:hint="eastAsia" w:ascii="宋体" w:hAnsi="宋体" w:cs="宋体"/>
                <w:b/>
                <w:bCs/>
                <w:color w:val="auto"/>
                <w:sz w:val="24"/>
                <w:highlight w:val="none"/>
              </w:rPr>
              <w:t>现场踏勘</w:t>
            </w:r>
            <w:r>
              <w:rPr>
                <w:rFonts w:hint="eastAsia" w:ascii="宋体" w:hAnsi="宋体" w:cs="宋体"/>
                <w:color w:val="auto"/>
                <w:sz w:val="24"/>
                <w:highlight w:val="none"/>
              </w:rPr>
              <w:t>：投标人可对项目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14:paraId="3EA170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7" w:type="dxa"/>
            <w:tcBorders>
              <w:top w:val="single" w:color="auto" w:sz="4" w:space="0"/>
              <w:left w:val="single" w:color="auto" w:sz="4" w:space="0"/>
              <w:bottom w:val="single" w:color="auto" w:sz="4" w:space="0"/>
              <w:right w:val="single" w:color="auto" w:sz="4" w:space="0"/>
            </w:tcBorders>
            <w:vAlign w:val="center"/>
          </w:tcPr>
          <w:p w14:paraId="5935BD0B">
            <w:pPr>
              <w:snapToGrid w:val="0"/>
              <w:spacing w:line="400" w:lineRule="exact"/>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5</w:t>
            </w:r>
          </w:p>
        </w:tc>
        <w:tc>
          <w:tcPr>
            <w:tcW w:w="9684" w:type="dxa"/>
            <w:tcBorders>
              <w:top w:val="single" w:color="auto" w:sz="4" w:space="0"/>
              <w:left w:val="single" w:color="auto" w:sz="4" w:space="0"/>
              <w:bottom w:val="single" w:color="auto" w:sz="4" w:space="0"/>
              <w:right w:val="single" w:color="auto" w:sz="4" w:space="0"/>
            </w:tcBorders>
            <w:vAlign w:val="center"/>
          </w:tcPr>
          <w:p w14:paraId="6A86C5CA">
            <w:pPr>
              <w:snapToGrid w:val="0"/>
              <w:spacing w:line="400" w:lineRule="exact"/>
              <w:rPr>
                <w:rFonts w:hint="eastAsia" w:ascii="宋体" w:hAnsi="宋体" w:eastAsia="宋体" w:cs="宋体"/>
                <w:b/>
                <w:color w:val="auto"/>
                <w:sz w:val="24"/>
                <w:highlight w:val="none"/>
                <w:shd w:val="clear" w:color="auto" w:fill="auto"/>
              </w:rPr>
            </w:pPr>
            <w:r>
              <w:rPr>
                <w:rFonts w:hint="eastAsia" w:ascii="宋体" w:hAnsi="宋体" w:cs="宋体"/>
                <w:b/>
                <w:color w:val="auto"/>
                <w:sz w:val="24"/>
                <w:highlight w:val="none"/>
              </w:rPr>
              <w:t>质疑与澄清</w:t>
            </w:r>
            <w:r>
              <w:rPr>
                <w:rFonts w:hint="eastAsia" w:ascii="宋体" w:hAnsi="宋体" w:cs="宋体"/>
                <w:color w:val="auto"/>
                <w:sz w:val="24"/>
                <w:highlight w:val="none"/>
              </w:rPr>
              <w:t>：潜在投标人已依法获取其可质疑的采购文件的，可以以书面形式（参照政府采购质疑函范本）向招标人就该文件提出质疑。对采购文件提出质疑的，应当在获取采购文件或者采购文件公告期限届满之日起7个工作日内以书面形式提出，否则被质疑人可不予接受。投标人在法定质疑期内应一次性提出针对同一采购程序环节的质疑。招标人对已发出的招标文件进行必要的澄清、答复、修改和补充将以更正公告的形式，通过采购公告发布的网站予以发布。</w:t>
            </w:r>
            <w:r>
              <w:rPr>
                <w:rFonts w:hint="eastAsia" w:ascii="宋体" w:hAnsi="宋体" w:cs="宋体"/>
                <w:b/>
                <w:color w:val="auto"/>
                <w:sz w:val="24"/>
                <w:highlight w:val="none"/>
              </w:rPr>
              <w:t xml:space="preserve"> </w:t>
            </w:r>
          </w:p>
        </w:tc>
      </w:tr>
      <w:tr w14:paraId="187CB5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7" w:type="dxa"/>
            <w:tcBorders>
              <w:top w:val="single" w:color="auto" w:sz="4" w:space="0"/>
              <w:left w:val="single" w:color="auto" w:sz="4" w:space="0"/>
              <w:bottom w:val="single" w:color="auto" w:sz="4" w:space="0"/>
              <w:right w:val="single" w:color="auto" w:sz="4" w:space="0"/>
            </w:tcBorders>
            <w:vAlign w:val="center"/>
          </w:tcPr>
          <w:p w14:paraId="4E3C670C">
            <w:pPr>
              <w:snapToGrid w:val="0"/>
              <w:spacing w:line="400" w:lineRule="exact"/>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6</w:t>
            </w:r>
          </w:p>
        </w:tc>
        <w:tc>
          <w:tcPr>
            <w:tcW w:w="9684" w:type="dxa"/>
            <w:tcBorders>
              <w:top w:val="single" w:color="auto" w:sz="4" w:space="0"/>
              <w:left w:val="single" w:color="auto" w:sz="4" w:space="0"/>
              <w:bottom w:val="single" w:color="auto" w:sz="4" w:space="0"/>
              <w:right w:val="single" w:color="auto" w:sz="4" w:space="0"/>
            </w:tcBorders>
            <w:vAlign w:val="center"/>
          </w:tcPr>
          <w:p w14:paraId="5698BE9F">
            <w:pPr>
              <w:snapToGrid w:val="0"/>
              <w:spacing w:line="400" w:lineRule="exac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投标截止时间、开标时间及地点：详见“第一章  投标邀请”</w:t>
            </w:r>
          </w:p>
        </w:tc>
      </w:tr>
      <w:tr w14:paraId="1248A2B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787" w:type="dxa"/>
            <w:tcBorders>
              <w:top w:val="single" w:color="auto" w:sz="4" w:space="0"/>
              <w:left w:val="single" w:color="auto" w:sz="4" w:space="0"/>
              <w:bottom w:val="single" w:color="auto" w:sz="4" w:space="0"/>
              <w:right w:val="single" w:color="auto" w:sz="4" w:space="0"/>
            </w:tcBorders>
            <w:vAlign w:val="center"/>
          </w:tcPr>
          <w:p w14:paraId="0FF257E6">
            <w:pPr>
              <w:snapToGrid w:val="0"/>
              <w:spacing w:line="400" w:lineRule="exact"/>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7</w:t>
            </w:r>
          </w:p>
        </w:tc>
        <w:tc>
          <w:tcPr>
            <w:tcW w:w="9684" w:type="dxa"/>
            <w:tcBorders>
              <w:top w:val="single" w:color="auto" w:sz="4" w:space="0"/>
              <w:left w:val="single" w:color="auto" w:sz="4" w:space="0"/>
              <w:bottom w:val="single" w:color="auto" w:sz="4" w:space="0"/>
              <w:right w:val="single" w:color="auto" w:sz="4" w:space="0"/>
            </w:tcBorders>
            <w:vAlign w:val="center"/>
          </w:tcPr>
          <w:p w14:paraId="7C950D2D">
            <w:pPr>
              <w:autoSpaceDE w:val="0"/>
              <w:autoSpaceDN w:val="0"/>
              <w:snapToGrid w:val="0"/>
              <w:spacing w:line="400" w:lineRule="exact"/>
              <w:textAlignment w:val="bottom"/>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评标办法</w:t>
            </w:r>
            <w:r>
              <w:rPr>
                <w:rFonts w:hint="eastAsia" w:ascii="宋体" w:hAnsi="宋体" w:eastAsia="宋体" w:cs="宋体"/>
                <w:b/>
                <w:color w:val="auto"/>
                <w:sz w:val="24"/>
                <w:highlight w:val="none"/>
                <w:shd w:val="clear" w:color="auto" w:fill="auto"/>
              </w:rPr>
              <w:t>：</w:t>
            </w:r>
            <w:r>
              <w:rPr>
                <w:rFonts w:hint="eastAsia" w:ascii="宋体" w:hAnsi="宋体" w:eastAsia="宋体" w:cs="宋体"/>
                <w:color w:val="auto"/>
                <w:sz w:val="24"/>
                <w:highlight w:val="none"/>
                <w:shd w:val="clear" w:color="auto" w:fill="auto"/>
              </w:rPr>
              <w:t>综合评分法</w:t>
            </w:r>
          </w:p>
        </w:tc>
      </w:tr>
      <w:tr w14:paraId="747A9C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787" w:type="dxa"/>
            <w:tcBorders>
              <w:top w:val="single" w:color="auto" w:sz="4" w:space="0"/>
              <w:left w:val="single" w:color="auto" w:sz="4" w:space="0"/>
              <w:bottom w:val="single" w:color="auto" w:sz="4" w:space="0"/>
              <w:right w:val="single" w:color="auto" w:sz="4" w:space="0"/>
            </w:tcBorders>
            <w:vAlign w:val="center"/>
          </w:tcPr>
          <w:p w14:paraId="64822334">
            <w:pPr>
              <w:snapToGrid w:val="0"/>
              <w:spacing w:line="400" w:lineRule="exact"/>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8</w:t>
            </w:r>
          </w:p>
        </w:tc>
        <w:tc>
          <w:tcPr>
            <w:tcW w:w="9684" w:type="dxa"/>
            <w:tcBorders>
              <w:top w:val="single" w:color="auto" w:sz="4" w:space="0"/>
              <w:left w:val="single" w:color="auto" w:sz="4" w:space="0"/>
              <w:bottom w:val="single" w:color="auto" w:sz="4" w:space="0"/>
              <w:right w:val="single" w:color="auto" w:sz="4" w:space="0"/>
            </w:tcBorders>
            <w:vAlign w:val="center"/>
          </w:tcPr>
          <w:p w14:paraId="119230AB">
            <w:pPr>
              <w:autoSpaceDE w:val="0"/>
              <w:autoSpaceDN w:val="0"/>
              <w:snapToGrid w:val="0"/>
              <w:spacing w:line="400" w:lineRule="exact"/>
              <w:textAlignment w:val="bottom"/>
              <w:rPr>
                <w:rFonts w:hint="eastAsia" w:ascii="宋体" w:hAnsi="宋体" w:eastAsia="宋体" w:cs="宋体"/>
                <w:color w:val="auto"/>
                <w:sz w:val="24"/>
                <w:highlight w:val="none"/>
                <w:shd w:val="clear" w:color="auto" w:fill="auto"/>
              </w:rPr>
            </w:pPr>
            <w:r>
              <w:rPr>
                <w:rFonts w:hint="eastAsia" w:ascii="宋体" w:hAnsi="宋体" w:eastAsia="宋体" w:cs="宋体"/>
                <w:b/>
                <w:color w:val="auto"/>
                <w:sz w:val="24"/>
                <w:highlight w:val="none"/>
                <w:shd w:val="clear" w:color="auto" w:fill="auto"/>
              </w:rPr>
              <w:t>▲</w:t>
            </w:r>
            <w:r>
              <w:rPr>
                <w:rFonts w:hint="eastAsia" w:ascii="宋体" w:hAnsi="宋体" w:eastAsia="宋体" w:cs="宋体"/>
                <w:color w:val="auto"/>
                <w:sz w:val="24"/>
                <w:highlight w:val="none"/>
                <w:shd w:val="clear" w:color="auto" w:fill="auto"/>
              </w:rPr>
              <w:t>投标有效期：自投标截止日起</w:t>
            </w:r>
            <w:r>
              <w:rPr>
                <w:rFonts w:hint="eastAsia" w:ascii="宋体" w:hAnsi="宋体" w:eastAsia="宋体" w:cs="宋体"/>
                <w:color w:val="auto"/>
                <w:sz w:val="24"/>
                <w:highlight w:val="none"/>
                <w:u w:val="single"/>
                <w:shd w:val="clear" w:color="auto" w:fill="auto"/>
              </w:rPr>
              <w:t xml:space="preserve"> 90 </w:t>
            </w:r>
            <w:r>
              <w:rPr>
                <w:rFonts w:hint="eastAsia" w:ascii="宋体" w:hAnsi="宋体" w:eastAsia="宋体" w:cs="宋体"/>
                <w:color w:val="auto"/>
                <w:sz w:val="24"/>
                <w:highlight w:val="none"/>
                <w:shd w:val="clear" w:color="auto" w:fill="auto"/>
              </w:rPr>
              <w:t>天投标文件应保持有效</w:t>
            </w:r>
          </w:p>
        </w:tc>
      </w:tr>
      <w:tr w14:paraId="08E0C8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787" w:type="dxa"/>
            <w:tcBorders>
              <w:top w:val="single" w:color="auto" w:sz="4" w:space="0"/>
              <w:left w:val="single" w:color="auto" w:sz="4" w:space="0"/>
              <w:bottom w:val="single" w:color="auto" w:sz="4" w:space="0"/>
              <w:right w:val="single" w:color="auto" w:sz="4" w:space="0"/>
            </w:tcBorders>
            <w:vAlign w:val="center"/>
          </w:tcPr>
          <w:p w14:paraId="4FAF5C69">
            <w:pPr>
              <w:snapToGrid w:val="0"/>
              <w:spacing w:line="400" w:lineRule="exact"/>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9</w:t>
            </w:r>
          </w:p>
        </w:tc>
        <w:tc>
          <w:tcPr>
            <w:tcW w:w="9684" w:type="dxa"/>
            <w:tcBorders>
              <w:top w:val="single" w:color="auto" w:sz="4" w:space="0"/>
              <w:left w:val="single" w:color="auto" w:sz="4" w:space="0"/>
              <w:bottom w:val="single" w:color="auto" w:sz="4" w:space="0"/>
              <w:right w:val="single" w:color="auto" w:sz="4" w:space="0"/>
            </w:tcBorders>
            <w:vAlign w:val="center"/>
          </w:tcPr>
          <w:p w14:paraId="01F97C67">
            <w:pPr>
              <w:autoSpaceDE w:val="0"/>
              <w:autoSpaceDN w:val="0"/>
              <w:snapToGrid w:val="0"/>
              <w:spacing w:line="400" w:lineRule="exact"/>
              <w:textAlignment w:val="bottom"/>
              <w:rPr>
                <w:rFonts w:hint="eastAsia" w:ascii="宋体" w:hAnsi="宋体" w:eastAsia="宋体" w:cs="宋体"/>
                <w:b/>
                <w:color w:val="auto"/>
                <w:sz w:val="24"/>
                <w:highlight w:val="none"/>
                <w:u w:val="single"/>
                <w:shd w:val="clear" w:color="auto" w:fill="auto"/>
              </w:rPr>
            </w:pPr>
            <w:r>
              <w:rPr>
                <w:rFonts w:hint="eastAsia" w:ascii="宋体" w:hAnsi="宋体" w:eastAsia="宋体" w:cs="宋体"/>
                <w:b/>
                <w:color w:val="auto"/>
                <w:sz w:val="24"/>
                <w:highlight w:val="none"/>
                <w:u w:val="single"/>
                <w:shd w:val="clear" w:color="auto" w:fill="auto"/>
              </w:rPr>
              <w:t>实质性条款：带▲是实质性条款，投标人不得负偏离或内容缺失，否则为无效标。</w:t>
            </w:r>
          </w:p>
        </w:tc>
      </w:tr>
      <w:tr w14:paraId="47BDC94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787" w:type="dxa"/>
            <w:tcBorders>
              <w:top w:val="single" w:color="auto" w:sz="4" w:space="0"/>
              <w:left w:val="single" w:color="auto" w:sz="4" w:space="0"/>
              <w:bottom w:val="single" w:color="auto" w:sz="4" w:space="0"/>
              <w:right w:val="single" w:color="auto" w:sz="4" w:space="0"/>
            </w:tcBorders>
            <w:vAlign w:val="center"/>
          </w:tcPr>
          <w:p w14:paraId="70DD089E">
            <w:pPr>
              <w:snapToGrid w:val="0"/>
              <w:spacing w:line="400" w:lineRule="exact"/>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10</w:t>
            </w:r>
          </w:p>
        </w:tc>
        <w:tc>
          <w:tcPr>
            <w:tcW w:w="9684" w:type="dxa"/>
            <w:tcBorders>
              <w:top w:val="single" w:color="auto" w:sz="4" w:space="0"/>
              <w:left w:val="single" w:color="auto" w:sz="4" w:space="0"/>
              <w:bottom w:val="single" w:color="auto" w:sz="4" w:space="0"/>
              <w:right w:val="single" w:color="auto" w:sz="4" w:space="0"/>
            </w:tcBorders>
            <w:vAlign w:val="center"/>
          </w:tcPr>
          <w:p w14:paraId="0ECE218D">
            <w:pPr>
              <w:autoSpaceDE w:val="0"/>
              <w:autoSpaceDN w:val="0"/>
              <w:snapToGrid w:val="0"/>
              <w:spacing w:line="400" w:lineRule="exact"/>
              <w:textAlignment w:val="bottom"/>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中标公告</w:t>
            </w:r>
            <w:r>
              <w:rPr>
                <w:rFonts w:hint="eastAsia" w:ascii="宋体" w:hAnsi="宋体" w:cs="宋体"/>
                <w:color w:val="auto"/>
                <w:sz w:val="24"/>
                <w:highlight w:val="none"/>
                <w:shd w:val="clear" w:color="auto" w:fill="auto"/>
                <w:lang w:val="en-US" w:eastAsia="zh-CN"/>
              </w:rPr>
              <w:t>及</w:t>
            </w:r>
            <w:r>
              <w:rPr>
                <w:rFonts w:hint="eastAsia" w:ascii="宋体" w:hAnsi="宋体" w:eastAsia="宋体" w:cs="宋体"/>
                <w:color w:val="auto"/>
                <w:sz w:val="24"/>
                <w:highlight w:val="none"/>
                <w:shd w:val="clear" w:color="auto" w:fill="auto"/>
              </w:rPr>
              <w:t>中标通知书：评标结束后</w:t>
            </w:r>
            <w:r>
              <w:rPr>
                <w:rFonts w:hint="eastAsia" w:ascii="宋体" w:hAnsi="宋体" w:cs="宋体"/>
                <w:color w:val="auto"/>
                <w:sz w:val="24"/>
                <w:highlight w:val="none"/>
                <w:shd w:val="clear" w:color="auto" w:fill="auto"/>
                <w:lang w:val="en-US" w:eastAsia="zh-CN"/>
              </w:rPr>
              <w:t>7</w:t>
            </w:r>
            <w:r>
              <w:rPr>
                <w:rFonts w:hint="eastAsia" w:ascii="宋体" w:hAnsi="宋体" w:eastAsia="宋体" w:cs="宋体"/>
                <w:color w:val="auto"/>
                <w:sz w:val="24"/>
                <w:highlight w:val="none"/>
                <w:shd w:val="clear" w:color="auto" w:fill="auto"/>
              </w:rPr>
              <w:t>个工作日内，中标公告发布于采购公告发布的网站（</w:t>
            </w:r>
            <w:r>
              <w:rPr>
                <w:rFonts w:hint="eastAsia" w:ascii="宋体" w:hAnsi="宋体" w:eastAsia="宋体" w:cs="宋体"/>
                <w:color w:val="auto"/>
                <w:kern w:val="0"/>
                <w:sz w:val="24"/>
                <w:highlight w:val="none"/>
                <w:shd w:val="clear" w:color="auto" w:fill="auto"/>
              </w:rPr>
              <w:t>临海市限额以下公共资源交易区域平台</w:t>
            </w:r>
            <w:r>
              <w:rPr>
                <w:rFonts w:hint="eastAsia" w:ascii="宋体" w:hAnsi="宋体" w:eastAsia="宋体" w:cs="宋体"/>
                <w:color w:val="auto"/>
                <w:sz w:val="24"/>
                <w:highlight w:val="none"/>
                <w:shd w:val="clear" w:color="auto" w:fill="auto"/>
              </w:rPr>
              <w:t>）。</w:t>
            </w:r>
          </w:p>
        </w:tc>
      </w:tr>
      <w:tr w14:paraId="07F52AE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787" w:type="dxa"/>
            <w:tcBorders>
              <w:top w:val="single" w:color="auto" w:sz="4" w:space="0"/>
              <w:left w:val="single" w:color="auto" w:sz="4" w:space="0"/>
              <w:bottom w:val="single" w:color="auto" w:sz="4" w:space="0"/>
              <w:right w:val="single" w:color="auto" w:sz="4" w:space="0"/>
            </w:tcBorders>
            <w:vAlign w:val="center"/>
          </w:tcPr>
          <w:p w14:paraId="31887F39">
            <w:pPr>
              <w:snapToGrid w:val="0"/>
              <w:spacing w:line="400" w:lineRule="exact"/>
              <w:jc w:val="center"/>
              <w:rPr>
                <w:rFonts w:hint="eastAsia"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highlight w:val="none"/>
                <w:shd w:val="clear" w:color="auto" w:fill="auto"/>
                <w:lang w:val="en-US" w:eastAsia="zh-CN"/>
              </w:rPr>
              <w:t>1</w:t>
            </w:r>
            <w:r>
              <w:rPr>
                <w:rFonts w:hint="eastAsia" w:ascii="宋体" w:hAnsi="宋体" w:cs="宋体"/>
                <w:color w:val="auto"/>
                <w:sz w:val="24"/>
                <w:highlight w:val="none"/>
                <w:shd w:val="clear" w:color="auto" w:fill="auto"/>
                <w:lang w:val="en-US" w:eastAsia="zh-CN"/>
              </w:rPr>
              <w:t>1</w:t>
            </w:r>
          </w:p>
        </w:tc>
        <w:tc>
          <w:tcPr>
            <w:tcW w:w="9684" w:type="dxa"/>
            <w:tcBorders>
              <w:top w:val="single" w:color="auto" w:sz="4" w:space="0"/>
              <w:left w:val="single" w:color="auto" w:sz="4" w:space="0"/>
              <w:bottom w:val="single" w:color="auto" w:sz="4" w:space="0"/>
              <w:right w:val="single" w:color="auto" w:sz="4" w:space="0"/>
            </w:tcBorders>
            <w:vAlign w:val="center"/>
          </w:tcPr>
          <w:p w14:paraId="6A199C85">
            <w:pPr>
              <w:autoSpaceDE w:val="0"/>
              <w:autoSpaceDN w:val="0"/>
              <w:snapToGrid w:val="0"/>
              <w:spacing w:line="400" w:lineRule="exact"/>
              <w:textAlignment w:val="bottom"/>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签订合同时间：中标通知书发出后30日内。</w:t>
            </w:r>
          </w:p>
        </w:tc>
      </w:tr>
      <w:tr w14:paraId="00D72B6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9" w:hRule="atLeast"/>
        </w:trPr>
        <w:tc>
          <w:tcPr>
            <w:tcW w:w="787" w:type="dxa"/>
            <w:tcBorders>
              <w:top w:val="single" w:color="auto" w:sz="4" w:space="0"/>
              <w:left w:val="single" w:color="auto" w:sz="4" w:space="0"/>
              <w:bottom w:val="single" w:color="auto" w:sz="4" w:space="0"/>
              <w:right w:val="single" w:color="auto" w:sz="4" w:space="0"/>
            </w:tcBorders>
            <w:vAlign w:val="center"/>
          </w:tcPr>
          <w:p w14:paraId="4986C6D2">
            <w:pPr>
              <w:snapToGrid w:val="0"/>
              <w:spacing w:line="400" w:lineRule="exact"/>
              <w:jc w:val="center"/>
              <w:rPr>
                <w:rFonts w:hint="eastAsia"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highlight w:val="none"/>
                <w:shd w:val="clear" w:color="auto" w:fill="auto"/>
                <w:lang w:val="en-US" w:eastAsia="zh-CN"/>
              </w:rPr>
              <w:t>1</w:t>
            </w:r>
            <w:r>
              <w:rPr>
                <w:rFonts w:hint="eastAsia" w:ascii="宋体" w:hAnsi="宋体" w:cs="宋体"/>
                <w:color w:val="auto"/>
                <w:sz w:val="24"/>
                <w:highlight w:val="none"/>
                <w:shd w:val="clear" w:color="auto" w:fill="auto"/>
                <w:lang w:val="en-US" w:eastAsia="zh-CN"/>
              </w:rPr>
              <w:t>2</w:t>
            </w:r>
          </w:p>
        </w:tc>
        <w:tc>
          <w:tcPr>
            <w:tcW w:w="9684" w:type="dxa"/>
            <w:tcBorders>
              <w:top w:val="single" w:color="auto" w:sz="4" w:space="0"/>
              <w:left w:val="single" w:color="auto" w:sz="4" w:space="0"/>
              <w:bottom w:val="single" w:color="auto" w:sz="4" w:space="0"/>
              <w:right w:val="single" w:color="auto" w:sz="4" w:space="0"/>
            </w:tcBorders>
            <w:vAlign w:val="center"/>
          </w:tcPr>
          <w:p w14:paraId="02F565AB">
            <w:pPr>
              <w:pStyle w:val="20"/>
              <w:spacing w:after="80" w:line="400" w:lineRule="exact"/>
              <w:jc w:val="left"/>
              <w:rPr>
                <w:rFonts w:hint="eastAsia" w:ascii="宋体" w:hAnsi="宋体" w:eastAsia="宋体" w:cs="宋体"/>
                <w:color w:val="auto"/>
                <w:highlight w:val="none"/>
                <w:shd w:val="clear" w:color="auto" w:fill="auto"/>
                <w:lang w:eastAsia="zh-CN"/>
              </w:rPr>
            </w:pPr>
            <w:r>
              <w:rPr>
                <w:rFonts w:hint="eastAsia" w:ascii="宋体" w:hAnsi="宋体" w:eastAsia="宋体" w:cs="宋体"/>
                <w:b/>
                <w:bCs/>
                <w:color w:val="auto"/>
                <w:kern w:val="2"/>
                <w:sz w:val="24"/>
                <w:szCs w:val="24"/>
                <w:highlight w:val="none"/>
                <w:shd w:val="clear" w:color="auto" w:fill="auto"/>
                <w:lang w:val="en-US" w:eastAsia="zh-CN" w:bidi="ar-SA"/>
              </w:rPr>
              <w:t>付款方式：</w:t>
            </w:r>
            <w:r>
              <w:rPr>
                <w:rFonts w:hint="eastAsia" w:ascii="宋体" w:hAnsi="宋体" w:cs="宋体"/>
                <w:b w:val="0"/>
                <w:bCs w:val="0"/>
                <w:color w:val="auto"/>
                <w:kern w:val="2"/>
                <w:sz w:val="24"/>
                <w:szCs w:val="24"/>
                <w:highlight w:val="none"/>
                <w:shd w:val="clear" w:color="auto" w:fill="auto"/>
                <w:lang w:val="en-US" w:eastAsia="zh-CN" w:bidi="ar-SA"/>
              </w:rPr>
              <w:t>详见合同条款</w:t>
            </w:r>
            <w:r>
              <w:rPr>
                <w:rFonts w:hint="eastAsia" w:ascii="宋体" w:hAnsi="宋体" w:eastAsia="宋体" w:cs="宋体"/>
                <w:b w:val="0"/>
                <w:bCs w:val="0"/>
                <w:color w:val="auto"/>
                <w:kern w:val="2"/>
                <w:sz w:val="24"/>
                <w:szCs w:val="24"/>
                <w:highlight w:val="none"/>
                <w:shd w:val="clear" w:color="auto" w:fill="auto"/>
                <w:lang w:val="en-US" w:eastAsia="zh-CN" w:bidi="ar-SA"/>
              </w:rPr>
              <w:t>。</w:t>
            </w:r>
          </w:p>
        </w:tc>
      </w:tr>
      <w:tr w14:paraId="68E527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7" w:hRule="atLeast"/>
        </w:trPr>
        <w:tc>
          <w:tcPr>
            <w:tcW w:w="787" w:type="dxa"/>
            <w:tcBorders>
              <w:top w:val="single" w:color="auto" w:sz="4" w:space="0"/>
              <w:left w:val="single" w:color="auto" w:sz="4" w:space="0"/>
              <w:bottom w:val="single" w:color="auto" w:sz="4" w:space="0"/>
              <w:right w:val="single" w:color="auto" w:sz="4" w:space="0"/>
            </w:tcBorders>
            <w:vAlign w:val="center"/>
          </w:tcPr>
          <w:p w14:paraId="5F2527FB">
            <w:pPr>
              <w:snapToGrid w:val="0"/>
              <w:spacing w:line="400" w:lineRule="exact"/>
              <w:jc w:val="center"/>
              <w:rPr>
                <w:rFonts w:hint="eastAsia"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highlight w:val="none"/>
                <w:shd w:val="clear" w:color="auto" w:fill="auto"/>
                <w:lang w:val="en-US" w:eastAsia="zh-CN"/>
              </w:rPr>
              <w:t>1</w:t>
            </w:r>
            <w:r>
              <w:rPr>
                <w:rFonts w:hint="eastAsia" w:ascii="宋体" w:hAnsi="宋体" w:cs="宋体"/>
                <w:color w:val="auto"/>
                <w:sz w:val="24"/>
                <w:highlight w:val="none"/>
                <w:shd w:val="clear" w:color="auto" w:fill="auto"/>
                <w:lang w:val="en-US" w:eastAsia="zh-CN"/>
              </w:rPr>
              <w:t>3</w:t>
            </w:r>
          </w:p>
        </w:tc>
        <w:tc>
          <w:tcPr>
            <w:tcW w:w="9684" w:type="dxa"/>
            <w:tcBorders>
              <w:top w:val="single" w:color="auto" w:sz="4" w:space="0"/>
              <w:left w:val="single" w:color="auto" w:sz="4" w:space="0"/>
              <w:bottom w:val="single" w:color="auto" w:sz="4" w:space="0"/>
              <w:right w:val="single" w:color="auto" w:sz="4" w:space="0"/>
            </w:tcBorders>
            <w:vAlign w:val="center"/>
          </w:tcPr>
          <w:p w14:paraId="6C24A7F9">
            <w:pPr>
              <w:pStyle w:val="20"/>
              <w:spacing w:after="80" w:line="400" w:lineRule="exact"/>
              <w:jc w:val="left"/>
              <w:rPr>
                <w:rFonts w:hint="eastAsia" w:ascii="宋体" w:hAnsi="宋体" w:eastAsia="宋体" w:cs="宋体"/>
                <w:color w:val="auto"/>
                <w:sz w:val="24"/>
                <w:highlight w:val="none"/>
                <w:shd w:val="clear" w:color="auto" w:fill="auto"/>
                <w:lang w:eastAsia="zh-CN"/>
              </w:rPr>
            </w:pPr>
            <w:r>
              <w:rPr>
                <w:rFonts w:hint="eastAsia" w:ascii="宋体" w:hAnsi="宋体" w:eastAsia="宋体" w:cs="宋体"/>
                <w:color w:val="auto"/>
                <w:sz w:val="24"/>
                <w:highlight w:val="none"/>
                <w:shd w:val="clear" w:color="auto" w:fill="auto"/>
                <w:lang w:eastAsia="zh-CN"/>
              </w:rPr>
              <w:t>履约保证金的收取及退还: 按中标价的1%收取，领取中标通知书前缴纳至临海市产权交易所有限公司中心账户。验收合格后凭《临海市采购验收单》在系统中向临海市产权交易所有限公司退还。</w:t>
            </w:r>
          </w:p>
          <w:p w14:paraId="24CCE94F">
            <w:pPr>
              <w:pStyle w:val="20"/>
              <w:spacing w:after="80" w:line="400" w:lineRule="exact"/>
              <w:jc w:val="left"/>
              <w:rPr>
                <w:rFonts w:hint="eastAsia" w:ascii="宋体" w:hAnsi="宋体" w:eastAsia="宋体" w:cs="宋体"/>
                <w:color w:val="auto"/>
                <w:sz w:val="24"/>
                <w:highlight w:val="none"/>
                <w:shd w:val="clear" w:color="auto" w:fill="auto"/>
                <w:lang w:eastAsia="zh-CN"/>
              </w:rPr>
            </w:pPr>
            <w:r>
              <w:rPr>
                <w:rFonts w:hint="eastAsia" w:ascii="宋体" w:hAnsi="宋体" w:eastAsia="宋体" w:cs="宋体"/>
                <w:color w:val="auto"/>
                <w:sz w:val="24"/>
                <w:highlight w:val="none"/>
                <w:shd w:val="clear" w:color="auto" w:fill="auto"/>
                <w:lang w:eastAsia="zh-CN"/>
              </w:rPr>
              <w:t>履约保证金形式：现金（电汇或银行汇票形式）或银行保函或保险机构保证保险保单或融资担保公司保函。</w:t>
            </w:r>
          </w:p>
          <w:p w14:paraId="45FBC684">
            <w:pPr>
              <w:pStyle w:val="20"/>
              <w:spacing w:after="80" w:line="400" w:lineRule="exact"/>
              <w:jc w:val="left"/>
              <w:rPr>
                <w:rFonts w:hint="eastAsia" w:ascii="宋体" w:hAnsi="宋体" w:eastAsia="宋体" w:cs="宋体"/>
                <w:color w:val="auto"/>
                <w:sz w:val="24"/>
                <w:highlight w:val="none"/>
                <w:shd w:val="clear" w:color="auto" w:fill="auto"/>
                <w:lang w:eastAsia="zh-CN"/>
              </w:rPr>
            </w:pPr>
            <w:r>
              <w:rPr>
                <w:rFonts w:hint="eastAsia" w:ascii="宋体" w:hAnsi="宋体" w:eastAsia="宋体" w:cs="宋体"/>
                <w:color w:val="auto"/>
                <w:sz w:val="24"/>
                <w:highlight w:val="none"/>
                <w:shd w:val="clear" w:color="auto" w:fill="auto"/>
                <w:lang w:eastAsia="zh-CN"/>
              </w:rPr>
              <w:t>若采用银行保函，出具保函的银行级别：国有或股份制商业银行县（区、市）级及以上银行。</w:t>
            </w:r>
          </w:p>
          <w:p w14:paraId="544E7A29">
            <w:pPr>
              <w:pStyle w:val="20"/>
              <w:spacing w:after="80" w:line="400" w:lineRule="exact"/>
              <w:jc w:val="left"/>
              <w:rPr>
                <w:rFonts w:hint="eastAsia" w:ascii="宋体" w:hAnsi="宋体" w:eastAsia="宋体" w:cs="宋体"/>
                <w:color w:val="auto"/>
                <w:sz w:val="24"/>
                <w:highlight w:val="none"/>
                <w:shd w:val="clear" w:color="auto" w:fill="auto"/>
                <w:lang w:eastAsia="zh-CN"/>
              </w:rPr>
            </w:pPr>
            <w:r>
              <w:rPr>
                <w:rFonts w:hint="eastAsia" w:ascii="宋体" w:hAnsi="宋体" w:eastAsia="宋体" w:cs="宋体"/>
                <w:color w:val="auto"/>
                <w:sz w:val="24"/>
                <w:highlight w:val="none"/>
                <w:shd w:val="clear" w:color="auto" w:fill="auto"/>
                <w:lang w:eastAsia="zh-CN"/>
              </w:rPr>
              <w:t>若采用保险机构保证保险保单，出具保单的保险公司级别：县（区、市）级及以上国有或股份制保险公司。</w:t>
            </w:r>
          </w:p>
          <w:p w14:paraId="2E0CB5AE">
            <w:pPr>
              <w:pStyle w:val="20"/>
              <w:spacing w:after="80" w:line="400" w:lineRule="exact"/>
              <w:jc w:val="left"/>
              <w:rPr>
                <w:rFonts w:hint="eastAsia" w:ascii="宋体" w:hAnsi="宋体" w:eastAsia="宋体" w:cs="宋体"/>
                <w:color w:val="auto"/>
                <w:sz w:val="24"/>
                <w:highlight w:val="none"/>
                <w:shd w:val="clear" w:color="auto" w:fill="auto"/>
                <w:lang w:eastAsia="zh-CN"/>
              </w:rPr>
            </w:pPr>
            <w:r>
              <w:rPr>
                <w:rFonts w:hint="eastAsia" w:ascii="宋体" w:hAnsi="宋体" w:eastAsia="宋体" w:cs="宋体"/>
                <w:color w:val="auto"/>
                <w:sz w:val="24"/>
                <w:highlight w:val="none"/>
                <w:shd w:val="clear" w:color="auto" w:fill="auto"/>
                <w:lang w:eastAsia="zh-CN"/>
              </w:rPr>
              <w:t>若采用融资担保公司保函，出具保函的融资担保公司级别：县（区、市）级及以上国有或股份制融资担保公司。</w:t>
            </w:r>
          </w:p>
          <w:p w14:paraId="1CB33763">
            <w:pPr>
              <w:pStyle w:val="20"/>
              <w:spacing w:after="80" w:line="400" w:lineRule="exact"/>
              <w:jc w:val="left"/>
              <w:rPr>
                <w:rFonts w:hint="eastAsia" w:ascii="宋体" w:hAnsi="宋体" w:eastAsia="宋体" w:cs="宋体"/>
                <w:color w:val="auto"/>
                <w:sz w:val="24"/>
                <w:highlight w:val="none"/>
                <w:shd w:val="clear" w:color="auto" w:fill="auto"/>
                <w:lang w:eastAsia="zh-CN"/>
              </w:rPr>
            </w:pPr>
            <w:r>
              <w:rPr>
                <w:rFonts w:hint="eastAsia" w:ascii="宋体" w:hAnsi="宋体" w:eastAsia="宋体" w:cs="宋体"/>
                <w:color w:val="auto"/>
                <w:sz w:val="24"/>
                <w:highlight w:val="none"/>
                <w:shd w:val="clear" w:color="auto" w:fill="auto"/>
                <w:lang w:eastAsia="zh-CN"/>
              </w:rPr>
              <w:t>开户名：临海市产权交易所有限公司</w:t>
            </w:r>
          </w:p>
          <w:p w14:paraId="5D3817DB">
            <w:pPr>
              <w:pStyle w:val="20"/>
              <w:spacing w:after="80" w:line="400" w:lineRule="exact"/>
              <w:jc w:val="left"/>
              <w:rPr>
                <w:rFonts w:hint="eastAsia" w:ascii="宋体" w:hAnsi="宋体" w:eastAsia="宋体" w:cs="宋体"/>
                <w:color w:val="auto"/>
                <w:sz w:val="24"/>
                <w:highlight w:val="none"/>
                <w:shd w:val="clear" w:color="auto" w:fill="auto"/>
                <w:lang w:eastAsia="zh-CN"/>
              </w:rPr>
            </w:pPr>
            <w:r>
              <w:rPr>
                <w:rFonts w:hint="eastAsia" w:ascii="宋体" w:hAnsi="宋体" w:eastAsia="宋体" w:cs="宋体"/>
                <w:color w:val="auto"/>
                <w:sz w:val="24"/>
                <w:highlight w:val="none"/>
                <w:shd w:val="clear" w:color="auto" w:fill="auto"/>
                <w:lang w:eastAsia="zh-CN"/>
              </w:rPr>
              <w:t>开户行：浙江临海农村商业银行股份有限公司科技支行；</w:t>
            </w:r>
          </w:p>
          <w:p w14:paraId="451A0346">
            <w:pPr>
              <w:pStyle w:val="20"/>
              <w:spacing w:after="80" w:line="400" w:lineRule="exact"/>
              <w:jc w:val="left"/>
              <w:rPr>
                <w:rFonts w:hint="eastAsia" w:ascii="宋体" w:hAnsi="宋体" w:eastAsia="宋体" w:cs="宋体"/>
                <w:color w:val="auto"/>
                <w:sz w:val="24"/>
                <w:highlight w:val="none"/>
                <w:shd w:val="clear" w:color="auto" w:fill="auto"/>
                <w:lang w:eastAsia="zh-CN"/>
              </w:rPr>
            </w:pPr>
            <w:r>
              <w:rPr>
                <w:rFonts w:hint="eastAsia" w:ascii="宋体" w:hAnsi="宋体" w:eastAsia="宋体" w:cs="宋体"/>
                <w:color w:val="auto"/>
                <w:sz w:val="24"/>
                <w:highlight w:val="none"/>
                <w:shd w:val="clear" w:color="auto" w:fill="auto"/>
                <w:lang w:eastAsia="zh-CN"/>
              </w:rPr>
              <w:t>履约保证金账号：201000105503123000002</w:t>
            </w:r>
          </w:p>
          <w:p w14:paraId="0A4373E8">
            <w:pPr>
              <w:pStyle w:val="20"/>
              <w:spacing w:after="80" w:line="400" w:lineRule="exact"/>
              <w:jc w:val="left"/>
              <w:rPr>
                <w:rFonts w:hint="eastAsia" w:ascii="宋体" w:hAnsi="宋体" w:eastAsia="宋体" w:cs="宋体"/>
                <w:color w:val="auto"/>
                <w:sz w:val="24"/>
                <w:highlight w:val="none"/>
                <w:shd w:val="clear" w:color="auto" w:fill="auto"/>
                <w:lang w:eastAsia="zh-CN"/>
              </w:rPr>
            </w:pPr>
            <w:r>
              <w:rPr>
                <w:rFonts w:hint="eastAsia" w:ascii="宋体" w:hAnsi="宋体" w:eastAsia="宋体" w:cs="宋体"/>
                <w:color w:val="auto"/>
                <w:sz w:val="24"/>
                <w:highlight w:val="none"/>
                <w:shd w:val="clear" w:color="auto" w:fill="auto"/>
                <w:lang w:eastAsia="zh-CN"/>
              </w:rPr>
              <w:t>临海市产权交易所有限公司财务咨询电话：0576-85407100。</w:t>
            </w:r>
          </w:p>
        </w:tc>
      </w:tr>
      <w:tr w14:paraId="4E4E93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87" w:type="dxa"/>
            <w:tcBorders>
              <w:top w:val="single" w:color="auto" w:sz="4" w:space="0"/>
              <w:left w:val="single" w:color="auto" w:sz="4" w:space="0"/>
              <w:bottom w:val="single" w:color="auto" w:sz="4" w:space="0"/>
              <w:right w:val="single" w:color="auto" w:sz="4" w:space="0"/>
            </w:tcBorders>
            <w:vAlign w:val="center"/>
          </w:tcPr>
          <w:p w14:paraId="5D0E1B51">
            <w:pPr>
              <w:snapToGrid w:val="0"/>
              <w:spacing w:line="400" w:lineRule="exact"/>
              <w:jc w:val="center"/>
              <w:rPr>
                <w:rFonts w:hint="eastAsia"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highlight w:val="none"/>
                <w:shd w:val="clear" w:color="auto" w:fill="auto"/>
                <w:lang w:val="en-US" w:eastAsia="zh-CN"/>
              </w:rPr>
              <w:t>1</w:t>
            </w:r>
            <w:r>
              <w:rPr>
                <w:rFonts w:hint="eastAsia" w:ascii="宋体" w:hAnsi="宋体" w:cs="宋体"/>
                <w:color w:val="auto"/>
                <w:sz w:val="24"/>
                <w:highlight w:val="none"/>
                <w:shd w:val="clear" w:color="auto" w:fill="auto"/>
                <w:lang w:val="en-US" w:eastAsia="zh-CN"/>
              </w:rPr>
              <w:t>4</w:t>
            </w:r>
          </w:p>
        </w:tc>
        <w:tc>
          <w:tcPr>
            <w:tcW w:w="9684" w:type="dxa"/>
            <w:tcBorders>
              <w:top w:val="single" w:color="auto" w:sz="4" w:space="0"/>
              <w:left w:val="single" w:color="auto" w:sz="4" w:space="0"/>
              <w:bottom w:val="single" w:color="auto" w:sz="4" w:space="0"/>
              <w:right w:val="single" w:color="auto" w:sz="4" w:space="0"/>
            </w:tcBorders>
            <w:vAlign w:val="center"/>
          </w:tcPr>
          <w:p w14:paraId="094FF096">
            <w:pPr>
              <w:pStyle w:val="20"/>
              <w:spacing w:after="80" w:line="400" w:lineRule="exac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电子投标文件的上传：</w:t>
            </w:r>
          </w:p>
          <w:p w14:paraId="1DCE2F5B">
            <w:pPr>
              <w:pStyle w:val="20"/>
              <w:spacing w:after="80" w:line="400" w:lineRule="exac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（1）电子投标文件可在投标截止时间前上传，未在投标截止时间前上传的投标文件视为无效标。</w:t>
            </w:r>
          </w:p>
          <w:p w14:paraId="1C80B187">
            <w:pPr>
              <w:pStyle w:val="20"/>
              <w:spacing w:after="80" w:line="400" w:lineRule="exac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（2）上传加密的电子投标文件，后缀名为（.投标文件）（本项目无需提供纸质投标文件，只要求上传电子投标文件正本一份）</w:t>
            </w:r>
          </w:p>
          <w:p w14:paraId="734EFA64">
            <w:pPr>
              <w:pStyle w:val="20"/>
              <w:spacing w:after="80" w:line="400" w:lineRule="exac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CA咨询电话：400-0571-337，投标工具咨询电话：15267291759</w:t>
            </w:r>
          </w:p>
          <w:p w14:paraId="4908ABD6">
            <w:pPr>
              <w:spacing w:line="400" w:lineRule="exact"/>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4"/>
                <w:highlight w:val="none"/>
                <w:shd w:val="clear" w:color="auto" w:fill="auto"/>
              </w:rPr>
              <w:t>说明：</w:t>
            </w:r>
            <w:r>
              <w:rPr>
                <w:rFonts w:hint="eastAsia" w:ascii="宋体" w:hAnsi="宋体" w:eastAsia="宋体" w:cs="宋体"/>
                <w:color w:val="auto"/>
                <w:kern w:val="0"/>
                <w:sz w:val="24"/>
                <w:highlight w:val="none"/>
                <w:shd w:val="clear" w:color="auto" w:fill="auto"/>
              </w:rPr>
              <w:t>开标时间到达后，在开启解密时间</w:t>
            </w:r>
            <w:r>
              <w:rPr>
                <w:rFonts w:hint="eastAsia" w:ascii="宋体" w:hAnsi="宋体" w:eastAsia="宋体" w:cs="宋体"/>
                <w:color w:val="auto"/>
                <w:kern w:val="0"/>
                <w:sz w:val="24"/>
                <w:highlight w:val="none"/>
                <w:shd w:val="clear" w:color="auto" w:fill="auto"/>
                <w:lang w:val="en-US" w:eastAsia="zh-CN"/>
              </w:rPr>
              <w:t>60</w:t>
            </w:r>
            <w:r>
              <w:rPr>
                <w:rFonts w:hint="eastAsia" w:ascii="宋体" w:hAnsi="宋体" w:eastAsia="宋体" w:cs="宋体"/>
                <w:color w:val="auto"/>
                <w:kern w:val="0"/>
                <w:sz w:val="24"/>
                <w:highlight w:val="none"/>
                <w:shd w:val="clear" w:color="auto" w:fill="auto"/>
              </w:rPr>
              <w:t>分钟内（具体时间以不见面开标大厅</w:t>
            </w:r>
            <w:bookmarkStart w:id="9" w:name="_Hlk59625364"/>
            <w:r>
              <w:rPr>
                <w:rFonts w:hint="eastAsia" w:ascii="宋体" w:hAnsi="宋体" w:eastAsia="宋体" w:cs="宋体"/>
                <w:color w:val="auto"/>
                <w:kern w:val="0"/>
                <w:sz w:val="24"/>
                <w:highlight w:val="none"/>
                <w:shd w:val="clear" w:color="auto" w:fill="auto"/>
              </w:rPr>
              <w:t>中显示的</w:t>
            </w:r>
            <w:bookmarkEnd w:id="9"/>
            <w:r>
              <w:rPr>
                <w:rFonts w:hint="eastAsia" w:ascii="宋体" w:hAnsi="宋体" w:eastAsia="宋体" w:cs="宋体"/>
                <w:color w:val="auto"/>
                <w:kern w:val="0"/>
                <w:sz w:val="24"/>
                <w:highlight w:val="none"/>
                <w:shd w:val="clear" w:color="auto" w:fill="auto"/>
              </w:rPr>
              <w:t>解密截止时间为准），投标人须登录临海市限额以下公共资源交易区域平台-不见面开标大厅，找到所参与的项目进行解密投标文件，</w:t>
            </w:r>
            <w:bookmarkStart w:id="10" w:name="_Hlk59625972"/>
            <w:r>
              <w:rPr>
                <w:rFonts w:hint="eastAsia" w:ascii="宋体" w:hAnsi="宋体" w:eastAsia="宋体" w:cs="宋体"/>
                <w:color w:val="auto"/>
                <w:kern w:val="0"/>
                <w:sz w:val="24"/>
                <w:highlight w:val="none"/>
                <w:shd w:val="clear" w:color="auto" w:fill="auto"/>
              </w:rPr>
              <w:t xml:space="preserve">投标人未按时解密或解密失败的，其投标文件为无效标。 </w:t>
            </w:r>
            <w:bookmarkEnd w:id="10"/>
          </w:p>
        </w:tc>
      </w:tr>
      <w:tr w14:paraId="4F1942B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87" w:type="dxa"/>
            <w:tcBorders>
              <w:top w:val="single" w:color="auto" w:sz="4" w:space="0"/>
              <w:left w:val="single" w:color="auto" w:sz="4" w:space="0"/>
              <w:bottom w:val="single" w:color="auto" w:sz="4" w:space="0"/>
              <w:right w:val="single" w:color="auto" w:sz="4" w:space="0"/>
            </w:tcBorders>
            <w:vAlign w:val="center"/>
          </w:tcPr>
          <w:p w14:paraId="5DD1F7C6">
            <w:pPr>
              <w:snapToGrid w:val="0"/>
              <w:spacing w:line="400" w:lineRule="exact"/>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lang w:val="en-US" w:eastAsia="zh-CN"/>
              </w:rPr>
              <w:t>1</w:t>
            </w:r>
            <w:r>
              <w:rPr>
                <w:rFonts w:hint="eastAsia" w:ascii="宋体" w:hAnsi="宋体" w:cs="宋体"/>
                <w:color w:val="auto"/>
                <w:sz w:val="24"/>
                <w:highlight w:val="none"/>
                <w:shd w:val="clear" w:color="auto" w:fill="auto"/>
                <w:lang w:val="en-US" w:eastAsia="zh-CN"/>
              </w:rPr>
              <w:t>5</w:t>
            </w:r>
          </w:p>
        </w:tc>
        <w:tc>
          <w:tcPr>
            <w:tcW w:w="9684" w:type="dxa"/>
            <w:tcBorders>
              <w:top w:val="single" w:color="auto" w:sz="4" w:space="0"/>
              <w:left w:val="single" w:color="auto" w:sz="4" w:space="0"/>
              <w:bottom w:val="single" w:color="auto" w:sz="4" w:space="0"/>
              <w:right w:val="single" w:color="auto" w:sz="4" w:space="0"/>
            </w:tcBorders>
            <w:vAlign w:val="center"/>
          </w:tcPr>
          <w:p w14:paraId="4BE1D668">
            <w:pPr>
              <w:pStyle w:val="20"/>
              <w:spacing w:after="80" w:line="400" w:lineRule="exac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投标人平台使用费：</w:t>
            </w:r>
          </w:p>
          <w:p w14:paraId="4727B76E">
            <w:pPr>
              <w:pStyle w:val="20"/>
              <w:spacing w:after="80" w:line="400" w:lineRule="exac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项目金额50万元以下收费100元，50万元以上收费150元。</w:t>
            </w:r>
          </w:p>
          <w:p w14:paraId="5C957742">
            <w:pPr>
              <w:pStyle w:val="20"/>
              <w:spacing w:after="80" w:line="400" w:lineRule="exac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开户名：临海市产权交易所有限公司</w:t>
            </w:r>
          </w:p>
          <w:p w14:paraId="33F230BA">
            <w:pPr>
              <w:pStyle w:val="20"/>
              <w:spacing w:after="80" w:line="400" w:lineRule="exac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开户行：浙江临海农村商业银行股份有限公司科技支行；</w:t>
            </w:r>
          </w:p>
          <w:p w14:paraId="2DE7DACB">
            <w:pPr>
              <w:pStyle w:val="20"/>
              <w:spacing w:after="80" w:line="400" w:lineRule="exac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平台使用费账号：201000105503123000003</w:t>
            </w:r>
          </w:p>
          <w:p w14:paraId="2C974334">
            <w:pPr>
              <w:pStyle w:val="20"/>
              <w:spacing w:after="80" w:line="400" w:lineRule="exac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临海市产权交易所有限公司财务咨询电话：0576-85407100。</w:t>
            </w:r>
          </w:p>
          <w:p w14:paraId="5A588B82">
            <w:pPr>
              <w:pStyle w:val="20"/>
              <w:spacing w:after="80" w:line="400" w:lineRule="exac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注意：请提前缴纳相关费用，以防影响正常投标。</w:t>
            </w:r>
          </w:p>
        </w:tc>
      </w:tr>
      <w:tr w14:paraId="52FD31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787" w:type="dxa"/>
            <w:tcBorders>
              <w:top w:val="single" w:color="auto" w:sz="4" w:space="0"/>
              <w:left w:val="single" w:color="auto" w:sz="4" w:space="0"/>
              <w:bottom w:val="single" w:color="auto" w:sz="4" w:space="0"/>
              <w:right w:val="single" w:color="auto" w:sz="4" w:space="0"/>
            </w:tcBorders>
            <w:vAlign w:val="center"/>
          </w:tcPr>
          <w:p w14:paraId="287D4DE0">
            <w:pPr>
              <w:snapToGrid w:val="0"/>
              <w:spacing w:line="400" w:lineRule="exact"/>
              <w:jc w:val="center"/>
              <w:rPr>
                <w:rFonts w:hint="eastAsia"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highlight w:val="none"/>
                <w:shd w:val="clear" w:color="auto" w:fill="auto"/>
                <w:lang w:val="en-US" w:eastAsia="zh-CN"/>
              </w:rPr>
              <w:t>1</w:t>
            </w:r>
            <w:r>
              <w:rPr>
                <w:rFonts w:hint="eastAsia" w:ascii="宋体" w:hAnsi="宋体" w:cs="宋体"/>
                <w:color w:val="auto"/>
                <w:sz w:val="24"/>
                <w:highlight w:val="none"/>
                <w:shd w:val="clear" w:color="auto" w:fill="auto"/>
                <w:lang w:val="en-US" w:eastAsia="zh-CN"/>
              </w:rPr>
              <w:t>6</w:t>
            </w:r>
          </w:p>
        </w:tc>
        <w:tc>
          <w:tcPr>
            <w:tcW w:w="9684" w:type="dxa"/>
            <w:tcBorders>
              <w:top w:val="single" w:color="auto" w:sz="4" w:space="0"/>
              <w:left w:val="single" w:color="auto" w:sz="4" w:space="0"/>
              <w:bottom w:val="single" w:color="auto" w:sz="4" w:space="0"/>
              <w:right w:val="single" w:color="auto" w:sz="4" w:space="0"/>
            </w:tcBorders>
            <w:vAlign w:val="center"/>
          </w:tcPr>
          <w:p w14:paraId="7BE98B1D">
            <w:pPr>
              <w:pStyle w:val="20"/>
              <w:spacing w:after="80" w:line="400" w:lineRule="exac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电子发票申请方式：</w:t>
            </w:r>
          </w:p>
          <w:p w14:paraId="0669D2A9">
            <w:pPr>
              <w:pStyle w:val="20"/>
              <w:spacing w:after="80" w:line="400" w:lineRule="exac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4034C42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787" w:type="dxa"/>
            <w:tcBorders>
              <w:top w:val="single" w:color="auto" w:sz="4" w:space="0"/>
              <w:left w:val="single" w:color="auto" w:sz="4" w:space="0"/>
              <w:bottom w:val="single" w:color="auto" w:sz="4" w:space="0"/>
              <w:right w:val="single" w:color="auto" w:sz="4" w:space="0"/>
            </w:tcBorders>
            <w:vAlign w:val="center"/>
          </w:tcPr>
          <w:p w14:paraId="49AFA13C">
            <w:pPr>
              <w:snapToGrid w:val="0"/>
              <w:spacing w:line="400" w:lineRule="exact"/>
              <w:jc w:val="center"/>
              <w:rPr>
                <w:rFonts w:hint="eastAsia"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highlight w:val="none"/>
                <w:shd w:val="clear" w:color="auto" w:fill="auto"/>
                <w:lang w:val="en-US" w:eastAsia="zh-CN"/>
              </w:rPr>
              <w:t>1</w:t>
            </w:r>
            <w:r>
              <w:rPr>
                <w:rFonts w:hint="eastAsia" w:ascii="宋体" w:hAnsi="宋体" w:cs="宋体"/>
                <w:color w:val="auto"/>
                <w:sz w:val="24"/>
                <w:highlight w:val="none"/>
                <w:shd w:val="clear" w:color="auto" w:fill="auto"/>
                <w:lang w:val="en-US" w:eastAsia="zh-CN"/>
              </w:rPr>
              <w:t>7</w:t>
            </w:r>
          </w:p>
        </w:tc>
        <w:tc>
          <w:tcPr>
            <w:tcW w:w="9684" w:type="dxa"/>
            <w:tcBorders>
              <w:top w:val="single" w:color="auto" w:sz="4" w:space="0"/>
              <w:left w:val="single" w:color="auto" w:sz="4" w:space="0"/>
              <w:bottom w:val="single" w:color="auto" w:sz="4" w:space="0"/>
              <w:right w:val="single" w:color="auto" w:sz="4" w:space="0"/>
            </w:tcBorders>
            <w:vAlign w:val="center"/>
          </w:tcPr>
          <w:p w14:paraId="4A8E37B6">
            <w:pPr>
              <w:pStyle w:val="20"/>
              <w:spacing w:after="80" w:line="400" w:lineRule="exac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特别事项：</w:t>
            </w:r>
          </w:p>
          <w:p w14:paraId="115AB5EA">
            <w:pPr>
              <w:pStyle w:val="20"/>
              <w:spacing w:after="80" w:line="400" w:lineRule="exac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60B37682">
            <w:pPr>
              <w:pStyle w:val="20"/>
              <w:spacing w:after="80" w:line="400" w:lineRule="exac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118816B6">
            <w:pPr>
              <w:pStyle w:val="20"/>
              <w:spacing w:after="80" w:line="400" w:lineRule="exac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w:t>
            </w:r>
          </w:p>
          <w:p w14:paraId="2EFDFDC8">
            <w:pPr>
              <w:pStyle w:val="20"/>
              <w:spacing w:after="80" w:line="400" w:lineRule="exac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软件技术支持电话：15267291759（同微信）。</w:t>
            </w:r>
          </w:p>
        </w:tc>
      </w:tr>
      <w:tr w14:paraId="7A4D0B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787" w:type="dxa"/>
            <w:tcBorders>
              <w:top w:val="single" w:color="auto" w:sz="4" w:space="0"/>
              <w:left w:val="single" w:color="auto" w:sz="4" w:space="0"/>
              <w:bottom w:val="single" w:color="auto" w:sz="4" w:space="0"/>
              <w:right w:val="single" w:color="auto" w:sz="4" w:space="0"/>
            </w:tcBorders>
            <w:vAlign w:val="center"/>
          </w:tcPr>
          <w:p w14:paraId="0AA1C02B">
            <w:pPr>
              <w:snapToGrid w:val="0"/>
              <w:spacing w:line="400" w:lineRule="exact"/>
              <w:jc w:val="center"/>
              <w:rPr>
                <w:rFonts w:hint="eastAsia"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highlight w:val="none"/>
                <w:shd w:val="clear" w:color="auto" w:fill="auto"/>
                <w:lang w:val="en-US" w:eastAsia="zh-CN"/>
              </w:rPr>
              <w:t>1</w:t>
            </w:r>
            <w:r>
              <w:rPr>
                <w:rFonts w:hint="eastAsia" w:ascii="宋体" w:hAnsi="宋体" w:cs="宋体"/>
                <w:color w:val="auto"/>
                <w:sz w:val="24"/>
                <w:highlight w:val="none"/>
                <w:shd w:val="clear" w:color="auto" w:fill="auto"/>
                <w:lang w:val="en-US" w:eastAsia="zh-CN"/>
              </w:rPr>
              <w:t>8</w:t>
            </w:r>
          </w:p>
        </w:tc>
        <w:tc>
          <w:tcPr>
            <w:tcW w:w="9684" w:type="dxa"/>
            <w:tcBorders>
              <w:top w:val="single" w:color="auto" w:sz="4" w:space="0"/>
              <w:left w:val="single" w:color="auto" w:sz="4" w:space="0"/>
              <w:bottom w:val="single" w:color="auto" w:sz="4" w:space="0"/>
              <w:right w:val="single" w:color="auto" w:sz="4" w:space="0"/>
            </w:tcBorders>
            <w:vAlign w:val="center"/>
          </w:tcPr>
          <w:p w14:paraId="63A7398A">
            <w:pPr>
              <w:autoSpaceDE w:val="0"/>
              <w:autoSpaceDN w:val="0"/>
              <w:snapToGrid w:val="0"/>
              <w:spacing w:line="400" w:lineRule="exact"/>
              <w:textAlignment w:val="bottom"/>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解释：本招标文件的解释权属于招标人。</w:t>
            </w:r>
          </w:p>
        </w:tc>
      </w:tr>
    </w:tbl>
    <w:p w14:paraId="57826552">
      <w:pPr>
        <w:pStyle w:val="29"/>
        <w:snapToGrid w:val="0"/>
        <w:spacing w:beforeLines="0" w:afterLines="0"/>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br w:type="page"/>
      </w:r>
    </w:p>
    <w:p w14:paraId="28EEF6FF">
      <w:pPr>
        <w:pStyle w:val="29"/>
        <w:snapToGrid w:val="0"/>
        <w:spacing w:beforeLines="0" w:afterLines="0" w:line="420" w:lineRule="exact"/>
        <w:ind w:firstLine="482" w:firstLineChars="200"/>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一 、总  则</w:t>
      </w:r>
    </w:p>
    <w:p w14:paraId="715EC47D">
      <w:pPr>
        <w:snapToGrid w:val="0"/>
        <w:spacing w:line="420" w:lineRule="exact"/>
        <w:ind w:firstLine="472" w:firstLineChars="196"/>
        <w:jc w:val="left"/>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（一）适用范围</w:t>
      </w:r>
    </w:p>
    <w:p w14:paraId="36183C17">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本招标文件适用于本项目的招标、投标、评标、定标、验收、合同履约、付款等行为。</w:t>
      </w:r>
    </w:p>
    <w:p w14:paraId="07416C7B">
      <w:pPr>
        <w:snapToGrid w:val="0"/>
        <w:spacing w:before="120" w:beforeLines="50" w:line="420" w:lineRule="exact"/>
        <w:ind w:firstLine="354" w:firstLineChars="147"/>
        <w:jc w:val="left"/>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（二）定义</w:t>
      </w:r>
    </w:p>
    <w:p w14:paraId="27FCAB29">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1.“招标人”系指组织本次招标的</w:t>
      </w:r>
      <w:r>
        <w:rPr>
          <w:rFonts w:hint="eastAsia" w:ascii="宋体" w:hAnsi="宋体" w:eastAsia="宋体" w:cs="宋体"/>
          <w:color w:val="auto"/>
          <w:sz w:val="24"/>
          <w:highlight w:val="none"/>
          <w:u w:val="single"/>
          <w:shd w:val="clear" w:color="auto" w:fill="auto"/>
        </w:rPr>
        <w:t>代理机构</w:t>
      </w:r>
      <w:r>
        <w:rPr>
          <w:rFonts w:hint="eastAsia" w:ascii="宋体" w:hAnsi="宋体" w:eastAsia="宋体" w:cs="宋体"/>
          <w:color w:val="auto"/>
          <w:sz w:val="24"/>
          <w:highlight w:val="none"/>
          <w:shd w:val="clear" w:color="auto" w:fill="auto"/>
        </w:rPr>
        <w:t>和招标人。</w:t>
      </w:r>
    </w:p>
    <w:p w14:paraId="570B1A34">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2.“投标人”系指向招标人提交投标文件的单位。</w:t>
      </w:r>
    </w:p>
    <w:p w14:paraId="0EF2F79A">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3.“产品”系指供方按招标文件规定，须向招标人提供的一切设备、保险、税金、备品备件、工具、手册及其它有关技术资料和材料。</w:t>
      </w:r>
    </w:p>
    <w:p w14:paraId="6DB2C1CC">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4.“服务”系指招标文件规定投标人须承担的安装、调试、技术协助、校准、培训、技术指导以及其他类似的义务。</w:t>
      </w:r>
    </w:p>
    <w:p w14:paraId="5C7362F4">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5.“项目”系指投标人按招标文件规定向招标人提供的产品和服务。</w:t>
      </w:r>
    </w:p>
    <w:p w14:paraId="546426BE">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6.“书面形式”包括信函、传真、电报等。</w:t>
      </w:r>
    </w:p>
    <w:p w14:paraId="6817D43E">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7.“▲”系指实质性要求条款。</w:t>
      </w:r>
    </w:p>
    <w:p w14:paraId="2843C4D8">
      <w:pPr>
        <w:snapToGrid w:val="0"/>
        <w:spacing w:before="120" w:beforeLines="50" w:line="420" w:lineRule="exact"/>
        <w:ind w:firstLine="472" w:firstLineChars="196"/>
        <w:jc w:val="left"/>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（三）招标方式</w:t>
      </w:r>
    </w:p>
    <w:p w14:paraId="5CA8AA64">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本次招标采用公开招标方式进行。</w:t>
      </w:r>
    </w:p>
    <w:p w14:paraId="1C2CC7D8">
      <w:pPr>
        <w:snapToGrid w:val="0"/>
        <w:spacing w:before="120" w:beforeLines="50" w:line="420" w:lineRule="exact"/>
        <w:ind w:firstLine="472" w:firstLineChars="196"/>
        <w:jc w:val="left"/>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（四）投标委托</w:t>
      </w:r>
    </w:p>
    <w:p w14:paraId="4F3F094B">
      <w:pPr>
        <w:pStyle w:val="21"/>
        <w:snapToGrid w:val="0"/>
        <w:spacing w:line="420" w:lineRule="exact"/>
        <w:ind w:firstLine="464"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投标人代表须携带有效身份证件。如投标人代表不是法定代表人，须有法定代表人出具的授权委托书，格式见第六章。</w:t>
      </w:r>
    </w:p>
    <w:p w14:paraId="3A512DF7">
      <w:pPr>
        <w:snapToGrid w:val="0"/>
        <w:spacing w:before="120" w:beforeLines="50" w:line="420" w:lineRule="exact"/>
        <w:ind w:firstLine="472" w:firstLineChars="196"/>
        <w:jc w:val="left"/>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（五）投标费用及结算</w:t>
      </w:r>
    </w:p>
    <w:p w14:paraId="5F516969">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1）不论投标结果如何，投标人均应自行承担所有与投标有关的全部费用。</w:t>
      </w:r>
    </w:p>
    <w:p w14:paraId="22736A2C">
      <w:pPr>
        <w:spacing w:line="420" w:lineRule="exact"/>
        <w:ind w:firstLine="480" w:firstLineChars="200"/>
        <w:rPr>
          <w:rFonts w:hint="eastAsia" w:ascii="宋体" w:hAnsi="宋体" w:eastAsia="宋体" w:cs="宋体"/>
          <w:b/>
          <w:color w:val="auto"/>
          <w:sz w:val="24"/>
          <w:highlight w:val="none"/>
          <w:u w:val="single"/>
          <w:shd w:val="clear" w:color="auto" w:fill="auto"/>
        </w:rPr>
      </w:pPr>
      <w:r>
        <w:rPr>
          <w:rFonts w:hint="eastAsia" w:ascii="宋体" w:hAnsi="宋体" w:eastAsia="宋体" w:cs="宋体"/>
          <w:color w:val="auto"/>
          <w:sz w:val="24"/>
          <w:highlight w:val="none"/>
          <w:shd w:val="clear" w:color="auto" w:fill="auto"/>
        </w:rPr>
        <w:t>2）除业主要求或设计变更要求外不签署任何增加费用的联系单，</w:t>
      </w:r>
      <w:r>
        <w:rPr>
          <w:rFonts w:hint="eastAsia" w:ascii="宋体" w:hAnsi="宋体" w:eastAsia="宋体" w:cs="宋体"/>
          <w:bCs/>
          <w:color w:val="auto"/>
          <w:sz w:val="24"/>
          <w:highlight w:val="none"/>
          <w:shd w:val="clear" w:color="auto" w:fill="auto"/>
        </w:rPr>
        <w:t>工程量清单外而要完成本项目所必需的设备、物料、服务等各</w:t>
      </w:r>
      <w:r>
        <w:rPr>
          <w:rFonts w:hint="eastAsia" w:ascii="宋体" w:hAnsi="宋体" w:eastAsia="宋体" w:cs="宋体"/>
          <w:color w:val="auto"/>
          <w:sz w:val="24"/>
          <w:highlight w:val="none"/>
          <w:shd w:val="clear" w:color="auto" w:fill="auto"/>
        </w:rPr>
        <w:t>投标人请自行考虑并计入投标总报价，中标后不予调整。</w:t>
      </w:r>
    </w:p>
    <w:p w14:paraId="005067FE">
      <w:pPr>
        <w:snapToGrid w:val="0"/>
        <w:spacing w:before="120" w:beforeLines="50" w:line="420" w:lineRule="exact"/>
        <w:ind w:firstLine="472" w:firstLineChars="196"/>
        <w:rPr>
          <w:rFonts w:hint="eastAsia" w:ascii="宋体" w:hAnsi="宋体" w:eastAsia="宋体" w:cs="宋体"/>
          <w:b/>
          <w:color w:val="auto"/>
          <w:kern w:val="0"/>
          <w:sz w:val="24"/>
          <w:highlight w:val="none"/>
          <w:shd w:val="clear" w:color="auto" w:fill="auto"/>
        </w:rPr>
      </w:pPr>
      <w:r>
        <w:rPr>
          <w:rFonts w:hint="eastAsia" w:ascii="宋体" w:hAnsi="宋体" w:eastAsia="宋体" w:cs="宋体"/>
          <w:b/>
          <w:color w:val="auto"/>
          <w:sz w:val="24"/>
          <w:highlight w:val="none"/>
          <w:shd w:val="clear" w:color="auto" w:fill="auto"/>
        </w:rPr>
        <w:t>（六）</w:t>
      </w:r>
      <w:r>
        <w:rPr>
          <w:rFonts w:hint="eastAsia" w:ascii="宋体" w:hAnsi="宋体" w:eastAsia="宋体" w:cs="宋体"/>
          <w:b/>
          <w:color w:val="auto"/>
          <w:kern w:val="0"/>
          <w:sz w:val="24"/>
          <w:highlight w:val="none"/>
          <w:shd w:val="clear" w:color="auto" w:fill="auto"/>
        </w:rPr>
        <w:t>转包与分包</w:t>
      </w:r>
    </w:p>
    <w:p w14:paraId="269FA15F">
      <w:pPr>
        <w:snapToGrid w:val="0"/>
        <w:spacing w:line="420" w:lineRule="exact"/>
        <w:ind w:firstLine="720" w:firstLineChars="300"/>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本项目不允许转包与违法分包。</w:t>
      </w:r>
    </w:p>
    <w:p w14:paraId="1C968624">
      <w:pPr>
        <w:snapToGrid w:val="0"/>
        <w:spacing w:before="120" w:beforeLines="50" w:line="420" w:lineRule="exact"/>
        <w:ind w:firstLine="472" w:firstLineChars="196"/>
        <w:jc w:val="left"/>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（七）特别说明</w:t>
      </w:r>
    </w:p>
    <w:p w14:paraId="78B7764D">
      <w:pPr>
        <w:widowControl/>
        <w:spacing w:line="420" w:lineRule="exact"/>
        <w:ind w:firstLine="482"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b/>
          <w:color w:val="auto"/>
          <w:sz w:val="24"/>
          <w:highlight w:val="none"/>
          <w:shd w:val="clear" w:color="auto" w:fill="auto"/>
        </w:rPr>
        <w:t>1.单位负责人为同一人或者存在直接控股、管理关系的不同投标人，不得参加同一合同项下的采购活动。如有上述行为的，相关投标均无效。</w:t>
      </w:r>
      <w:r>
        <w:rPr>
          <w:rFonts w:hint="eastAsia" w:ascii="宋体" w:hAnsi="宋体" w:eastAsia="宋体" w:cs="宋体"/>
          <w:color w:val="auto"/>
          <w:kern w:val="0"/>
          <w:sz w:val="24"/>
          <w:highlight w:val="none"/>
          <w:shd w:val="clear" w:color="auto" w:fill="auto"/>
        </w:rPr>
        <w:t xml:space="preserve">  </w:t>
      </w:r>
    </w:p>
    <w:p w14:paraId="42CE3E8E">
      <w:pPr>
        <w:widowControl/>
        <w:spacing w:line="42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使用综合评分法的采购项目，提供相同品牌产品且通过资格审查、符合性审查的不同投标人参加同一合同项下投标的，按一家投标人计算，评审后得分最高的同品牌投标人获得中标人推荐资格；评审得分相同的，由招标人或者招标人委托评标委员会按照招标文件规定的方式确定一个投标人获得中标人推荐资格，招标文件未规定的采取随机抽取方式确定，其他同品牌投标人不作为中标候选人。</w:t>
      </w:r>
    </w:p>
    <w:p w14:paraId="227FAE3B">
      <w:pPr>
        <w:pStyle w:val="29"/>
        <w:snapToGrid w:val="0"/>
        <w:spacing w:beforeLines="0" w:afterLines="0" w:line="420" w:lineRule="exact"/>
        <w:ind w:left="2" w:leftChars="1" w:firstLine="360" w:firstLineChars="15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2.投标人投标所使用的资格、信誉、荣誉、业绩必须为本法人所拥有。投标人投标所使用的采购项目实施人员须为本法人员工。</w:t>
      </w:r>
    </w:p>
    <w:p w14:paraId="7E0B542D">
      <w:pPr>
        <w:pStyle w:val="29"/>
        <w:snapToGrid w:val="0"/>
        <w:spacing w:beforeLines="0" w:afterLines="0" w:line="420" w:lineRule="exact"/>
        <w:ind w:left="2" w:leftChars="1" w:firstLine="480" w:firstLineChars="20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3.投标人应仔细阅读招标文件的所有内容，按照招标文件的要求提交投标文件，并对所提供的全部资料的真实性承担法律责任。</w:t>
      </w:r>
    </w:p>
    <w:p w14:paraId="49853230">
      <w:pPr>
        <w:pStyle w:val="29"/>
        <w:snapToGrid w:val="0"/>
        <w:spacing w:beforeLines="0" w:afterLines="0" w:line="420" w:lineRule="exact"/>
        <w:ind w:left="2" w:leftChars="1" w:firstLine="480" w:firstLineChars="200"/>
        <w:rPr>
          <w:rFonts w:hint="eastAsia" w:ascii="宋体" w:hAnsi="宋体" w:eastAsia="宋体" w:cs="宋体"/>
          <w:b/>
          <w:color w:val="auto"/>
          <w:highlight w:val="none"/>
          <w:shd w:val="clear" w:color="auto" w:fill="auto"/>
        </w:rPr>
      </w:pPr>
      <w:r>
        <w:rPr>
          <w:rFonts w:hint="eastAsia" w:ascii="宋体" w:hAnsi="宋体" w:eastAsia="宋体" w:cs="宋体"/>
          <w:color w:val="auto"/>
          <w:highlight w:val="none"/>
          <w:shd w:val="clear" w:color="auto" w:fill="auto"/>
        </w:rPr>
        <w:t>4.投标人在投标活动中提供任何虚假材料,其投标无效，并报</w:t>
      </w:r>
      <w:r>
        <w:rPr>
          <w:rFonts w:hint="eastAsia" w:ascii="宋体" w:hAnsi="宋体" w:eastAsia="宋体" w:cs="宋体"/>
          <w:b/>
          <w:color w:val="auto"/>
          <w:highlight w:val="none"/>
          <w:shd w:val="clear" w:color="auto" w:fill="auto"/>
        </w:rPr>
        <w:t>有权受理非政府采购项目的</w:t>
      </w:r>
      <w:r>
        <w:rPr>
          <w:rFonts w:hint="eastAsia" w:ascii="宋体" w:hAnsi="宋体" w:eastAsia="宋体" w:cs="宋体"/>
          <w:color w:val="auto"/>
          <w:highlight w:val="none"/>
          <w:shd w:val="clear" w:color="auto" w:fill="auto"/>
        </w:rPr>
        <w:t>监管部门查处（</w:t>
      </w:r>
      <w:r>
        <w:rPr>
          <w:rFonts w:hint="eastAsia" w:ascii="宋体" w:hAnsi="宋体" w:eastAsia="宋体" w:cs="宋体"/>
          <w:b/>
          <w:color w:val="auto"/>
          <w:highlight w:val="none"/>
          <w:shd w:val="clear" w:color="auto" w:fill="auto"/>
        </w:rPr>
        <w:t>特别说明：临海市财政局非有权受理非政府采购项目的监管部门</w:t>
      </w:r>
      <w:r>
        <w:rPr>
          <w:rFonts w:hint="eastAsia" w:ascii="宋体" w:hAnsi="宋体" w:eastAsia="宋体" w:cs="宋体"/>
          <w:color w:val="auto"/>
          <w:highlight w:val="none"/>
          <w:shd w:val="clear" w:color="auto" w:fill="auto"/>
        </w:rPr>
        <w:t>）。中标后发现的,中标人须依照《中华人民共和国消费者权益保护法》第49条之规定双倍赔偿招标人，且民事赔偿并不免除违法投标人的行政与刑事责任。</w:t>
      </w:r>
    </w:p>
    <w:p w14:paraId="24FFDBBA">
      <w:pPr>
        <w:pStyle w:val="29"/>
        <w:snapToGrid w:val="0"/>
        <w:spacing w:before="120" w:after="120" w:line="420" w:lineRule="exact"/>
        <w:ind w:firstLine="472" w:firstLineChars="196"/>
        <w:rPr>
          <w:rFonts w:hint="eastAsia" w:ascii="宋体" w:hAnsi="宋体" w:eastAsia="宋体" w:cs="宋体"/>
          <w:b/>
          <w:bCs/>
          <w:color w:val="auto"/>
          <w:highlight w:val="none"/>
          <w:shd w:val="clear" w:color="auto" w:fill="auto"/>
        </w:rPr>
      </w:pPr>
      <w:r>
        <w:rPr>
          <w:rFonts w:hint="eastAsia" w:ascii="宋体" w:hAnsi="宋体" w:eastAsia="宋体" w:cs="宋体"/>
          <w:b/>
          <w:bCs/>
          <w:color w:val="auto"/>
          <w:highlight w:val="none"/>
          <w:shd w:val="clear" w:color="auto" w:fill="auto"/>
        </w:rPr>
        <w:t>（八）质疑</w:t>
      </w:r>
    </w:p>
    <w:p w14:paraId="0C5B246E">
      <w:pPr>
        <w:widowControl/>
        <w:spacing w:line="42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1.投标人认为招标文件、采购过程和中标结果使自己的权益受到损害的，以在线形式一次性向招标人或代理机构提出质疑：</w:t>
      </w:r>
    </w:p>
    <w:p w14:paraId="604CA997">
      <w:pPr>
        <w:widowControl/>
        <w:spacing w:line="420" w:lineRule="exact"/>
        <w:ind w:firstLine="240" w:firstLineChars="100"/>
        <w:jc w:val="left"/>
        <w:rPr>
          <w:rFonts w:ascii="宋体" w:hAnsi="宋体" w:cs="宋体"/>
          <w:color w:val="auto"/>
          <w:kern w:val="0"/>
          <w:sz w:val="24"/>
          <w:highlight w:val="none"/>
        </w:rPr>
      </w:pPr>
      <w:r>
        <w:rPr>
          <w:rFonts w:hint="eastAsia" w:ascii="宋体" w:hAnsi="宋体" w:cs="宋体"/>
          <w:color w:val="auto"/>
          <w:kern w:val="0"/>
          <w:sz w:val="24"/>
          <w:highlight w:val="none"/>
        </w:rPr>
        <w:t>（1）投标人认为招标文件的内容损害其权益的，应当在获取采购文件或者采购文件公告期限届满之日起7个工作日内以书面形式提出；</w:t>
      </w:r>
    </w:p>
    <w:p w14:paraId="0B7DE7E7">
      <w:pPr>
        <w:widowControl/>
        <w:spacing w:line="420" w:lineRule="exact"/>
        <w:ind w:firstLine="240" w:firstLineChars="100"/>
        <w:jc w:val="left"/>
        <w:rPr>
          <w:rFonts w:ascii="宋体" w:hAnsi="宋体" w:cs="宋体"/>
          <w:color w:val="auto"/>
          <w:kern w:val="0"/>
          <w:sz w:val="24"/>
          <w:highlight w:val="none"/>
        </w:rPr>
      </w:pPr>
      <w:r>
        <w:rPr>
          <w:rFonts w:hint="eastAsia" w:ascii="宋体" w:hAnsi="宋体" w:cs="宋体"/>
          <w:color w:val="auto"/>
          <w:kern w:val="0"/>
          <w:sz w:val="24"/>
          <w:highlight w:val="none"/>
        </w:rPr>
        <w:t>（2）投标人对采购过程提出质疑的，应当在各采购程序环节结束之日起</w:t>
      </w:r>
      <w:r>
        <w:rPr>
          <w:rFonts w:hint="eastAsia" w:ascii="宋体" w:hAnsi="宋体" w:cs="宋体"/>
          <w:b/>
          <w:color w:val="auto"/>
          <w:kern w:val="0"/>
          <w:sz w:val="24"/>
          <w:highlight w:val="none"/>
          <w:u w:val="single"/>
        </w:rPr>
        <w:t xml:space="preserve"> 3  </w:t>
      </w:r>
      <w:r>
        <w:rPr>
          <w:rFonts w:hint="eastAsia" w:ascii="宋体" w:hAnsi="宋体" w:cs="宋体"/>
          <w:color w:val="auto"/>
          <w:kern w:val="0"/>
          <w:sz w:val="24"/>
          <w:highlight w:val="none"/>
        </w:rPr>
        <w:t>个工作日内提出质疑；</w:t>
      </w:r>
    </w:p>
    <w:p w14:paraId="7802535E">
      <w:pPr>
        <w:widowControl/>
        <w:spacing w:line="420" w:lineRule="exact"/>
        <w:ind w:firstLine="240" w:firstLineChars="100"/>
        <w:jc w:val="left"/>
        <w:rPr>
          <w:rFonts w:ascii="宋体" w:hAnsi="宋体" w:cs="宋体"/>
          <w:color w:val="auto"/>
          <w:kern w:val="0"/>
          <w:sz w:val="24"/>
          <w:highlight w:val="none"/>
        </w:rPr>
      </w:pPr>
      <w:r>
        <w:rPr>
          <w:rFonts w:hint="eastAsia" w:ascii="宋体" w:hAnsi="宋体" w:cs="宋体"/>
          <w:color w:val="auto"/>
          <w:kern w:val="0"/>
          <w:sz w:val="24"/>
          <w:highlight w:val="none"/>
        </w:rPr>
        <w:t>（3）投标人对成交结果提出质疑的，</w:t>
      </w:r>
      <w:r>
        <w:rPr>
          <w:rFonts w:hint="eastAsia" w:ascii="宋体" w:hAnsi="宋体" w:cs="宋体"/>
          <w:b/>
          <w:color w:val="auto"/>
          <w:kern w:val="0"/>
          <w:sz w:val="24"/>
          <w:highlight w:val="none"/>
        </w:rPr>
        <w:t>应当在成交结果公告之日起</w:t>
      </w:r>
      <w:r>
        <w:rPr>
          <w:rFonts w:hint="eastAsia" w:ascii="宋体" w:hAnsi="宋体" w:cs="宋体"/>
          <w:b/>
          <w:color w:val="auto"/>
          <w:kern w:val="0"/>
          <w:sz w:val="24"/>
          <w:highlight w:val="none"/>
          <w:u w:val="single"/>
        </w:rPr>
        <w:t xml:space="preserve"> 3  </w:t>
      </w:r>
      <w:r>
        <w:rPr>
          <w:rFonts w:hint="eastAsia" w:ascii="宋体" w:hAnsi="宋体" w:cs="宋体"/>
          <w:color w:val="auto"/>
          <w:kern w:val="0"/>
          <w:sz w:val="24"/>
          <w:highlight w:val="none"/>
        </w:rPr>
        <w:t>个工作日内提出质疑；</w:t>
      </w:r>
    </w:p>
    <w:p w14:paraId="181290DC">
      <w:pPr>
        <w:widowControl/>
        <w:spacing w:line="42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2.招标人或代理机构在收到投标人的在线质疑后</w:t>
      </w:r>
      <w:r>
        <w:rPr>
          <w:rFonts w:hint="eastAsia" w:ascii="宋体" w:hAnsi="宋体" w:cs="宋体"/>
          <w:b/>
          <w:color w:val="auto"/>
          <w:kern w:val="0"/>
          <w:sz w:val="24"/>
          <w:highlight w:val="none"/>
          <w:u w:val="single"/>
        </w:rPr>
        <w:t xml:space="preserve"> 5  </w:t>
      </w:r>
      <w:r>
        <w:rPr>
          <w:rFonts w:hint="eastAsia" w:ascii="宋体" w:hAnsi="宋体" w:cs="宋体"/>
          <w:color w:val="auto"/>
          <w:kern w:val="0"/>
          <w:sz w:val="24"/>
          <w:highlight w:val="none"/>
        </w:rPr>
        <w:t>个工作日内作出答复，并以在线形式回复质疑投标人和其他有关投标人，但答复内容不涉及商业秘密。</w:t>
      </w:r>
    </w:p>
    <w:p w14:paraId="430CE2B9">
      <w:pPr>
        <w:widowControl/>
        <w:spacing w:line="420" w:lineRule="exact"/>
        <w:ind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77680EDE">
      <w:pPr>
        <w:widowControl/>
        <w:spacing w:line="420" w:lineRule="exact"/>
        <w:ind w:firstLine="482" w:firstLineChars="200"/>
        <w:jc w:val="left"/>
        <w:rPr>
          <w:rFonts w:hint="eastAsia" w:ascii="宋体" w:hAnsi="宋体" w:eastAsia="宋体" w:cs="宋体"/>
          <w:b/>
          <w:bCs/>
          <w:color w:val="auto"/>
          <w:kern w:val="0"/>
          <w:sz w:val="24"/>
          <w:highlight w:val="none"/>
          <w:shd w:val="clear" w:color="auto" w:fill="auto"/>
        </w:rPr>
      </w:pPr>
      <w:r>
        <w:rPr>
          <w:rFonts w:hint="eastAsia" w:ascii="宋体" w:hAnsi="宋体" w:eastAsia="宋体" w:cs="宋体"/>
          <w:b/>
          <w:bCs/>
          <w:color w:val="auto"/>
          <w:kern w:val="0"/>
          <w:sz w:val="24"/>
          <w:highlight w:val="none"/>
          <w:shd w:val="clear" w:color="auto" w:fill="auto"/>
        </w:rPr>
        <w:t>（九）投诉</w:t>
      </w:r>
    </w:p>
    <w:p w14:paraId="4083F877">
      <w:pPr>
        <w:pStyle w:val="29"/>
        <w:snapToGrid w:val="0"/>
        <w:spacing w:beforeLines="0" w:afterLines="0" w:line="420" w:lineRule="exact"/>
        <w:ind w:firstLine="472" w:firstLineChars="196"/>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1E674F85">
      <w:pPr>
        <w:pStyle w:val="29"/>
        <w:snapToGrid w:val="0"/>
        <w:spacing w:beforeLines="0" w:afterLines="0" w:line="420" w:lineRule="exact"/>
        <w:ind w:firstLine="472" w:firstLineChars="196"/>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二、招标文件</w:t>
      </w:r>
    </w:p>
    <w:p w14:paraId="498F0A89">
      <w:pPr>
        <w:snapToGrid w:val="0"/>
        <w:spacing w:line="420" w:lineRule="exact"/>
        <w:ind w:firstLine="472" w:firstLineChars="196"/>
        <w:jc w:val="left"/>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（一）招标文件的构成</w:t>
      </w:r>
    </w:p>
    <w:p w14:paraId="53BAC643">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1.投标邀请</w:t>
      </w:r>
    </w:p>
    <w:p w14:paraId="388C700B">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2.招标需求</w:t>
      </w:r>
    </w:p>
    <w:p w14:paraId="0253AF41">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3.投标人须知</w:t>
      </w:r>
    </w:p>
    <w:p w14:paraId="22540275">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4.评标办法及标准</w:t>
      </w:r>
    </w:p>
    <w:p w14:paraId="365F4DEC">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5.合同主要条款</w:t>
      </w:r>
    </w:p>
    <w:p w14:paraId="61A7C774">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6.投标文件格式</w:t>
      </w:r>
    </w:p>
    <w:p w14:paraId="36954AF8">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7.本项目招标文件的澄清、答复、修改、补充的内容（如有）</w:t>
      </w:r>
    </w:p>
    <w:p w14:paraId="0DB2D1BC">
      <w:pPr>
        <w:snapToGrid w:val="0"/>
        <w:spacing w:before="120" w:beforeLines="50" w:line="420" w:lineRule="exact"/>
        <w:ind w:firstLine="472" w:firstLineChars="196"/>
        <w:jc w:val="left"/>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（二）投标人的风险</w:t>
      </w:r>
    </w:p>
    <w:p w14:paraId="173AE8B1">
      <w:pPr>
        <w:pStyle w:val="40"/>
        <w:spacing w:line="420" w:lineRule="exac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投标人没有按照招标文件要求提供全部资料，或者投标人没有对招标文件在各方面作出实质性响应是投标人的风险，并可能导致其投标被拒绝。</w:t>
      </w:r>
    </w:p>
    <w:p w14:paraId="6C38E63E">
      <w:pPr>
        <w:pStyle w:val="13"/>
        <w:widowControl w:val="0"/>
        <w:tabs>
          <w:tab w:val="left" w:pos="420"/>
        </w:tabs>
        <w:snapToGrid w:val="0"/>
        <w:spacing w:before="120" w:beforeLines="50" w:afterLines="0" w:line="420" w:lineRule="exact"/>
        <w:ind w:left="0" w:firstLine="472" w:firstLineChars="196"/>
        <w:rPr>
          <w:rFonts w:hint="eastAsia" w:ascii="宋体" w:hAnsi="宋体" w:eastAsia="宋体" w:cs="宋体"/>
          <w:b/>
          <w:color w:val="auto"/>
          <w:szCs w:val="24"/>
          <w:highlight w:val="none"/>
          <w:shd w:val="clear" w:color="auto" w:fill="auto"/>
        </w:rPr>
      </w:pPr>
      <w:r>
        <w:rPr>
          <w:rFonts w:hint="eastAsia" w:ascii="宋体" w:hAnsi="宋体" w:eastAsia="宋体" w:cs="宋体"/>
          <w:b/>
          <w:color w:val="auto"/>
          <w:szCs w:val="24"/>
          <w:highlight w:val="none"/>
          <w:shd w:val="clear" w:color="auto" w:fill="auto"/>
        </w:rPr>
        <w:t xml:space="preserve">（三）招标文件的澄清与修改 </w:t>
      </w:r>
    </w:p>
    <w:p w14:paraId="24F1ADF0">
      <w:pPr>
        <w:pStyle w:val="29"/>
        <w:snapToGrid w:val="0"/>
        <w:spacing w:beforeLines="0" w:afterLines="0" w:line="420" w:lineRule="exact"/>
        <w:ind w:firstLine="480" w:firstLineChars="20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1.</w:t>
      </w:r>
      <w:r>
        <w:rPr>
          <w:rFonts w:hint="eastAsia" w:ascii="宋体" w:hAnsi="宋体" w:eastAsia="宋体" w:cs="宋体"/>
          <w:bCs/>
          <w:color w:val="auto"/>
          <w:highlight w:val="none"/>
          <w:shd w:val="clear" w:color="auto" w:fill="auto"/>
        </w:rPr>
        <w:t>投标人应认真阅读本招标文件，发现其中有误或有不合理要求的，投标人必须在前附表规定的时间前以书面形式要求招标人澄清</w:t>
      </w:r>
      <w:r>
        <w:rPr>
          <w:rFonts w:hint="eastAsia" w:ascii="宋体" w:hAnsi="宋体" w:eastAsia="宋体" w:cs="宋体"/>
          <w:color w:val="auto"/>
          <w:highlight w:val="none"/>
          <w:shd w:val="clear" w:color="auto" w:fill="auto"/>
        </w:rPr>
        <w:t>。招标人对已发出的招标文件进行必要澄清、答复、修改或补充的，应当在招标文件要求提交投标文件截止时间前，以采购公告发布的网站予以发布。</w:t>
      </w:r>
    </w:p>
    <w:p w14:paraId="0754288C">
      <w:pPr>
        <w:pStyle w:val="29"/>
        <w:snapToGrid w:val="0"/>
        <w:spacing w:beforeLines="0" w:afterLines="0" w:line="420" w:lineRule="exact"/>
        <w:ind w:firstLine="480" w:firstLineChars="20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2.招标文件澄清、答复、修改、补充的内容为招标文件的组成部分。当招标文件与招标文件的答复、澄清、修改、补充通知就同一内容的表述不一致时，以最后发出的公告为准。</w:t>
      </w:r>
    </w:p>
    <w:p w14:paraId="50E81ACE">
      <w:pPr>
        <w:pStyle w:val="29"/>
        <w:snapToGrid w:val="0"/>
        <w:spacing w:beforeLines="0" w:afterLines="0" w:line="420" w:lineRule="exact"/>
        <w:ind w:firstLine="480" w:firstLineChars="20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3.招标文件的澄清、答复、修改或补充都应该通过招标人以法定形式发布，招标人没有通过招标人，不得擅自澄清、答复、修改或补充招标文件。</w:t>
      </w:r>
    </w:p>
    <w:p w14:paraId="1E3F2DA1">
      <w:pPr>
        <w:pStyle w:val="29"/>
        <w:snapToGrid w:val="0"/>
        <w:spacing w:beforeLines="0" w:afterLines="0" w:line="420" w:lineRule="exact"/>
        <w:ind w:firstLine="472" w:firstLineChars="196"/>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三、投标文件的编制</w:t>
      </w:r>
    </w:p>
    <w:p w14:paraId="3158A68C">
      <w:pPr>
        <w:snapToGrid w:val="0"/>
        <w:spacing w:line="420" w:lineRule="exact"/>
        <w:ind w:firstLine="470" w:firstLineChars="196"/>
        <w:jc w:val="left"/>
        <w:rPr>
          <w:rFonts w:hint="eastAsia" w:ascii="宋体" w:hAnsi="宋体" w:eastAsia="宋体" w:cs="宋体"/>
          <w:bCs/>
          <w:color w:val="auto"/>
          <w:sz w:val="24"/>
          <w:highlight w:val="none"/>
          <w:shd w:val="clear" w:color="auto" w:fill="auto"/>
        </w:rPr>
      </w:pPr>
      <w:r>
        <w:rPr>
          <w:rFonts w:hint="eastAsia" w:ascii="宋体" w:hAnsi="宋体" w:eastAsia="宋体" w:cs="宋体"/>
          <w:bCs/>
          <w:color w:val="auto"/>
          <w:sz w:val="24"/>
          <w:highlight w:val="none"/>
          <w:shd w:val="clear" w:color="auto" w:fill="auto"/>
        </w:rPr>
        <w:t>本项目实行电子投标，投标人应准备电子投标文件，本项目线下无需提供任何备份投标文件。电子投标文件，按及本招标文件要求编制。</w:t>
      </w:r>
    </w:p>
    <w:p w14:paraId="085AB6C8">
      <w:pPr>
        <w:snapToGrid w:val="0"/>
        <w:spacing w:line="420" w:lineRule="exact"/>
        <w:ind w:firstLine="472" w:firstLineChars="196"/>
        <w:jc w:val="left"/>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（一）投标文件的组成</w:t>
      </w:r>
    </w:p>
    <w:p w14:paraId="3BF600D0">
      <w:pPr>
        <w:snapToGrid w:val="0"/>
        <w:spacing w:line="420" w:lineRule="exact"/>
        <w:ind w:firstLine="482"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b/>
          <w:color w:val="auto"/>
          <w:sz w:val="24"/>
          <w:highlight w:val="none"/>
          <w:shd w:val="clear" w:color="auto" w:fill="auto"/>
        </w:rPr>
        <w:t>投标文件由资格响应文件、商务技术文件、报价文件三部份组成。</w:t>
      </w:r>
      <w:r>
        <w:rPr>
          <w:rFonts w:hint="eastAsia" w:ascii="宋体" w:hAnsi="宋体" w:eastAsia="宋体" w:cs="宋体"/>
          <w:color w:val="auto"/>
          <w:sz w:val="24"/>
          <w:highlight w:val="none"/>
          <w:shd w:val="clear" w:color="auto" w:fill="auto"/>
        </w:rPr>
        <w:t>相关格式见附件，其余格式自拟。</w:t>
      </w:r>
    </w:p>
    <w:p w14:paraId="6B946A62">
      <w:pPr>
        <w:snapToGrid w:val="0"/>
        <w:spacing w:line="420" w:lineRule="exact"/>
        <w:ind w:firstLine="482" w:firstLineChars="200"/>
        <w:jc w:val="left"/>
        <w:rPr>
          <w:rFonts w:hint="eastAsia" w:ascii="宋体" w:hAnsi="宋体" w:eastAsia="宋体" w:cs="宋体"/>
          <w:b/>
          <w:color w:val="auto"/>
          <w:sz w:val="24"/>
          <w:highlight w:val="none"/>
          <w:shd w:val="clear" w:color="auto" w:fill="auto"/>
        </w:rPr>
      </w:pPr>
      <w:bookmarkStart w:id="11" w:name="_Hlk72672250"/>
      <w:r>
        <w:rPr>
          <w:rFonts w:hint="eastAsia" w:ascii="宋体" w:hAnsi="宋体" w:eastAsia="宋体" w:cs="宋体"/>
          <w:b/>
          <w:color w:val="auto"/>
          <w:sz w:val="24"/>
          <w:highlight w:val="none"/>
          <w:shd w:val="clear" w:color="auto" w:fill="auto"/>
        </w:rPr>
        <w:t>1.资格响应文件</w:t>
      </w:r>
    </w:p>
    <w:bookmarkEnd w:id="11"/>
    <w:p w14:paraId="79D0070A">
      <w:pPr>
        <w:snapToGrid w:val="0"/>
        <w:spacing w:line="420" w:lineRule="exact"/>
        <w:ind w:firstLine="480" w:firstLineChars="200"/>
        <w:jc w:val="left"/>
        <w:rPr>
          <w:rFonts w:hint="eastAsia" w:ascii="宋体" w:hAnsi="宋体" w:eastAsia="宋体" w:cs="宋体"/>
          <w:bCs/>
          <w:color w:val="auto"/>
          <w:sz w:val="24"/>
          <w:highlight w:val="none"/>
          <w:shd w:val="clear" w:color="auto" w:fill="auto"/>
        </w:rPr>
      </w:pPr>
      <w:r>
        <w:rPr>
          <w:rFonts w:hint="eastAsia" w:ascii="宋体" w:hAnsi="宋体" w:eastAsia="宋体" w:cs="宋体"/>
          <w:bCs/>
          <w:color w:val="auto"/>
          <w:sz w:val="24"/>
          <w:highlight w:val="none"/>
          <w:shd w:val="clear" w:color="auto" w:fill="auto"/>
        </w:rPr>
        <w:t>（1）营业执照</w:t>
      </w:r>
      <w:r>
        <w:rPr>
          <w:rFonts w:hint="eastAsia" w:ascii="宋体" w:hAnsi="宋体" w:eastAsia="宋体" w:cs="宋体"/>
          <w:b/>
          <w:color w:val="auto"/>
          <w:sz w:val="24"/>
          <w:highlight w:val="none"/>
          <w:shd w:val="clear" w:color="auto" w:fill="auto"/>
        </w:rPr>
        <w:t>（推荐使用电子营业执照）</w:t>
      </w:r>
      <w:r>
        <w:rPr>
          <w:rFonts w:hint="eastAsia" w:ascii="宋体" w:hAnsi="宋体" w:eastAsia="宋体" w:cs="宋体"/>
          <w:bCs/>
          <w:color w:val="auto"/>
          <w:sz w:val="24"/>
          <w:highlight w:val="none"/>
          <w:shd w:val="clear" w:color="auto" w:fill="auto"/>
        </w:rPr>
        <w:t>或事业法人登记证或其他工商等登记证明材料原件扫描件或复印件；</w:t>
      </w:r>
    </w:p>
    <w:p w14:paraId="1335292C">
      <w:pPr>
        <w:snapToGrid w:val="0"/>
        <w:spacing w:line="420" w:lineRule="exact"/>
        <w:ind w:firstLine="480" w:firstLineChars="200"/>
        <w:jc w:val="left"/>
        <w:rPr>
          <w:rFonts w:hint="eastAsia" w:ascii="宋体" w:hAnsi="宋体" w:eastAsia="宋体" w:cs="宋体"/>
          <w:bCs/>
          <w:color w:val="auto"/>
          <w:sz w:val="24"/>
          <w:highlight w:val="none"/>
          <w:shd w:val="clear" w:color="auto" w:fill="auto"/>
        </w:rPr>
      </w:pPr>
      <w:bookmarkStart w:id="12" w:name="_Hlk68075338"/>
      <w:r>
        <w:rPr>
          <w:rFonts w:hint="eastAsia" w:ascii="宋体" w:hAnsi="宋体" w:eastAsia="宋体" w:cs="宋体"/>
          <w:bCs/>
          <w:color w:val="auto"/>
          <w:sz w:val="24"/>
          <w:highlight w:val="none"/>
          <w:shd w:val="clear" w:color="auto" w:fill="auto"/>
        </w:rPr>
        <w:t>（</w:t>
      </w:r>
      <w:r>
        <w:rPr>
          <w:rFonts w:hint="eastAsia" w:ascii="宋体" w:hAnsi="宋体" w:eastAsia="宋体" w:cs="宋体"/>
          <w:bCs/>
          <w:color w:val="auto"/>
          <w:sz w:val="24"/>
          <w:highlight w:val="none"/>
          <w:shd w:val="clear" w:color="auto" w:fill="auto"/>
          <w:lang w:val="en-US" w:eastAsia="zh-CN"/>
        </w:rPr>
        <w:t>2</w:t>
      </w:r>
      <w:r>
        <w:rPr>
          <w:rFonts w:hint="eastAsia" w:ascii="宋体" w:hAnsi="宋体" w:eastAsia="宋体" w:cs="宋体"/>
          <w:bCs/>
          <w:color w:val="auto"/>
          <w:sz w:val="24"/>
          <w:highlight w:val="none"/>
          <w:shd w:val="clear" w:color="auto" w:fill="auto"/>
        </w:rPr>
        <w:t>）</w:t>
      </w:r>
      <w:bookmarkEnd w:id="12"/>
      <w:r>
        <w:rPr>
          <w:rFonts w:hint="eastAsia" w:ascii="宋体" w:hAnsi="宋体" w:eastAsia="宋体" w:cs="宋体"/>
          <w:bCs/>
          <w:color w:val="auto"/>
          <w:sz w:val="24"/>
          <w:highlight w:val="none"/>
          <w:shd w:val="clear" w:color="auto" w:fill="auto"/>
        </w:rPr>
        <w:t>没有重大违法记录的承诺函</w:t>
      </w:r>
      <w:bookmarkStart w:id="13" w:name="_Hlk69365455"/>
      <w:r>
        <w:rPr>
          <w:rFonts w:hint="eastAsia" w:ascii="宋体" w:hAnsi="宋体" w:eastAsia="宋体" w:cs="宋体"/>
          <w:b/>
          <w:color w:val="auto"/>
          <w:sz w:val="24"/>
          <w:highlight w:val="none"/>
          <w:u w:val="single"/>
          <w:shd w:val="clear" w:color="auto" w:fill="auto"/>
        </w:rPr>
        <w:t>（请投标人在资格响应文件中勿遗漏该表格）</w:t>
      </w:r>
      <w:r>
        <w:rPr>
          <w:rFonts w:hint="eastAsia" w:ascii="宋体" w:hAnsi="宋体" w:eastAsia="宋体" w:cs="宋体"/>
          <w:bCs/>
          <w:color w:val="auto"/>
          <w:sz w:val="24"/>
          <w:highlight w:val="none"/>
          <w:shd w:val="clear" w:color="auto" w:fill="auto"/>
        </w:rPr>
        <w:t>；</w:t>
      </w:r>
    </w:p>
    <w:bookmarkEnd w:id="13"/>
    <w:p w14:paraId="31F52B8C">
      <w:pPr>
        <w:snapToGrid w:val="0"/>
        <w:spacing w:line="420" w:lineRule="exact"/>
        <w:ind w:firstLine="482" w:firstLineChars="200"/>
        <w:jc w:val="left"/>
        <w:rPr>
          <w:rFonts w:hint="eastAsia" w:ascii="宋体" w:hAnsi="宋体" w:eastAsia="宋体" w:cs="宋体"/>
          <w:color w:val="auto"/>
          <w:sz w:val="24"/>
          <w:highlight w:val="none"/>
          <w:shd w:val="clear" w:color="auto" w:fill="auto"/>
        </w:rPr>
      </w:pPr>
      <w:bookmarkStart w:id="14" w:name="_Hlk72672204"/>
      <w:r>
        <w:rPr>
          <w:rFonts w:hint="eastAsia" w:ascii="宋体" w:hAnsi="宋体" w:eastAsia="宋体" w:cs="宋体"/>
          <w:b/>
          <w:color w:val="auto"/>
          <w:sz w:val="24"/>
          <w:highlight w:val="none"/>
          <w:shd w:val="clear" w:color="auto" w:fill="auto"/>
        </w:rPr>
        <w:t>2.</w:t>
      </w:r>
      <w:bookmarkEnd w:id="14"/>
      <w:bookmarkStart w:id="15" w:name="_Hlk534200662"/>
      <w:r>
        <w:rPr>
          <w:rFonts w:hint="eastAsia" w:ascii="宋体" w:hAnsi="宋体" w:eastAsia="宋体" w:cs="宋体"/>
          <w:b/>
          <w:color w:val="auto"/>
          <w:sz w:val="24"/>
          <w:highlight w:val="none"/>
          <w:shd w:val="clear" w:color="auto" w:fill="auto"/>
        </w:rPr>
        <w:t>商务</w:t>
      </w:r>
      <w:r>
        <w:rPr>
          <w:rFonts w:hint="eastAsia" w:ascii="宋体" w:hAnsi="宋体" w:eastAsia="宋体" w:cs="宋体"/>
          <w:b/>
          <w:bCs/>
          <w:color w:val="auto"/>
          <w:sz w:val="24"/>
          <w:highlight w:val="none"/>
          <w:shd w:val="clear" w:color="auto" w:fill="auto"/>
        </w:rPr>
        <w:t>技术</w:t>
      </w:r>
      <w:r>
        <w:rPr>
          <w:rFonts w:hint="eastAsia" w:ascii="宋体" w:hAnsi="宋体" w:eastAsia="宋体" w:cs="宋体"/>
          <w:b/>
          <w:color w:val="auto"/>
          <w:sz w:val="24"/>
          <w:highlight w:val="none"/>
          <w:shd w:val="clear" w:color="auto" w:fill="auto"/>
        </w:rPr>
        <w:t>文件</w:t>
      </w:r>
      <w:bookmarkEnd w:id="15"/>
    </w:p>
    <w:p w14:paraId="718AB654">
      <w:pPr>
        <w:snapToGrid w:val="0"/>
        <w:spacing w:line="420" w:lineRule="exact"/>
        <w:ind w:firstLine="470" w:firstLineChars="196"/>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（1）投标函；</w:t>
      </w:r>
    </w:p>
    <w:p w14:paraId="294F52CE">
      <w:pPr>
        <w:snapToGrid w:val="0"/>
        <w:spacing w:line="420" w:lineRule="exact"/>
        <w:ind w:firstLine="470" w:firstLineChars="196"/>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w:t>
      </w:r>
      <w:bookmarkStart w:id="16" w:name="_Hlk534200539"/>
      <w:r>
        <w:rPr>
          <w:rFonts w:hint="eastAsia" w:ascii="宋体" w:hAnsi="宋体" w:eastAsia="宋体" w:cs="宋体"/>
          <w:color w:val="auto"/>
          <w:sz w:val="24"/>
          <w:highlight w:val="none"/>
          <w:shd w:val="clear" w:color="auto" w:fill="auto"/>
        </w:rPr>
        <w:t>法定代表人授权委托书</w:t>
      </w:r>
      <w:bookmarkEnd w:id="16"/>
      <w:r>
        <w:rPr>
          <w:rFonts w:hint="eastAsia" w:ascii="宋体" w:hAnsi="宋体" w:eastAsia="宋体" w:cs="Times New Roman"/>
          <w:color w:val="auto"/>
          <w:sz w:val="24"/>
          <w:highlight w:val="none"/>
        </w:rPr>
        <w:t>（或法定代表人身份证明）</w:t>
      </w:r>
      <w:r>
        <w:rPr>
          <w:rFonts w:hint="eastAsia" w:ascii="宋体" w:hAnsi="宋体" w:eastAsia="宋体" w:cs="宋体"/>
          <w:color w:val="auto"/>
          <w:sz w:val="24"/>
          <w:highlight w:val="none"/>
          <w:shd w:val="clear" w:color="auto" w:fill="auto"/>
        </w:rPr>
        <w:t>；</w:t>
      </w:r>
    </w:p>
    <w:p w14:paraId="45EA2E0E">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（3）投标人按照评分标准要求提供的相应资料；</w:t>
      </w:r>
    </w:p>
    <w:p w14:paraId="13DA1952">
      <w:pPr>
        <w:snapToGrid w:val="0"/>
        <w:spacing w:line="420" w:lineRule="exact"/>
        <w:ind w:firstLine="480" w:firstLineChars="200"/>
        <w:jc w:val="left"/>
        <w:rPr>
          <w:rFonts w:hint="eastAsia" w:ascii="宋体" w:hAnsi="宋体"/>
          <w:color w:val="auto"/>
          <w:sz w:val="24"/>
          <w:highlight w:val="none"/>
        </w:rPr>
      </w:pPr>
      <w:r>
        <w:rPr>
          <w:rFonts w:hint="eastAsia" w:ascii="宋体" w:hAnsi="宋体" w:eastAsia="宋体" w:cs="宋体"/>
          <w:color w:val="auto"/>
          <w:sz w:val="24"/>
          <w:highlight w:val="none"/>
          <w:shd w:val="clear" w:color="auto" w:fill="auto"/>
        </w:rPr>
        <w:t>（4）</w:t>
      </w:r>
      <w:r>
        <w:rPr>
          <w:rFonts w:hint="eastAsia" w:ascii="宋体" w:hAnsi="宋体" w:cs="宋体"/>
          <w:color w:val="auto"/>
          <w:sz w:val="24"/>
          <w:highlight w:val="none"/>
          <w:shd w:val="clear" w:color="auto" w:fill="auto"/>
          <w:lang w:val="en-US" w:eastAsia="zh-CN"/>
        </w:rPr>
        <w:t>设备</w:t>
      </w:r>
      <w:r>
        <w:rPr>
          <w:rFonts w:hint="eastAsia" w:ascii="宋体" w:hAnsi="宋体" w:eastAsia="宋体" w:cs="宋体"/>
          <w:color w:val="auto"/>
          <w:sz w:val="24"/>
          <w:highlight w:val="none"/>
          <w:shd w:val="clear" w:color="auto" w:fill="auto"/>
        </w:rPr>
        <w:t>说明表</w:t>
      </w:r>
      <w:r>
        <w:rPr>
          <w:rFonts w:hint="eastAsia" w:ascii="宋体" w:hAnsi="宋体"/>
          <w:color w:val="auto"/>
          <w:sz w:val="24"/>
          <w:highlight w:val="none"/>
        </w:rPr>
        <w:t>（均不含报价）；</w:t>
      </w:r>
    </w:p>
    <w:p w14:paraId="5252E2B6">
      <w:pPr>
        <w:snapToGrid w:val="0"/>
        <w:spacing w:line="420" w:lineRule="exact"/>
        <w:ind w:firstLine="470" w:firstLineChars="196"/>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w:t>
      </w:r>
      <w:r>
        <w:rPr>
          <w:rFonts w:hint="eastAsia" w:ascii="宋体" w:hAnsi="宋体" w:cs="宋体"/>
          <w:color w:val="auto"/>
          <w:sz w:val="24"/>
          <w:highlight w:val="none"/>
          <w:shd w:val="clear" w:color="auto" w:fill="auto"/>
          <w:lang w:val="en-US" w:eastAsia="zh-CN"/>
        </w:rPr>
        <w:t>5</w:t>
      </w:r>
      <w:r>
        <w:rPr>
          <w:rFonts w:hint="eastAsia" w:ascii="宋体" w:hAnsi="宋体" w:eastAsia="宋体" w:cs="宋体"/>
          <w:color w:val="auto"/>
          <w:sz w:val="24"/>
          <w:highlight w:val="none"/>
          <w:shd w:val="clear" w:color="auto" w:fill="auto"/>
        </w:rPr>
        <w:t>）投标人类似成功案例一览表；</w:t>
      </w:r>
    </w:p>
    <w:p w14:paraId="3CD2EE97">
      <w:pPr>
        <w:snapToGrid w:val="0"/>
        <w:spacing w:line="420" w:lineRule="exact"/>
        <w:ind w:firstLine="470" w:firstLineChars="196"/>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w:t>
      </w:r>
      <w:r>
        <w:rPr>
          <w:rFonts w:hint="eastAsia" w:ascii="宋体" w:hAnsi="宋体" w:cs="宋体"/>
          <w:color w:val="auto"/>
          <w:sz w:val="24"/>
          <w:highlight w:val="none"/>
          <w:shd w:val="clear" w:color="auto" w:fill="auto"/>
          <w:lang w:val="en-US" w:eastAsia="zh-CN"/>
        </w:rPr>
        <w:t>6</w:t>
      </w:r>
      <w:r>
        <w:rPr>
          <w:rFonts w:hint="eastAsia" w:ascii="宋体" w:hAnsi="宋体" w:eastAsia="宋体" w:cs="宋体"/>
          <w:color w:val="auto"/>
          <w:sz w:val="24"/>
          <w:highlight w:val="none"/>
          <w:shd w:val="clear" w:color="auto" w:fill="auto"/>
        </w:rPr>
        <w:t>）售后服务网点情况表；</w:t>
      </w:r>
    </w:p>
    <w:p w14:paraId="4C6FDB16">
      <w:pPr>
        <w:snapToGrid w:val="0"/>
        <w:spacing w:line="420" w:lineRule="exact"/>
        <w:ind w:firstLine="470" w:firstLineChars="196"/>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w:t>
      </w:r>
      <w:r>
        <w:rPr>
          <w:rFonts w:hint="eastAsia" w:ascii="宋体" w:hAnsi="宋体" w:cs="宋体"/>
          <w:color w:val="auto"/>
          <w:sz w:val="24"/>
          <w:highlight w:val="none"/>
          <w:shd w:val="clear" w:color="auto" w:fill="auto"/>
          <w:lang w:val="en-US" w:eastAsia="zh-CN"/>
        </w:rPr>
        <w:t>7</w:t>
      </w:r>
      <w:r>
        <w:rPr>
          <w:rFonts w:hint="eastAsia" w:ascii="宋体" w:hAnsi="宋体" w:eastAsia="宋体" w:cs="宋体"/>
          <w:color w:val="auto"/>
          <w:sz w:val="24"/>
          <w:highlight w:val="none"/>
          <w:shd w:val="clear" w:color="auto" w:fill="auto"/>
        </w:rPr>
        <w:t>）商务技术响应表；</w:t>
      </w:r>
    </w:p>
    <w:p w14:paraId="2E5C6B99">
      <w:pPr>
        <w:snapToGrid w:val="0"/>
        <w:spacing w:line="420" w:lineRule="exact"/>
        <w:ind w:firstLine="470" w:firstLineChars="196"/>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w:t>
      </w:r>
      <w:r>
        <w:rPr>
          <w:rFonts w:hint="eastAsia" w:ascii="宋体" w:hAnsi="宋体" w:cs="宋体"/>
          <w:color w:val="auto"/>
          <w:sz w:val="24"/>
          <w:highlight w:val="none"/>
          <w:shd w:val="clear" w:color="auto" w:fill="auto"/>
          <w:lang w:val="en-US" w:eastAsia="zh-CN"/>
        </w:rPr>
        <w:t>8</w:t>
      </w:r>
      <w:r>
        <w:rPr>
          <w:rFonts w:hint="eastAsia" w:ascii="宋体" w:hAnsi="宋体" w:eastAsia="宋体" w:cs="宋体"/>
          <w:color w:val="auto"/>
          <w:sz w:val="24"/>
          <w:highlight w:val="none"/>
          <w:shd w:val="clear" w:color="auto" w:fill="auto"/>
        </w:rPr>
        <w:t>）投标人认为需要提供的其他资料。</w:t>
      </w:r>
    </w:p>
    <w:p w14:paraId="3BFB604F">
      <w:pPr>
        <w:snapToGrid w:val="0"/>
        <w:spacing w:line="420" w:lineRule="exact"/>
        <w:ind w:firstLine="472" w:firstLineChars="196"/>
        <w:jc w:val="left"/>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3.报价文件</w:t>
      </w:r>
    </w:p>
    <w:p w14:paraId="74ED1D02">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（1）开标一览表；</w:t>
      </w:r>
    </w:p>
    <w:p w14:paraId="516556C9">
      <w:pPr>
        <w:pStyle w:val="30"/>
        <w:snapToGrid w:val="0"/>
        <w:spacing w:line="420" w:lineRule="exact"/>
        <w:ind w:left="0" w:leftChars="0"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（2）报价明细表；</w:t>
      </w:r>
    </w:p>
    <w:p w14:paraId="47CDDC40">
      <w:pPr>
        <w:snapToGrid w:val="0"/>
        <w:spacing w:line="420" w:lineRule="exact"/>
        <w:ind w:firstLine="482" w:firstLineChars="200"/>
        <w:jc w:val="left"/>
        <w:rPr>
          <w:rFonts w:hint="eastAsia" w:ascii="宋体" w:hAnsi="宋体" w:eastAsia="宋体" w:cs="宋体"/>
          <w:b/>
          <w:color w:val="auto"/>
          <w:spacing w:val="-4"/>
          <w:sz w:val="24"/>
          <w:highlight w:val="none"/>
          <w:shd w:val="clear" w:color="auto" w:fill="auto"/>
        </w:rPr>
      </w:pPr>
      <w:r>
        <w:rPr>
          <w:rFonts w:hint="eastAsia" w:ascii="宋体" w:hAnsi="宋体" w:eastAsia="宋体" w:cs="宋体"/>
          <w:b/>
          <w:color w:val="auto"/>
          <w:sz w:val="24"/>
          <w:highlight w:val="none"/>
          <w:shd w:val="clear" w:color="auto" w:fill="auto"/>
        </w:rPr>
        <w:t>（二）</w:t>
      </w:r>
      <w:r>
        <w:rPr>
          <w:rFonts w:hint="eastAsia" w:ascii="宋体" w:hAnsi="宋体" w:eastAsia="宋体" w:cs="宋体"/>
          <w:b/>
          <w:color w:val="auto"/>
          <w:spacing w:val="-4"/>
          <w:sz w:val="24"/>
          <w:highlight w:val="none"/>
          <w:shd w:val="clear" w:color="auto" w:fill="auto"/>
        </w:rPr>
        <w:t>采购项目评分索引表(该表格仅为方便评标之用，不涉及无效标条款，表格放置在商务技术文件目录的前页，以方便评委进行评审，格式见第四章)</w:t>
      </w:r>
    </w:p>
    <w:p w14:paraId="20AE09CC">
      <w:pPr>
        <w:snapToGrid w:val="0"/>
        <w:spacing w:line="420" w:lineRule="exact"/>
        <w:ind w:firstLine="361" w:firstLineChars="150"/>
        <w:jc w:val="left"/>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（三）投标文件的语言及计量</w:t>
      </w:r>
    </w:p>
    <w:p w14:paraId="103C8EBB">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1.投标文件以及投标人与招标人就有关投标事宜的所有来往函电，均应以中文汉语书写。除签名、盖章、专用名称等特殊情形外，以中文汉语以外的文字表述的投标文件视同未提供。</w:t>
      </w:r>
    </w:p>
    <w:p w14:paraId="4945E31E">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2.投标计量单位，招标文件已有明确规定的，使用招标文件规定的计量单位；招标文件没有规定的，应采用中华人民共和国法定计量单位（货币单位：人民币元），否则视同未响应。</w:t>
      </w:r>
    </w:p>
    <w:p w14:paraId="4BF34BE7">
      <w:pPr>
        <w:snapToGrid w:val="0"/>
        <w:spacing w:before="120" w:beforeLines="50" w:line="420" w:lineRule="exact"/>
        <w:ind w:firstLine="472" w:firstLineChars="196"/>
        <w:jc w:val="left"/>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（四）投标报价</w:t>
      </w:r>
    </w:p>
    <w:p w14:paraId="590A77C8">
      <w:pPr>
        <w:pStyle w:val="29"/>
        <w:snapToGrid w:val="0"/>
        <w:spacing w:beforeLines="0" w:afterLines="0" w:line="420" w:lineRule="exact"/>
        <w:ind w:firstLine="480" w:firstLineChars="200"/>
        <w:jc w:val="lef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1.投标报价应按招标文件中相关附表格式填写。</w:t>
      </w:r>
    </w:p>
    <w:p w14:paraId="695669E5">
      <w:pPr>
        <w:pStyle w:val="29"/>
        <w:snapToGrid w:val="0"/>
        <w:spacing w:beforeLines="0" w:afterLines="0" w:line="360" w:lineRule="auto"/>
        <w:ind w:firstLine="480" w:firstLineChars="200"/>
        <w:jc w:val="left"/>
        <w:rPr>
          <w:rFonts w:hAnsi="宋体"/>
          <w:color w:val="auto"/>
          <w:highlight w:val="none"/>
        </w:rPr>
      </w:pPr>
      <w:r>
        <w:rPr>
          <w:rFonts w:hint="eastAsia" w:ascii="宋体" w:hAnsi="宋体" w:eastAsia="宋体" w:cs="宋体"/>
          <w:color w:val="auto"/>
          <w:highlight w:val="none"/>
          <w:shd w:val="clear" w:color="auto" w:fill="auto"/>
        </w:rPr>
        <w:t>2.投标报价是履行合同的最终价格，应包括</w:t>
      </w:r>
      <w:r>
        <w:rPr>
          <w:rFonts w:hint="eastAsia" w:hAnsi="宋体"/>
          <w:color w:val="auto"/>
          <w:highlight w:val="none"/>
        </w:rPr>
        <w:t>货款、标准附件、备品备件、专用工具、包装、运输、装卸、保险、税金、货到就位以及调试、保修</w:t>
      </w:r>
      <w:r>
        <w:rPr>
          <w:rFonts w:hint="eastAsia" w:hAnsi="宋体"/>
          <w:color w:val="auto"/>
          <w:highlight w:val="none"/>
          <w:lang w:val="en-US" w:eastAsia="zh-CN"/>
        </w:rPr>
        <w:t>、</w:t>
      </w:r>
      <w:r>
        <w:rPr>
          <w:rFonts w:hint="eastAsia" w:ascii="宋体" w:hAnsi="宋体" w:eastAsia="宋体" w:cs="宋体"/>
          <w:color w:val="auto"/>
          <w:kern w:val="0"/>
          <w:sz w:val="24"/>
          <w:szCs w:val="24"/>
          <w:highlight w:val="none"/>
          <w:lang w:val="en-US" w:eastAsia="zh-CN" w:bidi="en-US"/>
        </w:rPr>
        <w:t>定期检验费</w:t>
      </w:r>
      <w:r>
        <w:rPr>
          <w:rFonts w:hint="eastAsia" w:hAnsi="宋体"/>
          <w:color w:val="auto"/>
          <w:highlight w:val="none"/>
        </w:rPr>
        <w:t>等一切税金和费用。</w:t>
      </w:r>
    </w:p>
    <w:p w14:paraId="47265FFA">
      <w:pPr>
        <w:tabs>
          <w:tab w:val="left" w:pos="525"/>
        </w:tabs>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▲3.投标文件只允许有一个报价，有选择的或有条件的报价将不予接受。</w:t>
      </w:r>
    </w:p>
    <w:p w14:paraId="0F8BFA2E">
      <w:pPr>
        <w:pStyle w:val="13"/>
        <w:widowControl w:val="0"/>
        <w:tabs>
          <w:tab w:val="left" w:pos="420"/>
        </w:tabs>
        <w:snapToGrid w:val="0"/>
        <w:spacing w:before="120" w:beforeLines="50" w:afterLines="0" w:line="420" w:lineRule="exact"/>
        <w:ind w:left="0" w:firstLine="472" w:firstLineChars="196"/>
        <w:rPr>
          <w:rFonts w:hint="eastAsia" w:ascii="宋体" w:hAnsi="宋体" w:eastAsia="宋体" w:cs="宋体"/>
          <w:b/>
          <w:color w:val="auto"/>
          <w:szCs w:val="24"/>
          <w:highlight w:val="none"/>
          <w:shd w:val="clear" w:color="auto" w:fill="auto"/>
        </w:rPr>
      </w:pPr>
      <w:r>
        <w:rPr>
          <w:rFonts w:hint="eastAsia" w:ascii="宋体" w:hAnsi="宋体" w:eastAsia="宋体" w:cs="宋体"/>
          <w:b/>
          <w:color w:val="auto"/>
          <w:szCs w:val="24"/>
          <w:highlight w:val="none"/>
          <w:shd w:val="clear" w:color="auto" w:fill="auto"/>
        </w:rPr>
        <w:t>（五）投标有效期</w:t>
      </w:r>
    </w:p>
    <w:p w14:paraId="431D2C21">
      <w:pPr>
        <w:pStyle w:val="13"/>
        <w:widowControl w:val="0"/>
        <w:tabs>
          <w:tab w:val="left" w:pos="420"/>
        </w:tabs>
        <w:snapToGrid w:val="0"/>
        <w:spacing w:afterLines="0" w:line="420" w:lineRule="exact"/>
        <w:ind w:left="-25" w:leftChars="-12" w:firstLine="360" w:firstLineChars="150"/>
        <w:rPr>
          <w:rFonts w:hint="eastAsia" w:ascii="宋体" w:hAnsi="宋体" w:eastAsia="宋体" w:cs="宋体"/>
          <w:color w:val="auto"/>
          <w:szCs w:val="24"/>
          <w:highlight w:val="none"/>
          <w:shd w:val="clear" w:color="auto" w:fill="auto"/>
        </w:rPr>
      </w:pPr>
      <w:r>
        <w:rPr>
          <w:rFonts w:hint="eastAsia" w:ascii="宋体" w:hAnsi="宋体" w:eastAsia="宋体" w:cs="宋体"/>
          <w:color w:val="auto"/>
          <w:szCs w:val="24"/>
          <w:highlight w:val="none"/>
          <w:shd w:val="clear" w:color="auto" w:fill="auto"/>
        </w:rPr>
        <w:t>▲1.自投标截止日起</w:t>
      </w:r>
      <w:r>
        <w:rPr>
          <w:rFonts w:hint="eastAsia" w:ascii="宋体" w:hAnsi="宋体" w:eastAsia="宋体" w:cs="宋体"/>
          <w:color w:val="auto"/>
          <w:szCs w:val="24"/>
          <w:highlight w:val="none"/>
          <w:u w:val="single"/>
          <w:shd w:val="clear" w:color="auto" w:fill="auto"/>
        </w:rPr>
        <w:t xml:space="preserve">  90  </w:t>
      </w:r>
      <w:r>
        <w:rPr>
          <w:rFonts w:hint="eastAsia" w:ascii="宋体" w:hAnsi="宋体" w:eastAsia="宋体" w:cs="宋体"/>
          <w:color w:val="auto"/>
          <w:szCs w:val="24"/>
          <w:highlight w:val="none"/>
          <w:shd w:val="clear" w:color="auto" w:fill="auto"/>
        </w:rPr>
        <w:t>天投标文件应保持有效。</w:t>
      </w:r>
    </w:p>
    <w:p w14:paraId="68B85F87">
      <w:pPr>
        <w:pStyle w:val="13"/>
        <w:widowControl w:val="0"/>
        <w:tabs>
          <w:tab w:val="left" w:pos="420"/>
        </w:tabs>
        <w:snapToGrid w:val="0"/>
        <w:spacing w:afterLines="0" w:line="420" w:lineRule="exact"/>
        <w:ind w:left="0" w:firstLine="480" w:firstLineChars="200"/>
        <w:rPr>
          <w:rFonts w:hint="eastAsia" w:ascii="宋体" w:hAnsi="宋体" w:eastAsia="宋体" w:cs="宋体"/>
          <w:color w:val="auto"/>
          <w:szCs w:val="24"/>
          <w:highlight w:val="none"/>
          <w:shd w:val="clear" w:color="auto" w:fill="auto"/>
        </w:rPr>
      </w:pPr>
      <w:r>
        <w:rPr>
          <w:rFonts w:hint="eastAsia" w:ascii="宋体" w:hAnsi="宋体" w:eastAsia="宋体" w:cs="宋体"/>
          <w:color w:val="auto"/>
          <w:szCs w:val="24"/>
          <w:highlight w:val="none"/>
          <w:shd w:val="clear" w:color="auto" w:fill="auto"/>
        </w:rPr>
        <w:t>2.在特殊情况下，招标人可与投标人协商延长投标文件的有效期，这种要求和答复均以书面形式进行。</w:t>
      </w:r>
    </w:p>
    <w:p w14:paraId="3F643C15">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3.投标人可拒绝接受延期要求，同意延长有效期的投标人不能修改投标文件内容。 </w:t>
      </w:r>
    </w:p>
    <w:p w14:paraId="396E63FD">
      <w:pPr>
        <w:snapToGrid w:val="0"/>
        <w:spacing w:line="420" w:lineRule="exact"/>
        <w:ind w:firstLine="480" w:firstLineChars="200"/>
        <w:jc w:val="left"/>
        <w:rPr>
          <w:rFonts w:hint="eastAsia" w:ascii="宋体" w:hAnsi="宋体" w:eastAsia="宋体" w:cs="宋体"/>
          <w:b/>
          <w:color w:val="auto"/>
          <w:sz w:val="24"/>
          <w:highlight w:val="none"/>
          <w:shd w:val="clear" w:color="auto" w:fill="auto"/>
        </w:rPr>
      </w:pPr>
      <w:r>
        <w:rPr>
          <w:rFonts w:hint="eastAsia" w:ascii="宋体" w:hAnsi="宋体" w:eastAsia="宋体" w:cs="宋体"/>
          <w:color w:val="auto"/>
          <w:sz w:val="24"/>
          <w:highlight w:val="none"/>
          <w:shd w:val="clear" w:color="auto" w:fill="auto"/>
        </w:rPr>
        <w:t>4.中标人的投标文件自开标之日起至合同履行完毕止均应保持有效。</w:t>
      </w:r>
    </w:p>
    <w:p w14:paraId="11894D3B">
      <w:pPr>
        <w:snapToGrid w:val="0"/>
        <w:spacing w:line="420" w:lineRule="exact"/>
        <w:ind w:firstLine="472" w:firstLineChars="196"/>
        <w:jc w:val="left"/>
        <w:rPr>
          <w:rFonts w:hint="eastAsia" w:ascii="宋体" w:hAnsi="宋体" w:eastAsia="宋体" w:cs="宋体"/>
          <w:b/>
          <w:bCs/>
          <w:color w:val="auto"/>
          <w:sz w:val="24"/>
          <w:highlight w:val="none"/>
          <w:shd w:val="clear" w:color="auto" w:fill="auto"/>
        </w:rPr>
      </w:pPr>
      <w:r>
        <w:rPr>
          <w:rFonts w:hint="eastAsia" w:ascii="宋体" w:hAnsi="宋体" w:eastAsia="宋体" w:cs="宋体"/>
          <w:b/>
          <w:bCs/>
          <w:color w:val="auto"/>
          <w:sz w:val="24"/>
          <w:highlight w:val="none"/>
          <w:shd w:val="clear" w:color="auto" w:fill="auto"/>
        </w:rPr>
        <w:t>5.投标人有下列情形之一的，按有关规定进行处罚：</w:t>
      </w:r>
    </w:p>
    <w:p w14:paraId="08ED5590">
      <w:pPr>
        <w:snapToGrid w:val="0"/>
        <w:spacing w:line="420" w:lineRule="exact"/>
        <w:ind w:firstLine="470" w:firstLineChars="196"/>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（1）投标人在投标有效期内撤回投标文件的；</w:t>
      </w:r>
    </w:p>
    <w:p w14:paraId="29D2D499">
      <w:pPr>
        <w:snapToGrid w:val="0"/>
        <w:spacing w:line="420" w:lineRule="exact"/>
        <w:ind w:firstLine="470" w:firstLineChars="196"/>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（2）未按规定提交履约保证金的；</w:t>
      </w:r>
    </w:p>
    <w:p w14:paraId="2C9030AC">
      <w:pPr>
        <w:snapToGrid w:val="0"/>
        <w:spacing w:line="420" w:lineRule="exact"/>
        <w:ind w:firstLine="470" w:firstLineChars="196"/>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（3）投标人在投标过程中弄虚作假，提供虚假材料的；</w:t>
      </w:r>
    </w:p>
    <w:p w14:paraId="5D274F9B">
      <w:pPr>
        <w:snapToGrid w:val="0"/>
        <w:spacing w:line="420" w:lineRule="exact"/>
        <w:ind w:firstLine="470" w:firstLineChars="196"/>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（4）中标人无正当理由不与招标人签订合同的；</w:t>
      </w:r>
    </w:p>
    <w:p w14:paraId="0CDF8265">
      <w:pPr>
        <w:snapToGrid w:val="0"/>
        <w:spacing w:line="420" w:lineRule="exact"/>
        <w:ind w:firstLine="470" w:firstLineChars="196"/>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（5）</w:t>
      </w:r>
      <w:r>
        <w:rPr>
          <w:rFonts w:hint="eastAsia" w:ascii="宋体" w:hAnsi="宋体" w:eastAsia="宋体" w:cs="宋体"/>
          <w:bCs/>
          <w:color w:val="auto"/>
          <w:sz w:val="24"/>
          <w:highlight w:val="none"/>
          <w:shd w:val="clear" w:color="auto" w:fill="auto"/>
        </w:rPr>
        <w:t>将中标项目转让给他人或者在投标文件中未说明且未经招标人同意，将中标项目分包给他人的；</w:t>
      </w:r>
    </w:p>
    <w:p w14:paraId="135C0B4E">
      <w:pPr>
        <w:snapToGrid w:val="0"/>
        <w:spacing w:line="420" w:lineRule="exact"/>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（6）拒绝履行合同义务的；</w:t>
      </w:r>
    </w:p>
    <w:p w14:paraId="3E5F1698">
      <w:pPr>
        <w:snapToGrid w:val="0"/>
        <w:spacing w:line="420" w:lineRule="exact"/>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（7）其他严重扰乱招投标程序的。</w:t>
      </w:r>
    </w:p>
    <w:p w14:paraId="18719FF9">
      <w:pPr>
        <w:snapToGrid w:val="0"/>
        <w:spacing w:before="120" w:beforeLines="50" w:line="420" w:lineRule="exact"/>
        <w:ind w:firstLine="472" w:firstLineChars="196"/>
        <w:jc w:val="left"/>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（六）投标文件的签署</w:t>
      </w:r>
    </w:p>
    <w:p w14:paraId="238DD8CF">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1.投标人应按本招标文件规定的格式和顺序编制投标文件并标注页码，投标文件内容不完整、编排混乱而导致投标文件被误读、漏读或者查找不到相关内容的，投标人责任自负。</w:t>
      </w:r>
    </w:p>
    <w:p w14:paraId="5DED3AAA">
      <w:pPr>
        <w:snapToGrid w:val="0"/>
        <w:spacing w:line="420" w:lineRule="exact"/>
        <w:ind w:firstLine="470" w:firstLineChars="196"/>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w:t>
      </w:r>
      <w:r>
        <w:rPr>
          <w:rFonts w:hint="eastAsia" w:ascii="宋体" w:hAnsi="宋体" w:eastAsia="宋体" w:cs="宋体"/>
          <w:b/>
          <w:color w:val="auto"/>
          <w:sz w:val="24"/>
          <w:highlight w:val="none"/>
          <w:shd w:val="clear" w:color="auto" w:fill="auto"/>
        </w:rPr>
        <w:t>电子投标文件中公章采用CA签章</w:t>
      </w:r>
      <w:r>
        <w:rPr>
          <w:rFonts w:hint="eastAsia" w:ascii="宋体" w:hAnsi="宋体" w:eastAsia="宋体" w:cs="宋体"/>
          <w:bCs/>
          <w:color w:val="auto"/>
          <w:sz w:val="24"/>
          <w:highlight w:val="none"/>
          <w:shd w:val="clear" w:color="auto" w:fill="auto"/>
        </w:rPr>
        <w:t>，</w:t>
      </w:r>
      <w:r>
        <w:rPr>
          <w:rFonts w:hint="eastAsia" w:ascii="宋体" w:hAnsi="宋体" w:eastAsia="宋体" w:cs="宋体"/>
          <w:b/>
          <w:color w:val="auto"/>
          <w:sz w:val="24"/>
          <w:highlight w:val="none"/>
          <w:shd w:val="clear" w:color="auto" w:fill="auto"/>
        </w:rPr>
        <w:t>并根据本招标文件规定的格式和顺序编制电子投标文件，</w:t>
      </w:r>
      <w:r>
        <w:rPr>
          <w:rFonts w:hint="eastAsia" w:ascii="宋体" w:hAnsi="宋体" w:eastAsia="宋体" w:cs="宋体"/>
          <w:bCs/>
          <w:color w:val="auto"/>
          <w:sz w:val="24"/>
          <w:highlight w:val="none"/>
          <w:shd w:val="clear" w:color="auto" w:fill="auto"/>
        </w:rPr>
        <w:t>电子投标文件如内容不完整、编排混乱导致投标文件被误读、漏读，或者在按采购文件规定的部位查找不到相关内容的，由投标人自行承担。</w:t>
      </w:r>
    </w:p>
    <w:p w14:paraId="235105EE">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3.投标文件不得涂改，若有修改错漏处，须加盖单位公章或者法定代表人或授权委托人签字或盖章。投标文件因字迹潦草或表达不清所引起的后果由投标人负责。</w:t>
      </w:r>
    </w:p>
    <w:p w14:paraId="2BBA0006">
      <w:pPr>
        <w:snapToGrid w:val="0"/>
        <w:spacing w:before="120" w:beforeLines="50" w:line="420" w:lineRule="exact"/>
        <w:ind w:firstLine="472" w:firstLineChars="196"/>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（七）投标无效的情形</w:t>
      </w:r>
    </w:p>
    <w:p w14:paraId="5BDF0197">
      <w:pPr>
        <w:snapToGrid w:val="0"/>
        <w:spacing w:line="420" w:lineRule="exact"/>
        <w:ind w:firstLine="480" w:firstLineChars="200"/>
        <w:rPr>
          <w:rFonts w:hint="eastAsia" w:ascii="宋体" w:hAnsi="宋体" w:eastAsia="宋体" w:cs="宋体"/>
          <w:bCs/>
          <w:color w:val="auto"/>
          <w:sz w:val="24"/>
          <w:highlight w:val="none"/>
          <w:shd w:val="clear" w:color="auto" w:fill="auto"/>
        </w:rPr>
      </w:pPr>
      <w:r>
        <w:rPr>
          <w:rFonts w:hint="eastAsia" w:ascii="宋体" w:hAnsi="宋体" w:eastAsia="宋体" w:cs="宋体"/>
          <w:bCs/>
          <w:color w:val="auto"/>
          <w:sz w:val="24"/>
          <w:highlight w:val="none"/>
          <w:shd w:val="clear" w:color="auto" w:fill="auto"/>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4DDA7EB3">
      <w:pPr>
        <w:snapToGrid w:val="0"/>
        <w:spacing w:line="420" w:lineRule="exact"/>
        <w:ind w:firstLine="457" w:firstLineChars="196"/>
        <w:rPr>
          <w:rFonts w:hint="eastAsia" w:ascii="宋体" w:hAnsi="宋体" w:eastAsia="宋体" w:cs="宋体"/>
          <w:b/>
          <w:bCs/>
          <w:color w:val="auto"/>
          <w:spacing w:val="-4"/>
          <w:sz w:val="24"/>
          <w:highlight w:val="none"/>
          <w:shd w:val="clear" w:color="auto" w:fill="auto"/>
        </w:rPr>
      </w:pPr>
      <w:bookmarkStart w:id="17" w:name="_Hlk59462445"/>
      <w:r>
        <w:rPr>
          <w:rFonts w:hint="eastAsia" w:ascii="宋体" w:hAnsi="宋体" w:eastAsia="宋体" w:cs="宋体"/>
          <w:b/>
          <w:bCs/>
          <w:color w:val="auto"/>
          <w:spacing w:val="-4"/>
          <w:sz w:val="24"/>
          <w:highlight w:val="none"/>
          <w:shd w:val="clear" w:color="auto" w:fill="auto"/>
        </w:rPr>
        <w:t>1.</w:t>
      </w:r>
      <w:bookmarkStart w:id="18" w:name="_Hlk534294335"/>
      <w:r>
        <w:rPr>
          <w:rFonts w:hint="eastAsia" w:ascii="宋体" w:hAnsi="宋体" w:eastAsia="宋体" w:cs="宋体"/>
          <w:b/>
          <w:bCs/>
          <w:color w:val="auto"/>
          <w:spacing w:val="-4"/>
          <w:sz w:val="24"/>
          <w:highlight w:val="none"/>
          <w:shd w:val="clear" w:color="auto" w:fill="auto"/>
        </w:rPr>
        <w:t>在符合性审查和商务技术评审时，如发现下列情形之一的，投标文件将被视为无效：</w:t>
      </w:r>
    </w:p>
    <w:bookmarkEnd w:id="18"/>
    <w:p w14:paraId="2A05C642">
      <w:pPr>
        <w:snapToGrid w:val="0"/>
        <w:spacing w:line="420" w:lineRule="exact"/>
        <w:ind w:firstLine="470" w:firstLineChars="196"/>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（1）资格响应文件未提供齐全的或者资格响应文件存在过期的或者不符合招标文件标明的资格要求的；</w:t>
      </w:r>
    </w:p>
    <w:p w14:paraId="2A447100">
      <w:pPr>
        <w:snapToGrid w:val="0"/>
        <w:spacing w:line="420" w:lineRule="exact"/>
        <w:ind w:firstLine="470" w:firstLineChars="196"/>
        <w:rPr>
          <w:rFonts w:hint="eastAsia" w:ascii="宋体" w:hAnsi="宋体" w:eastAsia="宋体" w:cs="宋体"/>
          <w:bCs/>
          <w:color w:val="auto"/>
          <w:kern w:val="0"/>
          <w:sz w:val="24"/>
          <w:highlight w:val="none"/>
          <w:shd w:val="clear" w:color="auto" w:fill="auto"/>
        </w:rPr>
      </w:pPr>
      <w:r>
        <w:rPr>
          <w:rFonts w:hint="eastAsia" w:ascii="宋体" w:hAnsi="宋体" w:eastAsia="宋体" w:cs="宋体"/>
          <w:color w:val="auto"/>
          <w:sz w:val="24"/>
          <w:highlight w:val="none"/>
          <w:shd w:val="clear" w:color="auto" w:fill="auto"/>
        </w:rPr>
        <w:t>（2）</w:t>
      </w:r>
      <w:r>
        <w:rPr>
          <w:rFonts w:hint="eastAsia" w:ascii="宋体" w:hAnsi="宋体" w:eastAsia="宋体" w:cs="宋体"/>
          <w:bCs/>
          <w:color w:val="auto"/>
          <w:sz w:val="24"/>
          <w:highlight w:val="none"/>
          <w:shd w:val="clear" w:color="auto" w:fill="auto"/>
        </w:rPr>
        <w:t>电子投标文件</w:t>
      </w:r>
      <w:r>
        <w:rPr>
          <w:rFonts w:hint="eastAsia" w:ascii="宋体" w:hAnsi="宋体" w:eastAsia="宋体" w:cs="宋体"/>
          <w:b/>
          <w:bCs/>
          <w:color w:val="auto"/>
          <w:kern w:val="0"/>
          <w:sz w:val="24"/>
          <w:highlight w:val="none"/>
          <w:u w:val="single"/>
          <w:shd w:val="clear" w:color="auto" w:fill="auto"/>
        </w:rPr>
        <w:t>在指定页面无法定代表人盖章或签字、未在指定页面盖公章、在指定页面无被授权人签字（打字无效）、</w:t>
      </w:r>
      <w:r>
        <w:rPr>
          <w:rFonts w:hint="eastAsia" w:ascii="宋体" w:hAnsi="宋体" w:eastAsia="宋体" w:cs="宋体"/>
          <w:b/>
          <w:bCs/>
          <w:color w:val="auto"/>
          <w:kern w:val="0"/>
          <w:sz w:val="24"/>
          <w:szCs w:val="24"/>
          <w:highlight w:val="none"/>
        </w:rPr>
        <w:t>未提供法法定代表人授权委托书或法定代表人身份证明</w:t>
      </w:r>
      <w:r>
        <w:rPr>
          <w:rFonts w:hint="eastAsia" w:ascii="宋体" w:hAnsi="宋体" w:eastAsia="宋体" w:cs="宋体"/>
          <w:b/>
          <w:bCs/>
          <w:color w:val="auto"/>
          <w:kern w:val="0"/>
          <w:sz w:val="24"/>
          <w:highlight w:val="none"/>
          <w:shd w:val="clear" w:color="auto" w:fill="auto"/>
        </w:rPr>
        <w:t>、未提供投标函、未提供《没有重大违法记录的承诺函》或者投标函、《没有重大违法记录的承诺函》格式不符合招标文件要求或填写项目不齐全的；</w:t>
      </w:r>
    </w:p>
    <w:p w14:paraId="779B4AB5">
      <w:pPr>
        <w:pStyle w:val="21"/>
        <w:snapToGrid w:val="0"/>
        <w:spacing w:line="420" w:lineRule="exact"/>
        <w:ind w:firstLine="454" w:firstLineChars="196"/>
        <w:rPr>
          <w:rFonts w:hint="eastAsia" w:ascii="宋体" w:hAnsi="宋体" w:eastAsia="宋体" w:cs="宋体"/>
          <w:b/>
          <w:bCs/>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（3）多项主要服务响应或者主要设备功能响应不满足招标文件要求或</w:t>
      </w:r>
      <w:r>
        <w:rPr>
          <w:rFonts w:hint="eastAsia" w:ascii="宋体" w:hAnsi="宋体" w:eastAsia="宋体" w:cs="宋体"/>
          <w:color w:val="auto"/>
          <w:sz w:val="24"/>
          <w:highlight w:val="none"/>
          <w:shd w:val="clear" w:color="auto" w:fill="auto"/>
        </w:rPr>
        <w:t>缺项的，</w:t>
      </w:r>
      <w:r>
        <w:rPr>
          <w:rFonts w:hint="eastAsia" w:ascii="宋体" w:hAnsi="宋体" w:eastAsia="宋体" w:cs="宋体"/>
          <w:b/>
          <w:bCs/>
          <w:color w:val="auto"/>
          <w:sz w:val="24"/>
          <w:szCs w:val="24"/>
          <w:highlight w:val="none"/>
          <w:shd w:val="clear" w:color="auto" w:fill="auto"/>
        </w:rPr>
        <w:t>主要设备尺寸严重不满足招标文件要求的。</w:t>
      </w:r>
    </w:p>
    <w:p w14:paraId="4B1C64D7">
      <w:pPr>
        <w:pStyle w:val="21"/>
        <w:snapToGrid w:val="0"/>
        <w:spacing w:line="420" w:lineRule="exact"/>
        <w:ind w:firstLine="454" w:firstLineChars="196"/>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w:t>
      </w:r>
      <w:r>
        <w:rPr>
          <w:rFonts w:hint="eastAsia" w:ascii="宋体" w:hAnsi="宋体" w:eastAsia="宋体" w:cs="宋体"/>
          <w:snapToGrid w:val="0"/>
          <w:color w:val="auto"/>
          <w:sz w:val="24"/>
          <w:szCs w:val="24"/>
          <w:highlight w:val="none"/>
          <w:shd w:val="clear" w:color="auto" w:fill="auto"/>
        </w:rPr>
        <w:t>与</w:t>
      </w:r>
      <w:r>
        <w:rPr>
          <w:rFonts w:hint="eastAsia" w:ascii="宋体" w:hAnsi="宋体" w:eastAsia="宋体" w:cs="宋体"/>
          <w:color w:val="auto"/>
          <w:sz w:val="24"/>
          <w:szCs w:val="24"/>
          <w:highlight w:val="none"/>
          <w:shd w:val="clear" w:color="auto" w:fill="auto"/>
        </w:rPr>
        <w:t>招标文件中标“▲”的技术指标、主要功能参数、服务响应发生实质性负偏离</w:t>
      </w:r>
      <w:r>
        <w:rPr>
          <w:rFonts w:hint="eastAsia" w:ascii="宋体" w:hAnsi="宋体" w:eastAsia="宋体" w:cs="宋体"/>
          <w:snapToGrid w:val="0"/>
          <w:color w:val="auto"/>
          <w:sz w:val="24"/>
          <w:szCs w:val="24"/>
          <w:highlight w:val="none"/>
          <w:shd w:val="clear" w:color="auto" w:fill="auto"/>
        </w:rPr>
        <w:t>或内容缺失</w:t>
      </w:r>
      <w:r>
        <w:rPr>
          <w:rFonts w:hint="eastAsia" w:ascii="宋体" w:hAnsi="宋体" w:eastAsia="宋体" w:cs="宋体"/>
          <w:color w:val="auto"/>
          <w:sz w:val="24"/>
          <w:szCs w:val="24"/>
          <w:highlight w:val="none"/>
          <w:shd w:val="clear" w:color="auto" w:fill="auto"/>
        </w:rPr>
        <w:t>的；</w:t>
      </w:r>
    </w:p>
    <w:p w14:paraId="6C942F00">
      <w:pPr>
        <w:pStyle w:val="21"/>
        <w:snapToGrid w:val="0"/>
        <w:spacing w:line="420" w:lineRule="exact"/>
        <w:ind w:firstLine="454" w:firstLineChars="196"/>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（5）未如实提供投标货物的技术参数，或者投标文件标明的响应或偏离存在虚假的；</w:t>
      </w:r>
    </w:p>
    <w:p w14:paraId="3CD8DCCB">
      <w:pPr>
        <w:pStyle w:val="21"/>
        <w:snapToGrid w:val="0"/>
        <w:spacing w:line="420" w:lineRule="exact"/>
        <w:ind w:firstLine="454" w:firstLineChars="196"/>
        <w:rPr>
          <w:rFonts w:hint="eastAsia" w:ascii="宋体" w:hAnsi="宋体" w:eastAsia="宋体" w:cs="宋体"/>
          <w:snapToGrid w:val="0"/>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（6）投标有效期、工期（供货期、交货时间、服务期）、保修期（质保期）、付款方式等商务条款不能满足招标文件要求或缺失的</w:t>
      </w:r>
      <w:r>
        <w:rPr>
          <w:rFonts w:hint="eastAsia" w:ascii="宋体" w:hAnsi="宋体" w:eastAsia="宋体" w:cs="宋体"/>
          <w:snapToGrid w:val="0"/>
          <w:color w:val="auto"/>
          <w:sz w:val="24"/>
          <w:szCs w:val="24"/>
          <w:highlight w:val="none"/>
          <w:shd w:val="clear" w:color="auto" w:fill="auto"/>
        </w:rPr>
        <w:t>；</w:t>
      </w:r>
    </w:p>
    <w:bookmarkEnd w:id="17"/>
    <w:p w14:paraId="63893999">
      <w:pPr>
        <w:pStyle w:val="21"/>
        <w:snapToGrid w:val="0"/>
        <w:spacing w:line="420" w:lineRule="exact"/>
        <w:ind w:firstLine="454" w:firstLineChars="196"/>
        <w:rPr>
          <w:rFonts w:hint="eastAsia" w:ascii="宋体" w:hAnsi="宋体" w:eastAsia="宋体" w:cs="宋体"/>
          <w:snapToGrid w:val="0"/>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w:t>
      </w:r>
      <w:r>
        <w:rPr>
          <w:rFonts w:hint="eastAsia" w:ascii="宋体" w:hAnsi="宋体" w:eastAsia="宋体" w:cs="宋体"/>
          <w:snapToGrid w:val="0"/>
          <w:color w:val="auto"/>
          <w:sz w:val="24"/>
          <w:szCs w:val="24"/>
          <w:highlight w:val="none"/>
          <w:shd w:val="clear" w:color="auto" w:fill="auto"/>
        </w:rPr>
        <w:t>在商务及技术响应表中缺失部分招标文件中打▲的商务和技术要求的应标内容，同时在评标委员会对其进行询标时，投标人未能在规定时间内提供出其投标文件中有该项响应内容的；</w:t>
      </w:r>
    </w:p>
    <w:p w14:paraId="50141E51">
      <w:pPr>
        <w:pStyle w:val="21"/>
        <w:snapToGrid w:val="0"/>
        <w:spacing w:line="420" w:lineRule="exact"/>
        <w:ind w:firstLine="454" w:firstLineChars="196"/>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（8）投标文件有招标方不能接受的附加条件的；</w:t>
      </w:r>
    </w:p>
    <w:p w14:paraId="188CA6D8">
      <w:pPr>
        <w:pStyle w:val="21"/>
        <w:snapToGrid w:val="0"/>
        <w:spacing w:line="420" w:lineRule="exact"/>
        <w:ind w:firstLine="464"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（9）商务技术文件中出现投标总报价的；</w:t>
      </w:r>
    </w:p>
    <w:p w14:paraId="5E5B46DC">
      <w:pPr>
        <w:pStyle w:val="21"/>
        <w:snapToGrid w:val="0"/>
        <w:spacing w:line="420" w:lineRule="exact"/>
        <w:ind w:firstLine="454" w:firstLineChars="196"/>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（10）不同投标人的投标文件,由同一台电脑编制。</w:t>
      </w:r>
    </w:p>
    <w:p w14:paraId="2668FAAC">
      <w:pPr>
        <w:pStyle w:val="21"/>
        <w:snapToGrid w:val="0"/>
        <w:spacing w:line="420" w:lineRule="exact"/>
        <w:ind w:firstLine="457" w:firstLineChars="196"/>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2.在报价评审时，如发现下列情形之一的，投标文件将被视为无效：</w:t>
      </w:r>
    </w:p>
    <w:p w14:paraId="485203F1">
      <w:pPr>
        <w:pStyle w:val="21"/>
        <w:snapToGrid w:val="0"/>
        <w:spacing w:line="420" w:lineRule="exact"/>
        <w:ind w:firstLine="454" w:firstLineChars="196"/>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（1）未采用人民币报价或者未按照招标文件标明的币种报价的；</w:t>
      </w:r>
    </w:p>
    <w:p w14:paraId="29DA7E52">
      <w:pPr>
        <w:pStyle w:val="21"/>
        <w:snapToGrid w:val="0"/>
        <w:spacing w:line="420" w:lineRule="exact"/>
        <w:ind w:firstLine="454" w:firstLineChars="196"/>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（2）投标报价具有选择性，或者开标价格与投标文件承诺的优惠（折扣）价格不一致的；</w:t>
      </w:r>
    </w:p>
    <w:p w14:paraId="32C9853E">
      <w:pPr>
        <w:pStyle w:val="21"/>
        <w:snapToGrid w:val="0"/>
        <w:spacing w:line="420" w:lineRule="exact"/>
        <w:ind w:firstLine="457" w:firstLineChars="196"/>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（3）报价超过招标文件中规定的预算金额或者最高限价的；</w:t>
      </w:r>
    </w:p>
    <w:p w14:paraId="1F65AC9D">
      <w:pPr>
        <w:pStyle w:val="21"/>
        <w:snapToGrid w:val="0"/>
        <w:spacing w:line="420" w:lineRule="exact"/>
        <w:ind w:firstLine="457" w:firstLineChars="196"/>
        <w:rPr>
          <w:rFonts w:hint="eastAsia" w:ascii="宋体" w:hAnsi="宋体" w:eastAsia="宋体" w:cs="宋体"/>
          <w:b/>
          <w:bCs/>
          <w:color w:val="auto"/>
          <w:sz w:val="24"/>
          <w:szCs w:val="24"/>
          <w:highlight w:val="none"/>
          <w:shd w:val="clear" w:color="auto" w:fill="auto"/>
          <w:lang w:eastAsia="zh-CN"/>
        </w:rPr>
      </w:pPr>
      <w:r>
        <w:rPr>
          <w:rFonts w:hint="eastAsia" w:ascii="宋体" w:hAnsi="宋体" w:eastAsia="宋体" w:cs="宋体"/>
          <w:b/>
          <w:bCs/>
          <w:color w:val="auto"/>
          <w:sz w:val="24"/>
          <w:szCs w:val="24"/>
          <w:highlight w:val="none"/>
          <w:shd w:val="clear" w:color="auto" w:fill="auto"/>
        </w:rPr>
        <w:t>（4）未填写投标报价的</w:t>
      </w:r>
      <w:r>
        <w:rPr>
          <w:rFonts w:hint="eastAsia" w:hAnsi="宋体" w:cs="宋体"/>
          <w:b/>
          <w:bCs/>
          <w:color w:val="auto"/>
          <w:sz w:val="24"/>
          <w:szCs w:val="24"/>
          <w:highlight w:val="none"/>
          <w:shd w:val="clear" w:color="auto" w:fill="auto"/>
          <w:lang w:val="en-US" w:eastAsia="zh-CN"/>
        </w:rPr>
        <w:t>,</w:t>
      </w:r>
      <w:r>
        <w:rPr>
          <w:rFonts w:hint="eastAsia" w:hAnsi="宋体"/>
          <w:b/>
          <w:bCs/>
          <w:color w:val="auto"/>
          <w:sz w:val="24"/>
          <w:szCs w:val="24"/>
          <w:highlight w:val="none"/>
          <w:lang w:eastAsia="zh-CN"/>
        </w:rPr>
        <w:t>《报价明细表》</w:t>
      </w:r>
      <w:r>
        <w:rPr>
          <w:rFonts w:hint="eastAsia" w:hAnsi="宋体"/>
          <w:b/>
          <w:bCs/>
          <w:color w:val="auto"/>
          <w:sz w:val="24"/>
          <w:szCs w:val="24"/>
          <w:highlight w:val="none"/>
          <w:lang w:val="en-US" w:eastAsia="zh-CN"/>
        </w:rPr>
        <w:t>中</w:t>
      </w:r>
      <w:r>
        <w:rPr>
          <w:rFonts w:hint="eastAsia" w:hAnsi="宋体"/>
          <w:b/>
          <w:bCs/>
          <w:color w:val="auto"/>
          <w:sz w:val="24"/>
          <w:szCs w:val="24"/>
          <w:highlight w:val="none"/>
          <w:lang w:eastAsia="zh-CN"/>
        </w:rPr>
        <w:t>工程量</w:t>
      </w:r>
      <w:r>
        <w:rPr>
          <w:rFonts w:hint="eastAsia" w:hAnsi="宋体"/>
          <w:b/>
          <w:bCs/>
          <w:color w:val="auto"/>
          <w:sz w:val="24"/>
          <w:szCs w:val="24"/>
          <w:highlight w:val="none"/>
          <w:lang w:val="en-US" w:eastAsia="zh-CN"/>
        </w:rPr>
        <w:t>少于</w:t>
      </w:r>
      <w:r>
        <w:rPr>
          <w:rFonts w:hint="eastAsia" w:hAnsi="宋体"/>
          <w:b/>
          <w:bCs/>
          <w:color w:val="auto"/>
          <w:sz w:val="24"/>
          <w:szCs w:val="24"/>
          <w:highlight w:val="none"/>
          <w:lang w:eastAsia="zh-CN"/>
        </w:rPr>
        <w:t>招标文件</w:t>
      </w:r>
      <w:r>
        <w:rPr>
          <w:rFonts w:hint="eastAsia" w:hAnsi="宋体"/>
          <w:b/>
          <w:bCs/>
          <w:color w:val="auto"/>
          <w:sz w:val="24"/>
          <w:szCs w:val="24"/>
          <w:highlight w:val="none"/>
          <w:lang w:val="en-US" w:eastAsia="zh-CN"/>
        </w:rPr>
        <w:t>中</w:t>
      </w:r>
      <w:r>
        <w:rPr>
          <w:rFonts w:hint="eastAsia" w:hAnsi="宋体"/>
          <w:b/>
          <w:bCs/>
          <w:color w:val="auto"/>
          <w:sz w:val="24"/>
          <w:szCs w:val="24"/>
          <w:highlight w:val="none"/>
          <w:lang w:eastAsia="zh-CN"/>
        </w:rPr>
        <w:t>提供的工程量数量</w:t>
      </w:r>
      <w:r>
        <w:rPr>
          <w:rFonts w:hint="eastAsia" w:hAnsi="宋体"/>
          <w:b/>
          <w:bCs/>
          <w:color w:val="auto"/>
          <w:sz w:val="24"/>
          <w:szCs w:val="24"/>
          <w:highlight w:val="none"/>
          <w:lang w:val="en-US" w:eastAsia="zh-CN"/>
        </w:rPr>
        <w:t>的</w:t>
      </w:r>
      <w:r>
        <w:rPr>
          <w:rFonts w:hint="eastAsia" w:hAnsi="宋体"/>
          <w:b/>
          <w:bCs/>
          <w:color w:val="auto"/>
          <w:sz w:val="24"/>
          <w:szCs w:val="24"/>
          <w:highlight w:val="none"/>
          <w:lang w:eastAsia="zh-CN"/>
        </w:rPr>
        <w:t>。</w:t>
      </w:r>
    </w:p>
    <w:p w14:paraId="07DEBBB2">
      <w:pPr>
        <w:pStyle w:val="21"/>
        <w:snapToGrid w:val="0"/>
        <w:spacing w:line="420" w:lineRule="exact"/>
        <w:ind w:firstLine="457" w:firstLineChars="196"/>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3.被拒绝的投标文件为无效。</w:t>
      </w:r>
    </w:p>
    <w:p w14:paraId="268946D1">
      <w:pPr>
        <w:spacing w:line="420" w:lineRule="exact"/>
        <w:ind w:firstLine="354" w:firstLineChars="147"/>
        <w:rPr>
          <w:rFonts w:hint="eastAsia" w:ascii="宋体" w:hAnsi="宋体" w:eastAsia="宋体" w:cs="宋体"/>
          <w:b/>
          <w:color w:val="auto"/>
          <w:sz w:val="24"/>
          <w:highlight w:val="none"/>
          <w:u w:val="single"/>
          <w:shd w:val="clear" w:color="auto" w:fill="auto"/>
        </w:rPr>
      </w:pPr>
      <w:r>
        <w:rPr>
          <w:rFonts w:hint="eastAsia" w:ascii="宋体" w:hAnsi="宋体" w:eastAsia="宋体" w:cs="宋体"/>
          <w:b/>
          <w:color w:val="auto"/>
          <w:sz w:val="24"/>
          <w:highlight w:val="none"/>
          <w:shd w:val="clear" w:color="auto" w:fill="auto"/>
        </w:rPr>
        <w:t>（八）在招标采购中，出现下列情形之一的，应予废标</w:t>
      </w:r>
    </w:p>
    <w:p w14:paraId="270335EC">
      <w:pPr>
        <w:autoSpaceDE w:val="0"/>
        <w:autoSpaceDN w:val="0"/>
        <w:spacing w:line="420" w:lineRule="exact"/>
        <w:ind w:firstLine="480" w:firstLineChars="200"/>
        <w:textAlignment w:val="bottom"/>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1、出现影响采购公正的违法、违规行为的；</w:t>
      </w:r>
    </w:p>
    <w:p w14:paraId="5C21909B">
      <w:pPr>
        <w:autoSpaceDE w:val="0"/>
        <w:autoSpaceDN w:val="0"/>
        <w:spacing w:line="420" w:lineRule="exact"/>
        <w:ind w:firstLine="480" w:firstLineChars="200"/>
        <w:textAlignment w:val="bottom"/>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2、因重大变故，采购任务取消的；</w:t>
      </w:r>
    </w:p>
    <w:p w14:paraId="7E7A5EE7">
      <w:pPr>
        <w:autoSpaceDE w:val="0"/>
        <w:autoSpaceDN w:val="0"/>
        <w:spacing w:line="420" w:lineRule="exact"/>
        <w:ind w:firstLine="480" w:firstLineChars="200"/>
        <w:textAlignment w:val="bottom"/>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3、投标人的报价均超过了采购预算价，招标人不能支付的。</w:t>
      </w:r>
    </w:p>
    <w:p w14:paraId="39EA5763">
      <w:pPr>
        <w:autoSpaceDE w:val="0"/>
        <w:autoSpaceDN w:val="0"/>
        <w:spacing w:line="420" w:lineRule="exact"/>
        <w:ind w:firstLine="480" w:firstLineChars="200"/>
        <w:textAlignment w:val="bottom"/>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4.其他法律法规规定应予以废标的情形。</w:t>
      </w:r>
    </w:p>
    <w:p w14:paraId="37F4C969">
      <w:pPr>
        <w:pStyle w:val="21"/>
        <w:snapToGrid w:val="0"/>
        <w:spacing w:line="420" w:lineRule="exact"/>
        <w:ind w:firstLine="256" w:firstLineChars="110"/>
        <w:rPr>
          <w:rFonts w:hint="eastAsia" w:ascii="宋体" w:hAnsi="宋体" w:eastAsia="宋体" w:cs="宋体"/>
          <w:b/>
          <w:snapToGrid w:val="0"/>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四、开标</w:t>
      </w:r>
    </w:p>
    <w:p w14:paraId="4621BD5B">
      <w:pPr>
        <w:pStyle w:val="29"/>
        <w:snapToGrid w:val="0"/>
        <w:spacing w:beforeLines="0" w:afterLines="0" w:line="420" w:lineRule="exact"/>
        <w:ind w:firstLine="241" w:firstLineChars="100"/>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（一）开标准备</w:t>
      </w:r>
    </w:p>
    <w:p w14:paraId="6797688E">
      <w:pPr>
        <w:pStyle w:val="29"/>
        <w:snapToGrid w:val="0"/>
        <w:spacing w:beforeLines="0" w:afterLines="0" w:line="420" w:lineRule="exact"/>
        <w:ind w:firstLine="470" w:firstLineChars="196"/>
        <w:rPr>
          <w:rFonts w:hint="eastAsia" w:ascii="宋体" w:hAnsi="宋体" w:eastAsia="宋体" w:cs="宋体"/>
          <w:bCs/>
          <w:color w:val="auto"/>
          <w:highlight w:val="none"/>
          <w:shd w:val="clear" w:color="auto" w:fill="auto"/>
        </w:rPr>
      </w:pPr>
      <w:r>
        <w:rPr>
          <w:rFonts w:hint="eastAsia" w:ascii="宋体" w:hAnsi="宋体" w:eastAsia="宋体" w:cs="宋体"/>
          <w:bCs/>
          <w:color w:val="auto"/>
          <w:highlight w:val="none"/>
          <w:shd w:val="clear" w:color="auto" w:fill="auto"/>
        </w:rPr>
        <w:t>代理机构将按照招标文件规定的时间通过“临海市限额以下公共资源交易区域平台”组织开标、开启投标文件，所有投标人请准时在线参加。投标投标人如不参加开标大会的，视同认可开标结果，事后不得对采购相关人员、开标过程和开标结果提出异议，同时投标投标人因未在线参加开标而导致投标文件无法按时解密等一切后果由投标人自己承担。</w:t>
      </w:r>
    </w:p>
    <w:p w14:paraId="4391FD79">
      <w:pPr>
        <w:pStyle w:val="29"/>
        <w:snapToGrid w:val="0"/>
        <w:spacing w:beforeLines="0" w:afterLines="0" w:line="420" w:lineRule="exact"/>
        <w:ind w:firstLine="470" w:firstLineChars="196"/>
        <w:rPr>
          <w:rFonts w:hint="eastAsia" w:ascii="宋体" w:hAnsi="宋体" w:eastAsia="宋体" w:cs="宋体"/>
          <w:bCs/>
          <w:color w:val="auto"/>
          <w:highlight w:val="none"/>
          <w:shd w:val="clear" w:color="auto" w:fill="auto"/>
        </w:rPr>
      </w:pPr>
      <w:r>
        <w:rPr>
          <w:rFonts w:hint="eastAsia" w:ascii="宋体" w:hAnsi="宋体" w:eastAsia="宋体" w:cs="宋体"/>
          <w:bCs/>
          <w:color w:val="auto"/>
          <w:highlight w:val="none"/>
          <w:shd w:val="clear" w:color="auto" w:fill="auto"/>
        </w:rPr>
        <w:t>采购过程中出现以下情形，导致电子交易平台无法正常运行，或者无法保证电子交易的公平、公正和安全时，代理机构可中止电子交易活动：</w:t>
      </w:r>
    </w:p>
    <w:p w14:paraId="6DAE8A9C">
      <w:pPr>
        <w:pStyle w:val="29"/>
        <w:snapToGrid w:val="0"/>
        <w:spacing w:beforeLines="0" w:afterLines="0" w:line="420" w:lineRule="exact"/>
        <w:ind w:firstLine="470" w:firstLineChars="196"/>
        <w:rPr>
          <w:rFonts w:hint="eastAsia" w:ascii="宋体" w:hAnsi="宋体" w:eastAsia="宋体" w:cs="宋体"/>
          <w:bCs/>
          <w:color w:val="auto"/>
          <w:highlight w:val="none"/>
          <w:shd w:val="clear" w:color="auto" w:fill="auto"/>
        </w:rPr>
      </w:pPr>
      <w:r>
        <w:rPr>
          <w:rFonts w:hint="eastAsia" w:ascii="宋体" w:hAnsi="宋体" w:eastAsia="宋体" w:cs="宋体"/>
          <w:bCs/>
          <w:color w:val="auto"/>
          <w:highlight w:val="none"/>
          <w:shd w:val="clear" w:color="auto" w:fill="auto"/>
        </w:rPr>
        <w:t xml:space="preserve">（1）电子交易平台发生故障、停电而无法登录访问的； </w:t>
      </w:r>
    </w:p>
    <w:p w14:paraId="6B0D9B53">
      <w:pPr>
        <w:pStyle w:val="29"/>
        <w:snapToGrid w:val="0"/>
        <w:spacing w:beforeLines="0" w:afterLines="0" w:line="420" w:lineRule="exact"/>
        <w:ind w:firstLine="470" w:firstLineChars="196"/>
        <w:rPr>
          <w:rFonts w:hint="eastAsia" w:ascii="宋体" w:hAnsi="宋体" w:eastAsia="宋体" w:cs="宋体"/>
          <w:bCs/>
          <w:color w:val="auto"/>
          <w:highlight w:val="none"/>
          <w:shd w:val="clear" w:color="auto" w:fill="auto"/>
        </w:rPr>
      </w:pPr>
      <w:r>
        <w:rPr>
          <w:rFonts w:hint="eastAsia" w:ascii="宋体" w:hAnsi="宋体" w:eastAsia="宋体" w:cs="宋体"/>
          <w:bCs/>
          <w:color w:val="auto"/>
          <w:highlight w:val="none"/>
          <w:shd w:val="clear" w:color="auto" w:fill="auto"/>
        </w:rPr>
        <w:t>（2）电子交易平台应用或数据库出现错误，不能进行正常操作的；</w:t>
      </w:r>
    </w:p>
    <w:p w14:paraId="72330E79">
      <w:pPr>
        <w:pStyle w:val="29"/>
        <w:snapToGrid w:val="0"/>
        <w:spacing w:beforeLines="0" w:afterLines="0" w:line="420" w:lineRule="exact"/>
        <w:ind w:firstLine="470" w:firstLineChars="196"/>
        <w:rPr>
          <w:rFonts w:hint="eastAsia" w:ascii="宋体" w:hAnsi="宋体" w:eastAsia="宋体" w:cs="宋体"/>
          <w:bCs/>
          <w:color w:val="auto"/>
          <w:highlight w:val="none"/>
          <w:shd w:val="clear" w:color="auto" w:fill="auto"/>
        </w:rPr>
      </w:pPr>
      <w:r>
        <w:rPr>
          <w:rFonts w:hint="eastAsia" w:ascii="宋体" w:hAnsi="宋体" w:eastAsia="宋体" w:cs="宋体"/>
          <w:bCs/>
          <w:color w:val="auto"/>
          <w:highlight w:val="none"/>
          <w:shd w:val="clear" w:color="auto" w:fill="auto"/>
        </w:rPr>
        <w:t>（3）电子交易平台发现严重安全漏洞，有潜在泄密危险的；</w:t>
      </w:r>
    </w:p>
    <w:p w14:paraId="16442E34">
      <w:pPr>
        <w:pStyle w:val="29"/>
        <w:snapToGrid w:val="0"/>
        <w:spacing w:beforeLines="0" w:afterLines="0" w:line="420" w:lineRule="exact"/>
        <w:ind w:firstLine="470" w:firstLineChars="196"/>
        <w:rPr>
          <w:rFonts w:hint="eastAsia" w:ascii="宋体" w:hAnsi="宋体" w:eastAsia="宋体" w:cs="宋体"/>
          <w:bCs/>
          <w:color w:val="auto"/>
          <w:highlight w:val="none"/>
          <w:shd w:val="clear" w:color="auto" w:fill="auto"/>
        </w:rPr>
      </w:pPr>
      <w:r>
        <w:rPr>
          <w:rFonts w:hint="eastAsia" w:ascii="宋体" w:hAnsi="宋体" w:eastAsia="宋体" w:cs="宋体"/>
          <w:bCs/>
          <w:color w:val="auto"/>
          <w:highlight w:val="none"/>
          <w:shd w:val="clear" w:color="auto" w:fill="auto"/>
        </w:rPr>
        <w:t xml:space="preserve">（4）病毒发作导致不能进行正常操作的； </w:t>
      </w:r>
    </w:p>
    <w:p w14:paraId="5023DAF9">
      <w:pPr>
        <w:pStyle w:val="29"/>
        <w:snapToGrid w:val="0"/>
        <w:spacing w:beforeLines="0" w:afterLines="0" w:line="420" w:lineRule="exact"/>
        <w:ind w:firstLine="470" w:firstLineChars="196"/>
        <w:rPr>
          <w:rFonts w:hint="eastAsia" w:ascii="宋体" w:hAnsi="宋体" w:eastAsia="宋体" w:cs="宋体"/>
          <w:bCs/>
          <w:color w:val="auto"/>
          <w:highlight w:val="none"/>
          <w:shd w:val="clear" w:color="auto" w:fill="auto"/>
        </w:rPr>
      </w:pPr>
      <w:r>
        <w:rPr>
          <w:rFonts w:hint="eastAsia" w:ascii="宋体" w:hAnsi="宋体" w:eastAsia="宋体" w:cs="宋体"/>
          <w:bCs/>
          <w:color w:val="auto"/>
          <w:highlight w:val="none"/>
          <w:shd w:val="clear" w:color="auto" w:fill="auto"/>
        </w:rPr>
        <w:t>（5）其他无法保证电子交易的公平、公正和安全的情况。</w:t>
      </w:r>
    </w:p>
    <w:p w14:paraId="761C6706">
      <w:pPr>
        <w:pStyle w:val="29"/>
        <w:snapToGrid w:val="0"/>
        <w:spacing w:beforeLines="0" w:afterLines="0" w:line="420" w:lineRule="exact"/>
        <w:ind w:firstLine="470" w:firstLineChars="196"/>
        <w:rPr>
          <w:rFonts w:hint="eastAsia" w:ascii="宋体" w:hAnsi="宋体" w:eastAsia="宋体" w:cs="宋体"/>
          <w:bCs/>
          <w:color w:val="auto"/>
          <w:highlight w:val="none"/>
          <w:shd w:val="clear" w:color="auto" w:fill="auto"/>
        </w:rPr>
      </w:pPr>
      <w:r>
        <w:rPr>
          <w:rFonts w:hint="eastAsia" w:ascii="宋体" w:hAnsi="宋体" w:eastAsia="宋体" w:cs="宋体"/>
          <w:bCs/>
          <w:color w:val="auto"/>
          <w:highlight w:val="none"/>
          <w:shd w:val="clear" w:color="auto" w:fill="auto"/>
        </w:rPr>
        <w:t>出现前款规定情形，不影响采购公平、公正性的，代理机构可以待上述情形消除后继续组织电子交易活动，影响或可能影响采购公平、公正性的，应当重新采购。</w:t>
      </w:r>
    </w:p>
    <w:p w14:paraId="7355D7BE">
      <w:pPr>
        <w:pStyle w:val="29"/>
        <w:snapToGrid w:val="0"/>
        <w:spacing w:beforeLines="0" w:afterLines="0" w:line="420" w:lineRule="exact"/>
        <w:ind w:firstLine="472" w:firstLineChars="196"/>
        <w:rPr>
          <w:rFonts w:hint="eastAsia" w:ascii="宋体" w:hAnsi="宋体" w:eastAsia="宋体" w:cs="宋体"/>
          <w:bCs/>
          <w:color w:val="auto"/>
          <w:highlight w:val="none"/>
          <w:shd w:val="clear" w:color="auto" w:fill="auto"/>
        </w:rPr>
      </w:pPr>
      <w:r>
        <w:rPr>
          <w:rFonts w:hint="eastAsia" w:ascii="宋体" w:hAnsi="宋体" w:eastAsia="宋体" w:cs="宋体"/>
          <w:b/>
          <w:color w:val="auto"/>
          <w:highlight w:val="none"/>
          <w:shd w:val="clear" w:color="auto" w:fill="auto"/>
        </w:rPr>
        <w:t xml:space="preserve">（二）开标程序    </w:t>
      </w:r>
    </w:p>
    <w:p w14:paraId="2D8DAE1C">
      <w:pPr>
        <w:pStyle w:val="29"/>
        <w:snapToGrid w:val="0"/>
        <w:spacing w:beforeLines="0" w:afterLines="0" w:line="420" w:lineRule="exact"/>
        <w:ind w:firstLine="480" w:firstLineChars="20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1.开标会由招标人主持，</w:t>
      </w:r>
      <w:bookmarkStart w:id="19" w:name="_Hlk59694585"/>
      <w:r>
        <w:rPr>
          <w:rFonts w:hint="eastAsia" w:ascii="宋体" w:hAnsi="宋体" w:eastAsia="宋体" w:cs="宋体"/>
          <w:b/>
          <w:bCs/>
          <w:color w:val="auto"/>
          <w:highlight w:val="none"/>
          <w:u w:val="single"/>
          <w:shd w:val="clear" w:color="auto" w:fill="auto"/>
        </w:rPr>
        <w:t>并通过临海市限额以下公共资源交易区域平台--每日直播平台进行现场直播，各投标人请准时在线参加。</w:t>
      </w:r>
      <w:bookmarkStart w:id="20" w:name="_Hlk59690176"/>
      <w:r>
        <w:rPr>
          <w:rFonts w:hint="eastAsia" w:ascii="宋体" w:hAnsi="宋体" w:eastAsia="宋体" w:cs="宋体"/>
          <w:b/>
          <w:bCs/>
          <w:color w:val="auto"/>
          <w:highlight w:val="none"/>
          <w:u w:val="single"/>
          <w:shd w:val="clear" w:color="auto" w:fill="auto"/>
        </w:rPr>
        <w:t>各投标人如对开、评标过程有异议的，应该登陆临海市限额以下公共资源交易区域平台—-每日直播平台---点击该项目—登陆，进入答疑进行提问，招标人（代理机构）应当及时作出答复，并制作记录</w:t>
      </w:r>
      <w:bookmarkEnd w:id="19"/>
      <w:r>
        <w:rPr>
          <w:rFonts w:hint="eastAsia" w:ascii="宋体" w:hAnsi="宋体" w:eastAsia="宋体" w:cs="宋体"/>
          <w:b/>
          <w:bCs/>
          <w:color w:val="auto"/>
          <w:highlight w:val="none"/>
          <w:u w:val="single"/>
          <w:shd w:val="clear" w:color="auto" w:fill="auto"/>
        </w:rPr>
        <w:t>；</w:t>
      </w:r>
    </w:p>
    <w:bookmarkEnd w:id="20"/>
    <w:p w14:paraId="1BF93A0B">
      <w:pPr>
        <w:pStyle w:val="29"/>
        <w:snapToGrid w:val="0"/>
        <w:spacing w:beforeLines="0" w:afterLines="0" w:line="420" w:lineRule="exact"/>
        <w:ind w:firstLine="480" w:firstLineChars="20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2. 招标人点击临海市限额以下公共资源交易区域平台-不见面开标大厅--【开始解密】按钮，</w:t>
      </w:r>
      <w:bookmarkStart w:id="21" w:name="_Hlk59625783"/>
      <w:r>
        <w:rPr>
          <w:rFonts w:hint="eastAsia" w:ascii="宋体" w:hAnsi="宋体" w:eastAsia="宋体" w:cs="宋体"/>
          <w:color w:val="auto"/>
          <w:highlight w:val="none"/>
          <w:shd w:val="clear" w:color="auto" w:fill="auto"/>
        </w:rPr>
        <w:t>由投标人按招标文件规定的时间及</w:t>
      </w:r>
      <w:bookmarkStart w:id="22" w:name="_Hlk59626264"/>
      <w:r>
        <w:rPr>
          <w:rFonts w:hint="eastAsia" w:ascii="宋体" w:hAnsi="宋体" w:eastAsia="宋体" w:cs="宋体"/>
          <w:color w:val="auto"/>
          <w:highlight w:val="none"/>
          <w:shd w:val="clear" w:color="auto" w:fill="auto"/>
        </w:rPr>
        <w:t>平台</w:t>
      </w:r>
      <w:bookmarkEnd w:id="22"/>
      <w:r>
        <w:rPr>
          <w:rFonts w:hint="eastAsia" w:ascii="宋体" w:hAnsi="宋体" w:eastAsia="宋体" w:cs="宋体"/>
          <w:color w:val="auto"/>
          <w:highlight w:val="none"/>
          <w:shd w:val="clear" w:color="auto" w:fill="auto"/>
        </w:rPr>
        <w:t>显示的时间内自行进行投标文件解密。</w:t>
      </w:r>
      <w:bookmarkEnd w:id="21"/>
      <w:r>
        <w:rPr>
          <w:rFonts w:hint="eastAsia" w:ascii="宋体" w:hAnsi="宋体" w:eastAsia="宋体" w:cs="宋体"/>
          <w:color w:val="auto"/>
          <w:highlight w:val="none"/>
          <w:shd w:val="clear" w:color="auto" w:fill="auto"/>
        </w:rPr>
        <w:t>投标文件的制作和解密应使用同一个数字证书，否则将可能解密失败。解密过程中如因CA数字证书等问题而无法解密的，请马上致电服务热线400-0571-337寻求解决。</w:t>
      </w:r>
      <w:bookmarkStart w:id="23" w:name="_Hlk59805375"/>
      <w:r>
        <w:rPr>
          <w:rFonts w:hint="eastAsia" w:ascii="宋体" w:hAnsi="宋体" w:eastAsia="宋体" w:cs="宋体"/>
          <w:color w:val="auto"/>
          <w:highlight w:val="none"/>
          <w:shd w:val="clear" w:color="auto" w:fill="auto"/>
        </w:rPr>
        <w:t>投标人未按时解密或解密失败的，其投标文件为无效标。</w:t>
      </w:r>
      <w:bookmarkEnd w:id="23"/>
    </w:p>
    <w:p w14:paraId="13927CF9">
      <w:pPr>
        <w:pStyle w:val="29"/>
        <w:snapToGrid w:val="0"/>
        <w:spacing w:beforeLines="0" w:afterLines="0" w:line="420" w:lineRule="exact"/>
        <w:rPr>
          <w:rFonts w:hint="eastAsia" w:ascii="宋体" w:hAnsi="宋体" w:eastAsia="宋体" w:cs="宋体"/>
          <w:b/>
          <w:bCs/>
          <w:color w:val="auto"/>
          <w:highlight w:val="none"/>
          <w:u w:val="single"/>
          <w:shd w:val="clear" w:color="auto" w:fill="auto"/>
        </w:rPr>
      </w:pPr>
      <w:r>
        <w:rPr>
          <w:rFonts w:hint="eastAsia" w:ascii="宋体" w:hAnsi="宋体" w:eastAsia="宋体" w:cs="宋体"/>
          <w:b/>
          <w:bCs/>
          <w:color w:val="auto"/>
          <w:highlight w:val="none"/>
          <w:u w:val="single"/>
          <w:shd w:val="clear" w:color="auto" w:fill="auto"/>
        </w:rPr>
        <w:t>该项目投标人数量及各投标人投标文件是否完成解密以平台显示内容为准。</w:t>
      </w:r>
    </w:p>
    <w:p w14:paraId="22043F43">
      <w:pPr>
        <w:pStyle w:val="29"/>
        <w:snapToGrid w:val="0"/>
        <w:spacing w:beforeLines="0" w:afterLines="0" w:line="420" w:lineRule="exact"/>
        <w:ind w:firstLine="480" w:firstLineChars="200"/>
        <w:rPr>
          <w:rFonts w:hint="eastAsia" w:ascii="宋体" w:hAnsi="宋体" w:eastAsia="宋体" w:cs="宋体"/>
          <w:b/>
          <w:bCs/>
          <w:color w:val="auto"/>
          <w:highlight w:val="none"/>
          <w:u w:val="single"/>
          <w:shd w:val="clear" w:color="auto" w:fill="auto"/>
        </w:rPr>
      </w:pPr>
      <w:r>
        <w:rPr>
          <w:rFonts w:hint="eastAsia" w:ascii="宋体" w:hAnsi="宋体" w:eastAsia="宋体" w:cs="宋体"/>
          <w:color w:val="auto"/>
          <w:highlight w:val="none"/>
          <w:shd w:val="clear" w:color="auto" w:fill="auto"/>
        </w:rPr>
        <w:t>3.解密结束后，主持人介绍参加开标会的人员名单，告知应当回避的情形,提请有关人员回避；</w:t>
      </w:r>
    </w:p>
    <w:p w14:paraId="4065C2E1">
      <w:pPr>
        <w:pStyle w:val="29"/>
        <w:snapToGrid w:val="0"/>
        <w:spacing w:beforeLines="0" w:afterLines="0" w:line="420" w:lineRule="exact"/>
        <w:ind w:firstLine="480" w:firstLineChars="200"/>
        <w:rPr>
          <w:rFonts w:hint="eastAsia" w:ascii="宋体" w:hAnsi="宋体" w:eastAsia="宋体" w:cs="宋体"/>
          <w:color w:val="auto"/>
          <w:highlight w:val="none"/>
          <w:shd w:val="clear" w:color="auto" w:fill="auto"/>
        </w:rPr>
      </w:pPr>
      <w:r>
        <w:rPr>
          <w:rFonts w:hint="eastAsia" w:hAnsi="宋体" w:cs="宋体"/>
          <w:color w:val="auto"/>
          <w:highlight w:val="none"/>
          <w:shd w:val="clear" w:color="auto" w:fill="auto"/>
          <w:lang w:val="en-US" w:eastAsia="zh-CN"/>
        </w:rPr>
        <w:t>4</w:t>
      </w:r>
      <w:r>
        <w:rPr>
          <w:rFonts w:hint="eastAsia" w:ascii="宋体" w:hAnsi="宋体" w:eastAsia="宋体" w:cs="宋体"/>
          <w:color w:val="auto"/>
          <w:highlight w:val="none"/>
          <w:shd w:val="clear" w:color="auto" w:fill="auto"/>
        </w:rPr>
        <w:t>.代理机构点击【</w:t>
      </w:r>
      <w:bookmarkStart w:id="24" w:name="_Hlk59371589"/>
      <w:r>
        <w:rPr>
          <w:rFonts w:hint="eastAsia" w:ascii="宋体" w:hAnsi="宋体" w:eastAsia="宋体" w:cs="宋体"/>
          <w:color w:val="auto"/>
          <w:highlight w:val="none"/>
          <w:shd w:val="clear" w:color="auto" w:fill="auto"/>
        </w:rPr>
        <w:t>开启标书信息</w:t>
      </w:r>
      <w:bookmarkEnd w:id="24"/>
      <w:r>
        <w:rPr>
          <w:rFonts w:hint="eastAsia" w:ascii="宋体" w:hAnsi="宋体" w:eastAsia="宋体" w:cs="宋体"/>
          <w:color w:val="auto"/>
          <w:highlight w:val="none"/>
          <w:shd w:val="clear" w:color="auto" w:fill="auto"/>
        </w:rPr>
        <w:t>】，开启标书成功后进入评标流程；</w:t>
      </w:r>
    </w:p>
    <w:p w14:paraId="7F1B4057">
      <w:pPr>
        <w:pStyle w:val="29"/>
        <w:snapToGrid w:val="0"/>
        <w:spacing w:beforeLines="0" w:afterLines="0" w:line="420" w:lineRule="exact"/>
        <w:ind w:firstLine="480" w:firstLineChars="200"/>
        <w:rPr>
          <w:rFonts w:hint="eastAsia" w:ascii="宋体" w:hAnsi="宋体" w:eastAsia="宋体" w:cs="宋体"/>
          <w:color w:val="auto"/>
          <w:highlight w:val="none"/>
          <w:shd w:val="clear" w:color="auto" w:fill="auto"/>
        </w:rPr>
      </w:pPr>
      <w:r>
        <w:rPr>
          <w:rFonts w:hint="eastAsia" w:hAnsi="宋体" w:cs="宋体"/>
          <w:color w:val="auto"/>
          <w:highlight w:val="none"/>
          <w:shd w:val="clear" w:color="auto" w:fill="auto"/>
          <w:lang w:val="en-US" w:eastAsia="zh-CN"/>
        </w:rPr>
        <w:t>5</w:t>
      </w:r>
      <w:r>
        <w:rPr>
          <w:rFonts w:hint="eastAsia" w:ascii="宋体" w:hAnsi="宋体" w:eastAsia="宋体" w:cs="宋体"/>
          <w:color w:val="auto"/>
          <w:highlight w:val="none"/>
          <w:shd w:val="clear" w:color="auto" w:fill="auto"/>
        </w:rPr>
        <w:t>.</w:t>
      </w:r>
      <w:bookmarkStart w:id="25" w:name="_Hlk59392570"/>
      <w:r>
        <w:rPr>
          <w:rFonts w:hint="eastAsia" w:ascii="宋体" w:hAnsi="宋体" w:eastAsia="宋体" w:cs="宋体"/>
          <w:color w:val="auto"/>
          <w:highlight w:val="none"/>
          <w:shd w:val="clear" w:color="auto" w:fill="auto"/>
        </w:rPr>
        <w:t>资格及商务技术文件</w:t>
      </w:r>
      <w:bookmarkEnd w:id="25"/>
      <w:r>
        <w:rPr>
          <w:rFonts w:hint="eastAsia" w:ascii="宋体" w:hAnsi="宋体" w:eastAsia="宋体" w:cs="宋体"/>
          <w:color w:val="auto"/>
          <w:highlight w:val="none"/>
          <w:shd w:val="clear" w:color="auto" w:fill="auto"/>
        </w:rPr>
        <w:t>评审；</w:t>
      </w:r>
    </w:p>
    <w:p w14:paraId="25CFDB30">
      <w:pPr>
        <w:pStyle w:val="29"/>
        <w:snapToGrid w:val="0"/>
        <w:spacing w:beforeLines="0" w:afterLines="0" w:line="420" w:lineRule="exact"/>
        <w:ind w:firstLine="480" w:firstLineChars="200"/>
        <w:rPr>
          <w:rFonts w:hint="eastAsia" w:ascii="宋体" w:hAnsi="宋体" w:eastAsia="宋体" w:cs="宋体"/>
          <w:b/>
          <w:bCs/>
          <w:color w:val="auto"/>
          <w:highlight w:val="none"/>
          <w:shd w:val="clear" w:color="auto" w:fill="auto"/>
        </w:rPr>
      </w:pPr>
      <w:r>
        <w:rPr>
          <w:rFonts w:hint="eastAsia" w:hAnsi="宋体" w:cs="宋体"/>
          <w:color w:val="auto"/>
          <w:highlight w:val="none"/>
          <w:shd w:val="clear" w:color="auto" w:fill="auto"/>
          <w:lang w:val="en-US" w:eastAsia="zh-CN"/>
        </w:rPr>
        <w:t>6</w:t>
      </w:r>
      <w:r>
        <w:rPr>
          <w:rFonts w:hint="eastAsia" w:ascii="宋体" w:hAnsi="宋体" w:eastAsia="宋体" w:cs="宋体"/>
          <w:color w:val="auto"/>
          <w:highlight w:val="none"/>
          <w:shd w:val="clear" w:color="auto" w:fill="auto"/>
        </w:rPr>
        <w:t>.由主持人公布资格及商务技术文件无效的投标人名单、投标无效的原因及其他有效投标的评分汇总分</w:t>
      </w:r>
      <w:r>
        <w:rPr>
          <w:rFonts w:hint="eastAsia" w:ascii="宋体" w:hAnsi="宋体" w:eastAsia="宋体" w:cs="宋体"/>
          <w:b/>
          <w:bCs/>
          <w:color w:val="auto"/>
          <w:highlight w:val="none"/>
          <w:shd w:val="clear" w:color="auto" w:fill="auto"/>
        </w:rPr>
        <w:t>；</w:t>
      </w:r>
    </w:p>
    <w:p w14:paraId="58DE91DF">
      <w:pPr>
        <w:pStyle w:val="29"/>
        <w:snapToGrid w:val="0"/>
        <w:spacing w:beforeLines="0" w:afterLines="0" w:line="420" w:lineRule="exact"/>
        <w:ind w:firstLine="480" w:firstLineChars="200"/>
        <w:rPr>
          <w:rFonts w:hint="eastAsia" w:ascii="宋体" w:hAnsi="宋体" w:eastAsia="宋体" w:cs="宋体"/>
          <w:color w:val="auto"/>
          <w:highlight w:val="none"/>
          <w:shd w:val="clear" w:color="auto" w:fill="auto"/>
        </w:rPr>
      </w:pPr>
      <w:r>
        <w:rPr>
          <w:rFonts w:hint="eastAsia" w:hAnsi="宋体" w:cs="宋体"/>
          <w:color w:val="auto"/>
          <w:highlight w:val="none"/>
          <w:shd w:val="clear" w:color="auto" w:fill="auto"/>
          <w:lang w:val="en-US" w:eastAsia="zh-CN"/>
        </w:rPr>
        <w:t>7</w:t>
      </w:r>
      <w:r>
        <w:rPr>
          <w:rFonts w:hint="eastAsia" w:ascii="宋体" w:hAnsi="宋体" w:eastAsia="宋体" w:cs="宋体"/>
          <w:color w:val="auto"/>
          <w:highlight w:val="none"/>
          <w:shd w:val="clear" w:color="auto" w:fill="auto"/>
        </w:rPr>
        <w:t>.开启报价响应文件：代理机构成功开启报价响应文件后，方可查看各投标人报价情况。</w:t>
      </w:r>
      <w:r>
        <w:rPr>
          <w:rFonts w:hint="eastAsia" w:ascii="宋体" w:hAnsi="宋体" w:eastAsia="宋体" w:cs="宋体"/>
          <w:b/>
          <w:bCs/>
          <w:color w:val="auto"/>
          <w:highlight w:val="none"/>
          <w:u w:val="single"/>
          <w:shd w:val="clear" w:color="auto" w:fill="auto"/>
        </w:rPr>
        <w:t>代理机构在线公布开标一览表有关内容，投标人应在</w:t>
      </w:r>
      <w:r>
        <w:rPr>
          <w:rFonts w:hint="eastAsia" w:hAnsi="宋体" w:cs="宋体"/>
          <w:b/>
          <w:bCs/>
          <w:color w:val="auto"/>
          <w:highlight w:val="none"/>
          <w:u w:val="single"/>
          <w:shd w:val="clear" w:color="auto" w:fill="auto"/>
          <w:lang w:val="en-US" w:eastAsia="zh-CN"/>
        </w:rPr>
        <w:t>5</w:t>
      </w:r>
      <w:r>
        <w:rPr>
          <w:rFonts w:hint="eastAsia" w:ascii="宋体" w:hAnsi="宋体" w:eastAsia="宋体" w:cs="宋体"/>
          <w:b/>
          <w:bCs/>
          <w:color w:val="auto"/>
          <w:highlight w:val="none"/>
          <w:u w:val="single"/>
          <w:shd w:val="clear" w:color="auto" w:fill="auto"/>
        </w:rPr>
        <w:t>分钟内在线签字确认（不予确认或超时确认的应说明原因，否则视为无异议）；</w:t>
      </w:r>
    </w:p>
    <w:p w14:paraId="560CCEB8">
      <w:pPr>
        <w:pStyle w:val="29"/>
        <w:snapToGrid w:val="0"/>
        <w:spacing w:beforeLines="0" w:afterLines="0" w:line="420" w:lineRule="exact"/>
        <w:ind w:left="719" w:leftChars="228" w:hanging="240" w:hangingChars="100"/>
        <w:rPr>
          <w:rFonts w:hint="eastAsia" w:ascii="宋体" w:hAnsi="宋体" w:eastAsia="宋体" w:cs="宋体"/>
          <w:color w:val="auto"/>
          <w:highlight w:val="none"/>
          <w:shd w:val="clear" w:color="auto" w:fill="auto"/>
        </w:rPr>
      </w:pPr>
      <w:r>
        <w:rPr>
          <w:rFonts w:hint="eastAsia" w:hAnsi="宋体" w:cs="宋体"/>
          <w:color w:val="auto"/>
          <w:highlight w:val="none"/>
          <w:shd w:val="clear" w:color="auto" w:fill="auto"/>
          <w:lang w:val="en-US" w:eastAsia="zh-CN"/>
        </w:rPr>
        <w:t>8</w:t>
      </w:r>
      <w:r>
        <w:rPr>
          <w:rFonts w:hint="eastAsia" w:ascii="宋体" w:hAnsi="宋体" w:eastAsia="宋体" w:cs="宋体"/>
          <w:color w:val="auto"/>
          <w:highlight w:val="none"/>
          <w:shd w:val="clear" w:color="auto" w:fill="auto"/>
        </w:rPr>
        <w:t>.报价文件评审；</w:t>
      </w:r>
    </w:p>
    <w:p w14:paraId="1240C7A9">
      <w:pPr>
        <w:pStyle w:val="29"/>
        <w:snapToGrid w:val="0"/>
        <w:spacing w:beforeLines="0" w:afterLines="0" w:line="420" w:lineRule="exact"/>
        <w:ind w:firstLine="480" w:firstLineChars="200"/>
        <w:rPr>
          <w:rFonts w:hint="eastAsia" w:ascii="宋体" w:hAnsi="宋体" w:eastAsia="宋体" w:cs="宋体"/>
          <w:color w:val="auto"/>
          <w:highlight w:val="none"/>
          <w:shd w:val="clear" w:color="auto" w:fill="auto"/>
        </w:rPr>
      </w:pPr>
      <w:r>
        <w:rPr>
          <w:rFonts w:hint="eastAsia" w:hAnsi="宋体" w:cs="宋体"/>
          <w:color w:val="auto"/>
          <w:highlight w:val="none"/>
          <w:shd w:val="clear" w:color="auto" w:fill="auto"/>
          <w:lang w:val="en-US" w:eastAsia="zh-CN"/>
        </w:rPr>
        <w:t>9</w:t>
      </w:r>
      <w:r>
        <w:rPr>
          <w:rFonts w:hint="eastAsia" w:ascii="宋体" w:hAnsi="宋体" w:eastAsia="宋体" w:cs="宋体"/>
          <w:color w:val="auto"/>
          <w:highlight w:val="none"/>
          <w:shd w:val="clear" w:color="auto" w:fill="auto"/>
        </w:rPr>
        <w:t>．由主持人公布报价文件无效的投标人名单、投标无效的原因，宣布综合</w:t>
      </w:r>
      <w:bookmarkStart w:id="26" w:name="_Hlk59371720"/>
      <w:r>
        <w:rPr>
          <w:rFonts w:hint="eastAsia" w:ascii="宋体" w:hAnsi="宋体" w:eastAsia="宋体" w:cs="宋体"/>
          <w:color w:val="auto"/>
          <w:highlight w:val="none"/>
          <w:shd w:val="clear" w:color="auto" w:fill="auto"/>
        </w:rPr>
        <w:t>得分结果</w:t>
      </w:r>
      <w:bookmarkEnd w:id="26"/>
      <w:r>
        <w:rPr>
          <w:rFonts w:hint="eastAsia" w:ascii="宋体" w:hAnsi="宋体" w:eastAsia="宋体" w:cs="宋体"/>
          <w:color w:val="auto"/>
          <w:highlight w:val="none"/>
          <w:shd w:val="clear" w:color="auto" w:fill="auto"/>
        </w:rPr>
        <w:t>及中标候选人名单。</w:t>
      </w:r>
      <w:r>
        <w:rPr>
          <w:rFonts w:hint="eastAsia" w:ascii="宋体" w:hAnsi="宋体" w:eastAsia="宋体" w:cs="宋体"/>
          <w:b/>
          <w:bCs/>
          <w:color w:val="auto"/>
          <w:highlight w:val="none"/>
          <w:u w:val="single"/>
          <w:shd w:val="clear" w:color="auto" w:fill="auto"/>
        </w:rPr>
        <w:t>投标人可通过</w:t>
      </w:r>
      <w:bookmarkStart w:id="27" w:name="_Hlk59626287"/>
      <w:r>
        <w:rPr>
          <w:rFonts w:hint="eastAsia" w:ascii="宋体" w:hAnsi="宋体" w:eastAsia="宋体" w:cs="宋体"/>
          <w:b/>
          <w:bCs/>
          <w:color w:val="auto"/>
          <w:highlight w:val="none"/>
          <w:u w:val="single"/>
          <w:shd w:val="clear" w:color="auto" w:fill="auto"/>
        </w:rPr>
        <w:t>临海市限额以下公共资源交易区域平台</w:t>
      </w:r>
      <w:bookmarkEnd w:id="27"/>
      <w:r>
        <w:rPr>
          <w:rFonts w:hint="eastAsia" w:ascii="宋体" w:hAnsi="宋体" w:eastAsia="宋体" w:cs="宋体"/>
          <w:b/>
          <w:bCs/>
          <w:color w:val="auto"/>
          <w:highlight w:val="none"/>
          <w:u w:val="single"/>
          <w:shd w:val="clear" w:color="auto" w:fill="auto"/>
        </w:rPr>
        <w:t>-每日直播平台查看评审结果，请各投标人注意收看；</w:t>
      </w:r>
    </w:p>
    <w:p w14:paraId="2EC44BF9">
      <w:pPr>
        <w:pStyle w:val="29"/>
        <w:snapToGrid w:val="0"/>
        <w:spacing w:beforeLines="0" w:afterLines="0" w:line="420" w:lineRule="exact"/>
        <w:ind w:left="719" w:leftChars="228" w:hanging="240" w:hangingChars="100"/>
        <w:rPr>
          <w:rFonts w:hint="eastAsia" w:ascii="宋体" w:hAnsi="宋体" w:eastAsia="宋体" w:cs="宋体"/>
          <w:color w:val="auto"/>
          <w:highlight w:val="none"/>
          <w:shd w:val="clear" w:color="auto" w:fill="auto"/>
        </w:rPr>
      </w:pPr>
      <w:r>
        <w:rPr>
          <w:rFonts w:hint="eastAsia" w:hAnsi="宋体" w:cs="宋体"/>
          <w:color w:val="auto"/>
          <w:highlight w:val="none"/>
          <w:shd w:val="clear" w:color="auto" w:fill="auto"/>
          <w:lang w:val="en-US" w:eastAsia="zh-CN"/>
        </w:rPr>
        <w:t>10</w:t>
      </w:r>
      <w:r>
        <w:rPr>
          <w:rFonts w:hint="eastAsia" w:ascii="宋体" w:hAnsi="宋体" w:eastAsia="宋体" w:cs="宋体"/>
          <w:color w:val="auto"/>
          <w:highlight w:val="none"/>
          <w:shd w:val="clear" w:color="auto" w:fill="auto"/>
        </w:rPr>
        <w:t>．开标会议结束。</w:t>
      </w:r>
    </w:p>
    <w:p w14:paraId="103A1B87">
      <w:pPr>
        <w:pStyle w:val="29"/>
        <w:snapToGrid w:val="0"/>
        <w:spacing w:beforeLines="0" w:afterLines="0" w:line="420" w:lineRule="exact"/>
        <w:ind w:left="720" w:leftChars="228" w:hanging="241" w:hangingChars="100"/>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五、评标</w:t>
      </w:r>
    </w:p>
    <w:p w14:paraId="61F0B71E">
      <w:pPr>
        <w:pStyle w:val="29"/>
        <w:snapToGrid w:val="0"/>
        <w:spacing w:beforeLines="0" w:afterLines="0" w:line="420" w:lineRule="exact"/>
        <w:ind w:left="720" w:leftChars="228" w:hanging="241" w:hangingChars="100"/>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（一）组建评标委员会</w:t>
      </w:r>
    </w:p>
    <w:p w14:paraId="685C8B08">
      <w:pPr>
        <w:pStyle w:val="29"/>
        <w:snapToGrid w:val="0"/>
        <w:spacing w:beforeLines="0" w:afterLines="0" w:line="420" w:lineRule="exact"/>
        <w:ind w:firstLine="472" w:firstLineChars="196"/>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（1）本项目评标委员会由招标人依法组建。</w:t>
      </w:r>
    </w:p>
    <w:p w14:paraId="43081433">
      <w:pPr>
        <w:pStyle w:val="29"/>
        <w:snapToGrid w:val="0"/>
        <w:spacing w:beforeLines="0" w:afterLines="0" w:line="420" w:lineRule="exact"/>
        <w:ind w:firstLine="472" w:firstLineChars="196"/>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（2）评标委员会成员与参与投标的投标人有下列情形之一的，应当回避：</w:t>
      </w:r>
    </w:p>
    <w:p w14:paraId="586E5895">
      <w:pPr>
        <w:pStyle w:val="29"/>
        <w:snapToGrid w:val="0"/>
        <w:spacing w:beforeLines="0" w:afterLines="0" w:line="420" w:lineRule="exact"/>
        <w:ind w:firstLine="470" w:firstLineChars="196"/>
        <w:rPr>
          <w:rFonts w:hint="eastAsia" w:ascii="宋体" w:hAnsi="宋体" w:eastAsia="宋体" w:cs="宋体"/>
          <w:bCs/>
          <w:color w:val="auto"/>
          <w:highlight w:val="none"/>
          <w:shd w:val="clear" w:color="auto" w:fill="auto"/>
        </w:rPr>
      </w:pPr>
      <w:r>
        <w:rPr>
          <w:rFonts w:hint="eastAsia" w:ascii="宋体" w:hAnsi="宋体" w:eastAsia="宋体" w:cs="宋体"/>
          <w:bCs/>
          <w:color w:val="auto"/>
          <w:highlight w:val="none"/>
          <w:shd w:val="clear" w:color="auto" w:fill="auto"/>
        </w:rPr>
        <w:t>①参加采购活动前3年内与投标人存在劳动关系；</w:t>
      </w:r>
    </w:p>
    <w:p w14:paraId="66B7E71B">
      <w:pPr>
        <w:pStyle w:val="29"/>
        <w:snapToGrid w:val="0"/>
        <w:spacing w:beforeLines="0" w:afterLines="0" w:line="420" w:lineRule="exact"/>
        <w:ind w:firstLine="470" w:firstLineChars="196"/>
        <w:rPr>
          <w:rFonts w:hint="eastAsia" w:ascii="宋体" w:hAnsi="宋体" w:eastAsia="宋体" w:cs="宋体"/>
          <w:bCs/>
          <w:color w:val="auto"/>
          <w:highlight w:val="none"/>
          <w:shd w:val="clear" w:color="auto" w:fill="auto"/>
        </w:rPr>
      </w:pPr>
      <w:r>
        <w:rPr>
          <w:rFonts w:hint="eastAsia" w:ascii="宋体" w:hAnsi="宋体" w:eastAsia="宋体" w:cs="宋体"/>
          <w:bCs/>
          <w:color w:val="auto"/>
          <w:highlight w:val="none"/>
          <w:shd w:val="clear" w:color="auto" w:fill="auto"/>
        </w:rPr>
        <w:t>②参加采购活动前3年内担任投标人的董事、监事；</w:t>
      </w:r>
    </w:p>
    <w:p w14:paraId="117ABD45">
      <w:pPr>
        <w:pStyle w:val="29"/>
        <w:snapToGrid w:val="0"/>
        <w:spacing w:beforeLines="0" w:afterLines="0" w:line="420" w:lineRule="exact"/>
        <w:ind w:firstLine="470" w:firstLineChars="196"/>
        <w:rPr>
          <w:rFonts w:hint="eastAsia" w:ascii="宋体" w:hAnsi="宋体" w:eastAsia="宋体" w:cs="宋体"/>
          <w:bCs/>
          <w:color w:val="auto"/>
          <w:highlight w:val="none"/>
          <w:shd w:val="clear" w:color="auto" w:fill="auto"/>
        </w:rPr>
      </w:pPr>
      <w:r>
        <w:rPr>
          <w:rFonts w:hint="eastAsia" w:ascii="宋体" w:hAnsi="宋体" w:eastAsia="宋体" w:cs="宋体"/>
          <w:bCs/>
          <w:color w:val="auto"/>
          <w:highlight w:val="none"/>
          <w:shd w:val="clear" w:color="auto" w:fill="auto"/>
        </w:rPr>
        <w:t>③参加采购活动前3年内是投标人的控股股东或者实际控制人；</w:t>
      </w:r>
    </w:p>
    <w:p w14:paraId="01462C4B">
      <w:pPr>
        <w:pStyle w:val="29"/>
        <w:snapToGrid w:val="0"/>
        <w:spacing w:beforeLines="0" w:afterLines="0" w:line="420" w:lineRule="exact"/>
        <w:ind w:firstLine="470" w:firstLineChars="196"/>
        <w:rPr>
          <w:rFonts w:hint="eastAsia" w:ascii="宋体" w:hAnsi="宋体" w:eastAsia="宋体" w:cs="宋体"/>
          <w:bCs/>
          <w:color w:val="auto"/>
          <w:highlight w:val="none"/>
          <w:shd w:val="clear" w:color="auto" w:fill="auto"/>
        </w:rPr>
      </w:pPr>
      <w:r>
        <w:rPr>
          <w:rFonts w:hint="eastAsia" w:ascii="宋体" w:hAnsi="宋体" w:eastAsia="宋体" w:cs="宋体"/>
          <w:bCs/>
          <w:color w:val="auto"/>
          <w:highlight w:val="none"/>
          <w:shd w:val="clear" w:color="auto" w:fill="auto"/>
        </w:rPr>
        <w:t>④与投标人的法定代表人或者负责人有夫妻、直系血亲、三代以内旁系血亲或者近姻亲关系；</w:t>
      </w:r>
    </w:p>
    <w:p w14:paraId="037E7DC8">
      <w:pPr>
        <w:pStyle w:val="29"/>
        <w:snapToGrid w:val="0"/>
        <w:spacing w:beforeLines="0" w:afterLines="0" w:line="420" w:lineRule="exact"/>
        <w:ind w:firstLine="470" w:firstLineChars="196"/>
        <w:rPr>
          <w:rFonts w:hint="eastAsia" w:ascii="宋体" w:hAnsi="宋体" w:eastAsia="宋体" w:cs="宋体"/>
          <w:bCs/>
          <w:color w:val="auto"/>
          <w:highlight w:val="none"/>
          <w:shd w:val="clear" w:color="auto" w:fill="auto"/>
        </w:rPr>
      </w:pPr>
      <w:r>
        <w:rPr>
          <w:rFonts w:hint="eastAsia" w:ascii="宋体" w:hAnsi="宋体" w:eastAsia="宋体" w:cs="宋体"/>
          <w:bCs/>
          <w:color w:val="auto"/>
          <w:highlight w:val="none"/>
          <w:shd w:val="clear" w:color="auto" w:fill="auto"/>
        </w:rPr>
        <w:t>⑤与投标人有其他可能影响采购活动公平、公正进行的关系。</w:t>
      </w:r>
    </w:p>
    <w:p w14:paraId="549F4E09">
      <w:pPr>
        <w:pStyle w:val="29"/>
        <w:snapToGrid w:val="0"/>
        <w:spacing w:beforeLines="0" w:afterLines="0" w:line="420" w:lineRule="exact"/>
        <w:ind w:firstLine="472" w:firstLineChars="196"/>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（3）评标委员会负责具体评标事务，并独立履行下列职责：</w:t>
      </w:r>
    </w:p>
    <w:p w14:paraId="332FAB0F">
      <w:pPr>
        <w:pStyle w:val="29"/>
        <w:snapToGrid w:val="0"/>
        <w:spacing w:beforeLines="0" w:afterLines="0" w:line="420" w:lineRule="exact"/>
        <w:ind w:firstLine="470" w:firstLineChars="196"/>
        <w:rPr>
          <w:rFonts w:hint="eastAsia" w:ascii="宋体" w:hAnsi="宋体" w:eastAsia="宋体" w:cs="宋体"/>
          <w:bCs/>
          <w:color w:val="auto"/>
          <w:highlight w:val="none"/>
          <w:shd w:val="clear" w:color="auto" w:fill="auto"/>
        </w:rPr>
      </w:pPr>
      <w:r>
        <w:rPr>
          <w:rFonts w:hint="eastAsia" w:ascii="宋体" w:hAnsi="宋体" w:eastAsia="宋体" w:cs="宋体"/>
          <w:bCs/>
          <w:color w:val="auto"/>
          <w:highlight w:val="none"/>
          <w:shd w:val="clear" w:color="auto" w:fill="auto"/>
        </w:rPr>
        <w:t>1.审查、评价投标文件是否符合招标文件的商务、技术等实质性要求；</w:t>
      </w:r>
    </w:p>
    <w:p w14:paraId="7FDB4EF9">
      <w:pPr>
        <w:pStyle w:val="29"/>
        <w:snapToGrid w:val="0"/>
        <w:spacing w:beforeLines="0" w:afterLines="0" w:line="420" w:lineRule="exact"/>
        <w:ind w:firstLine="470" w:firstLineChars="196"/>
        <w:rPr>
          <w:rFonts w:hint="eastAsia" w:ascii="宋体" w:hAnsi="宋体" w:eastAsia="宋体" w:cs="宋体"/>
          <w:bCs/>
          <w:color w:val="auto"/>
          <w:highlight w:val="none"/>
          <w:shd w:val="clear" w:color="auto" w:fill="auto"/>
        </w:rPr>
      </w:pPr>
      <w:r>
        <w:rPr>
          <w:rFonts w:hint="eastAsia" w:ascii="宋体" w:hAnsi="宋体" w:eastAsia="宋体" w:cs="宋体"/>
          <w:bCs/>
          <w:color w:val="auto"/>
          <w:highlight w:val="none"/>
          <w:shd w:val="clear" w:color="auto" w:fill="auto"/>
        </w:rPr>
        <w:t>2.要求投标人对投标文件有关事项作出澄清或者说明；</w:t>
      </w:r>
    </w:p>
    <w:p w14:paraId="5B9D0FE8">
      <w:pPr>
        <w:pStyle w:val="29"/>
        <w:snapToGrid w:val="0"/>
        <w:spacing w:beforeLines="0" w:afterLines="0" w:line="420" w:lineRule="exact"/>
        <w:ind w:firstLine="470" w:firstLineChars="196"/>
        <w:rPr>
          <w:rFonts w:hint="eastAsia" w:ascii="宋体" w:hAnsi="宋体" w:eastAsia="宋体" w:cs="宋体"/>
          <w:bCs/>
          <w:color w:val="auto"/>
          <w:highlight w:val="none"/>
          <w:shd w:val="clear" w:color="auto" w:fill="auto"/>
        </w:rPr>
      </w:pPr>
      <w:r>
        <w:rPr>
          <w:rFonts w:hint="eastAsia" w:ascii="宋体" w:hAnsi="宋体" w:eastAsia="宋体" w:cs="宋体"/>
          <w:bCs/>
          <w:color w:val="auto"/>
          <w:highlight w:val="none"/>
          <w:shd w:val="clear" w:color="auto" w:fill="auto"/>
        </w:rPr>
        <w:t>3.对投标文件进行比较和评价；</w:t>
      </w:r>
    </w:p>
    <w:p w14:paraId="34D57923">
      <w:pPr>
        <w:pStyle w:val="29"/>
        <w:snapToGrid w:val="0"/>
        <w:spacing w:beforeLines="0" w:afterLines="0" w:line="420" w:lineRule="exact"/>
        <w:ind w:firstLine="470" w:firstLineChars="196"/>
        <w:rPr>
          <w:rFonts w:hint="eastAsia" w:ascii="宋体" w:hAnsi="宋体" w:eastAsia="宋体" w:cs="宋体"/>
          <w:bCs/>
          <w:color w:val="auto"/>
          <w:highlight w:val="none"/>
          <w:shd w:val="clear" w:color="auto" w:fill="auto"/>
        </w:rPr>
      </w:pPr>
      <w:r>
        <w:rPr>
          <w:rFonts w:hint="eastAsia" w:ascii="宋体" w:hAnsi="宋体" w:eastAsia="宋体" w:cs="宋体"/>
          <w:bCs/>
          <w:color w:val="auto"/>
          <w:highlight w:val="none"/>
          <w:shd w:val="clear" w:color="auto" w:fill="auto"/>
        </w:rPr>
        <w:t>4.确定中标候选人名单，以及根据招标人委托直接确定中标人；</w:t>
      </w:r>
    </w:p>
    <w:p w14:paraId="09C20CC0">
      <w:pPr>
        <w:pStyle w:val="29"/>
        <w:snapToGrid w:val="0"/>
        <w:spacing w:beforeLines="0" w:afterLines="0" w:line="420" w:lineRule="exact"/>
        <w:ind w:firstLine="470" w:firstLineChars="196"/>
        <w:rPr>
          <w:rFonts w:hint="eastAsia" w:ascii="宋体" w:hAnsi="宋体" w:eastAsia="宋体" w:cs="宋体"/>
          <w:bCs/>
          <w:color w:val="auto"/>
          <w:highlight w:val="none"/>
          <w:shd w:val="clear" w:color="auto" w:fill="auto"/>
        </w:rPr>
      </w:pPr>
      <w:r>
        <w:rPr>
          <w:rFonts w:hint="eastAsia" w:ascii="宋体" w:hAnsi="宋体" w:eastAsia="宋体" w:cs="宋体"/>
          <w:bCs/>
          <w:color w:val="auto"/>
          <w:highlight w:val="none"/>
          <w:shd w:val="clear" w:color="auto" w:fill="auto"/>
        </w:rPr>
        <w:t>5.向招标人、代理机构或者有关部门报告评标中发现的违法行为；</w:t>
      </w:r>
    </w:p>
    <w:p w14:paraId="1C0D2805">
      <w:pPr>
        <w:pStyle w:val="29"/>
        <w:snapToGrid w:val="0"/>
        <w:spacing w:beforeLines="0" w:afterLines="0" w:line="420" w:lineRule="exact"/>
        <w:ind w:firstLine="470" w:firstLineChars="196"/>
        <w:rPr>
          <w:rFonts w:hint="eastAsia" w:ascii="宋体" w:hAnsi="宋体" w:eastAsia="宋体" w:cs="宋体"/>
          <w:bCs/>
          <w:color w:val="auto"/>
          <w:highlight w:val="none"/>
          <w:shd w:val="clear" w:color="auto" w:fill="auto"/>
        </w:rPr>
      </w:pPr>
      <w:r>
        <w:rPr>
          <w:rFonts w:hint="eastAsia" w:ascii="宋体" w:hAnsi="宋体" w:eastAsia="宋体" w:cs="宋体"/>
          <w:bCs/>
          <w:color w:val="auto"/>
          <w:highlight w:val="none"/>
          <w:shd w:val="clear" w:color="auto" w:fill="auto"/>
        </w:rPr>
        <w:t>6.法律法规规定的其他职责。</w:t>
      </w:r>
    </w:p>
    <w:p w14:paraId="15CE0A9A">
      <w:pPr>
        <w:pStyle w:val="29"/>
        <w:snapToGrid w:val="0"/>
        <w:spacing w:beforeLines="0" w:afterLines="0" w:line="420" w:lineRule="exact"/>
        <w:ind w:firstLine="482" w:firstLineChars="200"/>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（二）评标的方式</w:t>
      </w:r>
    </w:p>
    <w:p w14:paraId="152530E7">
      <w:pPr>
        <w:pStyle w:val="29"/>
        <w:snapToGrid w:val="0"/>
        <w:spacing w:beforeLines="0" w:afterLines="0" w:line="420" w:lineRule="exact"/>
        <w:ind w:firstLine="480" w:firstLineChars="20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本项目采用不公开方式评标，评标的依据为招标文件和投标文件，本项目采用电子评审方法。</w:t>
      </w:r>
    </w:p>
    <w:p w14:paraId="11BFE926">
      <w:pPr>
        <w:pStyle w:val="29"/>
        <w:snapToGrid w:val="0"/>
        <w:spacing w:beforeLines="0" w:afterLines="0" w:line="420" w:lineRule="exact"/>
        <w:ind w:firstLine="482" w:firstLineChars="200"/>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（三）</w:t>
      </w:r>
      <w:r>
        <w:rPr>
          <w:rFonts w:hint="eastAsia" w:ascii="宋体" w:hAnsi="宋体" w:eastAsia="宋体" w:cs="宋体"/>
          <w:b/>
          <w:bCs/>
          <w:color w:val="auto"/>
          <w:highlight w:val="none"/>
          <w:shd w:val="clear" w:color="auto" w:fill="auto"/>
        </w:rPr>
        <w:t>评标程序</w:t>
      </w:r>
    </w:p>
    <w:p w14:paraId="01B39AAE">
      <w:pPr>
        <w:snapToGrid w:val="0"/>
        <w:spacing w:line="420" w:lineRule="exact"/>
        <w:ind w:firstLine="472" w:firstLineChars="196"/>
        <w:rPr>
          <w:rFonts w:hint="eastAsia" w:ascii="宋体" w:hAnsi="宋体" w:eastAsia="宋体" w:cs="宋体"/>
          <w:b/>
          <w:bCs/>
          <w:color w:val="auto"/>
          <w:sz w:val="24"/>
          <w:highlight w:val="none"/>
          <w:shd w:val="clear" w:color="auto" w:fill="auto"/>
        </w:rPr>
      </w:pPr>
      <w:r>
        <w:rPr>
          <w:rFonts w:hint="eastAsia" w:ascii="宋体" w:hAnsi="宋体" w:eastAsia="宋体" w:cs="宋体"/>
          <w:b/>
          <w:bCs/>
          <w:color w:val="auto"/>
          <w:sz w:val="24"/>
          <w:highlight w:val="none"/>
          <w:shd w:val="clear" w:color="auto" w:fill="auto"/>
        </w:rPr>
        <w:t>1.资格审查</w:t>
      </w:r>
    </w:p>
    <w:p w14:paraId="299C1FAC">
      <w:pPr>
        <w:snapToGrid w:val="0"/>
        <w:spacing w:line="420" w:lineRule="exact"/>
        <w:ind w:firstLine="470" w:firstLineChars="196"/>
        <w:rPr>
          <w:rFonts w:hint="eastAsia" w:ascii="宋体" w:hAnsi="宋体" w:eastAsia="宋体" w:cs="宋体"/>
          <w:b/>
          <w:bCs/>
          <w:color w:val="auto"/>
          <w:sz w:val="24"/>
          <w:highlight w:val="none"/>
          <w:shd w:val="clear" w:color="auto" w:fill="auto"/>
        </w:rPr>
      </w:pPr>
      <w:r>
        <w:rPr>
          <w:rFonts w:hint="eastAsia" w:ascii="宋体" w:hAnsi="宋体" w:eastAsia="宋体" w:cs="宋体"/>
          <w:color w:val="auto"/>
          <w:sz w:val="24"/>
          <w:highlight w:val="none"/>
          <w:shd w:val="clear" w:color="auto" w:fill="auto"/>
        </w:rPr>
        <w:t>采购项目开标结束后，招标人或者代理机构应当依法对投标人的资格进行审查，对审查发现无效的进行必要的询标，结束后公布无效投标的投标人名单、投标无效的原因。</w:t>
      </w:r>
    </w:p>
    <w:p w14:paraId="26E0F03E">
      <w:pPr>
        <w:snapToGrid w:val="0"/>
        <w:spacing w:line="420" w:lineRule="exact"/>
        <w:ind w:firstLine="472" w:firstLineChars="196"/>
        <w:rPr>
          <w:rFonts w:hint="eastAsia" w:ascii="宋体" w:hAnsi="宋体" w:eastAsia="宋体" w:cs="宋体"/>
          <w:b/>
          <w:bCs/>
          <w:color w:val="auto"/>
          <w:sz w:val="24"/>
          <w:highlight w:val="none"/>
          <w:shd w:val="clear" w:color="auto" w:fill="auto"/>
        </w:rPr>
      </w:pPr>
      <w:r>
        <w:rPr>
          <w:rFonts w:hint="eastAsia" w:ascii="宋体" w:hAnsi="宋体" w:eastAsia="宋体" w:cs="宋体"/>
          <w:b/>
          <w:bCs/>
          <w:color w:val="auto"/>
          <w:sz w:val="24"/>
          <w:highlight w:val="none"/>
          <w:shd w:val="clear" w:color="auto" w:fill="auto"/>
        </w:rPr>
        <w:t>2.符合性审查</w:t>
      </w:r>
    </w:p>
    <w:p w14:paraId="65D4F6D1">
      <w:pPr>
        <w:snapToGrid w:val="0"/>
        <w:spacing w:line="420" w:lineRule="exact"/>
        <w:ind w:firstLine="470" w:firstLineChars="196"/>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0F6B8D9C">
      <w:pPr>
        <w:snapToGrid w:val="0"/>
        <w:spacing w:line="420" w:lineRule="exact"/>
        <w:ind w:firstLine="241" w:firstLineChars="100"/>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（四）澄清问题的形式</w:t>
      </w:r>
    </w:p>
    <w:p w14:paraId="426006AC">
      <w:pPr>
        <w:pStyle w:val="29"/>
        <w:snapToGrid w:val="0"/>
        <w:spacing w:beforeLines="0" w:afterLines="0" w:line="420" w:lineRule="exact"/>
        <w:ind w:firstLine="480" w:firstLineChars="20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对投标文件中含义不明确、同类问题表述不一致或者有明显文字和计算错误的内容，评标委员会可要求投标人作出必要的</w:t>
      </w:r>
      <w:bookmarkStart w:id="28" w:name="_Hlk59372079"/>
      <w:r>
        <w:rPr>
          <w:rFonts w:hint="eastAsia" w:ascii="宋体" w:hAnsi="宋体" w:eastAsia="宋体" w:cs="宋体"/>
          <w:color w:val="auto"/>
          <w:highlight w:val="none"/>
          <w:shd w:val="clear" w:color="auto" w:fill="auto"/>
        </w:rPr>
        <w:t>澄清、说明</w:t>
      </w:r>
      <w:bookmarkEnd w:id="28"/>
      <w:r>
        <w:rPr>
          <w:rFonts w:hint="eastAsia" w:ascii="宋体" w:hAnsi="宋体" w:eastAsia="宋体" w:cs="宋体"/>
          <w:color w:val="auto"/>
          <w:highlight w:val="none"/>
          <w:shd w:val="clear" w:color="auto" w:fill="auto"/>
        </w:rPr>
        <w:t>或者补正。评标委员会的澄清内容及投标人的澄清、说明或者补正均通过</w:t>
      </w:r>
      <w:bookmarkStart w:id="29" w:name="_Hlk59371846"/>
      <w:r>
        <w:rPr>
          <w:rFonts w:hint="eastAsia" w:ascii="宋体" w:hAnsi="宋体" w:eastAsia="宋体" w:cs="宋体"/>
          <w:color w:val="auto"/>
          <w:highlight w:val="none"/>
          <w:shd w:val="clear" w:color="auto" w:fill="auto"/>
        </w:rPr>
        <w:t>电子交易平台交换数据电文。</w:t>
      </w:r>
      <w:bookmarkEnd w:id="29"/>
      <w:bookmarkStart w:id="30" w:name="_Hlk59700505"/>
      <w:r>
        <w:rPr>
          <w:rFonts w:hint="eastAsia" w:ascii="宋体" w:hAnsi="宋体" w:eastAsia="宋体" w:cs="宋体"/>
          <w:color w:val="auto"/>
          <w:highlight w:val="none"/>
          <w:shd w:val="clear" w:color="auto" w:fill="auto"/>
        </w:rPr>
        <w:t>同时代理机构也将通过临海市限额以下公共资源交易区域平台--每日直播平台</w:t>
      </w:r>
      <w:bookmarkStart w:id="31" w:name="_Hlk59371920"/>
      <w:r>
        <w:rPr>
          <w:rFonts w:hint="eastAsia" w:ascii="宋体" w:hAnsi="宋体" w:eastAsia="宋体" w:cs="宋体"/>
          <w:color w:val="auto"/>
          <w:highlight w:val="none"/>
          <w:shd w:val="clear" w:color="auto" w:fill="auto"/>
        </w:rPr>
        <w:t>进行问题澄清。</w:t>
      </w:r>
      <w:bookmarkEnd w:id="30"/>
    </w:p>
    <w:bookmarkEnd w:id="31"/>
    <w:p w14:paraId="49C1787F">
      <w:pPr>
        <w:snapToGrid w:val="0"/>
        <w:spacing w:line="420" w:lineRule="exact"/>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评标委员会发出澄清内容后，投标人应当在代理机构及平台上</w:t>
      </w:r>
      <w:r>
        <w:rPr>
          <w:rFonts w:hint="eastAsia" w:ascii="宋体" w:hAnsi="宋体" w:eastAsia="宋体" w:cs="宋体"/>
          <w:b/>
          <w:bCs/>
          <w:color w:val="auto"/>
          <w:sz w:val="24"/>
          <w:highlight w:val="none"/>
          <w:u w:val="single"/>
          <w:shd w:val="clear" w:color="auto" w:fill="auto"/>
        </w:rPr>
        <w:t>规定的时间内（</w:t>
      </w:r>
      <w:r>
        <w:rPr>
          <w:rFonts w:hint="eastAsia" w:ascii="宋体" w:hAnsi="宋体" w:eastAsia="宋体" w:cs="宋体"/>
          <w:b/>
          <w:bCs/>
          <w:color w:val="auto"/>
          <w:sz w:val="24"/>
          <w:highlight w:val="none"/>
          <w:u w:val="single"/>
          <w:shd w:val="clear" w:color="auto" w:fill="auto"/>
          <w:lang w:val="en-US" w:eastAsia="zh-CN"/>
        </w:rPr>
        <w:t>60</w:t>
      </w:r>
      <w:r>
        <w:rPr>
          <w:rFonts w:hint="eastAsia" w:ascii="宋体" w:hAnsi="宋体" w:eastAsia="宋体" w:cs="宋体"/>
          <w:b/>
          <w:bCs/>
          <w:color w:val="auto"/>
          <w:sz w:val="24"/>
          <w:highlight w:val="none"/>
          <w:u w:val="single"/>
          <w:shd w:val="clear" w:color="auto" w:fill="auto"/>
        </w:rPr>
        <w:t>分钟，具体时间以临海市限额以下公共资源交易区域平台系统上显示的时间为准）</w:t>
      </w:r>
      <w:r>
        <w:rPr>
          <w:rFonts w:hint="eastAsia" w:ascii="宋体" w:hAnsi="宋体" w:eastAsia="宋体" w:cs="宋体"/>
          <w:b/>
          <w:bCs/>
          <w:color w:val="auto"/>
          <w:sz w:val="24"/>
          <w:highlight w:val="none"/>
          <w:shd w:val="clear" w:color="auto" w:fill="auto"/>
        </w:rPr>
        <w:t>，</w:t>
      </w:r>
      <w:r>
        <w:rPr>
          <w:rFonts w:hint="eastAsia" w:ascii="宋体" w:hAnsi="宋体" w:eastAsia="宋体" w:cs="宋体"/>
          <w:color w:val="auto"/>
          <w:sz w:val="24"/>
          <w:highlight w:val="none"/>
          <w:shd w:val="clear" w:color="auto" w:fill="auto"/>
        </w:rPr>
        <w:t>提交澄清说明或补正，否则视为投标人放弃答复，并自行承担因此而产生的不利后果。澄清、说明或者补正不得超出投标文件的范围或者改变投标文件的实质性内容。</w:t>
      </w:r>
    </w:p>
    <w:p w14:paraId="612ACAE9">
      <w:pPr>
        <w:snapToGrid w:val="0"/>
        <w:spacing w:line="420" w:lineRule="exact"/>
        <w:ind w:firstLine="241" w:firstLineChars="100"/>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（五）错误修正</w:t>
      </w:r>
    </w:p>
    <w:p w14:paraId="071B50F5">
      <w:pPr>
        <w:snapToGrid w:val="0"/>
        <w:spacing w:line="420" w:lineRule="exact"/>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投标文件报价出现前后不一致的，按照下列规定修正：</w:t>
      </w:r>
    </w:p>
    <w:p w14:paraId="5F421915">
      <w:pPr>
        <w:numPr>
          <w:ilvl w:val="0"/>
          <w:numId w:val="6"/>
        </w:numPr>
        <w:snapToGrid w:val="0"/>
        <w:spacing w:line="420" w:lineRule="exact"/>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投标文件中开标一览表（报价表）内容与投标文件中相应内容不一致的，以开标一览表（报价表）为准</w:t>
      </w:r>
    </w:p>
    <w:p w14:paraId="19C661C0">
      <w:pPr>
        <w:numPr>
          <w:ilvl w:val="0"/>
          <w:numId w:val="6"/>
        </w:numPr>
        <w:snapToGrid w:val="0"/>
        <w:spacing w:line="420" w:lineRule="exact"/>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大写金额和小写金额不一致的，以大写金额为准；</w:t>
      </w:r>
    </w:p>
    <w:p w14:paraId="2FA5B542">
      <w:pPr>
        <w:snapToGrid w:val="0"/>
        <w:spacing w:line="420" w:lineRule="exact"/>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（三）单价金额小数点或者百分比有明显错位的，以开标一览表的总价为准，并修改单价；</w:t>
      </w:r>
    </w:p>
    <w:p w14:paraId="2001A42A">
      <w:pPr>
        <w:snapToGrid w:val="0"/>
        <w:spacing w:line="420" w:lineRule="exact"/>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（四）总价金额与按单价汇总金额不一致的，以单价金额计算结果为准。</w:t>
      </w:r>
    </w:p>
    <w:p w14:paraId="22055BE3">
      <w:pPr>
        <w:snapToGrid w:val="0"/>
        <w:spacing w:line="420" w:lineRule="exact"/>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（五）对不同文字文本投标文件的解释发生异议的，以中文文本为准。</w:t>
      </w:r>
    </w:p>
    <w:p w14:paraId="4B4D3770">
      <w:pPr>
        <w:snapToGrid w:val="0"/>
        <w:spacing w:line="420" w:lineRule="exact"/>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73CEDBD9">
      <w:pPr>
        <w:pStyle w:val="29"/>
        <w:tabs>
          <w:tab w:val="left" w:pos="630"/>
        </w:tabs>
        <w:snapToGrid w:val="0"/>
        <w:spacing w:beforeLines="0" w:afterLines="0" w:line="420" w:lineRule="exact"/>
        <w:ind w:firstLine="241" w:firstLineChars="100"/>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（六）评标原则和评标办法</w:t>
      </w:r>
    </w:p>
    <w:p w14:paraId="03230174">
      <w:pPr>
        <w:pStyle w:val="29"/>
        <w:snapToGrid w:val="0"/>
        <w:spacing w:beforeLines="0" w:afterLines="0" w:line="420" w:lineRule="exact"/>
        <w:ind w:firstLine="480" w:firstLineChars="20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5CF8FF25">
      <w:pPr>
        <w:pStyle w:val="29"/>
        <w:snapToGrid w:val="0"/>
        <w:spacing w:beforeLines="0" w:afterLines="0" w:line="420" w:lineRule="exact"/>
        <w:ind w:firstLine="480" w:firstLineChars="20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2.评标办法。本项目评标办法是</w:t>
      </w:r>
      <w:r>
        <w:rPr>
          <w:rFonts w:hint="eastAsia" w:ascii="宋体" w:hAnsi="宋体" w:eastAsia="宋体" w:cs="宋体"/>
          <w:b/>
          <w:color w:val="auto"/>
          <w:highlight w:val="none"/>
          <w:u w:val="single"/>
          <w:shd w:val="clear" w:color="auto" w:fill="auto"/>
        </w:rPr>
        <w:t>综合评分法</w:t>
      </w:r>
      <w:r>
        <w:rPr>
          <w:rFonts w:hint="eastAsia" w:ascii="宋体" w:hAnsi="宋体" w:eastAsia="宋体" w:cs="宋体"/>
          <w:color w:val="auto"/>
          <w:highlight w:val="none"/>
          <w:shd w:val="clear" w:color="auto" w:fill="auto"/>
        </w:rPr>
        <w:t>，具体评标内容及评分标准等详见《第四章：评标办法及评分标准》。</w:t>
      </w:r>
    </w:p>
    <w:p w14:paraId="64ED867A">
      <w:pPr>
        <w:spacing w:line="420" w:lineRule="exact"/>
        <w:ind w:firstLine="482" w:firstLineChars="200"/>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六、定标</w:t>
      </w:r>
    </w:p>
    <w:p w14:paraId="37F67A07">
      <w:pPr>
        <w:spacing w:line="420" w:lineRule="exact"/>
        <w:ind w:firstLine="482" w:firstLineChars="200"/>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（一）确定中标人</w:t>
      </w:r>
    </w:p>
    <w:p w14:paraId="03408C00">
      <w:pPr>
        <w:spacing w:line="420" w:lineRule="exact"/>
        <w:ind w:firstLine="480" w:firstLineChars="200"/>
        <w:rPr>
          <w:rFonts w:hint="eastAsia" w:ascii="宋体" w:hAnsi="宋体" w:eastAsia="宋体" w:cs="宋体"/>
          <w:b/>
          <w:bCs/>
          <w:color w:val="auto"/>
          <w:sz w:val="24"/>
          <w:highlight w:val="none"/>
          <w:shd w:val="clear" w:color="auto" w:fill="auto"/>
        </w:rPr>
      </w:pPr>
      <w:r>
        <w:rPr>
          <w:rFonts w:hint="eastAsia" w:ascii="宋体" w:hAnsi="宋体" w:eastAsia="宋体" w:cs="宋体"/>
          <w:bCs/>
          <w:color w:val="auto"/>
          <w:sz w:val="24"/>
          <w:highlight w:val="none"/>
          <w:shd w:val="clear" w:color="auto" w:fill="auto"/>
        </w:rPr>
        <w:t>1.招标人在评标结束后2</w:t>
      </w:r>
      <w:r>
        <w:rPr>
          <w:rFonts w:hint="eastAsia" w:ascii="宋体" w:hAnsi="宋体" w:eastAsia="宋体" w:cs="宋体"/>
          <w:color w:val="auto"/>
          <w:sz w:val="24"/>
          <w:highlight w:val="none"/>
          <w:shd w:val="clear" w:color="auto" w:fill="auto"/>
        </w:rPr>
        <w:t>个工作日内将评标报告交招标人确认</w:t>
      </w:r>
      <w:r>
        <w:rPr>
          <w:rFonts w:hint="eastAsia" w:ascii="宋体" w:hAnsi="宋体" w:eastAsia="宋体" w:cs="宋体"/>
          <w:b/>
          <w:bCs/>
          <w:color w:val="auto"/>
          <w:sz w:val="24"/>
          <w:highlight w:val="none"/>
          <w:shd w:val="clear" w:color="auto" w:fill="auto"/>
        </w:rPr>
        <w:t>，</w:t>
      </w:r>
      <w:r>
        <w:rPr>
          <w:rFonts w:hint="eastAsia" w:ascii="宋体" w:hAnsi="宋体" w:eastAsia="宋体" w:cs="宋体"/>
          <w:color w:val="auto"/>
          <w:sz w:val="24"/>
          <w:highlight w:val="none"/>
          <w:shd w:val="clear" w:color="auto" w:fill="auto"/>
        </w:rPr>
        <w:t>招标人应在收到评标报告后5个工作日内对评标结果进行确认。如有投标人对评标结果提出质疑的，招标人可在质疑处理完毕后确定中标人。</w:t>
      </w:r>
    </w:p>
    <w:p w14:paraId="0AAD3A2D">
      <w:pPr>
        <w:snapToGrid w:val="0"/>
        <w:spacing w:line="420" w:lineRule="exact"/>
        <w:ind w:firstLine="480" w:firstLineChars="200"/>
        <w:rPr>
          <w:rFonts w:hint="eastAsia" w:ascii="宋体" w:hAnsi="宋体" w:eastAsia="宋体" w:cs="宋体"/>
          <w:b/>
          <w:bCs/>
          <w:color w:val="auto"/>
          <w:sz w:val="24"/>
          <w:highlight w:val="none"/>
          <w:u w:val="single"/>
          <w:shd w:val="clear" w:color="auto" w:fill="auto"/>
        </w:rPr>
      </w:pPr>
      <w:r>
        <w:rPr>
          <w:rFonts w:hint="eastAsia" w:ascii="宋体" w:hAnsi="宋体" w:cs="宋体"/>
          <w:color w:val="auto"/>
          <w:sz w:val="24"/>
          <w:highlight w:val="none"/>
          <w:shd w:val="clear" w:color="auto" w:fill="auto"/>
          <w:lang w:val="en-US" w:eastAsia="zh-CN"/>
        </w:rPr>
        <w:t>2</w:t>
      </w:r>
      <w:r>
        <w:rPr>
          <w:rFonts w:hint="eastAsia" w:ascii="宋体" w:hAnsi="宋体" w:eastAsia="宋体" w:cs="宋体"/>
          <w:color w:val="auto"/>
          <w:sz w:val="24"/>
          <w:highlight w:val="none"/>
          <w:shd w:val="clear" w:color="auto" w:fill="auto"/>
        </w:rPr>
        <w:t>.招标人依法确定中标人后2个工作日内，招标人以书面形式发出《中标通知书》,并同时在采购公告发布的网站上发布成交结果公告。</w:t>
      </w:r>
      <w:r>
        <w:rPr>
          <w:rFonts w:hint="eastAsia" w:ascii="宋体" w:hAnsi="宋体" w:eastAsia="宋体" w:cs="宋体"/>
          <w:b/>
          <w:bCs/>
          <w:color w:val="auto"/>
          <w:sz w:val="24"/>
          <w:highlight w:val="none"/>
          <w:u w:val="single"/>
          <w:shd w:val="clear" w:color="auto" w:fill="auto"/>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5ACAEBB0">
      <w:pPr>
        <w:snapToGrid w:val="0"/>
        <w:spacing w:line="420" w:lineRule="exact"/>
        <w:ind w:firstLine="480" w:firstLineChars="200"/>
        <w:rPr>
          <w:rFonts w:hint="eastAsia" w:ascii="宋体" w:hAnsi="宋体" w:eastAsia="宋体" w:cs="宋体"/>
          <w:color w:val="auto"/>
          <w:sz w:val="24"/>
          <w:highlight w:val="none"/>
          <w:shd w:val="clear" w:color="auto" w:fill="auto"/>
        </w:rPr>
      </w:pPr>
      <w:r>
        <w:rPr>
          <w:rFonts w:hint="eastAsia" w:ascii="宋体" w:hAnsi="宋体" w:cs="宋体"/>
          <w:color w:val="auto"/>
          <w:sz w:val="24"/>
          <w:highlight w:val="none"/>
          <w:shd w:val="clear" w:color="auto" w:fill="auto"/>
          <w:lang w:val="en-US" w:eastAsia="zh-CN"/>
        </w:rPr>
        <w:t>3</w:t>
      </w:r>
      <w:r>
        <w:rPr>
          <w:rFonts w:hint="eastAsia" w:ascii="宋体" w:hAnsi="宋体" w:eastAsia="宋体" w:cs="宋体"/>
          <w:color w:val="auto"/>
          <w:sz w:val="24"/>
          <w:highlight w:val="none"/>
          <w:shd w:val="clear" w:color="auto" w:fill="auto"/>
        </w:rPr>
        <w:t>.定标中，应坚持第一中标候选人为首选中标人，但出现其它原因的，招标人可以确定排名第二的候选人为中标人，</w:t>
      </w:r>
      <w:r>
        <w:rPr>
          <w:rFonts w:hint="eastAsia" w:ascii="宋体" w:hAnsi="宋体" w:eastAsia="宋体" w:cs="宋体"/>
          <w:b/>
          <w:color w:val="auto"/>
          <w:sz w:val="24"/>
          <w:highlight w:val="none"/>
          <w:shd w:val="clear" w:color="auto" w:fill="auto"/>
        </w:rPr>
        <w:t>或重新组织招标。</w:t>
      </w:r>
      <w:bookmarkStart w:id="32" w:name="_Hlk59369379"/>
      <w:r>
        <w:rPr>
          <w:rFonts w:hint="eastAsia" w:ascii="宋体" w:hAnsi="宋体" w:eastAsia="宋体" w:cs="宋体"/>
          <w:color w:val="auto"/>
          <w:sz w:val="24"/>
          <w:highlight w:val="none"/>
          <w:shd w:val="clear" w:color="auto" w:fill="auto"/>
        </w:rPr>
        <w:t xml:space="preserve"> </w:t>
      </w:r>
    </w:p>
    <w:p w14:paraId="77AD5EF2">
      <w:pPr>
        <w:snapToGrid w:val="0"/>
        <w:spacing w:line="420" w:lineRule="exact"/>
        <w:ind w:firstLine="482" w:firstLineChars="200"/>
        <w:rPr>
          <w:rFonts w:hint="eastAsia" w:ascii="宋体" w:hAnsi="宋体" w:eastAsia="宋体" w:cs="宋体"/>
          <w:b/>
          <w:color w:val="auto"/>
          <w:sz w:val="24"/>
          <w:highlight w:val="none"/>
          <w:shd w:val="clear" w:color="auto" w:fill="auto"/>
        </w:rPr>
      </w:pPr>
      <w:r>
        <w:rPr>
          <w:rFonts w:hint="eastAsia" w:ascii="宋体" w:hAnsi="宋体" w:cs="宋体"/>
          <w:b/>
          <w:color w:val="auto"/>
          <w:sz w:val="24"/>
          <w:highlight w:val="none"/>
          <w:shd w:val="clear" w:color="auto" w:fill="auto"/>
          <w:lang w:val="en-US" w:eastAsia="zh-CN"/>
        </w:rPr>
        <w:t>4</w:t>
      </w:r>
      <w:r>
        <w:rPr>
          <w:rFonts w:hint="eastAsia" w:ascii="宋体" w:hAnsi="宋体" w:eastAsia="宋体" w:cs="宋体"/>
          <w:b/>
          <w:color w:val="auto"/>
          <w:sz w:val="24"/>
          <w:highlight w:val="none"/>
          <w:shd w:val="clear" w:color="auto" w:fill="auto"/>
          <w:lang w:val="en-US" w:eastAsia="zh-CN"/>
        </w:rPr>
        <w:t>.</w:t>
      </w:r>
      <w:r>
        <w:rPr>
          <w:rFonts w:hint="eastAsia" w:ascii="宋体" w:hAnsi="宋体" w:eastAsia="宋体" w:cs="宋体"/>
          <w:color w:val="auto"/>
          <w:highlight w:val="none"/>
          <w:shd w:val="clear" w:color="auto" w:fill="auto"/>
        </w:rPr>
        <w:t xml:space="preserve"> </w:t>
      </w:r>
      <w:r>
        <w:rPr>
          <w:rFonts w:hint="eastAsia" w:ascii="宋体" w:hAnsi="宋体" w:eastAsia="宋体" w:cs="宋体"/>
          <w:b/>
          <w:color w:val="auto"/>
          <w:sz w:val="24"/>
          <w:highlight w:val="none"/>
          <w:shd w:val="clear" w:color="auto" w:fill="auto"/>
        </w:rPr>
        <w:t>本项目为非政府采购项目，如中标通知书发出后，中标人放弃中标项目的，参照《政府采购法》第四十六条之规定，应当依法承担法律责任。</w:t>
      </w:r>
    </w:p>
    <w:p w14:paraId="275E2801">
      <w:pPr>
        <w:snapToGrid w:val="0"/>
        <w:spacing w:line="420" w:lineRule="exact"/>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7064D667">
      <w:pPr>
        <w:snapToGrid w:val="0"/>
        <w:spacing w:line="420" w:lineRule="exact"/>
        <w:ind w:firstLine="480" w:firstLineChars="200"/>
        <w:rPr>
          <w:rFonts w:hint="eastAsia" w:ascii="宋体" w:hAnsi="宋体" w:eastAsia="宋体" w:cs="宋体"/>
          <w:color w:val="auto"/>
          <w:sz w:val="24"/>
          <w:highlight w:val="none"/>
          <w:shd w:val="clear" w:color="auto" w:fill="auto"/>
        </w:rPr>
      </w:pPr>
      <w:r>
        <w:rPr>
          <w:rFonts w:hint="eastAsia" w:ascii="宋体" w:hAnsi="宋体" w:cs="宋体"/>
          <w:color w:val="auto"/>
          <w:sz w:val="24"/>
          <w:highlight w:val="none"/>
          <w:shd w:val="clear" w:color="auto" w:fill="auto"/>
          <w:lang w:val="en-US" w:eastAsia="zh-CN"/>
        </w:rPr>
        <w:t>5</w:t>
      </w:r>
      <w:r>
        <w:rPr>
          <w:rFonts w:hint="eastAsia" w:ascii="宋体" w:hAnsi="宋体" w:eastAsia="宋体" w:cs="宋体"/>
          <w:color w:val="auto"/>
          <w:sz w:val="24"/>
          <w:highlight w:val="none"/>
          <w:shd w:val="clear" w:color="auto" w:fill="auto"/>
        </w:rPr>
        <w:t>.</w:t>
      </w:r>
      <w:r>
        <w:rPr>
          <w:rFonts w:hint="eastAsia" w:ascii="宋体" w:hAnsi="宋体" w:eastAsia="宋体" w:cs="宋体"/>
          <w:b/>
          <w:bCs/>
          <w:color w:val="auto"/>
          <w:sz w:val="24"/>
          <w:highlight w:val="none"/>
          <w:u w:val="single"/>
          <w:shd w:val="clear" w:color="auto" w:fill="auto"/>
        </w:rPr>
        <w:t>为营造更优质的营商环境，</w:t>
      </w:r>
      <w:bookmarkStart w:id="33" w:name="_Hlk59708763"/>
      <w:r>
        <w:rPr>
          <w:rFonts w:hint="eastAsia" w:ascii="宋体" w:hAnsi="宋体" w:eastAsia="宋体" w:cs="宋体"/>
          <w:b/>
          <w:bCs/>
          <w:color w:val="auto"/>
          <w:sz w:val="24"/>
          <w:highlight w:val="none"/>
          <w:u w:val="single"/>
          <w:shd w:val="clear" w:color="auto" w:fill="auto"/>
        </w:rPr>
        <w:t>中标人可选择代理机构以邮寄方式向其寄达《中标通知书》（邮寄地址、收件人等信息请在“投标函”中详细写明，邮费可到付）。</w:t>
      </w:r>
      <w:bookmarkEnd w:id="33"/>
      <w:bookmarkStart w:id="34" w:name="_Hlk59708451"/>
      <w:r>
        <w:rPr>
          <w:rFonts w:hint="eastAsia" w:ascii="宋体" w:hAnsi="宋体" w:eastAsia="宋体" w:cs="宋体"/>
          <w:b/>
          <w:bCs/>
          <w:color w:val="auto"/>
          <w:sz w:val="24"/>
          <w:highlight w:val="none"/>
          <w:u w:val="single"/>
          <w:shd w:val="clear" w:color="auto" w:fill="auto"/>
        </w:rPr>
        <w:t>同时中标人应在中标后</w:t>
      </w:r>
      <w:bookmarkStart w:id="35" w:name="_Hlk59521069"/>
      <w:r>
        <w:rPr>
          <w:rFonts w:hint="eastAsia" w:ascii="宋体" w:hAnsi="宋体" w:eastAsia="宋体" w:cs="宋体"/>
          <w:b/>
          <w:bCs/>
          <w:color w:val="auto"/>
          <w:sz w:val="24"/>
          <w:highlight w:val="none"/>
          <w:u w:val="single"/>
          <w:shd w:val="clear" w:color="auto" w:fill="auto"/>
        </w:rPr>
        <w:t>以邮寄</w:t>
      </w:r>
      <w:bookmarkEnd w:id="35"/>
      <w:r>
        <w:rPr>
          <w:rFonts w:hint="eastAsia" w:ascii="宋体" w:hAnsi="宋体" w:eastAsia="宋体" w:cs="宋体"/>
          <w:b/>
          <w:bCs/>
          <w:color w:val="auto"/>
          <w:sz w:val="24"/>
          <w:highlight w:val="none"/>
          <w:u w:val="single"/>
          <w:shd w:val="clear" w:color="auto" w:fill="auto"/>
        </w:rPr>
        <w:t>或其他方式向代理机构提供3套与电子版投标文件相同的胶装版本投标文件。</w:t>
      </w:r>
      <w:bookmarkEnd w:id="32"/>
      <w:bookmarkEnd w:id="34"/>
    </w:p>
    <w:p w14:paraId="0BD5E5EF">
      <w:pPr>
        <w:spacing w:line="420" w:lineRule="exact"/>
        <w:ind w:firstLine="482" w:firstLineChars="200"/>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七、合同授予</w:t>
      </w:r>
    </w:p>
    <w:p w14:paraId="094BB9A6">
      <w:pPr>
        <w:snapToGrid w:val="0"/>
        <w:spacing w:line="420" w:lineRule="exact"/>
        <w:ind w:firstLine="472" w:firstLineChars="196"/>
        <w:rPr>
          <w:rFonts w:hint="eastAsia" w:ascii="宋体" w:hAnsi="宋体" w:eastAsia="宋体" w:cs="宋体"/>
          <w:b/>
          <w:bCs/>
          <w:color w:val="auto"/>
          <w:sz w:val="24"/>
          <w:highlight w:val="none"/>
          <w:shd w:val="clear" w:color="auto" w:fill="auto"/>
        </w:rPr>
      </w:pPr>
      <w:r>
        <w:rPr>
          <w:rFonts w:hint="eastAsia" w:ascii="宋体" w:hAnsi="宋体" w:eastAsia="宋体" w:cs="宋体"/>
          <w:b/>
          <w:bCs/>
          <w:color w:val="auto"/>
          <w:sz w:val="24"/>
          <w:highlight w:val="none"/>
          <w:shd w:val="clear" w:color="auto" w:fill="auto"/>
        </w:rPr>
        <w:t>（一）签订合同</w:t>
      </w:r>
    </w:p>
    <w:p w14:paraId="36141BEC">
      <w:pPr>
        <w:snapToGrid w:val="0"/>
        <w:spacing w:line="420" w:lineRule="exact"/>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1.招标人与中标</w:t>
      </w:r>
      <w:r>
        <w:rPr>
          <w:rFonts w:hint="eastAsia" w:ascii="宋体" w:hAnsi="宋体" w:eastAsia="宋体" w:cs="宋体"/>
          <w:b/>
          <w:color w:val="auto"/>
          <w:sz w:val="24"/>
          <w:highlight w:val="none"/>
          <w:shd w:val="clear" w:color="auto" w:fill="auto"/>
        </w:rPr>
        <w:t>人应当在《中标通知书》发出之日起30日内签订采购合同，</w:t>
      </w:r>
      <w:r>
        <w:rPr>
          <w:rFonts w:hint="eastAsia" w:ascii="宋体" w:hAnsi="宋体" w:eastAsia="宋体" w:cs="宋体"/>
          <w:color w:val="auto"/>
          <w:sz w:val="24"/>
          <w:highlight w:val="none"/>
          <w:shd w:val="clear" w:color="auto" w:fill="auto"/>
        </w:rPr>
        <w:t>并且在同一时间送至代理机构见证盖章（合同一式不少于四份，招标人与中标人各执一份，</w:t>
      </w:r>
      <w:bookmarkStart w:id="36" w:name="_Hlk59626706"/>
      <w:r>
        <w:rPr>
          <w:rFonts w:hint="eastAsia" w:ascii="宋体" w:hAnsi="宋体" w:eastAsia="宋体" w:cs="宋体"/>
          <w:color w:val="auto"/>
          <w:sz w:val="24"/>
          <w:highlight w:val="none"/>
          <w:shd w:val="clear" w:color="auto" w:fill="auto"/>
        </w:rPr>
        <w:t>代理机构</w:t>
      </w:r>
      <w:bookmarkEnd w:id="36"/>
      <w:r>
        <w:rPr>
          <w:rFonts w:hint="eastAsia" w:ascii="宋体" w:hAnsi="宋体" w:eastAsia="宋体" w:cs="宋体"/>
          <w:color w:val="auto"/>
          <w:sz w:val="24"/>
          <w:highlight w:val="none"/>
          <w:shd w:val="clear" w:color="auto" w:fill="auto"/>
        </w:rPr>
        <w:t>留存二份），招标人对合同内容进行审查，如发现与采购结果和投标承诺内容不一致的，予以纠正。</w:t>
      </w:r>
      <w:r>
        <w:rPr>
          <w:rFonts w:hint="eastAsia" w:ascii="宋体" w:hAnsi="宋体" w:eastAsia="宋体" w:cs="宋体"/>
          <w:b/>
          <w:bCs/>
          <w:color w:val="auto"/>
          <w:sz w:val="24"/>
          <w:highlight w:val="none"/>
          <w:u w:val="single"/>
          <w:shd w:val="clear" w:color="auto" w:fill="auto"/>
        </w:rPr>
        <w:t>为营造更优质的营商环境，</w:t>
      </w:r>
      <w:bookmarkStart w:id="37" w:name="_Hlk59627623"/>
      <w:r>
        <w:rPr>
          <w:rFonts w:hint="eastAsia" w:ascii="宋体" w:hAnsi="宋体" w:eastAsia="宋体" w:cs="宋体"/>
          <w:b/>
          <w:bCs/>
          <w:color w:val="auto"/>
          <w:sz w:val="24"/>
          <w:highlight w:val="none"/>
          <w:u w:val="single"/>
          <w:shd w:val="clear" w:color="auto" w:fill="auto"/>
        </w:rPr>
        <w:t>中标人可选择代理机构以邮寄方式向其寄达</w:t>
      </w:r>
      <w:bookmarkStart w:id="38" w:name="_Hlk59708805"/>
      <w:r>
        <w:rPr>
          <w:rFonts w:hint="eastAsia" w:ascii="宋体" w:hAnsi="宋体" w:eastAsia="宋体" w:cs="宋体"/>
          <w:b/>
          <w:bCs/>
          <w:color w:val="auto"/>
          <w:sz w:val="24"/>
          <w:highlight w:val="none"/>
          <w:u w:val="single"/>
          <w:shd w:val="clear" w:color="auto" w:fill="auto"/>
        </w:rPr>
        <w:t>《采购合同》</w:t>
      </w:r>
      <w:bookmarkEnd w:id="38"/>
      <w:r>
        <w:rPr>
          <w:rFonts w:hint="eastAsia" w:ascii="宋体" w:hAnsi="宋体" w:eastAsia="宋体" w:cs="宋体"/>
          <w:b/>
          <w:bCs/>
          <w:color w:val="auto"/>
          <w:sz w:val="24"/>
          <w:highlight w:val="none"/>
          <w:u w:val="single"/>
          <w:shd w:val="clear" w:color="auto" w:fill="auto"/>
        </w:rPr>
        <w:t>。</w:t>
      </w:r>
    </w:p>
    <w:bookmarkEnd w:id="37"/>
    <w:p w14:paraId="5462D68E">
      <w:pPr>
        <w:spacing w:line="420" w:lineRule="exact"/>
        <w:ind w:firstLine="480" w:firstLineChars="200"/>
        <w:rPr>
          <w:rFonts w:hint="eastAsia" w:ascii="宋体" w:hAnsi="宋体" w:eastAsia="宋体" w:cs="宋体"/>
          <w:bCs/>
          <w:color w:val="auto"/>
          <w:sz w:val="24"/>
          <w:highlight w:val="none"/>
          <w:shd w:val="clear" w:color="auto" w:fill="auto"/>
        </w:rPr>
      </w:pPr>
      <w:r>
        <w:rPr>
          <w:rFonts w:hint="eastAsia" w:ascii="宋体" w:hAnsi="宋体" w:eastAsia="宋体" w:cs="宋体"/>
          <w:color w:val="auto"/>
          <w:sz w:val="24"/>
          <w:highlight w:val="none"/>
          <w:shd w:val="clear" w:color="auto" w:fill="auto"/>
        </w:rPr>
        <w:t>2.中标或者成交人拒绝与招标人签订合同的，招标人可以按照评审报告推荐的中标或者成交候选人名单排序，确定下一候选人为中标或者成交人，也可</w:t>
      </w:r>
      <w:r>
        <w:rPr>
          <w:rFonts w:hint="eastAsia" w:ascii="宋体" w:hAnsi="宋体" w:eastAsia="宋体" w:cs="宋体"/>
          <w:bCs/>
          <w:color w:val="auto"/>
          <w:sz w:val="24"/>
          <w:highlight w:val="none"/>
          <w:shd w:val="clear" w:color="auto" w:fill="auto"/>
        </w:rPr>
        <w:t>以重新开展采购活动。拒绝签订采购合同的成交人不得参加对该项目重新开展的采购活动。</w:t>
      </w:r>
    </w:p>
    <w:p w14:paraId="4A3C9817">
      <w:pPr>
        <w:spacing w:line="420" w:lineRule="exact"/>
        <w:ind w:firstLine="482" w:firstLineChars="200"/>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（二）履约保证金</w:t>
      </w:r>
    </w:p>
    <w:p w14:paraId="388C613F">
      <w:pPr>
        <w:spacing w:line="420" w:lineRule="exact"/>
        <w:ind w:left="479" w:leftChars="228" w:firstLine="0" w:firstLineChars="0"/>
        <w:rPr>
          <w:rFonts w:hint="eastAsia" w:ascii="宋体" w:hAnsi="宋体" w:eastAsia="宋体" w:cs="宋体"/>
          <w:color w:val="auto"/>
          <w:sz w:val="24"/>
          <w:highlight w:val="none"/>
          <w:shd w:val="clear" w:color="auto" w:fill="auto"/>
          <w:lang w:eastAsia="zh-CN"/>
        </w:rPr>
      </w:pPr>
      <w:r>
        <w:rPr>
          <w:rFonts w:hint="eastAsia" w:ascii="宋体" w:hAnsi="宋体" w:eastAsia="宋体" w:cs="宋体"/>
          <w:color w:val="auto"/>
          <w:sz w:val="24"/>
          <w:highlight w:val="none"/>
          <w:shd w:val="clear" w:color="auto" w:fill="auto"/>
        </w:rPr>
        <w:t>签订合同后，如中标人不按双方合同约定履约，则其履约保证金将予以扣罚，履约保证金不足以赔偿损失的，按实际损失赔偿。</w:t>
      </w:r>
      <w:bookmarkStart w:id="39" w:name="_Toc466534750"/>
    </w:p>
    <w:p w14:paraId="60DCCCF2">
      <w:pPr>
        <w:pStyle w:val="3"/>
        <w:rPr>
          <w:rFonts w:hint="eastAsia" w:ascii="宋体" w:hAnsi="宋体" w:eastAsia="宋体" w:cs="宋体"/>
          <w:color w:val="auto"/>
          <w:highlight w:val="none"/>
          <w:lang w:eastAsia="zh-CN"/>
        </w:rPr>
      </w:pPr>
    </w:p>
    <w:p w14:paraId="1FD44A85">
      <w:pPr>
        <w:spacing w:before="120" w:beforeLines="50" w:after="120" w:afterLines="50" w:line="420" w:lineRule="exact"/>
        <w:jc w:val="center"/>
        <w:outlineLvl w:val="0"/>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br w:type="page"/>
      </w:r>
    </w:p>
    <w:p w14:paraId="61D987B8">
      <w:pPr>
        <w:spacing w:before="120" w:beforeLines="50" w:after="120" w:afterLines="50" w:line="400" w:lineRule="exact"/>
        <w:jc w:val="center"/>
        <w:outlineLvl w:val="0"/>
        <w:rPr>
          <w:rFonts w:hint="eastAsia" w:ascii="宋体" w:hAnsi="宋体" w:eastAsia="宋体" w:cs="宋体"/>
          <w:b/>
          <w:color w:val="auto"/>
          <w:sz w:val="30"/>
          <w:szCs w:val="30"/>
          <w:highlight w:val="none"/>
          <w:shd w:val="clear" w:color="auto" w:fill="auto"/>
        </w:rPr>
      </w:pPr>
      <w:bookmarkStart w:id="40" w:name="_Toc25225"/>
      <w:bookmarkStart w:id="41" w:name="_Toc10393"/>
      <w:r>
        <w:rPr>
          <w:rFonts w:hint="eastAsia" w:ascii="宋体" w:hAnsi="宋体" w:eastAsia="宋体" w:cs="宋体"/>
          <w:b/>
          <w:color w:val="auto"/>
          <w:sz w:val="30"/>
          <w:szCs w:val="30"/>
          <w:highlight w:val="none"/>
          <w:shd w:val="clear" w:color="auto" w:fill="auto"/>
        </w:rPr>
        <w:t>第四章</w:t>
      </w:r>
      <w:r>
        <w:rPr>
          <w:rFonts w:hint="eastAsia" w:ascii="宋体" w:hAnsi="宋体" w:eastAsia="宋体" w:cs="宋体"/>
          <w:b/>
          <w:color w:val="auto"/>
          <w:sz w:val="30"/>
          <w:szCs w:val="30"/>
          <w:highlight w:val="none"/>
          <w:shd w:val="clear" w:color="auto" w:fill="auto"/>
          <w:lang w:val="en-US" w:eastAsia="zh-CN"/>
        </w:rPr>
        <w:t xml:space="preserve">  </w:t>
      </w:r>
      <w:r>
        <w:rPr>
          <w:rFonts w:hint="eastAsia" w:ascii="宋体" w:hAnsi="宋体" w:eastAsia="宋体" w:cs="宋体"/>
          <w:b/>
          <w:color w:val="auto"/>
          <w:sz w:val="30"/>
          <w:szCs w:val="30"/>
          <w:highlight w:val="none"/>
          <w:shd w:val="clear" w:color="auto" w:fill="auto"/>
        </w:rPr>
        <w:t>评标办法及评分标准</w:t>
      </w:r>
      <w:bookmarkEnd w:id="39"/>
      <w:bookmarkEnd w:id="40"/>
      <w:bookmarkEnd w:id="41"/>
    </w:p>
    <w:p w14:paraId="0C40710D">
      <w:pPr>
        <w:spacing w:before="120" w:beforeLines="50" w:after="120" w:afterLines="50" w:line="400" w:lineRule="exact"/>
        <w:ind w:firstLine="470" w:firstLineChars="196"/>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为公正、公平、科学地选择中标人，根据有关法律法规的规定，并结合本项目的实际，制定本办法。适用于本项目的评标。</w:t>
      </w:r>
    </w:p>
    <w:p w14:paraId="19CDADD8">
      <w:pPr>
        <w:spacing w:before="120" w:beforeLines="50" w:after="120" w:afterLines="50" w:line="400" w:lineRule="exact"/>
        <w:ind w:firstLine="470" w:firstLineChars="196"/>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一、总则</w:t>
      </w:r>
    </w:p>
    <w:p w14:paraId="12FBA426">
      <w:pPr>
        <w:spacing w:before="120" w:beforeLines="50" w:after="120" w:afterLines="50" w:line="400" w:lineRule="exact"/>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本次评标采用综合评分法，总分为100分，其中商务技术分</w:t>
      </w:r>
      <w:r>
        <w:rPr>
          <w:rFonts w:hint="eastAsia" w:ascii="宋体" w:hAnsi="宋体" w:eastAsia="宋体" w:cs="宋体"/>
          <w:b w:val="0"/>
          <w:bCs/>
          <w:color w:val="auto"/>
          <w:sz w:val="24"/>
          <w:szCs w:val="24"/>
          <w:highlight w:val="none"/>
          <w:lang w:val="en-US" w:eastAsia="zh-CN"/>
        </w:rPr>
        <w:t>70</w:t>
      </w:r>
      <w:r>
        <w:rPr>
          <w:rFonts w:hint="eastAsia" w:ascii="宋体" w:hAnsi="宋体" w:eastAsia="宋体" w:cs="宋体"/>
          <w:b w:val="0"/>
          <w:bCs/>
          <w:color w:val="auto"/>
          <w:sz w:val="24"/>
          <w:szCs w:val="24"/>
          <w:highlight w:val="none"/>
        </w:rPr>
        <w:t>分、价格分</w:t>
      </w:r>
      <w:r>
        <w:rPr>
          <w:rFonts w:hint="eastAsia" w:ascii="宋体" w:hAnsi="宋体" w:eastAsia="宋体" w:cs="宋体"/>
          <w:b w:val="0"/>
          <w:bCs/>
          <w:color w:val="auto"/>
          <w:sz w:val="24"/>
          <w:szCs w:val="24"/>
          <w:highlight w:val="none"/>
          <w:lang w:val="en-US" w:eastAsia="zh-CN"/>
        </w:rPr>
        <w:t>30</w:t>
      </w:r>
      <w:r>
        <w:rPr>
          <w:rFonts w:hint="eastAsia" w:ascii="宋体" w:hAnsi="宋体" w:eastAsia="宋体" w:cs="宋体"/>
          <w:b w:val="0"/>
          <w:bCs/>
          <w:color w:val="auto"/>
          <w:sz w:val="24"/>
          <w:szCs w:val="24"/>
          <w:highlight w:val="none"/>
        </w:rPr>
        <w:t>分两部分。合格投标人的评标得分为各项目汇总得分，中标候选资格按评标得分由高到低顺序排列，得分相同的，按投标报价由低到高顺序排列；得分且投标报价相同的，按技术得分由高到低顺序排列。排名第一的投标人为中标候选人,排名第二的投标人为候补中标候选人。评分过程中采用四舍五入法，并保留小数2位。</w:t>
      </w:r>
    </w:p>
    <w:p w14:paraId="15FE0ABA">
      <w:pPr>
        <w:spacing w:before="120" w:beforeLines="50" w:after="120" w:afterLines="50" w:line="400" w:lineRule="exact"/>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投标人评标综合得分=商务技术分+价格分</w:t>
      </w:r>
    </w:p>
    <w:p w14:paraId="420FEE06">
      <w:pPr>
        <w:numPr>
          <w:ilvl w:val="0"/>
          <w:numId w:val="7"/>
        </w:numPr>
        <w:spacing w:before="120" w:beforeLines="50" w:after="120" w:afterLines="50" w:line="400" w:lineRule="exact"/>
        <w:ind w:left="0" w:leftChars="0" w:firstLine="0" w:firstLineChars="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评标内容及标准</w:t>
      </w:r>
    </w:p>
    <w:p w14:paraId="509BD094">
      <w:pPr>
        <w:pStyle w:val="21"/>
        <w:spacing w:before="120" w:beforeLines="50" w:after="120" w:afterLines="50" w:line="400" w:lineRule="exact"/>
        <w:ind w:left="0" w:leftChars="0" w:firstLine="0" w:firstLineChars="0"/>
        <w:rPr>
          <w:rFonts w:hAnsi="宋体"/>
          <w:b/>
          <w:bCs/>
          <w:color w:val="auto"/>
          <w:sz w:val="24"/>
          <w:szCs w:val="24"/>
          <w:highlight w:val="none"/>
        </w:rPr>
      </w:pPr>
      <w:r>
        <w:rPr>
          <w:rFonts w:hint="eastAsia" w:hAnsi="宋体"/>
          <w:b/>
          <w:color w:val="auto"/>
          <w:sz w:val="24"/>
          <w:szCs w:val="24"/>
          <w:highlight w:val="none"/>
        </w:rPr>
        <w:t>（一）</w:t>
      </w:r>
      <w:r>
        <w:rPr>
          <w:rFonts w:hint="eastAsia" w:hAnsi="宋体"/>
          <w:b/>
          <w:bCs/>
          <w:color w:val="auto"/>
          <w:sz w:val="24"/>
          <w:szCs w:val="24"/>
          <w:highlight w:val="none"/>
        </w:rPr>
        <w:t>价格分（</w:t>
      </w:r>
      <w:r>
        <w:rPr>
          <w:rFonts w:hint="eastAsia" w:hAnsi="宋体"/>
          <w:b/>
          <w:bCs/>
          <w:color w:val="auto"/>
          <w:sz w:val="24"/>
          <w:szCs w:val="24"/>
          <w:highlight w:val="none"/>
          <w:lang w:val="en-US" w:eastAsia="zh-CN"/>
        </w:rPr>
        <w:t>30</w:t>
      </w:r>
      <w:r>
        <w:rPr>
          <w:rFonts w:hint="eastAsia" w:hAnsi="宋体"/>
          <w:b/>
          <w:color w:val="auto"/>
          <w:spacing w:val="0"/>
          <w:sz w:val="24"/>
          <w:szCs w:val="24"/>
          <w:highlight w:val="none"/>
        </w:rPr>
        <w:t>分</w:t>
      </w:r>
      <w:r>
        <w:rPr>
          <w:rFonts w:hint="eastAsia" w:hAnsi="宋体"/>
          <w:b/>
          <w:bCs/>
          <w:color w:val="auto"/>
          <w:sz w:val="24"/>
          <w:szCs w:val="24"/>
          <w:highlight w:val="none"/>
        </w:rPr>
        <w:t>）</w:t>
      </w:r>
    </w:p>
    <w:p w14:paraId="194878AC">
      <w:pPr>
        <w:pStyle w:val="21"/>
        <w:spacing w:before="120" w:beforeLines="50" w:after="120" w:afterLines="50" w:line="400" w:lineRule="exact"/>
        <w:ind w:firstLine="795" w:firstLineChars="343"/>
        <w:rPr>
          <w:rFonts w:hAnsi="宋体"/>
          <w:bCs/>
          <w:color w:val="auto"/>
          <w:sz w:val="24"/>
          <w:szCs w:val="24"/>
          <w:highlight w:val="none"/>
        </w:rPr>
      </w:pPr>
      <w:r>
        <w:rPr>
          <w:rFonts w:hint="eastAsia" w:hAnsi="宋体"/>
          <w:bCs/>
          <w:color w:val="auto"/>
          <w:sz w:val="24"/>
          <w:szCs w:val="24"/>
          <w:highlight w:val="none"/>
        </w:rPr>
        <w:t>价格分采用低价优先法计算，即满足招标文件要求且投标价格最低的投标报价为评标基准价，其他投标人的价格分按照下列公式计算：</w:t>
      </w:r>
    </w:p>
    <w:p w14:paraId="70754AB6">
      <w:pPr>
        <w:spacing w:before="120" w:beforeLines="50" w:after="120" w:afterLines="50" w:line="400" w:lineRule="exact"/>
        <w:ind w:firstLine="720" w:firstLineChars="300"/>
        <w:rPr>
          <w:rFonts w:hint="eastAsia"/>
          <w:color w:val="auto"/>
          <w:highlight w:val="none"/>
        </w:rPr>
      </w:pPr>
      <w:r>
        <w:rPr>
          <w:rFonts w:hint="eastAsia" w:ascii="宋体" w:hAnsi="宋体"/>
          <w:color w:val="auto"/>
          <w:sz w:val="24"/>
          <w:highlight w:val="none"/>
        </w:rPr>
        <w:t>价格分=（评标基准价/投标报价）×</w:t>
      </w:r>
      <w:r>
        <w:rPr>
          <w:rFonts w:hint="eastAsia" w:ascii="宋体" w:hAnsi="宋体"/>
          <w:color w:val="auto"/>
          <w:sz w:val="24"/>
          <w:highlight w:val="none"/>
          <w:lang w:val="en-US" w:eastAsia="zh-CN"/>
        </w:rPr>
        <w:t>30</w:t>
      </w:r>
      <w:r>
        <w:rPr>
          <w:rFonts w:hint="eastAsia" w:ascii="宋体" w:hAnsi="宋体"/>
          <w:color w:val="auto"/>
          <w:sz w:val="24"/>
          <w:highlight w:val="none"/>
        </w:rPr>
        <w:t>%×100</w:t>
      </w:r>
    </w:p>
    <w:p w14:paraId="107F11F0">
      <w:pPr>
        <w:pStyle w:val="21"/>
        <w:spacing w:before="120" w:beforeLines="50" w:after="120" w:afterLines="50" w:line="400" w:lineRule="exact"/>
        <w:ind w:left="0" w:leftChars="0" w:firstLine="0" w:firstLineChars="0"/>
        <w:rPr>
          <w:rFonts w:hint="eastAsia"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eastAsia="zh-CN"/>
        </w:rPr>
        <w:t>（</w:t>
      </w:r>
      <w:r>
        <w:rPr>
          <w:rFonts w:hint="eastAsia" w:ascii="宋体" w:hAnsi="宋体" w:eastAsia="宋体" w:cs="Times New Roman"/>
          <w:b/>
          <w:bCs/>
          <w:color w:val="auto"/>
          <w:sz w:val="24"/>
          <w:szCs w:val="24"/>
          <w:highlight w:val="none"/>
          <w:lang w:val="en-US" w:eastAsia="zh-CN"/>
        </w:rPr>
        <w:t>二</w:t>
      </w:r>
      <w:r>
        <w:rPr>
          <w:rFonts w:hint="eastAsia" w:ascii="宋体" w:hAnsi="宋体" w:eastAsia="宋体" w:cs="Times New Roman"/>
          <w:b/>
          <w:bCs/>
          <w:color w:val="auto"/>
          <w:sz w:val="24"/>
          <w:szCs w:val="24"/>
          <w:highlight w:val="none"/>
          <w:lang w:eastAsia="zh-CN"/>
        </w:rPr>
        <w:t>）</w:t>
      </w:r>
      <w:r>
        <w:rPr>
          <w:rFonts w:hint="eastAsia" w:ascii="宋体" w:hAnsi="宋体" w:eastAsia="宋体" w:cs="Times New Roman"/>
          <w:b/>
          <w:bCs/>
          <w:color w:val="auto"/>
          <w:sz w:val="24"/>
          <w:szCs w:val="24"/>
          <w:highlight w:val="none"/>
        </w:rPr>
        <w:t>商务技术分（</w:t>
      </w:r>
      <w:r>
        <w:rPr>
          <w:rFonts w:hint="eastAsia" w:ascii="宋体" w:hAnsi="宋体" w:eastAsia="宋体" w:cs="Times New Roman"/>
          <w:b/>
          <w:bCs/>
          <w:color w:val="auto"/>
          <w:sz w:val="24"/>
          <w:szCs w:val="24"/>
          <w:highlight w:val="none"/>
          <w:lang w:val="en-US" w:eastAsia="zh-CN"/>
        </w:rPr>
        <w:t>70</w:t>
      </w:r>
      <w:r>
        <w:rPr>
          <w:rFonts w:hint="eastAsia" w:ascii="宋体" w:hAnsi="宋体" w:eastAsia="宋体" w:cs="Times New Roman"/>
          <w:b/>
          <w:bCs/>
          <w:color w:val="auto"/>
          <w:sz w:val="24"/>
          <w:szCs w:val="24"/>
          <w:highlight w:val="none"/>
        </w:rPr>
        <w:t>分）</w:t>
      </w:r>
    </w:p>
    <w:tbl>
      <w:tblPr>
        <w:tblStyle w:val="52"/>
        <w:tblW w:w="10632" w:type="dxa"/>
        <w:tblInd w:w="-885" w:type="dxa"/>
        <w:tblLayout w:type="fixed"/>
        <w:tblCellMar>
          <w:top w:w="0" w:type="dxa"/>
          <w:left w:w="108" w:type="dxa"/>
          <w:bottom w:w="0" w:type="dxa"/>
          <w:right w:w="108" w:type="dxa"/>
        </w:tblCellMar>
      </w:tblPr>
      <w:tblGrid>
        <w:gridCol w:w="851"/>
        <w:gridCol w:w="1985"/>
        <w:gridCol w:w="1276"/>
        <w:gridCol w:w="6520"/>
      </w:tblGrid>
      <w:tr w14:paraId="52A60022">
        <w:tblPrEx>
          <w:tblCellMar>
            <w:top w:w="0" w:type="dxa"/>
            <w:left w:w="108" w:type="dxa"/>
            <w:bottom w:w="0" w:type="dxa"/>
            <w:right w:w="108" w:type="dxa"/>
          </w:tblCellMar>
        </w:tblPrEx>
        <w:trPr>
          <w:trHeight w:val="464" w:hRule="atLeast"/>
        </w:trPr>
        <w:tc>
          <w:tcPr>
            <w:tcW w:w="851"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A96768E">
            <w:pPr>
              <w:jc w:val="center"/>
              <w:rPr>
                <w:rFonts w:hint="eastAsia"/>
                <w:b/>
                <w:color w:val="auto"/>
                <w:sz w:val="24"/>
                <w:szCs w:val="24"/>
                <w:highlight w:val="none"/>
              </w:rPr>
            </w:pPr>
            <w:bookmarkStart w:id="42" w:name="_Hlk36048660"/>
            <w:r>
              <w:rPr>
                <w:rFonts w:hint="eastAsia"/>
                <w:b/>
                <w:color w:val="auto"/>
                <w:sz w:val="24"/>
                <w:szCs w:val="24"/>
                <w:highlight w:val="none"/>
              </w:rPr>
              <w:t>序号</w:t>
            </w:r>
          </w:p>
        </w:tc>
        <w:tc>
          <w:tcPr>
            <w:tcW w:w="198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3BFCCE2">
            <w:pPr>
              <w:jc w:val="center"/>
              <w:rPr>
                <w:rFonts w:hint="eastAsia"/>
                <w:b/>
                <w:color w:val="auto"/>
                <w:sz w:val="24"/>
                <w:szCs w:val="24"/>
                <w:highlight w:val="none"/>
              </w:rPr>
            </w:pPr>
            <w:r>
              <w:rPr>
                <w:rFonts w:hint="eastAsia"/>
                <w:b/>
                <w:color w:val="auto"/>
                <w:sz w:val="24"/>
                <w:szCs w:val="24"/>
                <w:highlight w:val="none"/>
              </w:rPr>
              <w:t>评分</w:t>
            </w:r>
            <w:r>
              <w:rPr>
                <w:b/>
                <w:color w:val="auto"/>
                <w:sz w:val="24"/>
                <w:szCs w:val="24"/>
                <w:highlight w:val="none"/>
              </w:rPr>
              <w:t>内容</w:t>
            </w:r>
          </w:p>
        </w:tc>
        <w:tc>
          <w:tcPr>
            <w:tcW w:w="1276" w:type="dxa"/>
            <w:tcBorders>
              <w:top w:val="single" w:color="auto" w:sz="4" w:space="0"/>
              <w:left w:val="single" w:color="auto" w:sz="4" w:space="0"/>
              <w:bottom w:val="nil"/>
              <w:right w:val="single" w:color="auto" w:sz="4" w:space="0"/>
            </w:tcBorders>
            <w:shd w:val="clear" w:color="000000" w:fill="FFFFFF"/>
            <w:noWrap w:val="0"/>
            <w:vAlign w:val="center"/>
          </w:tcPr>
          <w:p w14:paraId="1DCCA882">
            <w:pPr>
              <w:jc w:val="center"/>
              <w:rPr>
                <w:rFonts w:hint="eastAsia"/>
                <w:b/>
                <w:color w:val="auto"/>
                <w:sz w:val="24"/>
                <w:szCs w:val="24"/>
                <w:highlight w:val="none"/>
              </w:rPr>
            </w:pPr>
            <w:r>
              <w:rPr>
                <w:rFonts w:hint="eastAsia"/>
                <w:b/>
                <w:color w:val="auto"/>
                <w:sz w:val="24"/>
                <w:szCs w:val="24"/>
                <w:highlight w:val="none"/>
              </w:rPr>
              <w:t>分值</w:t>
            </w:r>
          </w:p>
        </w:tc>
        <w:tc>
          <w:tcPr>
            <w:tcW w:w="6520" w:type="dxa"/>
            <w:tcBorders>
              <w:top w:val="single" w:color="auto" w:sz="4" w:space="0"/>
              <w:left w:val="nil"/>
              <w:bottom w:val="single" w:color="auto" w:sz="4" w:space="0"/>
              <w:right w:val="single" w:color="auto" w:sz="4" w:space="0"/>
            </w:tcBorders>
            <w:shd w:val="clear" w:color="000000" w:fill="FFFFFF"/>
            <w:noWrap w:val="0"/>
            <w:vAlign w:val="center"/>
          </w:tcPr>
          <w:p w14:paraId="37725EB8">
            <w:pPr>
              <w:jc w:val="center"/>
              <w:rPr>
                <w:rFonts w:hint="eastAsia"/>
                <w:b/>
                <w:color w:val="auto"/>
                <w:sz w:val="24"/>
                <w:szCs w:val="24"/>
                <w:highlight w:val="none"/>
              </w:rPr>
            </w:pPr>
            <w:r>
              <w:rPr>
                <w:rFonts w:hint="eastAsia"/>
                <w:b/>
                <w:color w:val="auto"/>
                <w:sz w:val="24"/>
                <w:szCs w:val="24"/>
                <w:highlight w:val="none"/>
              </w:rPr>
              <w:t>评</w:t>
            </w:r>
            <w:r>
              <w:rPr>
                <w:b/>
                <w:color w:val="auto"/>
                <w:sz w:val="24"/>
                <w:szCs w:val="24"/>
                <w:highlight w:val="none"/>
              </w:rPr>
              <w:t>分细则</w:t>
            </w:r>
          </w:p>
        </w:tc>
      </w:tr>
      <w:tr w14:paraId="4E2955DE">
        <w:tblPrEx>
          <w:tblCellMar>
            <w:top w:w="0" w:type="dxa"/>
            <w:left w:w="108" w:type="dxa"/>
            <w:bottom w:w="0" w:type="dxa"/>
            <w:right w:w="108" w:type="dxa"/>
          </w:tblCellMar>
        </w:tblPrEx>
        <w:trPr>
          <w:trHeight w:val="690" w:hRule="atLeast"/>
        </w:trPr>
        <w:tc>
          <w:tcPr>
            <w:tcW w:w="851" w:type="dxa"/>
            <w:vMerge w:val="restart"/>
            <w:tcBorders>
              <w:top w:val="single" w:color="auto" w:sz="4" w:space="0"/>
              <w:left w:val="single" w:color="auto" w:sz="4" w:space="0"/>
              <w:right w:val="single" w:color="auto" w:sz="4" w:space="0"/>
            </w:tcBorders>
            <w:shd w:val="clear" w:color="000000" w:fill="FFFFFF"/>
            <w:noWrap w:val="0"/>
            <w:vAlign w:val="center"/>
          </w:tcPr>
          <w:p w14:paraId="1F3E58BA">
            <w:pPr>
              <w:jc w:val="center"/>
              <w:rPr>
                <w:rFonts w:hint="eastAsia" w:eastAsia="宋体"/>
                <w:color w:val="auto"/>
                <w:sz w:val="24"/>
                <w:szCs w:val="24"/>
                <w:highlight w:val="none"/>
                <w:lang w:val="en-US" w:eastAsia="zh-CN"/>
              </w:rPr>
            </w:pPr>
            <w:r>
              <w:rPr>
                <w:rFonts w:hint="eastAsia"/>
                <w:color w:val="auto"/>
                <w:sz w:val="24"/>
                <w:szCs w:val="24"/>
                <w:highlight w:val="none"/>
                <w:lang w:val="en-US" w:eastAsia="zh-CN"/>
              </w:rPr>
              <w:t>1</w:t>
            </w:r>
          </w:p>
        </w:tc>
        <w:tc>
          <w:tcPr>
            <w:tcW w:w="1985" w:type="dxa"/>
            <w:vMerge w:val="restart"/>
            <w:tcBorders>
              <w:top w:val="single" w:color="auto" w:sz="4" w:space="0"/>
              <w:left w:val="single" w:color="auto" w:sz="4" w:space="0"/>
              <w:right w:val="single" w:color="auto" w:sz="4" w:space="0"/>
            </w:tcBorders>
            <w:shd w:val="clear" w:color="000000" w:fill="FFFFFF"/>
            <w:noWrap w:val="0"/>
            <w:vAlign w:val="center"/>
          </w:tcPr>
          <w:p w14:paraId="3FA5CEA7">
            <w:pPr>
              <w:jc w:val="center"/>
              <w:rPr>
                <w:rFonts w:hint="default" w:ascii="宋体" w:hAnsi="宋体" w:eastAsia="宋体" w:cs="宋体"/>
                <w:bCs/>
                <w:color w:val="auto"/>
                <w:sz w:val="24"/>
                <w:szCs w:val="24"/>
                <w:highlight w:val="none"/>
                <w:lang w:val="en-US" w:eastAsia="zh-CN"/>
              </w:rPr>
            </w:pPr>
            <w:r>
              <w:rPr>
                <w:rFonts w:hint="eastAsia" w:ascii="宋体" w:hAnsi="宋体" w:cs="Times New Roman"/>
                <w:b w:val="0"/>
                <w:bCs/>
                <w:color w:val="auto"/>
                <w:sz w:val="24"/>
                <w:szCs w:val="24"/>
                <w:highlight w:val="none"/>
                <w:lang w:val="en-US" w:eastAsia="zh-CN"/>
              </w:rPr>
              <w:t>投标人综合实力</w:t>
            </w:r>
          </w:p>
        </w:tc>
        <w:tc>
          <w:tcPr>
            <w:tcW w:w="1276"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808A38B">
            <w:pPr>
              <w:jc w:val="center"/>
              <w:rPr>
                <w:rFonts w:ascii="宋体" w:hAnsi="宋体"/>
                <w:bCs/>
                <w:color w:val="auto"/>
                <w:sz w:val="24"/>
                <w:szCs w:val="24"/>
                <w:highlight w:val="none"/>
              </w:rPr>
            </w:pPr>
            <w:r>
              <w:rPr>
                <w:rFonts w:hint="eastAsia" w:ascii="宋体" w:hAnsi="宋体"/>
                <w:bCs/>
                <w:color w:val="auto"/>
                <w:sz w:val="24"/>
                <w:szCs w:val="24"/>
                <w:highlight w:val="none"/>
                <w:lang w:val="en-US" w:eastAsia="zh-CN"/>
              </w:rPr>
              <w:t>4</w:t>
            </w:r>
            <w:r>
              <w:rPr>
                <w:rFonts w:hint="eastAsia" w:ascii="宋体" w:hAnsi="宋体"/>
                <w:bCs/>
                <w:color w:val="auto"/>
                <w:sz w:val="24"/>
                <w:szCs w:val="24"/>
                <w:highlight w:val="none"/>
              </w:rPr>
              <w:t>分</w:t>
            </w:r>
          </w:p>
        </w:tc>
        <w:tc>
          <w:tcPr>
            <w:tcW w:w="6520" w:type="dxa"/>
            <w:tcBorders>
              <w:top w:val="single" w:color="auto" w:sz="4" w:space="0"/>
              <w:left w:val="nil"/>
              <w:bottom w:val="single" w:color="auto" w:sz="4" w:space="0"/>
              <w:right w:val="single" w:color="auto" w:sz="4" w:space="0"/>
            </w:tcBorders>
            <w:shd w:val="clear" w:color="000000" w:fill="FFFFFF"/>
            <w:noWrap w:val="0"/>
            <w:vAlign w:val="center"/>
          </w:tcPr>
          <w:p w14:paraId="018D4696">
            <w:pPr>
              <w:numPr>
                <w:ilvl w:val="0"/>
                <w:numId w:val="0"/>
              </w:numPr>
              <w:ind w:left="0" w:leftChars="0" w:firstLine="0" w:firstLineChars="0"/>
              <w:jc w:val="left"/>
              <w:rPr>
                <w:rFonts w:hint="eastAsia" w:ascii="宋体" w:hAnsi="宋体"/>
                <w:color w:val="auto"/>
                <w:sz w:val="24"/>
                <w:szCs w:val="24"/>
                <w:highlight w:val="none"/>
                <w:lang w:bidi="en-US"/>
              </w:rPr>
            </w:pPr>
            <w:r>
              <w:rPr>
                <w:rFonts w:hint="eastAsia" w:ascii="宋体" w:hAnsi="宋体" w:eastAsia="宋体" w:cs="Times New Roman"/>
                <w:b w:val="0"/>
                <w:bCs/>
                <w:color w:val="auto"/>
                <w:sz w:val="24"/>
                <w:szCs w:val="24"/>
                <w:highlight w:val="none"/>
              </w:rPr>
              <w:t>根据</w:t>
            </w:r>
            <w:r>
              <w:rPr>
                <w:rFonts w:hint="eastAsia" w:ascii="宋体" w:hAnsi="宋体" w:cs="Times New Roman"/>
                <w:b w:val="0"/>
                <w:bCs/>
                <w:color w:val="auto"/>
                <w:sz w:val="24"/>
                <w:szCs w:val="24"/>
                <w:highlight w:val="none"/>
                <w:lang w:val="en-US" w:eastAsia="zh-CN"/>
              </w:rPr>
              <w:t>投标人</w:t>
            </w:r>
            <w:r>
              <w:rPr>
                <w:rFonts w:hint="eastAsia" w:ascii="宋体" w:hAnsi="宋体" w:eastAsia="宋体" w:cs="Times New Roman"/>
                <w:b w:val="0"/>
                <w:bCs/>
                <w:color w:val="auto"/>
                <w:sz w:val="24"/>
                <w:szCs w:val="24"/>
                <w:highlight w:val="none"/>
              </w:rPr>
              <w:t>履约能力、企业管理水平、生产资质等进行打分（0-</w:t>
            </w:r>
            <w:r>
              <w:rPr>
                <w:rFonts w:hint="eastAsia" w:ascii="宋体" w:hAnsi="宋体" w:eastAsia="宋体" w:cs="Times New Roman"/>
                <w:b w:val="0"/>
                <w:bCs/>
                <w:color w:val="auto"/>
                <w:sz w:val="24"/>
                <w:szCs w:val="24"/>
                <w:highlight w:val="none"/>
                <w:lang w:val="en-US" w:eastAsia="zh-CN"/>
              </w:rPr>
              <w:t>4</w:t>
            </w:r>
            <w:r>
              <w:rPr>
                <w:rFonts w:hint="eastAsia" w:ascii="宋体" w:hAnsi="宋体" w:eastAsia="宋体" w:cs="Times New Roman"/>
                <w:b w:val="0"/>
                <w:bCs/>
                <w:color w:val="auto"/>
                <w:sz w:val="24"/>
                <w:szCs w:val="24"/>
                <w:highlight w:val="none"/>
              </w:rPr>
              <w:t>分</w:t>
            </w:r>
            <w:r>
              <w:rPr>
                <w:rFonts w:hint="eastAsia" w:ascii="宋体" w:hAnsi="宋体" w:eastAsia="宋体" w:cs="Times New Roman"/>
                <w:b w:val="0"/>
                <w:bCs/>
                <w:color w:val="auto"/>
                <w:sz w:val="24"/>
                <w:szCs w:val="24"/>
                <w:highlight w:val="none"/>
                <w:lang w:eastAsia="zh-CN"/>
              </w:rPr>
              <w:t>）</w:t>
            </w:r>
            <w:r>
              <w:rPr>
                <w:rFonts w:hint="eastAsia" w:ascii="宋体" w:hAnsi="宋体" w:eastAsia="宋体" w:cs="Times New Roman"/>
                <w:b w:val="0"/>
                <w:bCs/>
                <w:color w:val="auto"/>
                <w:sz w:val="24"/>
                <w:szCs w:val="24"/>
                <w:highlight w:val="none"/>
              </w:rPr>
              <w:t>。</w:t>
            </w:r>
          </w:p>
        </w:tc>
      </w:tr>
      <w:tr w14:paraId="284DC307">
        <w:tblPrEx>
          <w:tblCellMar>
            <w:top w:w="0" w:type="dxa"/>
            <w:left w:w="108" w:type="dxa"/>
            <w:bottom w:w="0" w:type="dxa"/>
            <w:right w:w="108" w:type="dxa"/>
          </w:tblCellMar>
        </w:tblPrEx>
        <w:trPr>
          <w:trHeight w:val="690" w:hRule="atLeast"/>
        </w:trPr>
        <w:tc>
          <w:tcPr>
            <w:tcW w:w="851" w:type="dxa"/>
            <w:vMerge w:val="continue"/>
            <w:tcBorders>
              <w:left w:val="single" w:color="auto" w:sz="4" w:space="0"/>
              <w:right w:val="single" w:color="auto" w:sz="4" w:space="0"/>
            </w:tcBorders>
            <w:shd w:val="clear" w:color="000000" w:fill="FFFFFF"/>
            <w:noWrap w:val="0"/>
            <w:vAlign w:val="center"/>
          </w:tcPr>
          <w:p w14:paraId="6AFE6234">
            <w:pPr>
              <w:jc w:val="center"/>
              <w:rPr>
                <w:rFonts w:hint="eastAsia"/>
                <w:color w:val="auto"/>
                <w:sz w:val="24"/>
                <w:szCs w:val="24"/>
                <w:highlight w:val="none"/>
                <w:lang w:val="en-US" w:eastAsia="zh-CN"/>
              </w:rPr>
            </w:pPr>
          </w:p>
        </w:tc>
        <w:tc>
          <w:tcPr>
            <w:tcW w:w="1985" w:type="dxa"/>
            <w:vMerge w:val="continue"/>
            <w:tcBorders>
              <w:left w:val="single" w:color="auto" w:sz="4" w:space="0"/>
              <w:right w:val="single" w:color="auto" w:sz="4" w:space="0"/>
            </w:tcBorders>
            <w:shd w:val="clear" w:color="000000" w:fill="FFFFFF"/>
            <w:noWrap w:val="0"/>
            <w:vAlign w:val="center"/>
          </w:tcPr>
          <w:p w14:paraId="5DFD8055">
            <w:pPr>
              <w:jc w:val="center"/>
              <w:rPr>
                <w:rFonts w:hint="eastAsia" w:ascii="宋体" w:hAnsi="宋体" w:cs="宋体"/>
                <w:bCs/>
                <w:color w:val="auto"/>
                <w:sz w:val="24"/>
                <w:szCs w:val="24"/>
                <w:highlight w:val="none"/>
                <w:lang w:val="en-US" w:eastAsia="zh-CN"/>
              </w:rPr>
            </w:pPr>
          </w:p>
        </w:tc>
        <w:tc>
          <w:tcPr>
            <w:tcW w:w="1276"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99825A2">
            <w:pPr>
              <w:jc w:val="center"/>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4分</w:t>
            </w:r>
          </w:p>
        </w:tc>
        <w:tc>
          <w:tcPr>
            <w:tcW w:w="6520" w:type="dxa"/>
            <w:tcBorders>
              <w:top w:val="single" w:color="auto" w:sz="4" w:space="0"/>
              <w:left w:val="nil"/>
              <w:bottom w:val="single" w:color="auto" w:sz="4" w:space="0"/>
              <w:right w:val="single" w:color="auto" w:sz="4" w:space="0"/>
            </w:tcBorders>
            <w:shd w:val="clear" w:color="000000" w:fill="FFFFFF"/>
            <w:noWrap w:val="0"/>
            <w:vAlign w:val="center"/>
          </w:tcPr>
          <w:p w14:paraId="7464376A">
            <w:pPr>
              <w:numPr>
                <w:ilvl w:val="0"/>
                <w:numId w:val="0"/>
              </w:numPr>
              <w:ind w:left="0" w:leftChars="0" w:firstLine="0" w:firstLineChars="0"/>
              <w:jc w:val="left"/>
              <w:rPr>
                <w:rFonts w:hint="eastAsia" w:ascii="宋体" w:hAnsi="宋体"/>
                <w:color w:val="auto"/>
                <w:sz w:val="24"/>
                <w:szCs w:val="24"/>
                <w:highlight w:val="none"/>
                <w:lang w:bidi="en-US"/>
              </w:rPr>
            </w:pPr>
            <w:r>
              <w:rPr>
                <w:rFonts w:hint="eastAsia" w:ascii="宋体" w:hAnsi="宋体" w:eastAsia="宋体" w:cs="Times New Roman"/>
                <w:b w:val="0"/>
                <w:bCs/>
                <w:color w:val="auto"/>
                <w:sz w:val="24"/>
                <w:szCs w:val="24"/>
                <w:highlight w:val="none"/>
              </w:rPr>
              <w:t>根据</w:t>
            </w:r>
            <w:r>
              <w:rPr>
                <w:rFonts w:hint="eastAsia" w:ascii="宋体" w:hAnsi="宋体" w:cs="Times New Roman"/>
                <w:b w:val="0"/>
                <w:bCs/>
                <w:color w:val="auto"/>
                <w:sz w:val="24"/>
                <w:szCs w:val="24"/>
                <w:highlight w:val="none"/>
                <w:lang w:val="en-US" w:eastAsia="zh-CN"/>
              </w:rPr>
              <w:t>投标人</w:t>
            </w:r>
            <w:r>
              <w:rPr>
                <w:rFonts w:hint="eastAsia" w:ascii="宋体" w:hAnsi="宋体" w:eastAsia="宋体" w:cs="Times New Roman"/>
                <w:b w:val="0"/>
                <w:bCs/>
                <w:color w:val="auto"/>
                <w:sz w:val="24"/>
                <w:szCs w:val="24"/>
                <w:highlight w:val="none"/>
              </w:rPr>
              <w:t>加工厂车间（涉及企业规模除外）、设备等生产能力、企业经营情况等进行打分（0-</w:t>
            </w:r>
            <w:r>
              <w:rPr>
                <w:rFonts w:hint="eastAsia" w:ascii="宋体" w:hAnsi="宋体" w:eastAsia="宋体" w:cs="Times New Roman"/>
                <w:b w:val="0"/>
                <w:bCs/>
                <w:color w:val="auto"/>
                <w:sz w:val="24"/>
                <w:szCs w:val="24"/>
                <w:highlight w:val="none"/>
                <w:lang w:val="en-US" w:eastAsia="zh-CN"/>
              </w:rPr>
              <w:t>4</w:t>
            </w:r>
            <w:r>
              <w:rPr>
                <w:rFonts w:hint="eastAsia" w:ascii="宋体" w:hAnsi="宋体" w:eastAsia="宋体" w:cs="Times New Roman"/>
                <w:b w:val="0"/>
                <w:bCs/>
                <w:color w:val="auto"/>
                <w:sz w:val="24"/>
                <w:szCs w:val="24"/>
                <w:highlight w:val="none"/>
              </w:rPr>
              <w:t>分）。</w:t>
            </w:r>
          </w:p>
        </w:tc>
      </w:tr>
      <w:tr w14:paraId="2302E2AA">
        <w:tblPrEx>
          <w:tblCellMar>
            <w:top w:w="0" w:type="dxa"/>
            <w:left w:w="108" w:type="dxa"/>
            <w:bottom w:w="0" w:type="dxa"/>
            <w:right w:w="108" w:type="dxa"/>
          </w:tblCellMar>
        </w:tblPrEx>
        <w:trPr>
          <w:trHeight w:val="690" w:hRule="atLeast"/>
        </w:trPr>
        <w:tc>
          <w:tcPr>
            <w:tcW w:w="851" w:type="dxa"/>
            <w:vMerge w:val="continue"/>
            <w:tcBorders>
              <w:left w:val="single" w:color="auto" w:sz="4" w:space="0"/>
              <w:bottom w:val="single" w:color="auto" w:sz="4" w:space="0"/>
              <w:right w:val="single" w:color="auto" w:sz="4" w:space="0"/>
            </w:tcBorders>
            <w:shd w:val="clear" w:color="000000" w:fill="FFFFFF"/>
            <w:noWrap w:val="0"/>
            <w:vAlign w:val="center"/>
          </w:tcPr>
          <w:p w14:paraId="2C065B3F">
            <w:pPr>
              <w:jc w:val="center"/>
              <w:rPr>
                <w:rFonts w:hint="eastAsia"/>
                <w:color w:val="auto"/>
                <w:sz w:val="24"/>
                <w:szCs w:val="24"/>
                <w:highlight w:val="none"/>
                <w:lang w:val="en-US" w:eastAsia="zh-CN"/>
              </w:rPr>
            </w:pPr>
          </w:p>
        </w:tc>
        <w:tc>
          <w:tcPr>
            <w:tcW w:w="1985" w:type="dxa"/>
            <w:vMerge w:val="continue"/>
            <w:tcBorders>
              <w:left w:val="single" w:color="auto" w:sz="4" w:space="0"/>
              <w:bottom w:val="single" w:color="auto" w:sz="4" w:space="0"/>
              <w:right w:val="single" w:color="auto" w:sz="4" w:space="0"/>
            </w:tcBorders>
            <w:shd w:val="clear" w:color="000000" w:fill="FFFFFF"/>
            <w:noWrap w:val="0"/>
            <w:vAlign w:val="center"/>
          </w:tcPr>
          <w:p w14:paraId="5090EA41">
            <w:pPr>
              <w:jc w:val="center"/>
              <w:rPr>
                <w:rFonts w:hint="eastAsia" w:ascii="宋体" w:hAnsi="宋体" w:cs="宋体"/>
                <w:bCs/>
                <w:color w:val="auto"/>
                <w:sz w:val="24"/>
                <w:szCs w:val="24"/>
                <w:highlight w:val="none"/>
                <w:lang w:val="en-US" w:eastAsia="zh-CN"/>
              </w:rPr>
            </w:pPr>
          </w:p>
        </w:tc>
        <w:tc>
          <w:tcPr>
            <w:tcW w:w="1276"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D732A0B">
            <w:pPr>
              <w:jc w:val="center"/>
              <w:rPr>
                <w:rFonts w:hint="default"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3分</w:t>
            </w:r>
          </w:p>
        </w:tc>
        <w:tc>
          <w:tcPr>
            <w:tcW w:w="6520" w:type="dxa"/>
            <w:tcBorders>
              <w:top w:val="single" w:color="auto" w:sz="4" w:space="0"/>
              <w:left w:val="nil"/>
              <w:bottom w:val="single" w:color="auto" w:sz="4" w:space="0"/>
              <w:right w:val="single" w:color="auto" w:sz="4" w:space="0"/>
            </w:tcBorders>
            <w:shd w:val="clear" w:color="000000" w:fill="FFFFFF"/>
            <w:noWrap w:val="0"/>
            <w:vAlign w:val="center"/>
          </w:tcPr>
          <w:p w14:paraId="5804E722">
            <w:pPr>
              <w:numPr>
                <w:ilvl w:val="0"/>
                <w:numId w:val="0"/>
              </w:numPr>
              <w:ind w:leftChars="0"/>
              <w:jc w:val="left"/>
              <w:rPr>
                <w:rFonts w:hint="eastAsia" w:ascii="宋体" w:hAnsi="宋体" w:eastAsia="宋体" w:cs="Times New Roman"/>
                <w:b w:val="0"/>
                <w:bCs/>
                <w:color w:val="auto"/>
                <w:sz w:val="24"/>
                <w:szCs w:val="24"/>
                <w:highlight w:val="none"/>
              </w:rPr>
            </w:pPr>
            <w:r>
              <w:rPr>
                <w:rFonts w:hint="eastAsia" w:ascii="宋体" w:hAnsi="宋体" w:eastAsia="宋体" w:cs="Times New Roman"/>
                <w:b w:val="0"/>
                <w:bCs/>
                <w:color w:val="auto"/>
                <w:sz w:val="24"/>
                <w:szCs w:val="24"/>
                <w:highlight w:val="none"/>
              </w:rPr>
              <w:t>体系认证：提供</w:t>
            </w:r>
            <w:r>
              <w:rPr>
                <w:rFonts w:hint="eastAsia" w:ascii="宋体" w:hAnsi="宋体" w:eastAsia="宋体" w:cs="Times New Roman"/>
                <w:b w:val="0"/>
                <w:bCs/>
                <w:color w:val="auto"/>
                <w:sz w:val="24"/>
                <w:szCs w:val="24"/>
                <w:highlight w:val="none"/>
                <w:lang w:val="en-US" w:eastAsia="zh-CN"/>
              </w:rPr>
              <w:t>投标人</w:t>
            </w:r>
            <w:r>
              <w:rPr>
                <w:rFonts w:hint="eastAsia" w:ascii="宋体" w:hAnsi="宋体" w:eastAsia="宋体" w:cs="Times New Roman"/>
                <w:b w:val="0"/>
                <w:bCs/>
                <w:color w:val="auto"/>
                <w:sz w:val="24"/>
                <w:szCs w:val="24"/>
                <w:highlight w:val="none"/>
              </w:rPr>
              <w:t xml:space="preserve"> ISO9001 系列质量管理体系认证证书、ISO14001 环境管理体系认证证书、ISO45001 职业健康安全管理体系认证证书，且证书在有效期内的，每个得1分，最高得3分。</w:t>
            </w:r>
          </w:p>
          <w:p w14:paraId="24A202EB">
            <w:pPr>
              <w:numPr>
                <w:ilvl w:val="0"/>
                <w:numId w:val="0"/>
              </w:numPr>
              <w:ind w:left="0" w:leftChars="0" w:firstLine="0" w:firstLineChars="0"/>
              <w:jc w:val="left"/>
              <w:rPr>
                <w:rFonts w:hint="eastAsia" w:ascii="宋体" w:hAnsi="宋体" w:eastAsia="宋体" w:cs="Times New Roman"/>
                <w:b w:val="0"/>
                <w:bCs/>
                <w:color w:val="auto"/>
                <w:sz w:val="24"/>
                <w:szCs w:val="24"/>
                <w:highlight w:val="none"/>
              </w:rPr>
            </w:pPr>
            <w:r>
              <w:rPr>
                <w:rFonts w:hint="eastAsia" w:ascii="宋体" w:hAnsi="宋体" w:eastAsia="宋体" w:cs="Times New Roman"/>
                <w:b/>
                <w:bCs w:val="0"/>
                <w:color w:val="auto"/>
                <w:sz w:val="24"/>
                <w:szCs w:val="24"/>
                <w:highlight w:val="none"/>
              </w:rPr>
              <w:t>注：须在投标文件中附上认证证书复印件并加盖公章，否则不得分。</w:t>
            </w:r>
          </w:p>
        </w:tc>
      </w:tr>
      <w:tr w14:paraId="4E16408E">
        <w:tblPrEx>
          <w:tblCellMar>
            <w:top w:w="0" w:type="dxa"/>
            <w:left w:w="108" w:type="dxa"/>
            <w:bottom w:w="0" w:type="dxa"/>
            <w:right w:w="108" w:type="dxa"/>
          </w:tblCellMar>
        </w:tblPrEx>
        <w:trPr>
          <w:trHeight w:val="802" w:hRule="atLeast"/>
        </w:trPr>
        <w:tc>
          <w:tcPr>
            <w:tcW w:w="851" w:type="dxa"/>
            <w:vMerge w:val="restar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3C3B2B6">
            <w:pPr>
              <w:jc w:val="center"/>
              <w:rPr>
                <w:rFonts w:hint="eastAsia"/>
                <w:color w:val="auto"/>
                <w:sz w:val="24"/>
                <w:szCs w:val="24"/>
                <w:highlight w:val="none"/>
              </w:rPr>
            </w:pPr>
            <w:r>
              <w:rPr>
                <w:rFonts w:hint="eastAsia"/>
                <w:color w:val="auto"/>
                <w:sz w:val="24"/>
                <w:szCs w:val="24"/>
                <w:highlight w:val="none"/>
              </w:rPr>
              <w:t>2</w:t>
            </w:r>
          </w:p>
        </w:tc>
        <w:tc>
          <w:tcPr>
            <w:tcW w:w="1985" w:type="dxa"/>
            <w:vMerge w:val="restar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B33DC5B">
            <w:pPr>
              <w:jc w:val="center"/>
              <w:rPr>
                <w:rFonts w:hint="eastAsia" w:ascii="宋体" w:hAnsi="宋体" w:cs="宋体"/>
                <w:bCs/>
                <w:color w:val="auto"/>
                <w:sz w:val="24"/>
                <w:szCs w:val="24"/>
                <w:highlight w:val="none"/>
              </w:rPr>
            </w:pPr>
            <w:r>
              <w:rPr>
                <w:rFonts w:hint="eastAsia" w:ascii="宋体" w:hAnsi="宋体"/>
                <w:bCs/>
                <w:color w:val="auto"/>
                <w:sz w:val="24"/>
                <w:szCs w:val="24"/>
                <w:highlight w:val="none"/>
              </w:rPr>
              <w:t>投标产品性能</w:t>
            </w:r>
          </w:p>
        </w:tc>
        <w:tc>
          <w:tcPr>
            <w:tcW w:w="1276" w:type="dxa"/>
            <w:vMerge w:val="restar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04CFB4A">
            <w:pPr>
              <w:jc w:val="center"/>
              <w:rPr>
                <w:rFonts w:ascii="宋体" w:hAnsi="宋体"/>
                <w:bCs/>
                <w:color w:val="auto"/>
                <w:sz w:val="24"/>
                <w:szCs w:val="24"/>
                <w:highlight w:val="none"/>
              </w:rPr>
            </w:pPr>
            <w:r>
              <w:rPr>
                <w:rFonts w:hint="eastAsia" w:ascii="宋体" w:hAnsi="宋体"/>
                <w:bCs/>
                <w:color w:val="auto"/>
                <w:sz w:val="24"/>
                <w:szCs w:val="24"/>
                <w:highlight w:val="none"/>
                <w:lang w:val="en-US" w:eastAsia="zh-CN"/>
              </w:rPr>
              <w:t>35</w:t>
            </w:r>
            <w:r>
              <w:rPr>
                <w:rFonts w:hint="eastAsia" w:ascii="宋体" w:hAnsi="宋体"/>
                <w:bCs/>
                <w:color w:val="auto"/>
                <w:sz w:val="24"/>
                <w:szCs w:val="24"/>
                <w:highlight w:val="none"/>
              </w:rPr>
              <w:t>分</w:t>
            </w:r>
          </w:p>
        </w:tc>
        <w:tc>
          <w:tcPr>
            <w:tcW w:w="652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CA01505">
            <w:pPr>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根据</w:t>
            </w:r>
            <w:r>
              <w:rPr>
                <w:rFonts w:hint="eastAsia" w:ascii="宋体" w:hAnsi="宋体" w:cs="宋体"/>
                <w:bCs/>
                <w:color w:val="auto"/>
                <w:sz w:val="24"/>
                <w:szCs w:val="24"/>
                <w:highlight w:val="none"/>
                <w:lang w:val="en-US" w:eastAsia="zh-CN"/>
              </w:rPr>
              <w:t>投标人所投的往复式提升机产品参数指标与招标文件要求的相关参数响应情况进行打分</w:t>
            </w:r>
            <w:r>
              <w:rPr>
                <w:rFonts w:hint="eastAsia" w:ascii="宋体" w:hAnsi="宋体" w:cs="宋体"/>
                <w:bCs/>
                <w:color w:val="auto"/>
                <w:sz w:val="24"/>
                <w:szCs w:val="24"/>
                <w:highlight w:val="none"/>
              </w:rPr>
              <w:t>（0-</w:t>
            </w:r>
            <w:r>
              <w:rPr>
                <w:rFonts w:hint="eastAsia" w:ascii="宋体" w:hAnsi="宋体" w:cs="宋体"/>
                <w:bCs/>
                <w:color w:val="auto"/>
                <w:sz w:val="24"/>
                <w:szCs w:val="24"/>
                <w:highlight w:val="none"/>
                <w:lang w:val="en-US" w:eastAsia="zh-CN"/>
              </w:rPr>
              <w:t>5</w:t>
            </w:r>
            <w:r>
              <w:rPr>
                <w:rFonts w:hint="eastAsia" w:ascii="宋体" w:hAnsi="宋体" w:cs="宋体"/>
                <w:bCs/>
                <w:color w:val="auto"/>
                <w:sz w:val="24"/>
                <w:szCs w:val="24"/>
                <w:highlight w:val="none"/>
              </w:rPr>
              <w:t>分）</w:t>
            </w:r>
          </w:p>
          <w:p w14:paraId="2FC2DA4A">
            <w:pPr>
              <w:jc w:val="left"/>
              <w:rPr>
                <w:rFonts w:hint="eastAsia"/>
                <w:color w:val="auto"/>
                <w:highlight w:val="none"/>
              </w:rPr>
            </w:pPr>
            <w:r>
              <w:rPr>
                <w:rFonts w:hint="eastAsia" w:ascii="宋体" w:hAnsi="宋体" w:cs="宋体"/>
                <w:b/>
                <w:bCs/>
                <w:color w:val="auto"/>
                <w:sz w:val="24"/>
                <w:szCs w:val="24"/>
                <w:highlight w:val="none"/>
                <w:lang w:val="en-US" w:eastAsia="zh-CN" w:bidi="en-US"/>
              </w:rPr>
              <w:t>注：</w:t>
            </w:r>
            <w:r>
              <w:rPr>
                <w:rFonts w:hint="eastAsia" w:ascii="宋体" w:hAnsi="宋体" w:eastAsia="宋体" w:cs="宋体"/>
                <w:b/>
                <w:bCs/>
                <w:color w:val="auto"/>
                <w:sz w:val="24"/>
                <w:szCs w:val="24"/>
                <w:highlight w:val="none"/>
                <w:lang w:val="en-US" w:eastAsia="zh-CN" w:bidi="en-US"/>
              </w:rPr>
              <w:t>提供具有CMA认证或ILAC-MRA认证或CNAS认证的第三方检测机构出具的检测报告，否则不得分。</w:t>
            </w:r>
          </w:p>
        </w:tc>
      </w:tr>
      <w:tr w14:paraId="0DC4F229">
        <w:tblPrEx>
          <w:tblCellMar>
            <w:top w:w="0" w:type="dxa"/>
            <w:left w:w="108" w:type="dxa"/>
            <w:bottom w:w="0" w:type="dxa"/>
            <w:right w:w="108" w:type="dxa"/>
          </w:tblCellMar>
        </w:tblPrEx>
        <w:trPr>
          <w:trHeight w:val="926" w:hRule="atLeast"/>
        </w:trPr>
        <w:tc>
          <w:tcPr>
            <w:tcW w:w="851"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6FEBAE6">
            <w:pPr>
              <w:jc w:val="center"/>
              <w:rPr>
                <w:rFonts w:hint="eastAsia"/>
                <w:color w:val="auto"/>
                <w:sz w:val="24"/>
                <w:szCs w:val="24"/>
                <w:highlight w:val="none"/>
              </w:rPr>
            </w:pPr>
          </w:p>
        </w:tc>
        <w:tc>
          <w:tcPr>
            <w:tcW w:w="1985"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15B46FA">
            <w:pPr>
              <w:jc w:val="center"/>
              <w:rPr>
                <w:rFonts w:hint="eastAsia" w:ascii="宋体" w:hAnsi="宋体"/>
                <w:bCs/>
                <w:color w:val="auto"/>
                <w:sz w:val="24"/>
                <w:szCs w:val="24"/>
                <w:highlight w:val="none"/>
              </w:rPr>
            </w:pPr>
          </w:p>
        </w:tc>
        <w:tc>
          <w:tcPr>
            <w:tcW w:w="1276"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F950E2B">
            <w:pPr>
              <w:jc w:val="center"/>
              <w:rPr>
                <w:rFonts w:hint="eastAsia" w:ascii="宋体" w:hAnsi="宋体"/>
                <w:bCs/>
                <w:color w:val="auto"/>
                <w:sz w:val="24"/>
                <w:szCs w:val="24"/>
                <w:highlight w:val="none"/>
              </w:rPr>
            </w:pPr>
          </w:p>
        </w:tc>
        <w:tc>
          <w:tcPr>
            <w:tcW w:w="652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E83FBF9">
            <w:pPr>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根据</w:t>
            </w:r>
            <w:r>
              <w:rPr>
                <w:rFonts w:hint="eastAsia" w:ascii="宋体" w:hAnsi="宋体" w:cs="宋体"/>
                <w:bCs/>
                <w:color w:val="auto"/>
                <w:sz w:val="24"/>
                <w:szCs w:val="24"/>
                <w:highlight w:val="none"/>
                <w:lang w:val="en-US" w:eastAsia="zh-CN"/>
              </w:rPr>
              <w:t>投标人所投的水平输送机产品参数指标与招标文件要求的相关参数响应情况进行打分</w:t>
            </w:r>
            <w:r>
              <w:rPr>
                <w:rFonts w:hint="eastAsia" w:ascii="宋体" w:hAnsi="宋体" w:cs="宋体"/>
                <w:bCs/>
                <w:color w:val="auto"/>
                <w:sz w:val="24"/>
                <w:szCs w:val="24"/>
                <w:highlight w:val="none"/>
              </w:rPr>
              <w:t>（0-</w:t>
            </w:r>
            <w:r>
              <w:rPr>
                <w:rFonts w:hint="eastAsia" w:ascii="宋体" w:hAnsi="宋体" w:cs="宋体"/>
                <w:bCs/>
                <w:color w:val="auto"/>
                <w:sz w:val="24"/>
                <w:szCs w:val="24"/>
                <w:highlight w:val="none"/>
                <w:lang w:val="en-US" w:eastAsia="zh-CN"/>
              </w:rPr>
              <w:t>5</w:t>
            </w:r>
            <w:r>
              <w:rPr>
                <w:rFonts w:hint="eastAsia" w:ascii="宋体" w:hAnsi="宋体" w:cs="宋体"/>
                <w:bCs/>
                <w:color w:val="auto"/>
                <w:sz w:val="24"/>
                <w:szCs w:val="24"/>
                <w:highlight w:val="none"/>
              </w:rPr>
              <w:t>分）</w:t>
            </w:r>
          </w:p>
          <w:p w14:paraId="6997681C">
            <w:pPr>
              <w:jc w:val="left"/>
              <w:rPr>
                <w:rFonts w:hint="eastAsia" w:ascii="宋体" w:hAnsi="宋体" w:cs="宋体"/>
                <w:bCs/>
                <w:color w:val="auto"/>
                <w:sz w:val="24"/>
                <w:szCs w:val="24"/>
                <w:highlight w:val="none"/>
              </w:rPr>
            </w:pPr>
            <w:r>
              <w:rPr>
                <w:rFonts w:hint="eastAsia" w:ascii="宋体" w:hAnsi="宋体" w:cs="宋体"/>
                <w:b/>
                <w:bCs/>
                <w:color w:val="auto"/>
                <w:sz w:val="24"/>
                <w:szCs w:val="24"/>
                <w:highlight w:val="none"/>
                <w:lang w:val="en-US" w:eastAsia="zh-CN" w:bidi="en-US"/>
              </w:rPr>
              <w:t>注：</w:t>
            </w:r>
            <w:r>
              <w:rPr>
                <w:rFonts w:hint="eastAsia" w:ascii="宋体" w:hAnsi="宋体" w:eastAsia="宋体" w:cs="宋体"/>
                <w:b/>
                <w:bCs/>
                <w:color w:val="auto"/>
                <w:sz w:val="24"/>
                <w:szCs w:val="24"/>
                <w:highlight w:val="none"/>
                <w:lang w:val="en-US" w:eastAsia="zh-CN" w:bidi="en-US"/>
              </w:rPr>
              <w:t>提供具有CMA认证或ILAC-MRA认证或CNAS认证的第三方检测机构出具的检测报告，否则不得分。</w:t>
            </w:r>
          </w:p>
        </w:tc>
      </w:tr>
      <w:tr w14:paraId="49B729C5">
        <w:tblPrEx>
          <w:tblCellMar>
            <w:top w:w="0" w:type="dxa"/>
            <w:left w:w="108" w:type="dxa"/>
            <w:bottom w:w="0" w:type="dxa"/>
            <w:right w:w="108" w:type="dxa"/>
          </w:tblCellMar>
        </w:tblPrEx>
        <w:trPr>
          <w:trHeight w:val="926" w:hRule="atLeast"/>
        </w:trPr>
        <w:tc>
          <w:tcPr>
            <w:tcW w:w="851"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AEE8B59">
            <w:pPr>
              <w:jc w:val="center"/>
              <w:rPr>
                <w:rFonts w:hint="eastAsia"/>
                <w:color w:val="auto"/>
                <w:sz w:val="24"/>
                <w:szCs w:val="24"/>
                <w:highlight w:val="none"/>
              </w:rPr>
            </w:pPr>
          </w:p>
        </w:tc>
        <w:tc>
          <w:tcPr>
            <w:tcW w:w="1985"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3373042">
            <w:pPr>
              <w:jc w:val="center"/>
              <w:rPr>
                <w:rFonts w:hint="eastAsia" w:ascii="宋体" w:hAnsi="宋体"/>
                <w:bCs/>
                <w:color w:val="auto"/>
                <w:sz w:val="24"/>
                <w:szCs w:val="24"/>
                <w:highlight w:val="none"/>
              </w:rPr>
            </w:pPr>
          </w:p>
        </w:tc>
        <w:tc>
          <w:tcPr>
            <w:tcW w:w="1276"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8A1D57B">
            <w:pPr>
              <w:jc w:val="center"/>
              <w:rPr>
                <w:rFonts w:hint="eastAsia" w:ascii="宋体" w:hAnsi="宋体"/>
                <w:bCs/>
                <w:color w:val="auto"/>
                <w:sz w:val="24"/>
                <w:szCs w:val="24"/>
                <w:highlight w:val="none"/>
              </w:rPr>
            </w:pPr>
          </w:p>
        </w:tc>
        <w:tc>
          <w:tcPr>
            <w:tcW w:w="652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6C683B7">
            <w:pPr>
              <w:jc w:val="left"/>
              <w:rPr>
                <w:rFonts w:hint="eastAsia" w:ascii="宋体" w:hAnsi="宋体" w:eastAsia="宋体" w:cs="宋体"/>
                <w:color w:val="auto"/>
                <w:kern w:val="0"/>
                <w:sz w:val="24"/>
                <w:highlight w:val="none"/>
                <w:lang w:val="en-US" w:eastAsia="zh-CN" w:bidi="ar"/>
              </w:rPr>
            </w:pPr>
            <w:r>
              <w:rPr>
                <w:rFonts w:hint="eastAsia" w:ascii="宋体" w:hAnsi="宋体" w:eastAsia="宋体" w:cs="宋体"/>
                <w:color w:val="auto"/>
                <w:kern w:val="0"/>
                <w:sz w:val="24"/>
                <w:highlight w:val="none"/>
                <w:lang w:val="en-US" w:eastAsia="zh-CN" w:bidi="ar"/>
              </w:rPr>
              <w:t>根据投标人所投的提升机安全防护及操作台配置功能情况进行打分（0-5分）；</w:t>
            </w:r>
          </w:p>
          <w:p w14:paraId="5390F0AF">
            <w:pPr>
              <w:jc w:val="left"/>
              <w:rPr>
                <w:rFonts w:hint="default" w:ascii="宋体" w:hAnsi="宋体" w:cs="宋体"/>
                <w:bCs/>
                <w:color w:val="auto"/>
                <w:sz w:val="24"/>
                <w:szCs w:val="24"/>
                <w:highlight w:val="none"/>
                <w:lang w:val="en-US" w:eastAsia="zh-CN"/>
              </w:rPr>
            </w:pPr>
            <w:r>
              <w:rPr>
                <w:rFonts w:hint="eastAsia" w:ascii="宋体" w:hAnsi="宋体" w:cs="宋体"/>
                <w:b/>
                <w:bCs/>
                <w:color w:val="auto"/>
                <w:sz w:val="24"/>
                <w:szCs w:val="24"/>
                <w:highlight w:val="none"/>
                <w:lang w:val="en-US" w:eastAsia="zh-CN" w:bidi="en-US"/>
              </w:rPr>
              <w:t>注：</w:t>
            </w:r>
            <w:r>
              <w:rPr>
                <w:rFonts w:hint="eastAsia" w:ascii="宋体" w:hAnsi="宋体" w:eastAsia="宋体" w:cs="宋体"/>
                <w:b/>
                <w:bCs/>
                <w:color w:val="auto"/>
                <w:kern w:val="0"/>
                <w:sz w:val="24"/>
                <w:highlight w:val="none"/>
                <w:lang w:val="en-US" w:eastAsia="zh-CN" w:bidi="ar"/>
              </w:rPr>
              <w:t>提供相关介绍和证明材料复印件，否则不得分。</w:t>
            </w:r>
          </w:p>
        </w:tc>
      </w:tr>
      <w:tr w14:paraId="10089004">
        <w:tblPrEx>
          <w:tblCellMar>
            <w:top w:w="0" w:type="dxa"/>
            <w:left w:w="108" w:type="dxa"/>
            <w:bottom w:w="0" w:type="dxa"/>
            <w:right w:w="108" w:type="dxa"/>
          </w:tblCellMar>
        </w:tblPrEx>
        <w:trPr>
          <w:trHeight w:val="926" w:hRule="atLeast"/>
        </w:trPr>
        <w:tc>
          <w:tcPr>
            <w:tcW w:w="851"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AF9A6F9">
            <w:pPr>
              <w:jc w:val="center"/>
              <w:rPr>
                <w:rFonts w:hint="eastAsia"/>
                <w:color w:val="auto"/>
                <w:sz w:val="24"/>
                <w:szCs w:val="24"/>
                <w:highlight w:val="none"/>
              </w:rPr>
            </w:pPr>
            <w:r>
              <w:rPr>
                <w:rFonts w:hint="eastAsia" w:ascii="宋体" w:hAnsi="宋体" w:cs="宋体"/>
                <w:b/>
                <w:bCs/>
                <w:color w:val="auto"/>
                <w:kern w:val="0"/>
                <w:sz w:val="24"/>
                <w:szCs w:val="24"/>
                <w:highlight w:val="none"/>
                <w:lang w:val="en-US" w:eastAsia="zh-CN" w:bidi="ar"/>
              </w:rPr>
              <w:t>提升机功能</w:t>
            </w:r>
          </w:p>
        </w:tc>
        <w:tc>
          <w:tcPr>
            <w:tcW w:w="1985"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347ABD2">
            <w:pPr>
              <w:jc w:val="center"/>
              <w:rPr>
                <w:rFonts w:hint="eastAsia" w:ascii="宋体" w:hAnsi="宋体"/>
                <w:bCs/>
                <w:color w:val="auto"/>
                <w:sz w:val="24"/>
                <w:szCs w:val="24"/>
                <w:highlight w:val="none"/>
              </w:rPr>
            </w:pPr>
          </w:p>
        </w:tc>
        <w:tc>
          <w:tcPr>
            <w:tcW w:w="1276"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AEB557E">
            <w:pPr>
              <w:jc w:val="center"/>
              <w:rPr>
                <w:rFonts w:hint="eastAsia" w:ascii="宋体" w:hAnsi="宋体"/>
                <w:bCs/>
                <w:color w:val="auto"/>
                <w:sz w:val="24"/>
                <w:szCs w:val="24"/>
                <w:highlight w:val="none"/>
              </w:rPr>
            </w:pPr>
          </w:p>
        </w:tc>
        <w:tc>
          <w:tcPr>
            <w:tcW w:w="652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ABFD5B3">
            <w:pPr>
              <w:jc w:val="left"/>
              <w:rPr>
                <w:rFonts w:hint="eastAsia" w:ascii="宋体" w:hAnsi="宋体" w:eastAsia="宋体" w:cs="宋体"/>
                <w:color w:val="auto"/>
                <w:kern w:val="0"/>
                <w:sz w:val="24"/>
                <w:highlight w:val="none"/>
                <w:lang w:val="en-US" w:eastAsia="zh-CN" w:bidi="ar"/>
              </w:rPr>
            </w:pPr>
            <w:r>
              <w:rPr>
                <w:rFonts w:hint="eastAsia" w:ascii="宋体" w:hAnsi="宋体" w:eastAsia="宋体" w:cs="宋体"/>
                <w:color w:val="auto"/>
                <w:kern w:val="0"/>
                <w:sz w:val="24"/>
                <w:highlight w:val="none"/>
                <w:lang w:val="en-US" w:eastAsia="zh-CN" w:bidi="ar"/>
              </w:rPr>
              <w:t>根据投标人所</w:t>
            </w:r>
            <w:r>
              <w:rPr>
                <w:rFonts w:hint="eastAsia" w:ascii="宋体" w:hAnsi="宋体" w:eastAsia="宋体" w:cs="宋体"/>
                <w:b w:val="0"/>
                <w:bCs w:val="0"/>
                <w:color w:val="auto"/>
                <w:kern w:val="0"/>
                <w:sz w:val="24"/>
                <w:highlight w:val="none"/>
                <w:lang w:val="en-US" w:eastAsia="zh-CN" w:bidi="ar"/>
              </w:rPr>
              <w:t>投的</w:t>
            </w:r>
            <w:r>
              <w:rPr>
                <w:rFonts w:hint="eastAsia" w:ascii="宋体" w:hAnsi="宋体" w:cs="宋体"/>
                <w:b w:val="0"/>
                <w:bCs w:val="0"/>
                <w:color w:val="auto"/>
                <w:kern w:val="0"/>
                <w:sz w:val="24"/>
                <w:szCs w:val="24"/>
                <w:highlight w:val="none"/>
                <w:lang w:val="en-US" w:eastAsia="zh-CN" w:bidi="ar"/>
              </w:rPr>
              <w:t>提升机功能描述</w:t>
            </w:r>
            <w:r>
              <w:rPr>
                <w:rFonts w:hint="eastAsia" w:ascii="宋体" w:hAnsi="宋体" w:eastAsia="宋体" w:cs="宋体"/>
                <w:b w:val="0"/>
                <w:bCs w:val="0"/>
                <w:color w:val="auto"/>
                <w:kern w:val="0"/>
                <w:sz w:val="24"/>
                <w:highlight w:val="none"/>
                <w:lang w:val="en-US" w:eastAsia="zh-CN" w:bidi="ar"/>
              </w:rPr>
              <w:t>情况</w:t>
            </w:r>
            <w:r>
              <w:rPr>
                <w:rFonts w:hint="eastAsia" w:ascii="宋体" w:hAnsi="宋体" w:eastAsia="宋体" w:cs="宋体"/>
                <w:color w:val="auto"/>
                <w:kern w:val="0"/>
                <w:sz w:val="24"/>
                <w:highlight w:val="none"/>
                <w:lang w:val="en-US" w:eastAsia="zh-CN" w:bidi="ar"/>
              </w:rPr>
              <w:t>进行打分（0-5分）；</w:t>
            </w:r>
          </w:p>
          <w:p w14:paraId="4CFDDEA5">
            <w:pPr>
              <w:jc w:val="left"/>
              <w:rPr>
                <w:rFonts w:hint="default" w:ascii="宋体" w:hAnsi="宋体" w:eastAsia="宋体" w:cs="宋体"/>
                <w:color w:val="auto"/>
                <w:kern w:val="0"/>
                <w:sz w:val="24"/>
                <w:highlight w:val="none"/>
                <w:lang w:val="en-US" w:eastAsia="zh-CN" w:bidi="ar"/>
              </w:rPr>
            </w:pPr>
            <w:r>
              <w:rPr>
                <w:rFonts w:hint="eastAsia" w:ascii="宋体" w:hAnsi="宋体" w:cs="宋体"/>
                <w:b/>
                <w:bCs/>
                <w:color w:val="auto"/>
                <w:sz w:val="24"/>
                <w:szCs w:val="24"/>
                <w:highlight w:val="none"/>
                <w:lang w:val="en-US" w:eastAsia="zh-CN" w:bidi="en-US"/>
              </w:rPr>
              <w:t>注：</w:t>
            </w:r>
            <w:r>
              <w:rPr>
                <w:rFonts w:hint="eastAsia" w:ascii="宋体" w:hAnsi="宋体" w:eastAsia="宋体" w:cs="宋体"/>
                <w:b/>
                <w:bCs/>
                <w:color w:val="auto"/>
                <w:kern w:val="0"/>
                <w:sz w:val="24"/>
                <w:highlight w:val="none"/>
                <w:lang w:val="en-US" w:eastAsia="zh-CN" w:bidi="ar"/>
              </w:rPr>
              <w:t>提供相关介绍和证明材料复印件，否则不得分。</w:t>
            </w:r>
          </w:p>
        </w:tc>
      </w:tr>
      <w:tr w14:paraId="7117C95D">
        <w:tblPrEx>
          <w:tblCellMar>
            <w:top w:w="0" w:type="dxa"/>
            <w:left w:w="108" w:type="dxa"/>
            <w:bottom w:w="0" w:type="dxa"/>
            <w:right w:w="108" w:type="dxa"/>
          </w:tblCellMar>
        </w:tblPrEx>
        <w:trPr>
          <w:trHeight w:val="309" w:hRule="atLeast"/>
        </w:trPr>
        <w:tc>
          <w:tcPr>
            <w:tcW w:w="851"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EBD6809">
            <w:pPr>
              <w:jc w:val="center"/>
              <w:rPr>
                <w:rFonts w:hint="eastAsia"/>
                <w:color w:val="auto"/>
                <w:sz w:val="24"/>
                <w:szCs w:val="24"/>
                <w:highlight w:val="none"/>
              </w:rPr>
            </w:pPr>
          </w:p>
        </w:tc>
        <w:tc>
          <w:tcPr>
            <w:tcW w:w="1985"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3E607BA">
            <w:pPr>
              <w:jc w:val="center"/>
              <w:rPr>
                <w:rFonts w:hint="eastAsia" w:ascii="宋体" w:hAnsi="宋体"/>
                <w:bCs/>
                <w:color w:val="auto"/>
                <w:sz w:val="24"/>
                <w:szCs w:val="24"/>
                <w:highlight w:val="none"/>
              </w:rPr>
            </w:pPr>
          </w:p>
        </w:tc>
        <w:tc>
          <w:tcPr>
            <w:tcW w:w="1276"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0C1C70E">
            <w:pPr>
              <w:jc w:val="center"/>
              <w:rPr>
                <w:rFonts w:hint="eastAsia" w:ascii="宋体" w:hAnsi="宋体"/>
                <w:bCs/>
                <w:color w:val="auto"/>
                <w:sz w:val="24"/>
                <w:szCs w:val="24"/>
                <w:highlight w:val="none"/>
              </w:rPr>
            </w:pPr>
          </w:p>
        </w:tc>
        <w:tc>
          <w:tcPr>
            <w:tcW w:w="652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0A8D57F">
            <w:pPr>
              <w:shd w:val="clear"/>
              <w:snapToGrid w:val="0"/>
              <w:spacing w:line="400" w:lineRule="exact"/>
              <w:jc w:val="left"/>
              <w:rPr>
                <w:rFonts w:hint="eastAsia" w:ascii="宋体" w:hAnsi="宋体" w:cs="宋体"/>
                <w:bCs/>
                <w:color w:val="auto"/>
                <w:sz w:val="24"/>
                <w:szCs w:val="24"/>
                <w:highlight w:val="none"/>
              </w:rPr>
            </w:pPr>
            <w:r>
              <w:rPr>
                <w:rFonts w:hint="eastAsia" w:ascii="宋体" w:hAnsi="宋体" w:eastAsia="宋体" w:cs="宋体"/>
                <w:color w:val="auto"/>
                <w:kern w:val="0"/>
                <w:sz w:val="24"/>
                <w:szCs w:val="24"/>
                <w:highlight w:val="none"/>
                <w:lang w:val="en-US" w:eastAsia="zh-CN"/>
              </w:rPr>
              <w:t>根据投标人所投产品</w:t>
            </w:r>
            <w:r>
              <w:rPr>
                <w:rFonts w:hint="eastAsia" w:ascii="宋体" w:hAnsi="宋体" w:eastAsia="宋体" w:cs="宋体"/>
                <w:color w:val="auto"/>
                <w:kern w:val="0"/>
                <w:sz w:val="24"/>
                <w:highlight w:val="none"/>
                <w:lang w:val="en-US" w:eastAsia="zh-CN" w:bidi="ar"/>
              </w:rPr>
              <w:t>驱动主电机、主提升电机变频器、提升机专用导轨、主提升电机变频器、可编程控制器PLC、链条</w:t>
            </w:r>
            <w:r>
              <w:rPr>
                <w:rFonts w:hint="eastAsia" w:ascii="宋体" w:hAnsi="宋体" w:eastAsia="宋体" w:cs="宋体"/>
                <w:color w:val="auto"/>
                <w:kern w:val="0"/>
                <w:sz w:val="24"/>
                <w:szCs w:val="24"/>
                <w:highlight w:val="none"/>
                <w:lang w:val="en-US" w:eastAsia="zh-CN"/>
              </w:rPr>
              <w:t>的选型、性能、使用品牌情况、</w:t>
            </w:r>
            <w:r>
              <w:rPr>
                <w:rFonts w:hint="eastAsia" w:ascii="宋体" w:hAnsi="宋体" w:eastAsia="宋体" w:cs="宋体"/>
                <w:color w:val="auto"/>
                <w:kern w:val="0"/>
                <w:sz w:val="24"/>
                <w:szCs w:val="24"/>
                <w:highlight w:val="none"/>
              </w:rPr>
              <w:t>配置</w:t>
            </w:r>
            <w:r>
              <w:rPr>
                <w:rFonts w:hint="eastAsia" w:ascii="宋体" w:hAnsi="宋体" w:eastAsia="宋体" w:cs="宋体"/>
                <w:color w:val="auto"/>
                <w:kern w:val="0"/>
                <w:sz w:val="24"/>
                <w:szCs w:val="24"/>
                <w:highlight w:val="none"/>
                <w:lang w:val="en-US" w:eastAsia="zh-CN"/>
              </w:rPr>
              <w:t>的</w:t>
            </w:r>
            <w:r>
              <w:rPr>
                <w:rFonts w:hint="eastAsia" w:ascii="宋体" w:hAnsi="宋体" w:eastAsia="宋体" w:cs="宋体"/>
                <w:color w:val="auto"/>
                <w:kern w:val="0"/>
                <w:sz w:val="24"/>
                <w:szCs w:val="24"/>
                <w:highlight w:val="none"/>
              </w:rPr>
              <w:t>完整性、合理性及技术上的先进程度</w:t>
            </w:r>
            <w:r>
              <w:rPr>
                <w:rFonts w:hint="eastAsia" w:ascii="宋体" w:hAnsi="宋体" w:eastAsia="宋体" w:cs="宋体"/>
                <w:color w:val="auto"/>
                <w:kern w:val="0"/>
                <w:sz w:val="24"/>
                <w:szCs w:val="24"/>
                <w:highlight w:val="none"/>
                <w:lang w:val="en-US" w:eastAsia="zh-CN"/>
              </w:rPr>
              <w:t>等进行综合</w:t>
            </w:r>
            <w:r>
              <w:rPr>
                <w:rFonts w:hint="eastAsia" w:ascii="宋体" w:hAnsi="宋体" w:eastAsia="宋体" w:cs="宋体"/>
                <w:color w:val="auto"/>
                <w:kern w:val="0"/>
                <w:sz w:val="24"/>
                <w:szCs w:val="24"/>
                <w:highlight w:val="none"/>
              </w:rPr>
              <w:t>打分</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0-</w:t>
            </w:r>
            <w:r>
              <w:rPr>
                <w:rFonts w:hint="eastAsia" w:ascii="宋体" w:hAnsi="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lang w:val="en-US" w:eastAsia="zh-CN"/>
              </w:rPr>
              <w:t>分</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w:t>
            </w:r>
          </w:p>
        </w:tc>
      </w:tr>
      <w:tr w14:paraId="004D6105">
        <w:tblPrEx>
          <w:tblCellMar>
            <w:top w:w="0" w:type="dxa"/>
            <w:left w:w="108" w:type="dxa"/>
            <w:bottom w:w="0" w:type="dxa"/>
            <w:right w:w="108" w:type="dxa"/>
          </w:tblCellMar>
        </w:tblPrEx>
        <w:trPr>
          <w:trHeight w:val="284" w:hRule="atLeast"/>
        </w:trPr>
        <w:tc>
          <w:tcPr>
            <w:tcW w:w="851"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FD0CFE0">
            <w:pPr>
              <w:jc w:val="center"/>
              <w:rPr>
                <w:rFonts w:hint="eastAsia"/>
                <w:color w:val="auto"/>
                <w:sz w:val="24"/>
                <w:szCs w:val="24"/>
                <w:highlight w:val="none"/>
              </w:rPr>
            </w:pPr>
          </w:p>
        </w:tc>
        <w:tc>
          <w:tcPr>
            <w:tcW w:w="1985"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2FF9031">
            <w:pPr>
              <w:jc w:val="left"/>
              <w:rPr>
                <w:rFonts w:hint="eastAsia" w:ascii="宋体" w:hAnsi="宋体" w:cs="宋体"/>
                <w:bCs/>
                <w:color w:val="auto"/>
                <w:sz w:val="24"/>
                <w:szCs w:val="24"/>
                <w:highlight w:val="none"/>
              </w:rPr>
            </w:pPr>
          </w:p>
        </w:tc>
        <w:tc>
          <w:tcPr>
            <w:tcW w:w="1276"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1702EDF">
            <w:pPr>
              <w:jc w:val="center"/>
              <w:rPr>
                <w:rFonts w:ascii="宋体" w:hAnsi="宋体"/>
                <w:bCs/>
                <w:color w:val="auto"/>
                <w:sz w:val="24"/>
                <w:szCs w:val="24"/>
                <w:highlight w:val="none"/>
              </w:rPr>
            </w:pPr>
          </w:p>
        </w:tc>
        <w:tc>
          <w:tcPr>
            <w:tcW w:w="652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27E7EC1">
            <w:pPr>
              <w:shd w:val="clear"/>
              <w:snapToGrid w:val="0"/>
              <w:spacing w:line="400" w:lineRule="exact"/>
              <w:jc w:val="left"/>
              <w:rPr>
                <w:rFonts w:hint="eastAsia" w:ascii="宋体" w:hAnsi="宋体" w:cs="宋体"/>
                <w:bCs/>
                <w:color w:val="auto"/>
                <w:sz w:val="24"/>
                <w:szCs w:val="24"/>
                <w:highlight w:val="none"/>
                <w:lang w:val="zh-CN"/>
              </w:rPr>
            </w:pPr>
            <w:r>
              <w:rPr>
                <w:rFonts w:hint="eastAsia" w:ascii="宋体" w:hAnsi="宋体" w:eastAsia="宋体" w:cs="宋体"/>
                <w:color w:val="auto"/>
                <w:kern w:val="0"/>
                <w:sz w:val="24"/>
                <w:szCs w:val="24"/>
                <w:highlight w:val="none"/>
                <w:lang w:val="en-US" w:eastAsia="zh-CN"/>
              </w:rPr>
              <w:t>根据投标人所投产品水平输送系统电机</w:t>
            </w:r>
            <w:r>
              <w:rPr>
                <w:rFonts w:hint="eastAsia" w:ascii="宋体" w:hAnsi="宋体" w:eastAsia="宋体" w:cs="宋体"/>
                <w:color w:val="auto"/>
                <w:kern w:val="0"/>
                <w:sz w:val="24"/>
                <w:highlight w:val="none"/>
                <w:lang w:val="en-US" w:eastAsia="zh-CN" w:bidi="ar"/>
              </w:rPr>
              <w:t>、辊筒、水平输送电机变频器、接触器、继电器、链条</w:t>
            </w:r>
            <w:r>
              <w:rPr>
                <w:rFonts w:hint="eastAsia" w:ascii="宋体" w:hAnsi="宋体" w:eastAsia="宋体" w:cs="宋体"/>
                <w:color w:val="auto"/>
                <w:kern w:val="0"/>
                <w:sz w:val="24"/>
                <w:szCs w:val="24"/>
                <w:highlight w:val="none"/>
                <w:lang w:val="en-US" w:eastAsia="zh-CN"/>
              </w:rPr>
              <w:t>的选型、性能、使用品牌情况、</w:t>
            </w:r>
            <w:r>
              <w:rPr>
                <w:rFonts w:hint="eastAsia" w:ascii="宋体" w:hAnsi="宋体" w:eastAsia="宋体" w:cs="宋体"/>
                <w:color w:val="auto"/>
                <w:kern w:val="0"/>
                <w:sz w:val="24"/>
                <w:szCs w:val="24"/>
                <w:highlight w:val="none"/>
              </w:rPr>
              <w:t>配置</w:t>
            </w:r>
            <w:r>
              <w:rPr>
                <w:rFonts w:hint="eastAsia" w:ascii="宋体" w:hAnsi="宋体" w:eastAsia="宋体" w:cs="宋体"/>
                <w:color w:val="auto"/>
                <w:kern w:val="0"/>
                <w:sz w:val="24"/>
                <w:szCs w:val="24"/>
                <w:highlight w:val="none"/>
                <w:lang w:val="en-US" w:eastAsia="zh-CN"/>
              </w:rPr>
              <w:t>的</w:t>
            </w:r>
            <w:r>
              <w:rPr>
                <w:rFonts w:hint="eastAsia" w:ascii="宋体" w:hAnsi="宋体" w:eastAsia="宋体" w:cs="宋体"/>
                <w:color w:val="auto"/>
                <w:kern w:val="0"/>
                <w:sz w:val="24"/>
                <w:szCs w:val="24"/>
                <w:highlight w:val="none"/>
              </w:rPr>
              <w:t>完整性、合理性及技术上的先进程度</w:t>
            </w:r>
            <w:r>
              <w:rPr>
                <w:rFonts w:hint="eastAsia" w:ascii="宋体" w:hAnsi="宋体" w:eastAsia="宋体" w:cs="宋体"/>
                <w:color w:val="auto"/>
                <w:kern w:val="0"/>
                <w:sz w:val="24"/>
                <w:szCs w:val="24"/>
                <w:highlight w:val="none"/>
                <w:lang w:val="en-US" w:eastAsia="zh-CN"/>
              </w:rPr>
              <w:t>等进行综合</w:t>
            </w:r>
            <w:r>
              <w:rPr>
                <w:rFonts w:hint="eastAsia" w:ascii="宋体" w:hAnsi="宋体" w:eastAsia="宋体" w:cs="宋体"/>
                <w:color w:val="auto"/>
                <w:kern w:val="0"/>
                <w:sz w:val="24"/>
                <w:szCs w:val="24"/>
                <w:highlight w:val="none"/>
              </w:rPr>
              <w:t>打分</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0-</w:t>
            </w:r>
            <w:r>
              <w:rPr>
                <w:rFonts w:hint="eastAsia" w:ascii="宋体" w:hAnsi="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lang w:val="en-US" w:eastAsia="zh-CN"/>
              </w:rPr>
              <w:t>分</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w:t>
            </w:r>
          </w:p>
        </w:tc>
      </w:tr>
      <w:tr w14:paraId="3D85BEC9">
        <w:tblPrEx>
          <w:tblCellMar>
            <w:top w:w="0" w:type="dxa"/>
            <w:left w:w="108" w:type="dxa"/>
            <w:bottom w:w="0" w:type="dxa"/>
            <w:right w:w="108" w:type="dxa"/>
          </w:tblCellMar>
        </w:tblPrEx>
        <w:trPr>
          <w:trHeight w:val="1595" w:hRule="atLeast"/>
        </w:trPr>
        <w:tc>
          <w:tcPr>
            <w:tcW w:w="851"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2C8736E">
            <w:pPr>
              <w:jc w:val="center"/>
              <w:rPr>
                <w:rFonts w:hint="eastAsia"/>
                <w:color w:val="auto"/>
                <w:sz w:val="24"/>
                <w:szCs w:val="24"/>
                <w:highlight w:val="none"/>
              </w:rPr>
            </w:pPr>
          </w:p>
        </w:tc>
        <w:tc>
          <w:tcPr>
            <w:tcW w:w="1985"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B13AA6D">
            <w:pPr>
              <w:jc w:val="left"/>
              <w:rPr>
                <w:rFonts w:hint="eastAsia" w:ascii="宋体" w:hAnsi="宋体" w:cs="宋体"/>
                <w:bCs/>
                <w:color w:val="auto"/>
                <w:sz w:val="24"/>
                <w:szCs w:val="24"/>
                <w:highlight w:val="none"/>
              </w:rPr>
            </w:pPr>
          </w:p>
        </w:tc>
        <w:tc>
          <w:tcPr>
            <w:tcW w:w="1276"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939F9B5">
            <w:pPr>
              <w:jc w:val="center"/>
              <w:rPr>
                <w:rFonts w:ascii="宋体" w:hAnsi="宋体"/>
                <w:bCs/>
                <w:color w:val="auto"/>
                <w:sz w:val="24"/>
                <w:szCs w:val="24"/>
                <w:highlight w:val="none"/>
              </w:rPr>
            </w:pPr>
          </w:p>
        </w:tc>
        <w:tc>
          <w:tcPr>
            <w:tcW w:w="652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92DD027">
            <w:pPr>
              <w:shd w:val="clear"/>
              <w:snapToGrid w:val="0"/>
              <w:spacing w:line="400" w:lineRule="exact"/>
              <w:jc w:val="left"/>
              <w:rPr>
                <w:rFonts w:hint="eastAsia" w:ascii="宋体" w:hAnsi="宋体" w:cs="宋体"/>
                <w:color w:val="auto"/>
                <w:sz w:val="24"/>
                <w:szCs w:val="24"/>
                <w:highlight w:val="none"/>
                <w:lang w:bidi="en-US"/>
              </w:rPr>
            </w:pPr>
            <w:r>
              <w:rPr>
                <w:rFonts w:hint="eastAsia" w:ascii="宋体" w:hAnsi="宋体" w:eastAsia="宋体" w:cs="宋体"/>
                <w:color w:val="auto"/>
                <w:kern w:val="0"/>
                <w:sz w:val="24"/>
                <w:szCs w:val="24"/>
                <w:highlight w:val="none"/>
                <w:lang w:val="en-US" w:eastAsia="zh-CN"/>
              </w:rPr>
              <w:t>根据投标人所投产品</w:t>
            </w:r>
            <w:r>
              <w:rPr>
                <w:rFonts w:hint="eastAsia" w:ascii="宋体" w:hAnsi="宋体" w:eastAsia="宋体" w:cs="宋体"/>
                <w:color w:val="auto"/>
                <w:kern w:val="0"/>
                <w:sz w:val="24"/>
                <w:highlight w:val="none"/>
                <w:lang w:val="en-US" w:eastAsia="zh-CN" w:bidi="ar"/>
              </w:rPr>
              <w:t>通讯模块、空气开关、断路器、开关电源、主控箱触摸屏、分控箱触摸屏、光电开关、行程开关、网络交换机</w:t>
            </w:r>
            <w:r>
              <w:rPr>
                <w:rFonts w:hint="eastAsia" w:ascii="宋体" w:hAnsi="宋体" w:eastAsia="宋体" w:cs="宋体"/>
                <w:color w:val="auto"/>
                <w:kern w:val="0"/>
                <w:sz w:val="24"/>
                <w:szCs w:val="24"/>
                <w:highlight w:val="none"/>
                <w:lang w:val="en-US" w:eastAsia="zh-CN"/>
              </w:rPr>
              <w:t>的选型、性能、使用品牌情况、</w:t>
            </w:r>
            <w:r>
              <w:rPr>
                <w:rFonts w:hint="eastAsia" w:ascii="宋体" w:hAnsi="宋体" w:eastAsia="宋体" w:cs="宋体"/>
                <w:color w:val="auto"/>
                <w:kern w:val="0"/>
                <w:sz w:val="24"/>
                <w:szCs w:val="24"/>
                <w:highlight w:val="none"/>
              </w:rPr>
              <w:t>配置</w:t>
            </w:r>
            <w:r>
              <w:rPr>
                <w:rFonts w:hint="eastAsia" w:ascii="宋体" w:hAnsi="宋体" w:eastAsia="宋体" w:cs="宋体"/>
                <w:color w:val="auto"/>
                <w:kern w:val="0"/>
                <w:sz w:val="24"/>
                <w:szCs w:val="24"/>
                <w:highlight w:val="none"/>
                <w:lang w:val="en-US" w:eastAsia="zh-CN"/>
              </w:rPr>
              <w:t>的</w:t>
            </w:r>
            <w:r>
              <w:rPr>
                <w:rFonts w:hint="eastAsia" w:ascii="宋体" w:hAnsi="宋体" w:eastAsia="宋体" w:cs="宋体"/>
                <w:color w:val="auto"/>
                <w:kern w:val="0"/>
                <w:sz w:val="24"/>
                <w:szCs w:val="24"/>
                <w:highlight w:val="none"/>
              </w:rPr>
              <w:t>完整性、合理性及技术上的先进程度</w:t>
            </w:r>
            <w:r>
              <w:rPr>
                <w:rFonts w:hint="eastAsia" w:ascii="宋体" w:hAnsi="宋体" w:eastAsia="宋体" w:cs="宋体"/>
                <w:color w:val="auto"/>
                <w:kern w:val="0"/>
                <w:sz w:val="24"/>
                <w:szCs w:val="24"/>
                <w:highlight w:val="none"/>
                <w:lang w:val="en-US" w:eastAsia="zh-CN"/>
              </w:rPr>
              <w:t>等进行综合</w:t>
            </w:r>
            <w:r>
              <w:rPr>
                <w:rFonts w:hint="eastAsia" w:ascii="宋体" w:hAnsi="宋体" w:eastAsia="宋体" w:cs="宋体"/>
                <w:color w:val="auto"/>
                <w:kern w:val="0"/>
                <w:sz w:val="24"/>
                <w:szCs w:val="24"/>
                <w:highlight w:val="none"/>
              </w:rPr>
              <w:t>打分</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0-</w:t>
            </w:r>
            <w:r>
              <w:rPr>
                <w:rFonts w:hint="eastAsia" w:ascii="宋体" w:hAnsi="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lang w:val="en-US" w:eastAsia="zh-CN"/>
              </w:rPr>
              <w:t>分</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w:t>
            </w:r>
          </w:p>
        </w:tc>
      </w:tr>
      <w:tr w14:paraId="36F88AD8">
        <w:tblPrEx>
          <w:tblCellMar>
            <w:top w:w="0" w:type="dxa"/>
            <w:left w:w="108" w:type="dxa"/>
            <w:bottom w:w="0" w:type="dxa"/>
            <w:right w:w="108" w:type="dxa"/>
          </w:tblCellMar>
        </w:tblPrEx>
        <w:trPr>
          <w:trHeight w:val="90" w:hRule="atLeast"/>
        </w:trPr>
        <w:tc>
          <w:tcPr>
            <w:tcW w:w="851"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8BEC081">
            <w:pPr>
              <w:jc w:val="center"/>
              <w:rPr>
                <w:rFonts w:hint="eastAsia"/>
                <w:color w:val="auto"/>
                <w:sz w:val="24"/>
                <w:szCs w:val="24"/>
                <w:highlight w:val="none"/>
              </w:rPr>
            </w:pPr>
            <w:r>
              <w:rPr>
                <w:rFonts w:hint="eastAsia"/>
                <w:color w:val="auto"/>
                <w:sz w:val="24"/>
                <w:szCs w:val="24"/>
                <w:highlight w:val="none"/>
              </w:rPr>
              <w:t>3</w:t>
            </w:r>
          </w:p>
        </w:tc>
        <w:tc>
          <w:tcPr>
            <w:tcW w:w="198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CEA2E1D">
            <w:pPr>
              <w:jc w:val="center"/>
              <w:rPr>
                <w:rFonts w:hint="eastAsia" w:ascii="宋体" w:hAnsi="宋体" w:cs="宋体"/>
                <w:b/>
                <w:color w:val="auto"/>
                <w:sz w:val="24"/>
                <w:szCs w:val="24"/>
                <w:highlight w:val="none"/>
              </w:rPr>
            </w:pPr>
            <w:r>
              <w:rPr>
                <w:rFonts w:hint="eastAsia" w:ascii="宋体" w:hAnsi="宋体"/>
                <w:color w:val="auto"/>
                <w:sz w:val="24"/>
                <w:szCs w:val="24"/>
                <w:highlight w:val="none"/>
                <w:lang w:eastAsia="en-US" w:bidi="en-US"/>
              </w:rPr>
              <w:t>主要技术指标</w:t>
            </w:r>
          </w:p>
        </w:tc>
        <w:tc>
          <w:tcPr>
            <w:tcW w:w="1276"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13EE50B">
            <w:pPr>
              <w:jc w:val="center"/>
              <w:rPr>
                <w:rFonts w:hint="eastAsia" w:ascii="宋体" w:hAnsi="宋体"/>
                <w:bCs/>
                <w:color w:val="auto"/>
                <w:sz w:val="24"/>
                <w:szCs w:val="24"/>
                <w:highlight w:val="none"/>
              </w:rPr>
            </w:pPr>
            <w:r>
              <w:rPr>
                <w:rFonts w:hint="eastAsia" w:ascii="宋体" w:hAnsi="宋体" w:cs="宋体"/>
                <w:bCs/>
                <w:color w:val="auto"/>
                <w:sz w:val="24"/>
                <w:szCs w:val="24"/>
                <w:highlight w:val="none"/>
                <w:lang w:val="en-US" w:eastAsia="zh-CN"/>
              </w:rPr>
              <w:t>3</w:t>
            </w:r>
            <w:r>
              <w:rPr>
                <w:rFonts w:hint="eastAsia" w:ascii="宋体" w:hAnsi="宋体" w:cs="宋体"/>
                <w:bCs/>
                <w:color w:val="auto"/>
                <w:sz w:val="24"/>
                <w:szCs w:val="24"/>
                <w:highlight w:val="none"/>
              </w:rPr>
              <w:t>分</w:t>
            </w:r>
          </w:p>
        </w:tc>
        <w:tc>
          <w:tcPr>
            <w:tcW w:w="6520" w:type="dxa"/>
            <w:tcBorders>
              <w:top w:val="single" w:color="auto" w:sz="4" w:space="0"/>
              <w:left w:val="nil"/>
              <w:bottom w:val="single" w:color="auto" w:sz="4" w:space="0"/>
              <w:right w:val="single" w:color="auto" w:sz="4" w:space="0"/>
            </w:tcBorders>
            <w:shd w:val="clear" w:color="000000" w:fill="FFFFFF"/>
            <w:noWrap w:val="0"/>
            <w:vAlign w:val="top"/>
          </w:tcPr>
          <w:p w14:paraId="36A7591E">
            <w:pPr>
              <w:jc w:val="left"/>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根据投标人提供的</w:t>
            </w:r>
            <w:r>
              <w:rPr>
                <w:rFonts w:hint="eastAsia" w:ascii="宋体" w:hAnsi="宋体" w:cs="宋体"/>
                <w:color w:val="auto"/>
                <w:sz w:val="24"/>
                <w:szCs w:val="24"/>
                <w:highlight w:val="none"/>
                <w:lang w:val="en-US" w:eastAsia="zh-CN" w:bidi="en-US"/>
              </w:rPr>
              <w:t>往复式提升机</w:t>
            </w:r>
            <w:r>
              <w:rPr>
                <w:rFonts w:hint="eastAsia" w:ascii="宋体" w:hAnsi="宋体" w:cs="宋体"/>
                <w:color w:val="auto"/>
                <w:sz w:val="24"/>
                <w:szCs w:val="24"/>
                <w:highlight w:val="none"/>
                <w:lang w:bidi="en-US"/>
              </w:rPr>
              <w:t>噪声指标、</w:t>
            </w:r>
            <w:r>
              <w:rPr>
                <w:rFonts w:hint="eastAsia" w:ascii="宋体" w:hAnsi="宋体" w:cs="宋体"/>
                <w:color w:val="auto"/>
                <w:sz w:val="24"/>
                <w:szCs w:val="24"/>
                <w:highlight w:val="none"/>
                <w:lang w:val="en-US" w:eastAsia="zh-CN" w:bidi="en-US"/>
              </w:rPr>
              <w:t>往复式提升机</w:t>
            </w:r>
            <w:r>
              <w:rPr>
                <w:rFonts w:hint="eastAsia" w:ascii="宋体" w:hAnsi="宋体" w:eastAsia="宋体" w:cs="宋体"/>
                <w:color w:val="auto"/>
                <w:kern w:val="0"/>
                <w:sz w:val="24"/>
                <w:highlight w:val="none"/>
                <w:lang w:eastAsia="zh-CN"/>
              </w:rPr>
              <w:t>升降速度</w:t>
            </w:r>
            <w:r>
              <w:rPr>
                <w:rFonts w:hint="eastAsia" w:ascii="宋体" w:hAnsi="宋体" w:cs="宋体"/>
                <w:color w:val="auto"/>
                <w:sz w:val="24"/>
                <w:szCs w:val="24"/>
                <w:highlight w:val="none"/>
                <w:lang w:bidi="en-US"/>
              </w:rPr>
              <w:t>指标等性能进行打分（0-</w:t>
            </w:r>
            <w:r>
              <w:rPr>
                <w:rFonts w:hint="eastAsia" w:ascii="宋体" w:hAnsi="宋体" w:cs="宋体"/>
                <w:color w:val="auto"/>
                <w:sz w:val="24"/>
                <w:szCs w:val="24"/>
                <w:highlight w:val="none"/>
                <w:lang w:val="en-US" w:eastAsia="zh-CN" w:bidi="en-US"/>
              </w:rPr>
              <w:t>3</w:t>
            </w:r>
            <w:r>
              <w:rPr>
                <w:rFonts w:hint="eastAsia" w:ascii="宋体" w:hAnsi="宋体" w:cs="宋体"/>
                <w:color w:val="auto"/>
                <w:sz w:val="24"/>
                <w:szCs w:val="24"/>
                <w:highlight w:val="none"/>
                <w:lang w:bidi="en-US"/>
              </w:rPr>
              <w:t>分）</w:t>
            </w:r>
          </w:p>
          <w:p w14:paraId="659A31C1">
            <w:pPr>
              <w:jc w:val="left"/>
              <w:rPr>
                <w:rFonts w:hint="eastAsia"/>
                <w:b/>
                <w:bCs/>
                <w:color w:val="auto"/>
                <w:sz w:val="24"/>
                <w:szCs w:val="24"/>
                <w:highlight w:val="none"/>
              </w:rPr>
            </w:pPr>
            <w:r>
              <w:rPr>
                <w:rFonts w:hint="eastAsia" w:ascii="宋体" w:hAnsi="宋体" w:cs="宋体"/>
                <w:b/>
                <w:bCs/>
                <w:color w:val="auto"/>
                <w:sz w:val="24"/>
                <w:szCs w:val="24"/>
                <w:highlight w:val="none"/>
                <w:lang w:val="en-US" w:eastAsia="zh-CN" w:bidi="en-US"/>
              </w:rPr>
              <w:t>注：</w:t>
            </w:r>
            <w:r>
              <w:rPr>
                <w:rFonts w:hint="eastAsia" w:ascii="宋体" w:hAnsi="宋体" w:cs="宋体"/>
                <w:b/>
                <w:bCs/>
                <w:color w:val="auto"/>
                <w:sz w:val="24"/>
                <w:szCs w:val="24"/>
                <w:highlight w:val="none"/>
                <w:lang w:bidi="en-US"/>
              </w:rPr>
              <w:t>提供具有CMA认证或ILAC-MRA认证或CNAS认证的第三方检测机构出具的检测报告</w:t>
            </w:r>
            <w:r>
              <w:rPr>
                <w:rFonts w:hint="eastAsia" w:ascii="宋体" w:hAnsi="宋体" w:cs="宋体"/>
                <w:b/>
                <w:bCs/>
                <w:color w:val="auto"/>
                <w:sz w:val="24"/>
                <w:szCs w:val="24"/>
                <w:highlight w:val="none"/>
                <w:lang w:eastAsia="zh-CN" w:bidi="en-US"/>
              </w:rPr>
              <w:t>，</w:t>
            </w:r>
            <w:r>
              <w:rPr>
                <w:rFonts w:hint="eastAsia" w:ascii="宋体" w:hAnsi="宋体" w:cs="宋体"/>
                <w:b/>
                <w:bCs/>
                <w:color w:val="auto"/>
                <w:sz w:val="24"/>
                <w:szCs w:val="24"/>
                <w:highlight w:val="none"/>
                <w:lang w:val="en-US" w:eastAsia="zh-CN"/>
              </w:rPr>
              <w:t>否则不得分。</w:t>
            </w:r>
          </w:p>
        </w:tc>
      </w:tr>
      <w:tr w14:paraId="489EEFE1">
        <w:tblPrEx>
          <w:tblCellMar>
            <w:top w:w="0" w:type="dxa"/>
            <w:left w:w="108" w:type="dxa"/>
            <w:bottom w:w="0" w:type="dxa"/>
            <w:right w:w="108" w:type="dxa"/>
          </w:tblCellMar>
        </w:tblPrEx>
        <w:trPr>
          <w:trHeight w:val="569" w:hRule="atLeast"/>
        </w:trPr>
        <w:tc>
          <w:tcPr>
            <w:tcW w:w="851"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E3FDF9F">
            <w:pPr>
              <w:jc w:val="center"/>
              <w:rPr>
                <w:rFonts w:hint="eastAsia" w:eastAsia="宋体"/>
                <w:color w:val="auto"/>
                <w:sz w:val="24"/>
                <w:szCs w:val="24"/>
                <w:highlight w:val="none"/>
                <w:lang w:eastAsia="zh-CN"/>
              </w:rPr>
            </w:pPr>
            <w:r>
              <w:rPr>
                <w:rFonts w:hint="eastAsia"/>
                <w:color w:val="auto"/>
                <w:sz w:val="24"/>
                <w:szCs w:val="24"/>
                <w:highlight w:val="none"/>
                <w:lang w:val="en-US" w:eastAsia="zh-CN"/>
              </w:rPr>
              <w:t>4</w:t>
            </w:r>
          </w:p>
        </w:tc>
        <w:tc>
          <w:tcPr>
            <w:tcW w:w="198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28F0E6D">
            <w:pPr>
              <w:jc w:val="center"/>
              <w:rPr>
                <w:rFonts w:hint="eastAsia" w:ascii="宋体" w:hAnsi="宋体"/>
                <w:color w:val="auto"/>
                <w:sz w:val="24"/>
                <w:szCs w:val="24"/>
                <w:highlight w:val="none"/>
              </w:rPr>
            </w:pPr>
            <w:r>
              <w:rPr>
                <w:rFonts w:hint="eastAsia" w:ascii="宋体" w:hAnsi="宋体"/>
                <w:color w:val="auto"/>
                <w:sz w:val="24"/>
                <w:szCs w:val="24"/>
                <w:highlight w:val="none"/>
                <w:lang w:eastAsia="en-US" w:bidi="en-US"/>
              </w:rPr>
              <w:t>投</w:t>
            </w:r>
            <w:r>
              <w:rPr>
                <w:rFonts w:ascii="宋体" w:hAnsi="宋体"/>
                <w:color w:val="auto"/>
                <w:sz w:val="24"/>
                <w:szCs w:val="24"/>
                <w:highlight w:val="none"/>
                <w:lang w:eastAsia="en-US" w:bidi="en-US"/>
              </w:rPr>
              <w:t>标人</w:t>
            </w:r>
            <w:r>
              <w:rPr>
                <w:rFonts w:hint="eastAsia" w:ascii="宋体" w:hAnsi="宋体"/>
                <w:color w:val="auto"/>
                <w:sz w:val="24"/>
                <w:szCs w:val="24"/>
                <w:highlight w:val="none"/>
                <w:lang w:eastAsia="en-US" w:bidi="en-US"/>
              </w:rPr>
              <w:t>业绩</w:t>
            </w:r>
          </w:p>
        </w:tc>
        <w:tc>
          <w:tcPr>
            <w:tcW w:w="1276"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499DA05">
            <w:pPr>
              <w:jc w:val="center"/>
              <w:rPr>
                <w:rFonts w:hint="eastAsia" w:ascii="宋体" w:hAnsi="宋体"/>
                <w:bCs/>
                <w:color w:val="auto"/>
                <w:sz w:val="24"/>
                <w:szCs w:val="24"/>
                <w:highlight w:val="none"/>
              </w:rPr>
            </w:pPr>
            <w:r>
              <w:rPr>
                <w:rFonts w:hint="eastAsia" w:ascii="宋体" w:hAnsi="宋体"/>
                <w:color w:val="auto"/>
                <w:sz w:val="24"/>
                <w:szCs w:val="24"/>
                <w:highlight w:val="none"/>
                <w:lang w:val="en-US" w:eastAsia="zh-CN" w:bidi="en-US"/>
              </w:rPr>
              <w:t>3</w:t>
            </w:r>
            <w:r>
              <w:rPr>
                <w:rFonts w:hint="eastAsia" w:ascii="宋体" w:hAnsi="宋体"/>
                <w:color w:val="auto"/>
                <w:sz w:val="24"/>
                <w:szCs w:val="24"/>
                <w:highlight w:val="none"/>
                <w:lang w:eastAsia="en-US" w:bidi="en-US"/>
              </w:rPr>
              <w:t>分</w:t>
            </w:r>
          </w:p>
        </w:tc>
        <w:tc>
          <w:tcPr>
            <w:tcW w:w="6520" w:type="dxa"/>
            <w:tcBorders>
              <w:top w:val="single" w:color="auto" w:sz="4" w:space="0"/>
              <w:left w:val="nil"/>
              <w:bottom w:val="single" w:color="auto" w:sz="4" w:space="0"/>
              <w:right w:val="single" w:color="auto" w:sz="4" w:space="0"/>
            </w:tcBorders>
            <w:shd w:val="clear" w:color="000000" w:fill="FFFFFF"/>
            <w:noWrap w:val="0"/>
            <w:vAlign w:val="center"/>
          </w:tcPr>
          <w:p w14:paraId="27C3E946">
            <w:pPr>
              <w:jc w:val="left"/>
              <w:rPr>
                <w:rFonts w:hint="eastAsia" w:ascii="宋体" w:hAnsi="宋体"/>
                <w:b/>
                <w:color w:val="auto"/>
                <w:sz w:val="24"/>
                <w:szCs w:val="24"/>
                <w:highlight w:val="none"/>
              </w:rPr>
            </w:pPr>
            <w:r>
              <w:rPr>
                <w:rFonts w:hint="eastAsia" w:ascii="宋体" w:hAnsi="宋体"/>
                <w:b/>
                <w:color w:val="auto"/>
                <w:sz w:val="24"/>
                <w:szCs w:val="24"/>
                <w:highlight w:val="none"/>
              </w:rPr>
              <w:t>自20</w:t>
            </w:r>
            <w:r>
              <w:rPr>
                <w:rFonts w:hint="eastAsia" w:ascii="宋体" w:hAnsi="宋体"/>
                <w:b/>
                <w:color w:val="auto"/>
                <w:sz w:val="24"/>
                <w:szCs w:val="24"/>
                <w:highlight w:val="none"/>
                <w:lang w:val="en-US" w:eastAsia="zh-CN"/>
              </w:rPr>
              <w:t>21</w:t>
            </w:r>
            <w:r>
              <w:rPr>
                <w:rFonts w:hint="eastAsia" w:ascii="宋体" w:hAnsi="宋体"/>
                <w:b/>
                <w:color w:val="auto"/>
                <w:sz w:val="24"/>
                <w:szCs w:val="24"/>
                <w:highlight w:val="none"/>
              </w:rPr>
              <w:t>年1月1日以来（以签订合同日期为准）</w:t>
            </w:r>
            <w:r>
              <w:rPr>
                <w:rFonts w:hint="eastAsia" w:ascii="宋体" w:hAnsi="宋体"/>
                <w:b/>
                <w:color w:val="auto"/>
                <w:sz w:val="24"/>
                <w:szCs w:val="24"/>
                <w:highlight w:val="none"/>
                <w:lang w:val="en-US" w:eastAsia="zh-CN"/>
              </w:rPr>
              <w:t>提升机</w:t>
            </w:r>
            <w:r>
              <w:rPr>
                <w:rFonts w:hint="eastAsia" w:ascii="宋体" w:hAnsi="宋体"/>
                <w:b/>
                <w:color w:val="auto"/>
                <w:sz w:val="24"/>
                <w:szCs w:val="24"/>
                <w:highlight w:val="none"/>
              </w:rPr>
              <w:t>项目业绩的情况评分，每具备一项业绩得1分，最高得</w:t>
            </w:r>
            <w:r>
              <w:rPr>
                <w:rFonts w:hint="eastAsia" w:ascii="宋体" w:hAnsi="宋体"/>
                <w:b/>
                <w:color w:val="auto"/>
                <w:sz w:val="24"/>
                <w:szCs w:val="24"/>
                <w:highlight w:val="none"/>
                <w:lang w:val="en-US" w:eastAsia="zh-CN"/>
              </w:rPr>
              <w:t>3</w:t>
            </w:r>
            <w:r>
              <w:rPr>
                <w:rFonts w:hint="eastAsia" w:ascii="宋体" w:hAnsi="宋体"/>
                <w:b/>
                <w:color w:val="auto"/>
                <w:sz w:val="24"/>
                <w:szCs w:val="24"/>
                <w:highlight w:val="none"/>
              </w:rPr>
              <w:t>分</w:t>
            </w:r>
          </w:p>
          <w:p w14:paraId="3F055953">
            <w:pPr>
              <w:jc w:val="left"/>
              <w:rPr>
                <w:rFonts w:hint="eastAsia" w:ascii="宋体" w:hAnsi="宋体"/>
                <w:bCs/>
                <w:color w:val="auto"/>
                <w:sz w:val="24"/>
                <w:szCs w:val="24"/>
                <w:highlight w:val="none"/>
              </w:rPr>
            </w:pPr>
            <w:r>
              <w:rPr>
                <w:rFonts w:hint="eastAsia" w:hAnsi="宋体"/>
                <w:bCs/>
                <w:color w:val="auto"/>
                <w:sz w:val="24"/>
                <w:szCs w:val="24"/>
                <w:highlight w:val="none"/>
              </w:rPr>
              <w:t>注：投标文件中须附上合同复印件，否则不得分。</w:t>
            </w:r>
          </w:p>
          <w:p w14:paraId="6D9FD7EA">
            <w:pPr>
              <w:numPr>
                <w:ilvl w:val="0"/>
                <w:numId w:val="8"/>
              </w:numPr>
              <w:jc w:val="left"/>
              <w:rPr>
                <w:rFonts w:hint="eastAsia" w:ascii="宋体" w:hAnsi="宋体"/>
                <w:b/>
                <w:color w:val="auto"/>
                <w:sz w:val="24"/>
                <w:szCs w:val="24"/>
                <w:highlight w:val="none"/>
              </w:rPr>
            </w:pPr>
            <w:r>
              <w:rPr>
                <w:rFonts w:hint="eastAsia" w:ascii="宋体" w:hAnsi="宋体"/>
                <w:b/>
                <w:color w:val="auto"/>
                <w:sz w:val="24"/>
                <w:szCs w:val="24"/>
                <w:highlight w:val="none"/>
              </w:rPr>
              <w:t>投标文件中须提供清晰可辨的合同复印件，未提供齐全上述资料不得分。</w:t>
            </w:r>
          </w:p>
          <w:p w14:paraId="6DEB70FE">
            <w:pPr>
              <w:jc w:val="left"/>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t>2</w:t>
            </w:r>
            <w:r>
              <w:rPr>
                <w:rFonts w:hint="eastAsia" w:ascii="宋体" w:hAnsi="宋体"/>
                <w:b/>
                <w:color w:val="auto"/>
                <w:sz w:val="24"/>
                <w:szCs w:val="24"/>
                <w:highlight w:val="none"/>
              </w:rPr>
              <w:t>、如提供的合同复印件因模糊不清或一些影响评分的重要内容缺失或不够明确而造成评标委员会在评审时做出对投标人不利的评审由投标人自行承担。</w:t>
            </w:r>
          </w:p>
          <w:p w14:paraId="2F4C0E38">
            <w:pPr>
              <w:jc w:val="left"/>
              <w:rPr>
                <w:rFonts w:hint="eastAsia" w:ascii="宋体" w:hAnsi="宋体"/>
                <w:bCs/>
                <w:color w:val="auto"/>
                <w:sz w:val="24"/>
                <w:szCs w:val="24"/>
                <w:highlight w:val="none"/>
              </w:rPr>
            </w:pPr>
            <w:r>
              <w:rPr>
                <w:rFonts w:hint="eastAsia" w:ascii="宋体" w:hAnsi="宋体"/>
                <w:b/>
                <w:color w:val="auto"/>
                <w:sz w:val="24"/>
                <w:szCs w:val="24"/>
                <w:highlight w:val="none"/>
                <w:lang w:val="en-US" w:eastAsia="zh-CN"/>
              </w:rPr>
              <w:t>3</w:t>
            </w:r>
            <w:r>
              <w:rPr>
                <w:rFonts w:hint="eastAsia" w:ascii="宋体" w:hAnsi="宋体"/>
                <w:b/>
                <w:color w:val="auto"/>
                <w:sz w:val="24"/>
                <w:szCs w:val="24"/>
                <w:highlight w:val="none"/>
              </w:rPr>
              <w:t>、合同如无签订时间，此业绩不予认可</w:t>
            </w:r>
          </w:p>
        </w:tc>
      </w:tr>
      <w:tr w14:paraId="3DDA02E0">
        <w:tblPrEx>
          <w:tblCellMar>
            <w:top w:w="0" w:type="dxa"/>
            <w:left w:w="108" w:type="dxa"/>
            <w:bottom w:w="0" w:type="dxa"/>
            <w:right w:w="108" w:type="dxa"/>
          </w:tblCellMar>
        </w:tblPrEx>
        <w:trPr>
          <w:trHeight w:val="844" w:hRule="atLeast"/>
        </w:trPr>
        <w:tc>
          <w:tcPr>
            <w:tcW w:w="851" w:type="dxa"/>
            <w:vMerge w:val="restart"/>
            <w:tcBorders>
              <w:top w:val="single" w:color="auto" w:sz="4" w:space="0"/>
              <w:left w:val="single" w:color="auto" w:sz="4" w:space="0"/>
              <w:right w:val="single" w:color="auto" w:sz="4" w:space="0"/>
            </w:tcBorders>
            <w:shd w:val="clear" w:color="000000" w:fill="FFFFFF"/>
            <w:noWrap w:val="0"/>
            <w:vAlign w:val="center"/>
          </w:tcPr>
          <w:p w14:paraId="1571C603">
            <w:pPr>
              <w:jc w:val="center"/>
              <w:rPr>
                <w:rFonts w:hint="eastAsia" w:eastAsia="宋体"/>
                <w:color w:val="auto"/>
                <w:sz w:val="24"/>
                <w:szCs w:val="24"/>
                <w:highlight w:val="none"/>
                <w:lang w:eastAsia="zh-CN"/>
              </w:rPr>
            </w:pPr>
            <w:r>
              <w:rPr>
                <w:rFonts w:hint="eastAsia"/>
                <w:color w:val="auto"/>
                <w:sz w:val="24"/>
                <w:szCs w:val="24"/>
                <w:highlight w:val="none"/>
                <w:lang w:val="en-US" w:eastAsia="zh-CN"/>
              </w:rPr>
              <w:t>5</w:t>
            </w:r>
          </w:p>
        </w:tc>
        <w:tc>
          <w:tcPr>
            <w:tcW w:w="1985" w:type="dxa"/>
            <w:vMerge w:val="restart"/>
            <w:tcBorders>
              <w:top w:val="single" w:color="auto" w:sz="4" w:space="0"/>
              <w:left w:val="single" w:color="auto" w:sz="4" w:space="0"/>
              <w:right w:val="single" w:color="auto" w:sz="4" w:space="0"/>
            </w:tcBorders>
            <w:shd w:val="clear" w:color="000000" w:fill="FFFFFF"/>
            <w:noWrap w:val="0"/>
            <w:vAlign w:val="center"/>
          </w:tcPr>
          <w:p w14:paraId="61B360EB">
            <w:pPr>
              <w:jc w:val="center"/>
              <w:rPr>
                <w:rFonts w:ascii="宋体" w:hAnsi="宋体"/>
                <w:b/>
                <w:bCs/>
                <w:color w:val="auto"/>
                <w:sz w:val="24"/>
                <w:szCs w:val="24"/>
                <w:highlight w:val="none"/>
              </w:rPr>
            </w:pPr>
          </w:p>
          <w:p w14:paraId="3FB1D7E2">
            <w:pPr>
              <w:jc w:val="center"/>
              <w:rPr>
                <w:rFonts w:hint="eastAsia" w:ascii="宋体" w:hAnsi="宋体"/>
                <w:color w:val="auto"/>
                <w:sz w:val="24"/>
                <w:szCs w:val="24"/>
                <w:highlight w:val="none"/>
              </w:rPr>
            </w:pPr>
            <w:r>
              <w:rPr>
                <w:rFonts w:hint="eastAsia" w:ascii="宋体" w:hAnsi="宋体"/>
                <w:color w:val="auto"/>
                <w:sz w:val="24"/>
                <w:szCs w:val="24"/>
                <w:highlight w:val="none"/>
              </w:rPr>
              <w:t>项目施工组织方案</w:t>
            </w:r>
          </w:p>
        </w:tc>
        <w:tc>
          <w:tcPr>
            <w:tcW w:w="1276"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561DA00">
            <w:pPr>
              <w:jc w:val="center"/>
              <w:rPr>
                <w:rFonts w:ascii="宋体" w:hAnsi="宋体"/>
                <w:bCs/>
                <w:color w:val="auto"/>
                <w:sz w:val="24"/>
                <w:szCs w:val="24"/>
                <w:highlight w:val="none"/>
              </w:rPr>
            </w:pPr>
            <w:r>
              <w:rPr>
                <w:rFonts w:hint="eastAsia"/>
                <w:color w:val="auto"/>
                <w:sz w:val="24"/>
                <w:szCs w:val="24"/>
                <w:highlight w:val="none"/>
                <w:lang w:val="en-US" w:eastAsia="zh-CN"/>
              </w:rPr>
              <w:t>3</w:t>
            </w:r>
            <w:r>
              <w:rPr>
                <w:rFonts w:hint="eastAsia"/>
                <w:color w:val="auto"/>
                <w:sz w:val="24"/>
                <w:szCs w:val="24"/>
                <w:highlight w:val="none"/>
              </w:rPr>
              <w:t>分</w:t>
            </w:r>
          </w:p>
        </w:tc>
        <w:tc>
          <w:tcPr>
            <w:tcW w:w="652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EBFA175">
            <w:pPr>
              <w:jc w:val="left"/>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val="en-US" w:eastAsia="zh-CN" w:bidi="en-US"/>
              </w:rPr>
              <w:t>根据投标人施工方案各步骤的合理性、完整性、可行性等进行打分（0-3分）</w:t>
            </w:r>
          </w:p>
        </w:tc>
      </w:tr>
      <w:tr w14:paraId="71EB769C">
        <w:tblPrEx>
          <w:tblCellMar>
            <w:top w:w="0" w:type="dxa"/>
            <w:left w:w="108" w:type="dxa"/>
            <w:bottom w:w="0" w:type="dxa"/>
            <w:right w:w="108" w:type="dxa"/>
          </w:tblCellMar>
        </w:tblPrEx>
        <w:trPr>
          <w:trHeight w:val="1054" w:hRule="atLeast"/>
        </w:trPr>
        <w:tc>
          <w:tcPr>
            <w:tcW w:w="851" w:type="dxa"/>
            <w:vMerge w:val="continue"/>
            <w:tcBorders>
              <w:left w:val="single" w:color="auto" w:sz="4" w:space="0"/>
              <w:right w:val="single" w:color="auto" w:sz="4" w:space="0"/>
            </w:tcBorders>
            <w:shd w:val="clear" w:color="000000" w:fill="FFFFFF"/>
            <w:noWrap w:val="0"/>
            <w:vAlign w:val="center"/>
          </w:tcPr>
          <w:p w14:paraId="1C10AB02">
            <w:pPr>
              <w:jc w:val="center"/>
              <w:rPr>
                <w:rFonts w:hint="eastAsia"/>
                <w:color w:val="auto"/>
                <w:sz w:val="24"/>
                <w:szCs w:val="24"/>
                <w:highlight w:val="none"/>
              </w:rPr>
            </w:pPr>
          </w:p>
        </w:tc>
        <w:tc>
          <w:tcPr>
            <w:tcW w:w="1985" w:type="dxa"/>
            <w:vMerge w:val="continue"/>
            <w:tcBorders>
              <w:left w:val="single" w:color="auto" w:sz="4" w:space="0"/>
              <w:right w:val="single" w:color="auto" w:sz="4" w:space="0"/>
            </w:tcBorders>
            <w:shd w:val="clear" w:color="000000" w:fill="FFFFFF"/>
            <w:noWrap w:val="0"/>
            <w:vAlign w:val="center"/>
          </w:tcPr>
          <w:p w14:paraId="46B20E80">
            <w:pPr>
              <w:jc w:val="center"/>
              <w:rPr>
                <w:rFonts w:hint="eastAsia"/>
                <w:color w:val="auto"/>
                <w:sz w:val="24"/>
                <w:szCs w:val="24"/>
                <w:highlight w:val="none"/>
              </w:rPr>
            </w:pPr>
          </w:p>
        </w:tc>
        <w:tc>
          <w:tcPr>
            <w:tcW w:w="1276"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E0B9F17">
            <w:pPr>
              <w:jc w:val="center"/>
              <w:rPr>
                <w:rFonts w:hint="eastAsia" w:eastAsia="宋体"/>
                <w:color w:val="auto"/>
                <w:sz w:val="24"/>
                <w:szCs w:val="24"/>
                <w:highlight w:val="none"/>
                <w:lang w:val="en-US" w:eastAsia="zh-CN"/>
              </w:rPr>
            </w:pPr>
            <w:r>
              <w:rPr>
                <w:rFonts w:hint="eastAsia"/>
                <w:color w:val="auto"/>
                <w:sz w:val="24"/>
                <w:szCs w:val="24"/>
                <w:highlight w:val="none"/>
                <w:lang w:val="en-US" w:eastAsia="zh-CN"/>
              </w:rPr>
              <w:t>3</w:t>
            </w:r>
            <w:r>
              <w:rPr>
                <w:rFonts w:hint="eastAsia"/>
                <w:color w:val="auto"/>
                <w:sz w:val="24"/>
                <w:szCs w:val="24"/>
                <w:highlight w:val="none"/>
              </w:rPr>
              <w:t>分</w:t>
            </w:r>
          </w:p>
        </w:tc>
        <w:tc>
          <w:tcPr>
            <w:tcW w:w="652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9388123">
            <w:pPr>
              <w:jc w:val="left"/>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val="en-US" w:eastAsia="zh-CN" w:bidi="en-US"/>
              </w:rPr>
              <w:t>质量、工期保证措施、</w:t>
            </w:r>
            <w:r>
              <w:rPr>
                <w:rFonts w:hint="default" w:ascii="宋体" w:hAnsi="宋体" w:eastAsia="宋体" w:cs="宋体"/>
                <w:color w:val="auto"/>
                <w:sz w:val="24"/>
                <w:szCs w:val="24"/>
                <w:highlight w:val="none"/>
                <w:lang w:val="en-US" w:eastAsia="zh-CN" w:bidi="en-US"/>
              </w:rPr>
              <w:t>安全保证措施及应急预案</w:t>
            </w:r>
            <w:r>
              <w:rPr>
                <w:rFonts w:hint="eastAsia" w:ascii="宋体" w:hAnsi="宋体" w:eastAsia="宋体" w:cs="宋体"/>
                <w:color w:val="auto"/>
                <w:sz w:val="24"/>
                <w:szCs w:val="24"/>
                <w:highlight w:val="none"/>
                <w:lang w:val="en-US" w:eastAsia="zh-CN" w:bidi="en-US"/>
              </w:rPr>
              <w:t>：根据投标人保障项目质量、工期的有力措施、</w:t>
            </w:r>
            <w:r>
              <w:rPr>
                <w:rFonts w:hint="default" w:ascii="宋体" w:hAnsi="宋体" w:eastAsia="宋体" w:cs="宋体"/>
                <w:color w:val="auto"/>
                <w:sz w:val="24"/>
                <w:szCs w:val="24"/>
                <w:highlight w:val="none"/>
                <w:lang w:val="en-US" w:eastAsia="zh-CN" w:bidi="en-US"/>
              </w:rPr>
              <w:t>安全保证措施及应对突发状况的应急举措、响应时间、后续处理方法等方案的可行性等进行打分</w:t>
            </w:r>
            <w:r>
              <w:rPr>
                <w:rFonts w:hint="eastAsia" w:ascii="宋体" w:hAnsi="宋体" w:eastAsia="宋体" w:cs="宋体"/>
                <w:color w:val="auto"/>
                <w:sz w:val="24"/>
                <w:szCs w:val="24"/>
                <w:highlight w:val="none"/>
                <w:lang w:val="en-US" w:eastAsia="zh-CN" w:bidi="en-US"/>
              </w:rPr>
              <w:t>（0-3分）</w:t>
            </w:r>
          </w:p>
        </w:tc>
      </w:tr>
      <w:tr w14:paraId="6D372E24">
        <w:tblPrEx>
          <w:tblCellMar>
            <w:top w:w="0" w:type="dxa"/>
            <w:left w:w="108" w:type="dxa"/>
            <w:bottom w:w="0" w:type="dxa"/>
            <w:right w:w="108" w:type="dxa"/>
          </w:tblCellMar>
        </w:tblPrEx>
        <w:trPr>
          <w:trHeight w:val="829" w:hRule="atLeast"/>
        </w:trPr>
        <w:tc>
          <w:tcPr>
            <w:tcW w:w="851" w:type="dxa"/>
            <w:vMerge w:val="continue"/>
            <w:tcBorders>
              <w:left w:val="single" w:color="auto" w:sz="4" w:space="0"/>
              <w:bottom w:val="single" w:color="auto" w:sz="4" w:space="0"/>
              <w:right w:val="single" w:color="auto" w:sz="4" w:space="0"/>
            </w:tcBorders>
            <w:shd w:val="clear" w:color="000000" w:fill="FFFFFF"/>
            <w:noWrap w:val="0"/>
            <w:vAlign w:val="center"/>
          </w:tcPr>
          <w:p w14:paraId="2C914634">
            <w:pPr>
              <w:jc w:val="center"/>
              <w:rPr>
                <w:rFonts w:hint="eastAsia"/>
                <w:color w:val="auto"/>
                <w:sz w:val="24"/>
                <w:szCs w:val="24"/>
                <w:highlight w:val="none"/>
              </w:rPr>
            </w:pPr>
          </w:p>
        </w:tc>
        <w:tc>
          <w:tcPr>
            <w:tcW w:w="1985" w:type="dxa"/>
            <w:vMerge w:val="continue"/>
            <w:tcBorders>
              <w:left w:val="single" w:color="auto" w:sz="4" w:space="0"/>
              <w:bottom w:val="single" w:color="auto" w:sz="4" w:space="0"/>
              <w:right w:val="single" w:color="auto" w:sz="4" w:space="0"/>
            </w:tcBorders>
            <w:shd w:val="clear" w:color="000000" w:fill="FFFFFF"/>
            <w:noWrap w:val="0"/>
            <w:vAlign w:val="center"/>
          </w:tcPr>
          <w:p w14:paraId="3FF38362">
            <w:pPr>
              <w:jc w:val="center"/>
              <w:rPr>
                <w:rFonts w:hint="eastAsia"/>
                <w:color w:val="auto"/>
                <w:sz w:val="24"/>
                <w:szCs w:val="24"/>
                <w:highlight w:val="none"/>
              </w:rPr>
            </w:pPr>
          </w:p>
        </w:tc>
        <w:tc>
          <w:tcPr>
            <w:tcW w:w="1276"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C9466A5">
            <w:pPr>
              <w:jc w:val="center"/>
              <w:rPr>
                <w:rFonts w:hint="eastAsia"/>
                <w:color w:val="auto"/>
                <w:sz w:val="24"/>
                <w:szCs w:val="24"/>
                <w:highlight w:val="none"/>
              </w:rPr>
            </w:pPr>
            <w:r>
              <w:rPr>
                <w:rFonts w:hint="eastAsia"/>
                <w:color w:val="auto"/>
                <w:sz w:val="24"/>
                <w:szCs w:val="24"/>
                <w:highlight w:val="none"/>
                <w:lang w:val="en-US" w:eastAsia="zh-CN"/>
              </w:rPr>
              <w:t>3</w:t>
            </w:r>
            <w:r>
              <w:rPr>
                <w:rFonts w:hint="eastAsia"/>
                <w:color w:val="auto"/>
                <w:sz w:val="24"/>
                <w:szCs w:val="24"/>
                <w:highlight w:val="none"/>
              </w:rPr>
              <w:t>分</w:t>
            </w:r>
          </w:p>
        </w:tc>
        <w:tc>
          <w:tcPr>
            <w:tcW w:w="652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FBE2F76">
            <w:pPr>
              <w:jc w:val="left"/>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val="en-US" w:eastAsia="zh-CN" w:bidi="en-US"/>
              </w:rPr>
              <w:t>重难点分析：根据投标人项目施工过程中的重点难点分析以及解决方案进行综合对比打分（0-3分）</w:t>
            </w:r>
          </w:p>
        </w:tc>
      </w:tr>
      <w:tr w14:paraId="317A88A4">
        <w:tblPrEx>
          <w:tblCellMar>
            <w:top w:w="0" w:type="dxa"/>
            <w:left w:w="108" w:type="dxa"/>
            <w:bottom w:w="0" w:type="dxa"/>
            <w:right w:w="108" w:type="dxa"/>
          </w:tblCellMar>
        </w:tblPrEx>
        <w:trPr>
          <w:trHeight w:val="90" w:hRule="atLeast"/>
        </w:trPr>
        <w:tc>
          <w:tcPr>
            <w:tcW w:w="851" w:type="dxa"/>
            <w:vMerge w:val="restar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C83FFAC">
            <w:pPr>
              <w:jc w:val="center"/>
              <w:rPr>
                <w:rFonts w:hint="default" w:eastAsia="宋体"/>
                <w:color w:val="auto"/>
                <w:sz w:val="24"/>
                <w:szCs w:val="24"/>
                <w:highlight w:val="none"/>
                <w:lang w:val="en-US" w:eastAsia="zh-CN"/>
              </w:rPr>
            </w:pPr>
            <w:r>
              <w:rPr>
                <w:rFonts w:hint="eastAsia"/>
                <w:color w:val="auto"/>
                <w:sz w:val="24"/>
                <w:szCs w:val="24"/>
                <w:highlight w:val="none"/>
                <w:lang w:val="en-US" w:eastAsia="zh-CN"/>
              </w:rPr>
              <w:t>6</w:t>
            </w:r>
          </w:p>
        </w:tc>
        <w:tc>
          <w:tcPr>
            <w:tcW w:w="1985" w:type="dxa"/>
            <w:vMerge w:val="restar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C8B44D8">
            <w:pPr>
              <w:jc w:val="center"/>
              <w:rPr>
                <w:rFonts w:hint="eastAsia" w:ascii="宋体" w:hAnsi="宋体"/>
                <w:color w:val="auto"/>
                <w:sz w:val="24"/>
                <w:szCs w:val="24"/>
                <w:highlight w:val="none"/>
              </w:rPr>
            </w:pPr>
            <w:r>
              <w:rPr>
                <w:rFonts w:hint="eastAsia" w:ascii="宋体" w:cs="宋体"/>
                <w:color w:val="auto"/>
                <w:kern w:val="0"/>
                <w:sz w:val="24"/>
                <w:szCs w:val="24"/>
                <w:highlight w:val="none"/>
                <w:lang w:val="zh-CN"/>
              </w:rPr>
              <w:t>售后服务</w:t>
            </w:r>
          </w:p>
        </w:tc>
        <w:tc>
          <w:tcPr>
            <w:tcW w:w="1276" w:type="dxa"/>
            <w:vMerge w:val="restar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2730D25">
            <w:pPr>
              <w:jc w:val="center"/>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9</w:t>
            </w:r>
            <w:r>
              <w:rPr>
                <w:rFonts w:hint="eastAsia" w:ascii="宋体" w:hAnsi="宋体"/>
                <w:bCs/>
                <w:color w:val="auto"/>
                <w:sz w:val="24"/>
                <w:szCs w:val="24"/>
                <w:highlight w:val="none"/>
              </w:rPr>
              <w:t>分</w:t>
            </w:r>
          </w:p>
        </w:tc>
        <w:tc>
          <w:tcPr>
            <w:tcW w:w="652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B4170A7">
            <w:pPr>
              <w:shd w:val="clear"/>
              <w:snapToGrid w:val="0"/>
              <w:spacing w:line="400" w:lineRule="exact"/>
              <w:jc w:val="left"/>
              <w:rPr>
                <w:rFonts w:hint="eastAsia" w:ascii="宋体" w:hAnsi="宋体" w:eastAsia="宋体" w:cs="宋体"/>
                <w:color w:val="auto"/>
                <w:sz w:val="24"/>
                <w:szCs w:val="24"/>
                <w:highlight w:val="none"/>
                <w:lang w:bidi="en-US"/>
              </w:rPr>
            </w:pPr>
            <w:r>
              <w:rPr>
                <w:rFonts w:hint="eastAsia" w:ascii="宋体" w:hAnsi="宋体" w:eastAsia="宋体" w:cs="宋体"/>
                <w:color w:val="auto"/>
                <w:kern w:val="0"/>
                <w:sz w:val="24"/>
                <w:szCs w:val="24"/>
                <w:highlight w:val="none"/>
                <w:lang w:val="en-US" w:eastAsia="zh-CN"/>
              </w:rPr>
              <w:t>评标委员根据投标人提供的服务方案进行打分，服务方案包括投标人服务能力、人员配备、日常运维、售后服务响应时间、备品备件提供情况、售后服务承诺情况等。（0-3分）</w:t>
            </w:r>
          </w:p>
        </w:tc>
      </w:tr>
      <w:tr w14:paraId="7F38195F">
        <w:tblPrEx>
          <w:tblCellMar>
            <w:top w:w="0" w:type="dxa"/>
            <w:left w:w="108" w:type="dxa"/>
            <w:bottom w:w="0" w:type="dxa"/>
            <w:right w:w="108" w:type="dxa"/>
          </w:tblCellMar>
        </w:tblPrEx>
        <w:trPr>
          <w:trHeight w:val="1444" w:hRule="atLeast"/>
        </w:trPr>
        <w:tc>
          <w:tcPr>
            <w:tcW w:w="851"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E104264">
            <w:pPr>
              <w:jc w:val="center"/>
              <w:rPr>
                <w:rFonts w:hint="eastAsia"/>
                <w:color w:val="auto"/>
                <w:sz w:val="24"/>
                <w:szCs w:val="24"/>
                <w:highlight w:val="none"/>
                <w:lang w:val="en-US" w:eastAsia="zh-CN"/>
              </w:rPr>
            </w:pPr>
          </w:p>
        </w:tc>
        <w:tc>
          <w:tcPr>
            <w:tcW w:w="1985"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3C84EC9">
            <w:pPr>
              <w:jc w:val="center"/>
              <w:rPr>
                <w:rFonts w:hint="eastAsia" w:ascii="宋体" w:cs="宋体"/>
                <w:color w:val="auto"/>
                <w:kern w:val="0"/>
                <w:sz w:val="24"/>
                <w:szCs w:val="24"/>
                <w:highlight w:val="none"/>
                <w:lang w:val="zh-CN"/>
              </w:rPr>
            </w:pPr>
          </w:p>
        </w:tc>
        <w:tc>
          <w:tcPr>
            <w:tcW w:w="1276"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3B6513D">
            <w:pPr>
              <w:jc w:val="center"/>
              <w:rPr>
                <w:rFonts w:hint="eastAsia" w:ascii="宋体" w:hAnsi="宋体"/>
                <w:bCs/>
                <w:color w:val="auto"/>
                <w:sz w:val="24"/>
                <w:szCs w:val="24"/>
                <w:highlight w:val="none"/>
                <w:lang w:val="en-US" w:eastAsia="zh-CN"/>
              </w:rPr>
            </w:pPr>
          </w:p>
        </w:tc>
        <w:tc>
          <w:tcPr>
            <w:tcW w:w="652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D839B2A">
            <w:pPr>
              <w:shd w:val="clear"/>
              <w:snapToGrid w:val="0"/>
              <w:spacing w:line="400" w:lineRule="exact"/>
              <w:jc w:val="left"/>
              <w:rPr>
                <w:rFonts w:hint="eastAsia" w:ascii="宋体" w:hAnsi="宋体" w:eastAsia="宋体" w:cs="宋体"/>
                <w:color w:val="auto"/>
                <w:sz w:val="24"/>
                <w:szCs w:val="24"/>
                <w:highlight w:val="none"/>
                <w:lang w:bidi="en-US"/>
              </w:rPr>
            </w:pPr>
            <w:r>
              <w:rPr>
                <w:rFonts w:hint="eastAsia" w:ascii="宋体" w:hAnsi="宋体" w:eastAsia="宋体" w:cs="宋体"/>
                <w:color w:val="auto"/>
                <w:kern w:val="0"/>
                <w:sz w:val="24"/>
                <w:szCs w:val="24"/>
                <w:highlight w:val="none"/>
                <w:lang w:val="en-US" w:eastAsia="zh-CN"/>
              </w:rPr>
              <w:t>评标委员根据投标人提供的培训方案进行打分，培训方案包括投标人提供的培训人员技术、执业能力、培训内容及培训方式等。（0-3分）</w:t>
            </w:r>
          </w:p>
        </w:tc>
      </w:tr>
      <w:tr w14:paraId="7EC02526">
        <w:tblPrEx>
          <w:tblCellMar>
            <w:top w:w="0" w:type="dxa"/>
            <w:left w:w="108" w:type="dxa"/>
            <w:bottom w:w="0" w:type="dxa"/>
            <w:right w:w="108" w:type="dxa"/>
          </w:tblCellMar>
        </w:tblPrEx>
        <w:trPr>
          <w:trHeight w:val="859" w:hRule="atLeast"/>
        </w:trPr>
        <w:tc>
          <w:tcPr>
            <w:tcW w:w="851"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04B68DC">
            <w:pPr>
              <w:jc w:val="center"/>
              <w:rPr>
                <w:rFonts w:hint="eastAsia"/>
                <w:color w:val="auto"/>
                <w:sz w:val="24"/>
                <w:szCs w:val="24"/>
                <w:highlight w:val="none"/>
                <w:lang w:val="en-US" w:eastAsia="zh-CN"/>
              </w:rPr>
            </w:pPr>
          </w:p>
        </w:tc>
        <w:tc>
          <w:tcPr>
            <w:tcW w:w="1985"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8BB5AA6">
            <w:pPr>
              <w:jc w:val="center"/>
              <w:rPr>
                <w:rFonts w:hint="eastAsia" w:ascii="宋体" w:cs="宋体"/>
                <w:color w:val="auto"/>
                <w:kern w:val="0"/>
                <w:sz w:val="24"/>
                <w:szCs w:val="24"/>
                <w:highlight w:val="none"/>
                <w:lang w:val="zh-CN"/>
              </w:rPr>
            </w:pPr>
          </w:p>
        </w:tc>
        <w:tc>
          <w:tcPr>
            <w:tcW w:w="1276"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1F6E460">
            <w:pPr>
              <w:jc w:val="center"/>
              <w:rPr>
                <w:rFonts w:hint="eastAsia" w:ascii="宋体" w:hAnsi="宋体"/>
                <w:bCs/>
                <w:color w:val="auto"/>
                <w:sz w:val="24"/>
                <w:szCs w:val="24"/>
                <w:highlight w:val="none"/>
                <w:lang w:val="en-US" w:eastAsia="zh-CN"/>
              </w:rPr>
            </w:pPr>
          </w:p>
        </w:tc>
        <w:tc>
          <w:tcPr>
            <w:tcW w:w="652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19CC911">
            <w:pPr>
              <w:shd w:val="clear"/>
              <w:snapToGrid w:val="0"/>
              <w:spacing w:line="400" w:lineRule="exact"/>
              <w:jc w:val="left"/>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t>质保期在招标文件要求的基础每延长一年加1分，最高得3分。</w:t>
            </w:r>
          </w:p>
        </w:tc>
      </w:tr>
      <w:bookmarkEnd w:id="42"/>
    </w:tbl>
    <w:p w14:paraId="4784D10A">
      <w:pPr>
        <w:spacing w:line="400" w:lineRule="exact"/>
        <w:rPr>
          <w:rFonts w:hint="eastAsia" w:ascii="宋体" w:hAnsi="宋体" w:eastAsia="宋体" w:cs="宋体"/>
          <w:b/>
          <w:bCs/>
          <w:color w:val="auto"/>
          <w:sz w:val="24"/>
          <w:highlight w:val="none"/>
          <w:shd w:val="clear" w:color="auto" w:fill="auto"/>
        </w:rPr>
      </w:pPr>
      <w:r>
        <w:rPr>
          <w:rFonts w:hint="eastAsia" w:ascii="宋体" w:hAnsi="宋体" w:eastAsia="宋体" w:cs="宋体"/>
          <w:b/>
          <w:bCs/>
          <w:color w:val="auto"/>
          <w:sz w:val="24"/>
          <w:highlight w:val="none"/>
          <w:shd w:val="clear" w:color="auto" w:fill="auto"/>
        </w:rPr>
        <w:t>提示：</w:t>
      </w:r>
    </w:p>
    <w:p w14:paraId="55DDA496">
      <w:pPr>
        <w:spacing w:line="400" w:lineRule="exact"/>
        <w:rPr>
          <w:rFonts w:hint="eastAsia" w:ascii="宋体" w:hAnsi="宋体" w:eastAsia="宋体" w:cs="宋体"/>
          <w:b/>
          <w:bCs/>
          <w:color w:val="auto"/>
          <w:sz w:val="24"/>
          <w:highlight w:val="none"/>
          <w:u w:val="single"/>
          <w:shd w:val="clear" w:color="auto" w:fill="auto"/>
        </w:rPr>
      </w:pPr>
      <w:r>
        <w:rPr>
          <w:rFonts w:hint="eastAsia" w:ascii="宋体" w:hAnsi="宋体" w:eastAsia="宋体" w:cs="宋体"/>
          <w:b/>
          <w:bCs/>
          <w:color w:val="auto"/>
          <w:sz w:val="24"/>
          <w:highlight w:val="none"/>
          <w:u w:val="single"/>
          <w:shd w:val="clear" w:color="auto" w:fill="auto"/>
        </w:rPr>
        <w:t>1</w:t>
      </w:r>
      <w:r>
        <w:rPr>
          <w:rFonts w:hint="eastAsia" w:ascii="宋体" w:hAnsi="宋体" w:cs="宋体"/>
          <w:b/>
          <w:bCs/>
          <w:color w:val="auto"/>
          <w:sz w:val="24"/>
          <w:highlight w:val="none"/>
          <w:u w:val="single"/>
          <w:shd w:val="clear" w:color="auto" w:fill="auto"/>
          <w:lang w:eastAsia="zh-CN"/>
        </w:rPr>
        <w:t>、</w:t>
      </w:r>
      <w:r>
        <w:rPr>
          <w:rFonts w:hint="eastAsia" w:ascii="宋体" w:hAnsi="宋体" w:eastAsia="宋体" w:cs="宋体"/>
          <w:b/>
          <w:bCs/>
          <w:color w:val="auto"/>
          <w:sz w:val="24"/>
          <w:highlight w:val="none"/>
          <w:u w:val="single"/>
          <w:shd w:val="clear" w:color="auto" w:fill="auto"/>
        </w:rPr>
        <w:t>投标人提交的所有投标文件、资料（包括所有证书、合同、报告等）都是准确、真实、合规的，如提供虚假资料，投标人需承担一切后果。</w:t>
      </w:r>
    </w:p>
    <w:p w14:paraId="37DAA62B">
      <w:pPr>
        <w:spacing w:line="400" w:lineRule="exact"/>
        <w:rPr>
          <w:rFonts w:hint="eastAsia" w:ascii="宋体" w:hAnsi="宋体" w:eastAsia="宋体" w:cs="宋体"/>
          <w:color w:val="auto"/>
          <w:sz w:val="24"/>
          <w:highlight w:val="none"/>
          <w:shd w:val="clear" w:color="auto" w:fill="auto"/>
          <w:lang w:val="zh-CN"/>
        </w:rPr>
      </w:pPr>
      <w:r>
        <w:rPr>
          <w:rFonts w:hint="eastAsia" w:ascii="宋体" w:hAnsi="宋体" w:cs="宋体"/>
          <w:b/>
          <w:bCs/>
          <w:color w:val="auto"/>
          <w:sz w:val="24"/>
          <w:highlight w:val="none"/>
          <w:u w:val="single"/>
          <w:shd w:val="clear" w:color="auto" w:fill="auto"/>
          <w:lang w:val="en-US" w:eastAsia="zh-CN"/>
        </w:rPr>
        <w:t>2、</w:t>
      </w:r>
      <w:r>
        <w:rPr>
          <w:rFonts w:hint="eastAsia" w:ascii="宋体" w:hAnsi="宋体" w:eastAsia="宋体" w:cs="宋体"/>
          <w:b/>
          <w:bCs/>
          <w:color w:val="auto"/>
          <w:sz w:val="24"/>
          <w:highlight w:val="none"/>
          <w:u w:val="single"/>
          <w:shd w:val="clear" w:color="auto" w:fill="auto"/>
        </w:rPr>
        <w:t>各投标人请将本采购项目评分索引表放在商务技术文件目录的前页，投标人自评分值（客观分部分）请投标人将应得分值准确自评（请勿不填写也请勿错误填写），以方便评委进行更加优质、高效的评审。</w:t>
      </w:r>
    </w:p>
    <w:p w14:paraId="5E902011">
      <w:pPr>
        <w:spacing w:before="120" w:beforeLines="50" w:after="120" w:afterLines="50" w:line="400" w:lineRule="exact"/>
        <w:ind w:right="480" w:firstLine="361" w:firstLineChars="150"/>
        <w:rPr>
          <w:rFonts w:hint="eastAsia" w:ascii="宋体" w:hAnsi="宋体" w:eastAsia="宋体" w:cs="宋体"/>
          <w:b/>
          <w:bCs/>
          <w:color w:val="auto"/>
          <w:sz w:val="24"/>
          <w:highlight w:val="none"/>
          <w:shd w:val="clear" w:color="auto" w:fill="auto"/>
        </w:rPr>
      </w:pPr>
      <w:r>
        <w:rPr>
          <w:rFonts w:hint="eastAsia" w:ascii="宋体" w:hAnsi="宋体" w:eastAsia="宋体" w:cs="宋体"/>
          <w:b/>
          <w:bCs/>
          <w:color w:val="auto"/>
          <w:sz w:val="24"/>
          <w:highlight w:val="none"/>
          <w:shd w:val="clear" w:color="auto" w:fill="auto"/>
        </w:rPr>
        <w:t>（三）商务技术分的计算方式</w:t>
      </w:r>
    </w:p>
    <w:p w14:paraId="581BF1A8">
      <w:pPr>
        <w:spacing w:line="360" w:lineRule="exact"/>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商务技术分按照评标委员会成员的独立评分结果汇总后，取全部评标委员会成员评分值的算术平均分，计算公式为：</w:t>
      </w:r>
    </w:p>
    <w:p w14:paraId="272C7328">
      <w:pPr>
        <w:spacing w:line="360" w:lineRule="exact"/>
        <w:ind w:firstLine="495"/>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商务技术分=（评标委员会所有成员评分合计数）/（评标委员会组成人员数）</w:t>
      </w:r>
    </w:p>
    <w:p w14:paraId="156B31D3">
      <w:pPr>
        <w:pStyle w:val="21"/>
        <w:spacing w:before="120" w:beforeLines="50" w:after="120" w:afterLines="50" w:line="360" w:lineRule="auto"/>
        <w:ind w:firstLine="466" w:firstLineChars="200"/>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三、投标人义务</w:t>
      </w:r>
    </w:p>
    <w:p w14:paraId="49A8CCF3">
      <w:pPr>
        <w:pStyle w:val="21"/>
        <w:spacing w:before="120" w:beforeLines="50" w:after="120" w:afterLines="50" w:line="360" w:lineRule="auto"/>
        <w:ind w:firstLine="464" w:firstLineChars="200"/>
        <w:rPr>
          <w:rFonts w:hint="eastAsia" w:ascii="宋体" w:hAnsi="宋体" w:eastAsia="宋体" w:cs="宋体"/>
          <w:b/>
          <w:color w:val="auto"/>
          <w:sz w:val="24"/>
          <w:highlight w:val="none"/>
          <w:shd w:val="clear" w:color="auto" w:fill="auto"/>
          <w:lang w:val="zh-CN"/>
        </w:rPr>
      </w:pPr>
      <w:r>
        <w:rPr>
          <w:rFonts w:hint="eastAsia" w:ascii="宋体" w:hAnsi="宋体" w:eastAsia="宋体" w:cs="宋体"/>
          <w:bCs/>
          <w:color w:val="auto"/>
          <w:sz w:val="24"/>
          <w:szCs w:val="24"/>
          <w:highlight w:val="none"/>
          <w:shd w:val="clear" w:color="auto" w:fill="auto"/>
        </w:rPr>
        <w:t>评标期间，投标人应随时随地答复评标委员会的询标，解答包括有关的商务、技术问题等。</w:t>
      </w:r>
    </w:p>
    <w:p w14:paraId="066E4280">
      <w:pPr>
        <w:jc w:val="center"/>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br w:type="page"/>
      </w:r>
      <w:r>
        <w:rPr>
          <w:rFonts w:hint="eastAsia" w:ascii="宋体" w:hAnsi="宋体" w:eastAsia="宋体" w:cs="宋体"/>
          <w:b/>
          <w:color w:val="auto"/>
          <w:sz w:val="30"/>
          <w:szCs w:val="30"/>
          <w:highlight w:val="none"/>
          <w:shd w:val="clear" w:color="auto" w:fill="auto"/>
        </w:rPr>
        <w:t>采购项目评分索引表</w:t>
      </w:r>
    </w:p>
    <w:p w14:paraId="04CA67CD">
      <w:pPr>
        <w:snapToGrid w:val="0"/>
        <w:spacing w:before="100" w:beforeAutospacing="1" w:after="100" w:afterAutospacing="1" w:line="400" w:lineRule="exact"/>
        <w:rPr>
          <w:rFonts w:hint="eastAsia" w:ascii="宋体" w:hAnsi="宋体"/>
          <w:b/>
          <w:color w:val="auto"/>
          <w:spacing w:val="-4"/>
          <w:sz w:val="24"/>
          <w:highlight w:val="none"/>
          <w:shd w:val="pct10" w:color="auto" w:fill="FFFFFF"/>
        </w:rPr>
      </w:pPr>
      <w:r>
        <w:rPr>
          <w:rFonts w:hint="eastAsia" w:ascii="宋体" w:hAnsi="宋体"/>
          <w:b/>
          <w:color w:val="auto"/>
          <w:spacing w:val="-4"/>
          <w:sz w:val="24"/>
          <w:highlight w:val="none"/>
        </w:rPr>
        <w:t>（</w:t>
      </w:r>
      <w:r>
        <w:rPr>
          <w:rFonts w:hint="eastAsia" w:ascii="宋体" w:hAnsi="宋体"/>
          <w:b/>
          <w:color w:val="auto"/>
          <w:spacing w:val="-4"/>
          <w:sz w:val="24"/>
          <w:highlight w:val="none"/>
          <w:shd w:val="pct10" w:color="auto" w:fill="FFFFFF"/>
        </w:rPr>
        <w:t>本采购项目评分索引表</w:t>
      </w:r>
      <w:r>
        <w:rPr>
          <w:rFonts w:ascii="宋体" w:hAnsi="宋体"/>
          <w:b/>
          <w:color w:val="auto"/>
          <w:spacing w:val="-4"/>
          <w:sz w:val="24"/>
          <w:highlight w:val="none"/>
          <w:shd w:val="pct10" w:color="auto" w:fill="FFFFFF"/>
        </w:rPr>
        <w:t>放在商务技术文件目录的前</w:t>
      </w:r>
      <w:r>
        <w:rPr>
          <w:rFonts w:hint="eastAsia" w:ascii="宋体" w:hAnsi="宋体"/>
          <w:b/>
          <w:color w:val="auto"/>
          <w:spacing w:val="-4"/>
          <w:sz w:val="24"/>
          <w:highlight w:val="none"/>
          <w:shd w:val="pct10" w:color="auto" w:fill="FFFFFF"/>
        </w:rPr>
        <w:t>页</w:t>
      </w:r>
      <w:r>
        <w:rPr>
          <w:rFonts w:ascii="宋体" w:hAnsi="宋体"/>
          <w:b/>
          <w:color w:val="auto"/>
          <w:spacing w:val="-4"/>
          <w:sz w:val="24"/>
          <w:highlight w:val="none"/>
          <w:shd w:val="pct10" w:color="auto" w:fill="FFFFFF"/>
        </w:rPr>
        <w:t>，</w:t>
      </w:r>
      <w:r>
        <w:rPr>
          <w:rFonts w:hint="eastAsia" w:ascii="宋体" w:hAnsi="宋体"/>
          <w:b/>
          <w:color w:val="auto"/>
          <w:spacing w:val="-4"/>
          <w:sz w:val="24"/>
          <w:highlight w:val="none"/>
          <w:u w:val="single"/>
          <w:shd w:val="pct10" w:color="auto" w:fill="FFFFFF"/>
        </w:rPr>
        <w:t>“投标人应标情况栏目” （客观分部分）请投标人务必逐项详细进行填写（请勿不填写），投标人自评分值（客观分部分）请投标人将应得分值准确自评（请勿不填写也请勿错误填写），以方便评委进行更加优质、高效的评审</w:t>
      </w:r>
      <w:r>
        <w:rPr>
          <w:rFonts w:hint="eastAsia" w:ascii="宋体" w:hAnsi="宋体"/>
          <w:b/>
          <w:color w:val="auto"/>
          <w:spacing w:val="-4"/>
          <w:sz w:val="24"/>
          <w:highlight w:val="none"/>
          <w:shd w:val="pct10" w:color="auto" w:fill="FFFFFF"/>
        </w:rPr>
        <w:t>)</w:t>
      </w:r>
    </w:p>
    <w:p w14:paraId="444F5B92">
      <w:pPr>
        <w:rPr>
          <w:rFonts w:ascii="宋体" w:hAnsi="宋体"/>
          <w:b/>
          <w:color w:val="auto"/>
          <w:sz w:val="24"/>
          <w:highlight w:val="none"/>
        </w:rPr>
      </w:pPr>
      <w:r>
        <w:rPr>
          <w:rFonts w:hint="eastAsia" w:ascii="宋体" w:hAnsi="宋体"/>
          <w:b/>
          <w:color w:val="auto"/>
          <w:sz w:val="24"/>
          <w:highlight w:val="none"/>
        </w:rPr>
        <w:t xml:space="preserve">项目名称： </w:t>
      </w:r>
      <w:r>
        <w:rPr>
          <w:rFonts w:ascii="宋体" w:hAnsi="宋体"/>
          <w:b/>
          <w:color w:val="auto"/>
          <w:sz w:val="24"/>
          <w:highlight w:val="none"/>
        </w:rPr>
        <w:t xml:space="preserve">                                </w:t>
      </w:r>
      <w:r>
        <w:rPr>
          <w:rFonts w:hint="eastAsia" w:ascii="宋体" w:hAnsi="宋体"/>
          <w:b/>
          <w:color w:val="auto"/>
          <w:sz w:val="24"/>
          <w:highlight w:val="none"/>
        </w:rPr>
        <w:t>投标人名称：</w:t>
      </w:r>
    </w:p>
    <w:p w14:paraId="0330A4CC">
      <w:pPr>
        <w:rPr>
          <w:rFonts w:hint="eastAsia" w:hAnsi="宋体"/>
          <w:b/>
          <w:color w:val="auto"/>
          <w:sz w:val="30"/>
          <w:szCs w:val="30"/>
          <w:highlight w:val="none"/>
        </w:rPr>
      </w:pPr>
    </w:p>
    <w:tbl>
      <w:tblPr>
        <w:tblStyle w:val="52"/>
        <w:tblW w:w="9158" w:type="dxa"/>
        <w:tblInd w:w="1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2009"/>
        <w:gridCol w:w="1040"/>
        <w:gridCol w:w="1189"/>
        <w:gridCol w:w="2922"/>
        <w:gridCol w:w="1322"/>
      </w:tblGrid>
      <w:tr w14:paraId="73746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5" w:hRule="atLeast"/>
        </w:trPr>
        <w:tc>
          <w:tcPr>
            <w:tcW w:w="2685" w:type="dxa"/>
            <w:gridSpan w:val="2"/>
            <w:noWrap w:val="0"/>
            <w:vAlign w:val="center"/>
          </w:tcPr>
          <w:p w14:paraId="33B992E0">
            <w:pPr>
              <w:widowControl/>
              <w:jc w:val="center"/>
              <w:rPr>
                <w:rFonts w:ascii="宋体" w:hAnsi="宋体"/>
                <w:b/>
                <w:bCs/>
                <w:color w:val="auto"/>
                <w:sz w:val="24"/>
                <w:szCs w:val="24"/>
                <w:highlight w:val="none"/>
              </w:rPr>
            </w:pPr>
            <w:r>
              <w:rPr>
                <w:rFonts w:hint="eastAsia" w:ascii="宋体" w:hAnsi="宋体"/>
                <w:b/>
                <w:bCs/>
                <w:color w:val="auto"/>
                <w:sz w:val="24"/>
                <w:szCs w:val="24"/>
                <w:highlight w:val="none"/>
              </w:rPr>
              <w:t>评标内容</w:t>
            </w:r>
          </w:p>
        </w:tc>
        <w:tc>
          <w:tcPr>
            <w:tcW w:w="1040" w:type="dxa"/>
            <w:noWrap w:val="0"/>
            <w:vAlign w:val="center"/>
          </w:tcPr>
          <w:p w14:paraId="27C1FE03">
            <w:pPr>
              <w:widowControl/>
              <w:jc w:val="center"/>
              <w:rPr>
                <w:rFonts w:ascii="宋体"/>
                <w:b/>
                <w:bCs/>
                <w:color w:val="auto"/>
                <w:sz w:val="24"/>
                <w:szCs w:val="24"/>
                <w:highlight w:val="none"/>
              </w:rPr>
            </w:pPr>
            <w:r>
              <w:rPr>
                <w:rFonts w:hint="eastAsia" w:ascii="宋体"/>
                <w:b/>
                <w:bCs/>
                <w:color w:val="auto"/>
                <w:sz w:val="24"/>
                <w:szCs w:val="24"/>
                <w:highlight w:val="none"/>
              </w:rPr>
              <w:t>分值</w:t>
            </w:r>
          </w:p>
        </w:tc>
        <w:tc>
          <w:tcPr>
            <w:tcW w:w="1189" w:type="dxa"/>
            <w:tcBorders>
              <w:top w:val="single" w:color="auto" w:sz="4" w:space="0"/>
              <w:left w:val="nil"/>
              <w:bottom w:val="single" w:color="auto" w:sz="4" w:space="0"/>
              <w:right w:val="single" w:color="auto" w:sz="4" w:space="0"/>
            </w:tcBorders>
            <w:noWrap w:val="0"/>
            <w:vAlign w:val="center"/>
          </w:tcPr>
          <w:p w14:paraId="2FF7E85C">
            <w:pPr>
              <w:widowControl/>
              <w:jc w:val="center"/>
              <w:rPr>
                <w:rFonts w:ascii="宋体" w:hAnsi="宋体"/>
                <w:b/>
                <w:bCs/>
                <w:color w:val="auto"/>
                <w:sz w:val="24"/>
                <w:szCs w:val="24"/>
                <w:highlight w:val="none"/>
              </w:rPr>
            </w:pPr>
            <w:r>
              <w:rPr>
                <w:rFonts w:hint="eastAsia" w:ascii="宋体" w:hAnsi="宋体"/>
                <w:b/>
                <w:bCs/>
                <w:color w:val="auto"/>
                <w:sz w:val="24"/>
                <w:szCs w:val="24"/>
                <w:highlight w:val="none"/>
              </w:rPr>
              <w:t>投标文件</w:t>
            </w:r>
          </w:p>
          <w:p w14:paraId="6706EBF5">
            <w:pPr>
              <w:widowControl/>
              <w:jc w:val="center"/>
              <w:rPr>
                <w:rFonts w:ascii="宋体"/>
                <w:color w:val="auto"/>
                <w:sz w:val="24"/>
                <w:szCs w:val="24"/>
                <w:highlight w:val="none"/>
              </w:rPr>
            </w:pPr>
            <w:r>
              <w:rPr>
                <w:rFonts w:hint="eastAsia" w:ascii="宋体" w:hAnsi="宋体"/>
                <w:b/>
                <w:bCs/>
                <w:color w:val="auto"/>
                <w:sz w:val="24"/>
                <w:szCs w:val="24"/>
                <w:highlight w:val="none"/>
              </w:rPr>
              <w:t>响应页码</w:t>
            </w:r>
          </w:p>
        </w:tc>
        <w:tc>
          <w:tcPr>
            <w:tcW w:w="2922" w:type="dxa"/>
            <w:tcBorders>
              <w:top w:val="single" w:color="auto" w:sz="4" w:space="0"/>
              <w:left w:val="nil"/>
              <w:bottom w:val="single" w:color="auto" w:sz="4" w:space="0"/>
              <w:right w:val="single" w:color="auto" w:sz="4" w:space="0"/>
            </w:tcBorders>
            <w:noWrap w:val="0"/>
            <w:vAlign w:val="center"/>
          </w:tcPr>
          <w:p w14:paraId="15C1057C">
            <w:pPr>
              <w:widowControl/>
              <w:jc w:val="center"/>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投标人</w:t>
            </w:r>
          </w:p>
          <w:p w14:paraId="680A9EE0">
            <w:pPr>
              <w:widowControl/>
              <w:jc w:val="center"/>
              <w:rPr>
                <w:rFonts w:hint="eastAsia" w:ascii="宋体" w:hAnsi="宋体"/>
                <w:color w:val="auto"/>
                <w:sz w:val="24"/>
                <w:szCs w:val="24"/>
                <w:highlight w:val="none"/>
              </w:rPr>
            </w:pPr>
            <w:r>
              <w:rPr>
                <w:rFonts w:hint="eastAsia" w:ascii="宋体" w:hAnsi="宋体" w:cs="宋体"/>
                <w:b/>
                <w:bCs/>
                <w:color w:val="auto"/>
                <w:kern w:val="0"/>
                <w:sz w:val="24"/>
                <w:szCs w:val="24"/>
                <w:highlight w:val="none"/>
              </w:rPr>
              <w:t>应标情况</w:t>
            </w:r>
          </w:p>
        </w:tc>
        <w:tc>
          <w:tcPr>
            <w:tcW w:w="1322" w:type="dxa"/>
            <w:tcBorders>
              <w:top w:val="single" w:color="auto" w:sz="4" w:space="0"/>
              <w:left w:val="nil"/>
              <w:bottom w:val="single" w:color="auto" w:sz="4" w:space="0"/>
              <w:right w:val="single" w:color="auto" w:sz="4" w:space="0"/>
            </w:tcBorders>
            <w:noWrap w:val="0"/>
            <w:vAlign w:val="center"/>
          </w:tcPr>
          <w:p w14:paraId="0E8120C6">
            <w:pPr>
              <w:widowControl/>
              <w:jc w:val="center"/>
              <w:rPr>
                <w:rFonts w:hint="eastAsia" w:ascii="宋体" w:hAnsi="宋体"/>
                <w:color w:val="auto"/>
                <w:sz w:val="24"/>
                <w:szCs w:val="24"/>
                <w:highlight w:val="none"/>
              </w:rPr>
            </w:pPr>
            <w:r>
              <w:rPr>
                <w:rFonts w:hint="eastAsia" w:ascii="宋体" w:hAnsi="宋体" w:cs="宋体"/>
                <w:b/>
                <w:bCs/>
                <w:color w:val="auto"/>
                <w:kern w:val="0"/>
                <w:sz w:val="24"/>
                <w:szCs w:val="24"/>
                <w:highlight w:val="none"/>
              </w:rPr>
              <w:t>投标人自评分值</w:t>
            </w:r>
          </w:p>
        </w:tc>
      </w:tr>
      <w:tr w14:paraId="438AB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8" w:hRule="atLeast"/>
        </w:trPr>
        <w:tc>
          <w:tcPr>
            <w:tcW w:w="676" w:type="dxa"/>
            <w:vMerge w:val="restart"/>
            <w:noWrap w:val="0"/>
            <w:vAlign w:val="center"/>
          </w:tcPr>
          <w:p w14:paraId="35FC49CC">
            <w:pPr>
              <w:widowControl/>
              <w:jc w:val="center"/>
              <w:rPr>
                <w:rFonts w:hint="eastAsia" w:ascii="宋体" w:hAnsi="宋体"/>
                <w:b/>
                <w:bCs/>
                <w:color w:val="auto"/>
                <w:sz w:val="24"/>
                <w:szCs w:val="24"/>
                <w:highlight w:val="none"/>
              </w:rPr>
            </w:pPr>
            <w:r>
              <w:rPr>
                <w:rFonts w:hint="eastAsia" w:ascii="宋体" w:hAnsi="宋体"/>
                <w:b/>
                <w:bCs/>
                <w:color w:val="auto"/>
                <w:sz w:val="24"/>
                <w:szCs w:val="24"/>
                <w:highlight w:val="none"/>
              </w:rPr>
              <w:t>1</w:t>
            </w:r>
          </w:p>
          <w:p w14:paraId="684A9A6A">
            <w:pPr>
              <w:widowControl/>
              <w:jc w:val="center"/>
              <w:rPr>
                <w:rFonts w:hint="eastAsia" w:ascii="宋体" w:hAnsi="宋体"/>
                <w:b/>
                <w:bCs/>
                <w:color w:val="auto"/>
                <w:sz w:val="24"/>
                <w:szCs w:val="24"/>
                <w:highlight w:val="none"/>
              </w:rPr>
            </w:pPr>
          </w:p>
        </w:tc>
        <w:tc>
          <w:tcPr>
            <w:tcW w:w="2009" w:type="dxa"/>
            <w:vMerge w:val="restart"/>
            <w:noWrap w:val="0"/>
            <w:vAlign w:val="center"/>
          </w:tcPr>
          <w:p w14:paraId="221B5FA4">
            <w:pPr>
              <w:widowControl/>
              <w:jc w:val="center"/>
              <w:rPr>
                <w:rFonts w:hint="eastAsia" w:ascii="宋体" w:hAnsi="宋体"/>
                <w:b/>
                <w:bCs/>
                <w:color w:val="auto"/>
                <w:sz w:val="24"/>
                <w:szCs w:val="24"/>
                <w:highlight w:val="none"/>
              </w:rPr>
            </w:pPr>
            <w:r>
              <w:rPr>
                <w:rFonts w:hint="eastAsia" w:ascii="宋体" w:hAnsi="宋体" w:cs="Times New Roman"/>
                <w:b w:val="0"/>
                <w:bCs/>
                <w:color w:val="auto"/>
                <w:sz w:val="24"/>
                <w:szCs w:val="24"/>
                <w:highlight w:val="none"/>
                <w:lang w:val="en-US" w:eastAsia="zh-CN"/>
              </w:rPr>
              <w:t>投标人综合实力</w:t>
            </w:r>
          </w:p>
        </w:tc>
        <w:tc>
          <w:tcPr>
            <w:tcW w:w="1040" w:type="dxa"/>
            <w:noWrap w:val="0"/>
            <w:vAlign w:val="center"/>
          </w:tcPr>
          <w:p w14:paraId="642528F6">
            <w:pPr>
              <w:widowControl/>
              <w:jc w:val="center"/>
              <w:rPr>
                <w:rFonts w:hint="eastAsia" w:ascii="宋体" w:hAnsi="宋体" w:eastAsia="宋体"/>
                <w:b/>
                <w:bCs/>
                <w:color w:val="auto"/>
                <w:sz w:val="24"/>
                <w:szCs w:val="24"/>
                <w:highlight w:val="none"/>
                <w:lang w:val="en-US" w:eastAsia="zh-CN"/>
              </w:rPr>
            </w:pPr>
            <w:r>
              <w:rPr>
                <w:rFonts w:hint="eastAsia" w:ascii="宋体" w:hAnsi="宋体"/>
                <w:b/>
                <w:bCs/>
                <w:color w:val="auto"/>
                <w:sz w:val="24"/>
                <w:szCs w:val="24"/>
                <w:highlight w:val="none"/>
                <w:lang w:val="en-US" w:eastAsia="zh-CN"/>
              </w:rPr>
              <w:t>4</w:t>
            </w:r>
          </w:p>
        </w:tc>
        <w:tc>
          <w:tcPr>
            <w:tcW w:w="1189" w:type="dxa"/>
            <w:noWrap w:val="0"/>
            <w:vAlign w:val="center"/>
          </w:tcPr>
          <w:p w14:paraId="386B9A7F">
            <w:pPr>
              <w:jc w:val="left"/>
              <w:rPr>
                <w:rFonts w:ascii="宋体"/>
                <w:bCs/>
                <w:color w:val="auto"/>
                <w:sz w:val="24"/>
                <w:szCs w:val="24"/>
                <w:highlight w:val="none"/>
              </w:rPr>
            </w:pPr>
          </w:p>
        </w:tc>
        <w:tc>
          <w:tcPr>
            <w:tcW w:w="2922" w:type="dxa"/>
            <w:noWrap w:val="0"/>
            <w:vAlign w:val="center"/>
          </w:tcPr>
          <w:p w14:paraId="289AB36E">
            <w:pPr>
              <w:jc w:val="center"/>
              <w:rPr>
                <w:rFonts w:hint="eastAsia" w:ascii="宋体"/>
                <w:b/>
                <w:color w:val="auto"/>
                <w:sz w:val="24"/>
                <w:szCs w:val="24"/>
                <w:highlight w:val="none"/>
              </w:rPr>
            </w:pPr>
          </w:p>
        </w:tc>
        <w:tc>
          <w:tcPr>
            <w:tcW w:w="1322" w:type="dxa"/>
            <w:noWrap w:val="0"/>
            <w:vAlign w:val="center"/>
          </w:tcPr>
          <w:p w14:paraId="1CB6AEDA">
            <w:pPr>
              <w:jc w:val="center"/>
              <w:rPr>
                <w:rFonts w:hint="eastAsia" w:ascii="宋体"/>
                <w:b/>
                <w:color w:val="auto"/>
                <w:sz w:val="24"/>
                <w:szCs w:val="24"/>
                <w:highlight w:val="none"/>
              </w:rPr>
            </w:pPr>
          </w:p>
        </w:tc>
      </w:tr>
      <w:tr w14:paraId="48838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6" w:hRule="atLeast"/>
        </w:trPr>
        <w:tc>
          <w:tcPr>
            <w:tcW w:w="676" w:type="dxa"/>
            <w:vMerge w:val="continue"/>
            <w:noWrap w:val="0"/>
            <w:vAlign w:val="center"/>
          </w:tcPr>
          <w:p w14:paraId="563690F4">
            <w:pPr>
              <w:widowControl/>
              <w:jc w:val="center"/>
              <w:rPr>
                <w:rFonts w:hint="eastAsia" w:ascii="宋体" w:hAnsi="宋体"/>
                <w:b/>
                <w:bCs/>
                <w:color w:val="auto"/>
                <w:sz w:val="24"/>
                <w:szCs w:val="24"/>
                <w:highlight w:val="none"/>
              </w:rPr>
            </w:pPr>
          </w:p>
        </w:tc>
        <w:tc>
          <w:tcPr>
            <w:tcW w:w="2009" w:type="dxa"/>
            <w:vMerge w:val="continue"/>
            <w:noWrap w:val="0"/>
            <w:vAlign w:val="center"/>
          </w:tcPr>
          <w:p w14:paraId="476871E6">
            <w:pPr>
              <w:widowControl/>
              <w:jc w:val="center"/>
              <w:rPr>
                <w:rFonts w:hint="eastAsia" w:ascii="宋体" w:hAnsi="宋体"/>
                <w:b/>
                <w:bCs/>
                <w:color w:val="auto"/>
                <w:sz w:val="24"/>
                <w:szCs w:val="24"/>
                <w:highlight w:val="none"/>
              </w:rPr>
            </w:pPr>
          </w:p>
        </w:tc>
        <w:tc>
          <w:tcPr>
            <w:tcW w:w="1040" w:type="dxa"/>
            <w:noWrap w:val="0"/>
            <w:vAlign w:val="center"/>
          </w:tcPr>
          <w:p w14:paraId="1EFBE461">
            <w:pPr>
              <w:widowControl/>
              <w:jc w:val="center"/>
              <w:rPr>
                <w:rFonts w:hint="default" w:ascii="宋体" w:hAnsi="宋体" w:eastAsia="宋体"/>
                <w:b/>
                <w:bCs/>
                <w:color w:val="auto"/>
                <w:sz w:val="24"/>
                <w:szCs w:val="24"/>
                <w:highlight w:val="none"/>
                <w:lang w:val="en-US" w:eastAsia="zh-CN"/>
              </w:rPr>
            </w:pPr>
            <w:r>
              <w:rPr>
                <w:rFonts w:hint="eastAsia" w:ascii="宋体" w:hAnsi="宋体"/>
                <w:b/>
                <w:bCs/>
                <w:color w:val="auto"/>
                <w:sz w:val="24"/>
                <w:szCs w:val="24"/>
                <w:highlight w:val="none"/>
                <w:lang w:val="en-US" w:eastAsia="zh-CN"/>
              </w:rPr>
              <w:t>4</w:t>
            </w:r>
          </w:p>
        </w:tc>
        <w:tc>
          <w:tcPr>
            <w:tcW w:w="1189" w:type="dxa"/>
            <w:noWrap w:val="0"/>
            <w:vAlign w:val="center"/>
          </w:tcPr>
          <w:p w14:paraId="001D326B">
            <w:pPr>
              <w:jc w:val="left"/>
              <w:rPr>
                <w:rFonts w:ascii="宋体"/>
                <w:bCs/>
                <w:color w:val="auto"/>
                <w:sz w:val="24"/>
                <w:szCs w:val="24"/>
                <w:highlight w:val="none"/>
              </w:rPr>
            </w:pPr>
          </w:p>
        </w:tc>
        <w:tc>
          <w:tcPr>
            <w:tcW w:w="2922" w:type="dxa"/>
            <w:tcBorders>
              <w:top w:val="nil"/>
              <w:left w:val="nil"/>
              <w:bottom w:val="single" w:color="auto" w:sz="4" w:space="0"/>
              <w:right w:val="single" w:color="auto" w:sz="4" w:space="0"/>
            </w:tcBorders>
            <w:noWrap w:val="0"/>
            <w:vAlign w:val="center"/>
          </w:tcPr>
          <w:p w14:paraId="0AB31973">
            <w:pPr>
              <w:jc w:val="center"/>
              <w:rPr>
                <w:rFonts w:ascii="宋体"/>
                <w:bCs/>
                <w:color w:val="auto"/>
                <w:sz w:val="24"/>
                <w:szCs w:val="24"/>
                <w:highlight w:val="none"/>
              </w:rPr>
            </w:pPr>
          </w:p>
        </w:tc>
        <w:tc>
          <w:tcPr>
            <w:tcW w:w="1322" w:type="dxa"/>
            <w:tcBorders>
              <w:top w:val="nil"/>
              <w:left w:val="nil"/>
              <w:bottom w:val="single" w:color="auto" w:sz="4" w:space="0"/>
              <w:right w:val="single" w:color="auto" w:sz="4" w:space="0"/>
            </w:tcBorders>
            <w:noWrap w:val="0"/>
            <w:vAlign w:val="center"/>
          </w:tcPr>
          <w:p w14:paraId="4FA4D839">
            <w:pPr>
              <w:jc w:val="center"/>
              <w:rPr>
                <w:rFonts w:ascii="宋体"/>
                <w:bCs/>
                <w:color w:val="auto"/>
                <w:sz w:val="24"/>
                <w:szCs w:val="24"/>
                <w:highlight w:val="none"/>
              </w:rPr>
            </w:pPr>
          </w:p>
        </w:tc>
      </w:tr>
      <w:tr w14:paraId="3A9BF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trPr>
        <w:tc>
          <w:tcPr>
            <w:tcW w:w="676" w:type="dxa"/>
            <w:vMerge w:val="continue"/>
            <w:noWrap w:val="0"/>
            <w:vAlign w:val="center"/>
          </w:tcPr>
          <w:p w14:paraId="0AB661D7">
            <w:pPr>
              <w:widowControl/>
              <w:jc w:val="center"/>
              <w:rPr>
                <w:rFonts w:hint="eastAsia" w:ascii="宋体" w:hAnsi="宋体"/>
                <w:b/>
                <w:bCs/>
                <w:color w:val="auto"/>
                <w:sz w:val="24"/>
                <w:szCs w:val="24"/>
                <w:highlight w:val="none"/>
              </w:rPr>
            </w:pPr>
          </w:p>
        </w:tc>
        <w:tc>
          <w:tcPr>
            <w:tcW w:w="2009" w:type="dxa"/>
            <w:vMerge w:val="continue"/>
            <w:noWrap w:val="0"/>
            <w:vAlign w:val="center"/>
          </w:tcPr>
          <w:p w14:paraId="2545EB9B">
            <w:pPr>
              <w:widowControl/>
              <w:jc w:val="center"/>
              <w:rPr>
                <w:rFonts w:hint="eastAsia" w:ascii="宋体" w:hAnsi="宋体"/>
                <w:b/>
                <w:bCs/>
                <w:color w:val="auto"/>
                <w:sz w:val="24"/>
                <w:szCs w:val="24"/>
                <w:highlight w:val="none"/>
              </w:rPr>
            </w:pPr>
          </w:p>
        </w:tc>
        <w:tc>
          <w:tcPr>
            <w:tcW w:w="1040" w:type="dxa"/>
            <w:noWrap w:val="0"/>
            <w:vAlign w:val="center"/>
          </w:tcPr>
          <w:p w14:paraId="35E623F6">
            <w:pPr>
              <w:widowControl/>
              <w:jc w:val="center"/>
              <w:rPr>
                <w:rFonts w:hint="eastAsia" w:ascii="宋体" w:hAnsi="宋体" w:eastAsia="宋体"/>
                <w:b/>
                <w:bCs/>
                <w:color w:val="auto"/>
                <w:sz w:val="24"/>
                <w:szCs w:val="24"/>
                <w:highlight w:val="none"/>
                <w:lang w:val="en-US" w:eastAsia="zh-CN"/>
              </w:rPr>
            </w:pPr>
            <w:r>
              <w:rPr>
                <w:rFonts w:hint="eastAsia" w:ascii="宋体" w:hAnsi="宋体"/>
                <w:b/>
                <w:bCs/>
                <w:color w:val="auto"/>
                <w:sz w:val="24"/>
                <w:szCs w:val="24"/>
                <w:highlight w:val="none"/>
                <w:lang w:val="en-US" w:eastAsia="zh-CN"/>
              </w:rPr>
              <w:t>3</w:t>
            </w:r>
          </w:p>
        </w:tc>
        <w:tc>
          <w:tcPr>
            <w:tcW w:w="1189" w:type="dxa"/>
            <w:noWrap w:val="0"/>
            <w:vAlign w:val="center"/>
          </w:tcPr>
          <w:p w14:paraId="65495F63">
            <w:pPr>
              <w:jc w:val="left"/>
              <w:rPr>
                <w:rFonts w:ascii="宋体"/>
                <w:bCs/>
                <w:color w:val="auto"/>
                <w:sz w:val="24"/>
                <w:szCs w:val="24"/>
                <w:highlight w:val="none"/>
              </w:rPr>
            </w:pPr>
          </w:p>
        </w:tc>
        <w:tc>
          <w:tcPr>
            <w:tcW w:w="2922" w:type="dxa"/>
            <w:tcBorders>
              <w:top w:val="nil"/>
              <w:left w:val="nil"/>
              <w:bottom w:val="single" w:color="auto" w:sz="4" w:space="0"/>
              <w:right w:val="single" w:color="auto" w:sz="4" w:space="0"/>
            </w:tcBorders>
            <w:noWrap w:val="0"/>
            <w:vAlign w:val="center"/>
          </w:tcPr>
          <w:p w14:paraId="2D795661">
            <w:pPr>
              <w:jc w:val="center"/>
              <w:rPr>
                <w:rFonts w:hint="eastAsia" w:ascii="宋体"/>
                <w:b/>
                <w:color w:val="auto"/>
                <w:sz w:val="24"/>
                <w:szCs w:val="24"/>
                <w:highlight w:val="none"/>
              </w:rPr>
            </w:pPr>
          </w:p>
        </w:tc>
        <w:tc>
          <w:tcPr>
            <w:tcW w:w="1322" w:type="dxa"/>
            <w:tcBorders>
              <w:top w:val="nil"/>
              <w:left w:val="nil"/>
              <w:bottom w:val="single" w:color="auto" w:sz="4" w:space="0"/>
              <w:right w:val="single" w:color="auto" w:sz="4" w:space="0"/>
            </w:tcBorders>
            <w:noWrap w:val="0"/>
            <w:vAlign w:val="center"/>
          </w:tcPr>
          <w:p w14:paraId="793BD092">
            <w:pPr>
              <w:jc w:val="center"/>
              <w:rPr>
                <w:rFonts w:hint="eastAsia" w:ascii="宋体"/>
                <w:b/>
                <w:color w:val="auto"/>
                <w:sz w:val="24"/>
                <w:szCs w:val="24"/>
                <w:highlight w:val="none"/>
              </w:rPr>
            </w:pPr>
          </w:p>
        </w:tc>
      </w:tr>
      <w:tr w14:paraId="644A9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trPr>
        <w:tc>
          <w:tcPr>
            <w:tcW w:w="676" w:type="dxa"/>
            <w:noWrap w:val="0"/>
            <w:vAlign w:val="center"/>
          </w:tcPr>
          <w:p w14:paraId="7C1F822F">
            <w:pPr>
              <w:widowControl/>
              <w:jc w:val="center"/>
              <w:rPr>
                <w:rFonts w:hint="eastAsia" w:ascii="宋体" w:hAnsi="宋体" w:eastAsia="宋体"/>
                <w:b/>
                <w:bCs/>
                <w:color w:val="auto"/>
                <w:sz w:val="24"/>
                <w:szCs w:val="24"/>
                <w:highlight w:val="none"/>
                <w:lang w:eastAsia="zh-CN"/>
              </w:rPr>
            </w:pPr>
            <w:r>
              <w:rPr>
                <w:rFonts w:hint="eastAsia" w:ascii="宋体" w:hAnsi="宋体"/>
                <w:b/>
                <w:bCs/>
                <w:color w:val="auto"/>
                <w:sz w:val="24"/>
                <w:szCs w:val="24"/>
                <w:highlight w:val="none"/>
                <w:lang w:val="en-US" w:eastAsia="zh-CN"/>
              </w:rPr>
              <w:t>2</w:t>
            </w:r>
          </w:p>
        </w:tc>
        <w:tc>
          <w:tcPr>
            <w:tcW w:w="2009" w:type="dxa"/>
            <w:noWrap w:val="0"/>
            <w:vAlign w:val="center"/>
          </w:tcPr>
          <w:p w14:paraId="358FDDC8">
            <w:pPr>
              <w:widowControl/>
              <w:jc w:val="center"/>
              <w:rPr>
                <w:rFonts w:hint="eastAsia" w:ascii="宋体" w:hAnsi="宋体"/>
                <w:b/>
                <w:bCs/>
                <w:color w:val="auto"/>
                <w:sz w:val="24"/>
                <w:szCs w:val="24"/>
                <w:highlight w:val="none"/>
              </w:rPr>
            </w:pPr>
            <w:r>
              <w:rPr>
                <w:rFonts w:hint="eastAsia" w:ascii="宋体" w:hAnsi="宋体"/>
                <w:bCs/>
                <w:color w:val="auto"/>
                <w:sz w:val="24"/>
                <w:szCs w:val="24"/>
                <w:highlight w:val="none"/>
              </w:rPr>
              <w:t>投标产品性能</w:t>
            </w:r>
          </w:p>
        </w:tc>
        <w:tc>
          <w:tcPr>
            <w:tcW w:w="1040" w:type="dxa"/>
            <w:noWrap w:val="0"/>
            <w:vAlign w:val="center"/>
          </w:tcPr>
          <w:p w14:paraId="31B135BD">
            <w:pPr>
              <w:widowControl/>
              <w:jc w:val="center"/>
              <w:rPr>
                <w:rFonts w:hint="default" w:ascii="宋体" w:hAnsi="宋体" w:eastAsia="宋体"/>
                <w:b/>
                <w:bCs/>
                <w:color w:val="auto"/>
                <w:sz w:val="24"/>
                <w:szCs w:val="24"/>
                <w:highlight w:val="none"/>
                <w:lang w:val="en-US" w:eastAsia="zh-CN"/>
              </w:rPr>
            </w:pPr>
            <w:r>
              <w:rPr>
                <w:rFonts w:hint="eastAsia" w:ascii="宋体" w:hAnsi="宋体"/>
                <w:b/>
                <w:bCs/>
                <w:color w:val="auto"/>
                <w:sz w:val="24"/>
                <w:szCs w:val="24"/>
                <w:highlight w:val="none"/>
                <w:lang w:val="en-US" w:eastAsia="zh-CN"/>
              </w:rPr>
              <w:t>35</w:t>
            </w:r>
          </w:p>
        </w:tc>
        <w:tc>
          <w:tcPr>
            <w:tcW w:w="1189" w:type="dxa"/>
            <w:noWrap w:val="0"/>
            <w:vAlign w:val="center"/>
          </w:tcPr>
          <w:p w14:paraId="07D4CB24">
            <w:pPr>
              <w:jc w:val="left"/>
              <w:rPr>
                <w:rFonts w:ascii="宋体"/>
                <w:bCs/>
                <w:color w:val="auto"/>
                <w:sz w:val="24"/>
                <w:szCs w:val="24"/>
                <w:highlight w:val="none"/>
              </w:rPr>
            </w:pPr>
          </w:p>
        </w:tc>
        <w:tc>
          <w:tcPr>
            <w:tcW w:w="2922" w:type="dxa"/>
            <w:noWrap w:val="0"/>
            <w:vAlign w:val="center"/>
          </w:tcPr>
          <w:p w14:paraId="0EE6AA08">
            <w:pPr>
              <w:jc w:val="center"/>
              <w:rPr>
                <w:rFonts w:hint="eastAsia" w:ascii="宋体"/>
                <w:b/>
                <w:color w:val="auto"/>
                <w:sz w:val="24"/>
                <w:szCs w:val="24"/>
                <w:highlight w:val="none"/>
              </w:rPr>
            </w:pPr>
          </w:p>
        </w:tc>
        <w:tc>
          <w:tcPr>
            <w:tcW w:w="1322" w:type="dxa"/>
            <w:noWrap w:val="0"/>
            <w:vAlign w:val="center"/>
          </w:tcPr>
          <w:p w14:paraId="4F3EC168">
            <w:pPr>
              <w:jc w:val="center"/>
              <w:rPr>
                <w:rFonts w:hint="eastAsia" w:ascii="宋体"/>
                <w:b/>
                <w:color w:val="auto"/>
                <w:sz w:val="24"/>
                <w:szCs w:val="24"/>
                <w:highlight w:val="none"/>
              </w:rPr>
            </w:pPr>
          </w:p>
        </w:tc>
      </w:tr>
      <w:tr w14:paraId="5C0BB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676" w:type="dxa"/>
            <w:noWrap w:val="0"/>
            <w:vAlign w:val="center"/>
          </w:tcPr>
          <w:p w14:paraId="31C4E4B3">
            <w:pPr>
              <w:widowControl/>
              <w:jc w:val="center"/>
              <w:rPr>
                <w:rFonts w:hint="eastAsia" w:ascii="宋体" w:hAnsi="宋体" w:eastAsia="宋体"/>
                <w:b/>
                <w:bCs/>
                <w:color w:val="auto"/>
                <w:sz w:val="24"/>
                <w:szCs w:val="24"/>
                <w:highlight w:val="none"/>
                <w:lang w:eastAsia="zh-CN"/>
              </w:rPr>
            </w:pPr>
            <w:r>
              <w:rPr>
                <w:rFonts w:hint="eastAsia" w:ascii="宋体" w:hAnsi="宋体"/>
                <w:b/>
                <w:bCs/>
                <w:color w:val="auto"/>
                <w:sz w:val="24"/>
                <w:szCs w:val="24"/>
                <w:highlight w:val="none"/>
                <w:lang w:val="en-US" w:eastAsia="zh-CN"/>
              </w:rPr>
              <w:t>3</w:t>
            </w:r>
          </w:p>
        </w:tc>
        <w:tc>
          <w:tcPr>
            <w:tcW w:w="2009" w:type="dxa"/>
            <w:noWrap w:val="0"/>
            <w:vAlign w:val="center"/>
          </w:tcPr>
          <w:p w14:paraId="33719618">
            <w:pPr>
              <w:widowControl/>
              <w:jc w:val="center"/>
              <w:rPr>
                <w:rFonts w:hint="eastAsia" w:ascii="宋体" w:hAnsi="宋体"/>
                <w:b/>
                <w:bCs/>
                <w:color w:val="auto"/>
                <w:sz w:val="24"/>
                <w:szCs w:val="24"/>
                <w:highlight w:val="none"/>
              </w:rPr>
            </w:pPr>
            <w:r>
              <w:rPr>
                <w:rFonts w:hint="eastAsia" w:ascii="宋体" w:hAnsi="宋体"/>
                <w:color w:val="auto"/>
                <w:sz w:val="24"/>
                <w:szCs w:val="24"/>
                <w:highlight w:val="none"/>
                <w:lang w:eastAsia="en-US" w:bidi="en-US"/>
              </w:rPr>
              <w:t>主要技术指标</w:t>
            </w:r>
          </w:p>
        </w:tc>
        <w:tc>
          <w:tcPr>
            <w:tcW w:w="1040" w:type="dxa"/>
            <w:noWrap w:val="0"/>
            <w:vAlign w:val="center"/>
          </w:tcPr>
          <w:p w14:paraId="042FDB79">
            <w:pPr>
              <w:widowControl/>
              <w:jc w:val="center"/>
              <w:rPr>
                <w:rFonts w:hint="eastAsia" w:ascii="宋体" w:hAnsi="宋体" w:eastAsia="宋体"/>
                <w:b/>
                <w:bCs/>
                <w:color w:val="auto"/>
                <w:sz w:val="24"/>
                <w:szCs w:val="24"/>
                <w:highlight w:val="none"/>
                <w:lang w:val="en-US" w:eastAsia="zh-CN"/>
              </w:rPr>
            </w:pPr>
            <w:r>
              <w:rPr>
                <w:rFonts w:hint="eastAsia" w:ascii="宋体" w:hAnsi="宋体"/>
                <w:b/>
                <w:bCs/>
                <w:color w:val="auto"/>
                <w:sz w:val="24"/>
                <w:szCs w:val="24"/>
                <w:highlight w:val="none"/>
                <w:lang w:val="en-US" w:eastAsia="zh-CN"/>
              </w:rPr>
              <w:t>3</w:t>
            </w:r>
          </w:p>
        </w:tc>
        <w:tc>
          <w:tcPr>
            <w:tcW w:w="1189" w:type="dxa"/>
            <w:noWrap w:val="0"/>
            <w:vAlign w:val="center"/>
          </w:tcPr>
          <w:p w14:paraId="577A2B04">
            <w:pPr>
              <w:jc w:val="left"/>
              <w:rPr>
                <w:rFonts w:ascii="宋体"/>
                <w:bCs/>
                <w:color w:val="auto"/>
                <w:sz w:val="24"/>
                <w:szCs w:val="24"/>
                <w:highlight w:val="none"/>
              </w:rPr>
            </w:pPr>
          </w:p>
        </w:tc>
        <w:tc>
          <w:tcPr>
            <w:tcW w:w="2922" w:type="dxa"/>
            <w:noWrap w:val="0"/>
            <w:vAlign w:val="center"/>
          </w:tcPr>
          <w:p w14:paraId="47CE8045">
            <w:pPr>
              <w:jc w:val="left"/>
              <w:rPr>
                <w:rFonts w:ascii="宋体"/>
                <w:bCs/>
                <w:color w:val="auto"/>
                <w:sz w:val="24"/>
                <w:szCs w:val="24"/>
                <w:highlight w:val="none"/>
              </w:rPr>
            </w:pPr>
          </w:p>
        </w:tc>
        <w:tc>
          <w:tcPr>
            <w:tcW w:w="1322" w:type="dxa"/>
            <w:noWrap w:val="0"/>
            <w:vAlign w:val="center"/>
          </w:tcPr>
          <w:p w14:paraId="07B52B87">
            <w:pPr>
              <w:jc w:val="left"/>
              <w:rPr>
                <w:rFonts w:ascii="宋体"/>
                <w:bCs/>
                <w:color w:val="auto"/>
                <w:sz w:val="24"/>
                <w:szCs w:val="24"/>
                <w:highlight w:val="none"/>
              </w:rPr>
            </w:pPr>
          </w:p>
        </w:tc>
      </w:tr>
      <w:tr w14:paraId="68125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trPr>
        <w:tc>
          <w:tcPr>
            <w:tcW w:w="676" w:type="dxa"/>
            <w:noWrap w:val="0"/>
            <w:vAlign w:val="center"/>
          </w:tcPr>
          <w:p w14:paraId="453646F2">
            <w:pPr>
              <w:widowControl/>
              <w:jc w:val="center"/>
              <w:rPr>
                <w:rFonts w:hint="eastAsia" w:ascii="宋体" w:hAnsi="宋体" w:eastAsia="宋体"/>
                <w:b/>
                <w:bCs/>
                <w:color w:val="auto"/>
                <w:sz w:val="24"/>
                <w:szCs w:val="24"/>
                <w:highlight w:val="none"/>
                <w:lang w:eastAsia="zh-CN"/>
              </w:rPr>
            </w:pPr>
            <w:r>
              <w:rPr>
                <w:rFonts w:hint="eastAsia" w:ascii="宋体" w:hAnsi="宋体"/>
                <w:b/>
                <w:bCs/>
                <w:color w:val="auto"/>
                <w:sz w:val="24"/>
                <w:szCs w:val="24"/>
                <w:highlight w:val="none"/>
                <w:lang w:val="en-US" w:eastAsia="zh-CN"/>
              </w:rPr>
              <w:t>4</w:t>
            </w:r>
          </w:p>
        </w:tc>
        <w:tc>
          <w:tcPr>
            <w:tcW w:w="2009" w:type="dxa"/>
            <w:noWrap w:val="0"/>
            <w:vAlign w:val="center"/>
          </w:tcPr>
          <w:p w14:paraId="0F54A77B">
            <w:pPr>
              <w:widowControl/>
              <w:jc w:val="center"/>
              <w:rPr>
                <w:rFonts w:hint="eastAsia" w:ascii="宋体" w:hAnsi="宋体"/>
                <w:b/>
                <w:bCs/>
                <w:color w:val="auto"/>
                <w:sz w:val="24"/>
                <w:szCs w:val="24"/>
                <w:highlight w:val="none"/>
              </w:rPr>
            </w:pPr>
            <w:r>
              <w:rPr>
                <w:rFonts w:hint="eastAsia" w:ascii="宋体" w:hAnsi="宋体"/>
                <w:color w:val="auto"/>
                <w:sz w:val="24"/>
                <w:szCs w:val="24"/>
                <w:highlight w:val="none"/>
                <w:lang w:eastAsia="en-US" w:bidi="en-US"/>
              </w:rPr>
              <w:t>投</w:t>
            </w:r>
            <w:r>
              <w:rPr>
                <w:rFonts w:ascii="宋体" w:hAnsi="宋体"/>
                <w:color w:val="auto"/>
                <w:sz w:val="24"/>
                <w:szCs w:val="24"/>
                <w:highlight w:val="none"/>
                <w:lang w:eastAsia="en-US" w:bidi="en-US"/>
              </w:rPr>
              <w:t>标人</w:t>
            </w:r>
            <w:r>
              <w:rPr>
                <w:rFonts w:hint="eastAsia" w:ascii="宋体" w:hAnsi="宋体"/>
                <w:color w:val="auto"/>
                <w:sz w:val="24"/>
                <w:szCs w:val="24"/>
                <w:highlight w:val="none"/>
                <w:lang w:eastAsia="en-US" w:bidi="en-US"/>
              </w:rPr>
              <w:t>业绩</w:t>
            </w:r>
          </w:p>
        </w:tc>
        <w:tc>
          <w:tcPr>
            <w:tcW w:w="1040" w:type="dxa"/>
            <w:noWrap w:val="0"/>
            <w:vAlign w:val="center"/>
          </w:tcPr>
          <w:p w14:paraId="3564A503">
            <w:pPr>
              <w:widowControl/>
              <w:jc w:val="center"/>
              <w:rPr>
                <w:rFonts w:hint="eastAsia" w:ascii="宋体" w:hAnsi="宋体" w:eastAsia="宋体"/>
                <w:b/>
                <w:bCs/>
                <w:color w:val="auto"/>
                <w:sz w:val="24"/>
                <w:szCs w:val="24"/>
                <w:highlight w:val="none"/>
                <w:lang w:val="en-US" w:eastAsia="zh-CN"/>
              </w:rPr>
            </w:pPr>
            <w:r>
              <w:rPr>
                <w:rFonts w:hint="eastAsia" w:ascii="宋体" w:hAnsi="宋体"/>
                <w:b/>
                <w:bCs/>
                <w:color w:val="auto"/>
                <w:sz w:val="24"/>
                <w:szCs w:val="24"/>
                <w:highlight w:val="none"/>
                <w:lang w:val="en-US" w:eastAsia="zh-CN"/>
              </w:rPr>
              <w:t>3</w:t>
            </w:r>
          </w:p>
        </w:tc>
        <w:tc>
          <w:tcPr>
            <w:tcW w:w="1189" w:type="dxa"/>
            <w:noWrap w:val="0"/>
            <w:vAlign w:val="center"/>
          </w:tcPr>
          <w:p w14:paraId="5E355217">
            <w:pPr>
              <w:jc w:val="left"/>
              <w:rPr>
                <w:rFonts w:ascii="宋体"/>
                <w:bCs/>
                <w:color w:val="auto"/>
                <w:sz w:val="24"/>
                <w:szCs w:val="24"/>
                <w:highlight w:val="none"/>
              </w:rPr>
            </w:pPr>
          </w:p>
        </w:tc>
        <w:tc>
          <w:tcPr>
            <w:tcW w:w="2922" w:type="dxa"/>
            <w:tcBorders>
              <w:top w:val="nil"/>
              <w:left w:val="nil"/>
              <w:bottom w:val="single" w:color="auto" w:sz="4" w:space="0"/>
              <w:right w:val="single" w:color="auto" w:sz="4" w:space="0"/>
            </w:tcBorders>
            <w:noWrap w:val="0"/>
            <w:vAlign w:val="center"/>
          </w:tcPr>
          <w:p w14:paraId="308912AF">
            <w:pPr>
              <w:jc w:val="center"/>
              <w:rPr>
                <w:rFonts w:hint="eastAsia" w:ascii="宋体" w:hAnsi="宋体" w:cs="宋体"/>
                <w:b/>
                <w:bCs/>
                <w:color w:val="auto"/>
                <w:kern w:val="0"/>
                <w:sz w:val="24"/>
                <w:szCs w:val="24"/>
                <w:highlight w:val="none"/>
                <w:shd w:val="pct10" w:color="auto" w:fill="FFFFFF"/>
              </w:rPr>
            </w:pPr>
          </w:p>
        </w:tc>
        <w:tc>
          <w:tcPr>
            <w:tcW w:w="1322" w:type="dxa"/>
            <w:tcBorders>
              <w:top w:val="nil"/>
              <w:left w:val="nil"/>
              <w:bottom w:val="single" w:color="auto" w:sz="4" w:space="0"/>
              <w:right w:val="single" w:color="auto" w:sz="4" w:space="0"/>
            </w:tcBorders>
            <w:noWrap w:val="0"/>
            <w:vAlign w:val="center"/>
          </w:tcPr>
          <w:p w14:paraId="0649E703">
            <w:pPr>
              <w:jc w:val="center"/>
              <w:rPr>
                <w:rFonts w:hint="eastAsia" w:ascii="宋体" w:hAnsi="宋体" w:cs="宋体"/>
                <w:b/>
                <w:bCs/>
                <w:color w:val="auto"/>
                <w:kern w:val="0"/>
                <w:sz w:val="24"/>
                <w:szCs w:val="24"/>
                <w:highlight w:val="none"/>
                <w:shd w:val="pct10" w:color="auto" w:fill="FFFFFF"/>
              </w:rPr>
            </w:pPr>
          </w:p>
        </w:tc>
      </w:tr>
      <w:tr w14:paraId="28933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trPr>
        <w:tc>
          <w:tcPr>
            <w:tcW w:w="676" w:type="dxa"/>
            <w:vMerge w:val="restart"/>
            <w:noWrap w:val="0"/>
            <w:vAlign w:val="center"/>
          </w:tcPr>
          <w:p w14:paraId="56291BAE">
            <w:pPr>
              <w:widowControl/>
              <w:jc w:val="center"/>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5</w:t>
            </w:r>
          </w:p>
          <w:p w14:paraId="356B44A7">
            <w:pPr>
              <w:widowControl/>
              <w:jc w:val="center"/>
              <w:rPr>
                <w:rFonts w:hint="eastAsia" w:ascii="宋体" w:hAnsi="宋体" w:eastAsia="宋体"/>
                <w:b/>
                <w:bCs/>
                <w:color w:val="auto"/>
                <w:sz w:val="24"/>
                <w:szCs w:val="24"/>
                <w:highlight w:val="none"/>
                <w:lang w:eastAsia="zh-CN"/>
              </w:rPr>
            </w:pPr>
          </w:p>
        </w:tc>
        <w:tc>
          <w:tcPr>
            <w:tcW w:w="2009" w:type="dxa"/>
            <w:vMerge w:val="restart"/>
            <w:noWrap w:val="0"/>
            <w:vAlign w:val="center"/>
          </w:tcPr>
          <w:p w14:paraId="71478A8A">
            <w:pPr>
              <w:widowControl/>
              <w:jc w:val="center"/>
              <w:rPr>
                <w:rFonts w:hint="eastAsia" w:ascii="宋体" w:hAnsi="宋体"/>
                <w:b/>
                <w:bCs/>
                <w:color w:val="auto"/>
                <w:sz w:val="24"/>
                <w:szCs w:val="24"/>
                <w:highlight w:val="none"/>
                <w:lang w:eastAsia="en-US"/>
              </w:rPr>
            </w:pPr>
            <w:r>
              <w:rPr>
                <w:rFonts w:hint="eastAsia" w:ascii="宋体" w:hAnsi="宋体"/>
                <w:color w:val="auto"/>
                <w:sz w:val="24"/>
                <w:szCs w:val="24"/>
                <w:highlight w:val="none"/>
              </w:rPr>
              <w:t>项目施工组织方案</w:t>
            </w:r>
          </w:p>
        </w:tc>
        <w:tc>
          <w:tcPr>
            <w:tcW w:w="1040" w:type="dxa"/>
            <w:noWrap w:val="0"/>
            <w:vAlign w:val="center"/>
          </w:tcPr>
          <w:p w14:paraId="1DB464E1">
            <w:pPr>
              <w:widowControl/>
              <w:jc w:val="center"/>
              <w:rPr>
                <w:rFonts w:hint="eastAsia" w:ascii="宋体" w:hAnsi="宋体" w:eastAsia="宋体"/>
                <w:b/>
                <w:bCs/>
                <w:color w:val="auto"/>
                <w:sz w:val="24"/>
                <w:szCs w:val="24"/>
                <w:highlight w:val="none"/>
                <w:lang w:val="en-US" w:eastAsia="zh-CN"/>
              </w:rPr>
            </w:pPr>
            <w:r>
              <w:rPr>
                <w:rFonts w:hint="eastAsia" w:ascii="宋体" w:hAnsi="宋体"/>
                <w:b/>
                <w:bCs/>
                <w:color w:val="auto"/>
                <w:sz w:val="24"/>
                <w:szCs w:val="24"/>
                <w:highlight w:val="none"/>
                <w:lang w:val="en-US" w:eastAsia="zh-CN"/>
              </w:rPr>
              <w:t>3</w:t>
            </w:r>
          </w:p>
        </w:tc>
        <w:tc>
          <w:tcPr>
            <w:tcW w:w="1189" w:type="dxa"/>
            <w:noWrap w:val="0"/>
            <w:vAlign w:val="center"/>
          </w:tcPr>
          <w:p w14:paraId="71ACAE51">
            <w:pPr>
              <w:jc w:val="left"/>
              <w:rPr>
                <w:rFonts w:ascii="宋体"/>
                <w:bCs/>
                <w:color w:val="auto"/>
                <w:sz w:val="24"/>
                <w:szCs w:val="24"/>
                <w:highlight w:val="none"/>
              </w:rPr>
            </w:pPr>
          </w:p>
        </w:tc>
        <w:tc>
          <w:tcPr>
            <w:tcW w:w="2922" w:type="dxa"/>
            <w:tcBorders>
              <w:top w:val="nil"/>
              <w:left w:val="nil"/>
              <w:bottom w:val="single" w:color="auto" w:sz="4" w:space="0"/>
              <w:right w:val="single" w:color="auto" w:sz="4" w:space="0"/>
            </w:tcBorders>
            <w:noWrap w:val="0"/>
            <w:vAlign w:val="center"/>
          </w:tcPr>
          <w:p w14:paraId="55F8C150">
            <w:pPr>
              <w:jc w:val="center"/>
              <w:rPr>
                <w:rFonts w:hint="eastAsia" w:ascii="宋体" w:hAnsi="宋体" w:cs="宋体"/>
                <w:b/>
                <w:bCs/>
                <w:color w:val="auto"/>
                <w:kern w:val="0"/>
                <w:sz w:val="24"/>
                <w:szCs w:val="24"/>
                <w:highlight w:val="none"/>
                <w:shd w:val="pct10" w:color="auto" w:fill="FFFFFF"/>
              </w:rPr>
            </w:pPr>
          </w:p>
        </w:tc>
        <w:tc>
          <w:tcPr>
            <w:tcW w:w="1322" w:type="dxa"/>
            <w:tcBorders>
              <w:top w:val="nil"/>
              <w:left w:val="nil"/>
              <w:bottom w:val="single" w:color="auto" w:sz="4" w:space="0"/>
              <w:right w:val="single" w:color="auto" w:sz="4" w:space="0"/>
            </w:tcBorders>
            <w:noWrap w:val="0"/>
            <w:vAlign w:val="center"/>
          </w:tcPr>
          <w:p w14:paraId="53D2F22E">
            <w:pPr>
              <w:jc w:val="center"/>
              <w:rPr>
                <w:rFonts w:hint="eastAsia" w:ascii="宋体" w:hAnsi="宋体" w:cs="宋体"/>
                <w:b/>
                <w:bCs/>
                <w:color w:val="auto"/>
                <w:sz w:val="24"/>
                <w:szCs w:val="24"/>
                <w:highlight w:val="none"/>
                <w:shd w:val="pct10" w:color="auto" w:fill="FFFFFF"/>
              </w:rPr>
            </w:pPr>
          </w:p>
        </w:tc>
      </w:tr>
      <w:tr w14:paraId="48C1A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trPr>
        <w:tc>
          <w:tcPr>
            <w:tcW w:w="676" w:type="dxa"/>
            <w:vMerge w:val="continue"/>
            <w:noWrap w:val="0"/>
            <w:vAlign w:val="center"/>
          </w:tcPr>
          <w:p w14:paraId="176FA4FD">
            <w:pPr>
              <w:widowControl/>
              <w:jc w:val="center"/>
              <w:rPr>
                <w:rFonts w:hint="eastAsia" w:ascii="宋体" w:hAnsi="宋体"/>
                <w:b/>
                <w:bCs/>
                <w:color w:val="auto"/>
                <w:sz w:val="24"/>
                <w:szCs w:val="24"/>
                <w:highlight w:val="none"/>
                <w:lang w:val="en-US" w:eastAsia="zh-CN"/>
              </w:rPr>
            </w:pPr>
          </w:p>
        </w:tc>
        <w:tc>
          <w:tcPr>
            <w:tcW w:w="2009" w:type="dxa"/>
            <w:vMerge w:val="continue"/>
            <w:noWrap w:val="0"/>
            <w:vAlign w:val="center"/>
          </w:tcPr>
          <w:p w14:paraId="62177492">
            <w:pPr>
              <w:widowControl/>
              <w:jc w:val="center"/>
              <w:rPr>
                <w:rFonts w:hint="eastAsia" w:ascii="宋体" w:hAnsi="宋体"/>
                <w:b/>
                <w:bCs/>
                <w:color w:val="auto"/>
                <w:sz w:val="24"/>
                <w:szCs w:val="24"/>
                <w:highlight w:val="none"/>
                <w:lang w:val="zh-CN"/>
              </w:rPr>
            </w:pPr>
          </w:p>
        </w:tc>
        <w:tc>
          <w:tcPr>
            <w:tcW w:w="1040" w:type="dxa"/>
            <w:noWrap w:val="0"/>
            <w:vAlign w:val="center"/>
          </w:tcPr>
          <w:p w14:paraId="052063E5">
            <w:pPr>
              <w:widowControl/>
              <w:jc w:val="center"/>
              <w:rPr>
                <w:rFonts w:hint="eastAsia" w:ascii="宋体" w:hAnsi="宋体" w:eastAsia="宋体"/>
                <w:b/>
                <w:bCs/>
                <w:color w:val="auto"/>
                <w:sz w:val="24"/>
                <w:szCs w:val="24"/>
                <w:highlight w:val="none"/>
                <w:lang w:val="en-US" w:eastAsia="zh-CN"/>
              </w:rPr>
            </w:pPr>
            <w:r>
              <w:rPr>
                <w:rFonts w:hint="eastAsia" w:ascii="宋体" w:hAnsi="宋体"/>
                <w:b/>
                <w:bCs/>
                <w:color w:val="auto"/>
                <w:sz w:val="24"/>
                <w:szCs w:val="24"/>
                <w:highlight w:val="none"/>
                <w:lang w:val="en-US" w:eastAsia="zh-CN"/>
              </w:rPr>
              <w:t>3</w:t>
            </w:r>
          </w:p>
        </w:tc>
        <w:tc>
          <w:tcPr>
            <w:tcW w:w="1189" w:type="dxa"/>
            <w:noWrap w:val="0"/>
            <w:vAlign w:val="center"/>
          </w:tcPr>
          <w:p w14:paraId="6B249BAE">
            <w:pPr>
              <w:pStyle w:val="14"/>
              <w:ind w:firstLine="0"/>
              <w:rPr>
                <w:rFonts w:ascii="宋体"/>
                <w:bCs/>
                <w:color w:val="auto"/>
                <w:sz w:val="24"/>
                <w:szCs w:val="24"/>
                <w:highlight w:val="none"/>
              </w:rPr>
            </w:pPr>
          </w:p>
        </w:tc>
        <w:tc>
          <w:tcPr>
            <w:tcW w:w="2922" w:type="dxa"/>
            <w:noWrap w:val="0"/>
            <w:vAlign w:val="center"/>
          </w:tcPr>
          <w:p w14:paraId="1C13387E">
            <w:pPr>
              <w:pStyle w:val="14"/>
              <w:ind w:firstLine="0"/>
              <w:jc w:val="center"/>
              <w:rPr>
                <w:rFonts w:ascii="宋体"/>
                <w:bCs/>
                <w:color w:val="auto"/>
                <w:sz w:val="24"/>
                <w:szCs w:val="24"/>
                <w:highlight w:val="none"/>
              </w:rPr>
            </w:pPr>
          </w:p>
        </w:tc>
        <w:tc>
          <w:tcPr>
            <w:tcW w:w="1322" w:type="dxa"/>
            <w:noWrap w:val="0"/>
            <w:vAlign w:val="center"/>
          </w:tcPr>
          <w:p w14:paraId="4F0AA885">
            <w:pPr>
              <w:pStyle w:val="14"/>
              <w:ind w:firstLine="0"/>
              <w:jc w:val="center"/>
              <w:rPr>
                <w:rFonts w:ascii="宋体"/>
                <w:bCs/>
                <w:color w:val="auto"/>
                <w:sz w:val="24"/>
                <w:szCs w:val="24"/>
                <w:highlight w:val="none"/>
              </w:rPr>
            </w:pPr>
          </w:p>
        </w:tc>
      </w:tr>
      <w:tr w14:paraId="394D0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676" w:type="dxa"/>
            <w:vMerge w:val="continue"/>
            <w:noWrap w:val="0"/>
            <w:vAlign w:val="center"/>
          </w:tcPr>
          <w:p w14:paraId="50832730">
            <w:pPr>
              <w:widowControl/>
              <w:jc w:val="center"/>
              <w:rPr>
                <w:rFonts w:hint="eastAsia" w:ascii="宋体" w:hAnsi="宋体" w:eastAsia="宋体"/>
                <w:b/>
                <w:bCs/>
                <w:color w:val="auto"/>
                <w:sz w:val="24"/>
                <w:szCs w:val="24"/>
                <w:highlight w:val="none"/>
                <w:lang w:eastAsia="zh-CN"/>
              </w:rPr>
            </w:pPr>
          </w:p>
        </w:tc>
        <w:tc>
          <w:tcPr>
            <w:tcW w:w="2009" w:type="dxa"/>
            <w:vMerge w:val="continue"/>
            <w:noWrap w:val="0"/>
            <w:vAlign w:val="center"/>
          </w:tcPr>
          <w:p w14:paraId="0E5927E4">
            <w:pPr>
              <w:widowControl/>
              <w:jc w:val="center"/>
              <w:rPr>
                <w:rFonts w:hint="eastAsia" w:ascii="宋体" w:hAnsi="宋体"/>
                <w:b/>
                <w:bCs/>
                <w:color w:val="auto"/>
                <w:sz w:val="24"/>
                <w:szCs w:val="24"/>
                <w:highlight w:val="none"/>
                <w:lang w:val="zh-CN"/>
              </w:rPr>
            </w:pPr>
          </w:p>
        </w:tc>
        <w:tc>
          <w:tcPr>
            <w:tcW w:w="1040" w:type="dxa"/>
            <w:noWrap w:val="0"/>
            <w:vAlign w:val="center"/>
          </w:tcPr>
          <w:p w14:paraId="438AD11B">
            <w:pPr>
              <w:widowControl/>
              <w:jc w:val="center"/>
              <w:rPr>
                <w:rFonts w:hint="eastAsia" w:ascii="宋体" w:hAnsi="宋体" w:eastAsia="宋体"/>
                <w:b/>
                <w:bCs/>
                <w:color w:val="auto"/>
                <w:sz w:val="24"/>
                <w:szCs w:val="24"/>
                <w:highlight w:val="none"/>
                <w:lang w:val="en-US" w:eastAsia="zh-CN"/>
              </w:rPr>
            </w:pPr>
            <w:r>
              <w:rPr>
                <w:rFonts w:hint="eastAsia" w:ascii="宋体" w:hAnsi="宋体"/>
                <w:b/>
                <w:bCs/>
                <w:color w:val="auto"/>
                <w:sz w:val="24"/>
                <w:szCs w:val="24"/>
                <w:highlight w:val="none"/>
                <w:lang w:val="en-US" w:eastAsia="zh-CN"/>
              </w:rPr>
              <w:t>3</w:t>
            </w:r>
          </w:p>
        </w:tc>
        <w:tc>
          <w:tcPr>
            <w:tcW w:w="1189" w:type="dxa"/>
            <w:noWrap w:val="0"/>
            <w:vAlign w:val="center"/>
          </w:tcPr>
          <w:p w14:paraId="53AE27F2">
            <w:pPr>
              <w:pStyle w:val="14"/>
              <w:ind w:firstLine="0"/>
              <w:rPr>
                <w:rFonts w:ascii="宋体"/>
                <w:bCs/>
                <w:color w:val="auto"/>
                <w:sz w:val="24"/>
                <w:szCs w:val="24"/>
                <w:highlight w:val="none"/>
              </w:rPr>
            </w:pPr>
          </w:p>
        </w:tc>
        <w:tc>
          <w:tcPr>
            <w:tcW w:w="2922" w:type="dxa"/>
            <w:noWrap w:val="0"/>
            <w:vAlign w:val="center"/>
          </w:tcPr>
          <w:p w14:paraId="738AACE6">
            <w:pPr>
              <w:pStyle w:val="14"/>
              <w:ind w:firstLine="0"/>
              <w:jc w:val="center"/>
              <w:rPr>
                <w:rFonts w:ascii="宋体"/>
                <w:bCs/>
                <w:color w:val="auto"/>
                <w:sz w:val="24"/>
                <w:szCs w:val="24"/>
                <w:highlight w:val="none"/>
              </w:rPr>
            </w:pPr>
          </w:p>
        </w:tc>
        <w:tc>
          <w:tcPr>
            <w:tcW w:w="1322" w:type="dxa"/>
            <w:noWrap w:val="0"/>
            <w:vAlign w:val="center"/>
          </w:tcPr>
          <w:p w14:paraId="7EC77810">
            <w:pPr>
              <w:pStyle w:val="14"/>
              <w:ind w:firstLine="0"/>
              <w:jc w:val="center"/>
              <w:rPr>
                <w:rFonts w:ascii="宋体"/>
                <w:bCs/>
                <w:color w:val="auto"/>
                <w:sz w:val="24"/>
                <w:szCs w:val="24"/>
                <w:highlight w:val="none"/>
              </w:rPr>
            </w:pPr>
          </w:p>
        </w:tc>
      </w:tr>
      <w:tr w14:paraId="77104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5" w:hRule="atLeast"/>
        </w:trPr>
        <w:tc>
          <w:tcPr>
            <w:tcW w:w="676" w:type="dxa"/>
            <w:noWrap w:val="0"/>
            <w:vAlign w:val="center"/>
          </w:tcPr>
          <w:p w14:paraId="4332D9BA">
            <w:pPr>
              <w:widowControl/>
              <w:jc w:val="center"/>
              <w:rPr>
                <w:rFonts w:hint="default" w:ascii="宋体" w:hAnsi="宋体" w:eastAsia="宋体"/>
                <w:b/>
                <w:bCs/>
                <w:color w:val="auto"/>
                <w:sz w:val="24"/>
                <w:szCs w:val="24"/>
                <w:highlight w:val="none"/>
                <w:lang w:val="en-US" w:eastAsia="zh-CN"/>
              </w:rPr>
            </w:pPr>
            <w:r>
              <w:rPr>
                <w:rFonts w:hint="eastAsia" w:ascii="宋体" w:hAnsi="宋体"/>
                <w:b/>
                <w:bCs/>
                <w:color w:val="auto"/>
                <w:sz w:val="24"/>
                <w:szCs w:val="24"/>
                <w:highlight w:val="none"/>
                <w:lang w:val="en-US" w:eastAsia="zh-CN"/>
              </w:rPr>
              <w:t>6</w:t>
            </w:r>
          </w:p>
        </w:tc>
        <w:tc>
          <w:tcPr>
            <w:tcW w:w="2009" w:type="dxa"/>
            <w:noWrap w:val="0"/>
            <w:vAlign w:val="center"/>
          </w:tcPr>
          <w:p w14:paraId="0A79B54F">
            <w:pPr>
              <w:widowControl/>
              <w:jc w:val="center"/>
              <w:rPr>
                <w:rFonts w:hint="eastAsia" w:ascii="宋体" w:hAnsi="宋体"/>
                <w:b/>
                <w:bCs/>
                <w:color w:val="auto"/>
                <w:sz w:val="24"/>
                <w:szCs w:val="24"/>
                <w:highlight w:val="none"/>
                <w:lang w:val="zh-CN"/>
              </w:rPr>
            </w:pPr>
            <w:r>
              <w:rPr>
                <w:rFonts w:hint="eastAsia" w:ascii="宋体" w:cs="宋体"/>
                <w:color w:val="auto"/>
                <w:kern w:val="0"/>
                <w:sz w:val="24"/>
                <w:szCs w:val="24"/>
                <w:highlight w:val="none"/>
                <w:lang w:val="zh-CN"/>
              </w:rPr>
              <w:t>售后服务</w:t>
            </w:r>
          </w:p>
        </w:tc>
        <w:tc>
          <w:tcPr>
            <w:tcW w:w="1040" w:type="dxa"/>
            <w:noWrap w:val="0"/>
            <w:vAlign w:val="center"/>
          </w:tcPr>
          <w:p w14:paraId="01029127">
            <w:pPr>
              <w:widowControl/>
              <w:jc w:val="center"/>
              <w:rPr>
                <w:rFonts w:hint="eastAsia" w:ascii="宋体" w:hAnsi="宋体" w:eastAsia="宋体"/>
                <w:b/>
                <w:bCs/>
                <w:color w:val="auto"/>
                <w:sz w:val="24"/>
                <w:szCs w:val="24"/>
                <w:highlight w:val="none"/>
                <w:lang w:val="en-US" w:eastAsia="zh-CN"/>
              </w:rPr>
            </w:pPr>
            <w:r>
              <w:rPr>
                <w:rFonts w:hint="eastAsia" w:ascii="宋体" w:hAnsi="宋体"/>
                <w:b/>
                <w:bCs/>
                <w:color w:val="auto"/>
                <w:sz w:val="24"/>
                <w:szCs w:val="24"/>
                <w:highlight w:val="none"/>
                <w:lang w:val="en-US" w:eastAsia="zh-CN"/>
              </w:rPr>
              <w:t>9</w:t>
            </w:r>
          </w:p>
        </w:tc>
        <w:tc>
          <w:tcPr>
            <w:tcW w:w="1189" w:type="dxa"/>
            <w:noWrap w:val="0"/>
            <w:vAlign w:val="center"/>
          </w:tcPr>
          <w:p w14:paraId="49FFBCD0">
            <w:pPr>
              <w:pStyle w:val="14"/>
              <w:ind w:firstLine="0"/>
              <w:rPr>
                <w:rFonts w:ascii="宋体"/>
                <w:bCs/>
                <w:color w:val="auto"/>
                <w:sz w:val="24"/>
                <w:szCs w:val="24"/>
                <w:highlight w:val="none"/>
              </w:rPr>
            </w:pPr>
          </w:p>
        </w:tc>
        <w:tc>
          <w:tcPr>
            <w:tcW w:w="2922" w:type="dxa"/>
            <w:noWrap w:val="0"/>
            <w:vAlign w:val="center"/>
          </w:tcPr>
          <w:p w14:paraId="1D66FA88">
            <w:pPr>
              <w:pStyle w:val="14"/>
              <w:ind w:firstLine="0"/>
              <w:jc w:val="center"/>
              <w:rPr>
                <w:rFonts w:ascii="宋体"/>
                <w:bCs/>
                <w:color w:val="auto"/>
                <w:sz w:val="24"/>
                <w:szCs w:val="24"/>
                <w:highlight w:val="none"/>
              </w:rPr>
            </w:pPr>
          </w:p>
        </w:tc>
        <w:tc>
          <w:tcPr>
            <w:tcW w:w="1322" w:type="dxa"/>
            <w:noWrap w:val="0"/>
            <w:vAlign w:val="center"/>
          </w:tcPr>
          <w:p w14:paraId="62755774">
            <w:pPr>
              <w:pStyle w:val="14"/>
              <w:ind w:firstLine="0"/>
              <w:jc w:val="center"/>
              <w:rPr>
                <w:rFonts w:ascii="宋体"/>
                <w:bCs/>
                <w:color w:val="auto"/>
                <w:sz w:val="24"/>
                <w:szCs w:val="24"/>
                <w:highlight w:val="none"/>
              </w:rPr>
            </w:pPr>
          </w:p>
        </w:tc>
      </w:tr>
      <w:tr w14:paraId="06C4C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trPr>
        <w:tc>
          <w:tcPr>
            <w:tcW w:w="2685" w:type="dxa"/>
            <w:gridSpan w:val="2"/>
            <w:noWrap w:val="0"/>
            <w:vAlign w:val="center"/>
          </w:tcPr>
          <w:p w14:paraId="61616439">
            <w:pPr>
              <w:jc w:val="center"/>
              <w:rPr>
                <w:rFonts w:ascii="宋体"/>
                <w:color w:val="auto"/>
                <w:sz w:val="24"/>
                <w:szCs w:val="24"/>
                <w:highlight w:val="none"/>
              </w:rPr>
            </w:pPr>
            <w:r>
              <w:rPr>
                <w:rFonts w:hint="eastAsia" w:ascii="宋体" w:hAnsi="宋体"/>
                <w:color w:val="auto"/>
                <w:sz w:val="24"/>
                <w:szCs w:val="24"/>
                <w:highlight w:val="none"/>
              </w:rPr>
              <w:t>合计</w:t>
            </w:r>
          </w:p>
        </w:tc>
        <w:tc>
          <w:tcPr>
            <w:tcW w:w="1040" w:type="dxa"/>
            <w:noWrap w:val="0"/>
            <w:vAlign w:val="center"/>
          </w:tcPr>
          <w:p w14:paraId="0EBFA243">
            <w:pPr>
              <w:jc w:val="center"/>
              <w:rPr>
                <w:rFonts w:ascii="宋体" w:hAnsi="宋体"/>
                <w:color w:val="auto"/>
                <w:sz w:val="24"/>
                <w:szCs w:val="24"/>
                <w:highlight w:val="none"/>
              </w:rPr>
            </w:pPr>
          </w:p>
        </w:tc>
        <w:tc>
          <w:tcPr>
            <w:tcW w:w="1189" w:type="dxa"/>
            <w:noWrap w:val="0"/>
            <w:vAlign w:val="center"/>
          </w:tcPr>
          <w:p w14:paraId="40CB2C01">
            <w:pPr>
              <w:snapToGrid w:val="0"/>
              <w:jc w:val="left"/>
              <w:rPr>
                <w:rFonts w:ascii="宋体"/>
                <w:bCs/>
                <w:color w:val="auto"/>
                <w:sz w:val="24"/>
                <w:szCs w:val="24"/>
                <w:highlight w:val="none"/>
                <w:lang w:val="zh-CN"/>
              </w:rPr>
            </w:pPr>
          </w:p>
        </w:tc>
        <w:tc>
          <w:tcPr>
            <w:tcW w:w="2922" w:type="dxa"/>
            <w:tcBorders>
              <w:top w:val="nil"/>
              <w:left w:val="nil"/>
              <w:bottom w:val="single" w:color="auto" w:sz="4" w:space="0"/>
              <w:right w:val="single" w:color="auto" w:sz="4" w:space="0"/>
            </w:tcBorders>
            <w:noWrap w:val="0"/>
            <w:vAlign w:val="center"/>
          </w:tcPr>
          <w:p w14:paraId="54614F48">
            <w:pPr>
              <w:snapToGrid w:val="0"/>
              <w:jc w:val="center"/>
              <w:rPr>
                <w:rFonts w:ascii="宋体"/>
                <w:bCs/>
                <w:color w:val="auto"/>
                <w:sz w:val="24"/>
                <w:szCs w:val="24"/>
                <w:highlight w:val="none"/>
                <w:lang w:val="zh-CN"/>
              </w:rPr>
            </w:pPr>
          </w:p>
        </w:tc>
        <w:tc>
          <w:tcPr>
            <w:tcW w:w="1322" w:type="dxa"/>
            <w:tcBorders>
              <w:top w:val="nil"/>
              <w:left w:val="nil"/>
              <w:bottom w:val="single" w:color="auto" w:sz="4" w:space="0"/>
              <w:right w:val="single" w:color="auto" w:sz="4" w:space="0"/>
            </w:tcBorders>
            <w:noWrap w:val="0"/>
            <w:vAlign w:val="center"/>
          </w:tcPr>
          <w:p w14:paraId="32BFB289">
            <w:pPr>
              <w:snapToGrid w:val="0"/>
              <w:jc w:val="center"/>
              <w:rPr>
                <w:rFonts w:ascii="宋体"/>
                <w:bCs/>
                <w:color w:val="auto"/>
                <w:sz w:val="24"/>
                <w:szCs w:val="24"/>
                <w:highlight w:val="none"/>
                <w:lang w:val="zh-CN"/>
              </w:rPr>
            </w:pPr>
          </w:p>
        </w:tc>
      </w:tr>
    </w:tbl>
    <w:p w14:paraId="607F341A">
      <w:pPr>
        <w:jc w:val="center"/>
        <w:rPr>
          <w:rFonts w:hint="eastAsia" w:ascii="宋体" w:hAnsi="宋体" w:eastAsia="宋体" w:cs="宋体"/>
          <w:b/>
          <w:color w:val="auto"/>
          <w:sz w:val="30"/>
          <w:szCs w:val="30"/>
          <w:highlight w:val="none"/>
          <w:shd w:val="clear" w:color="auto" w:fill="auto"/>
        </w:rPr>
      </w:pPr>
      <w:r>
        <w:rPr>
          <w:rFonts w:hint="eastAsia" w:ascii="宋体" w:hAnsi="宋体" w:eastAsia="宋体" w:cs="宋体"/>
          <w:b/>
          <w:color w:val="auto"/>
          <w:sz w:val="30"/>
          <w:szCs w:val="30"/>
          <w:highlight w:val="none"/>
          <w:shd w:val="clear" w:color="auto" w:fill="auto"/>
        </w:rPr>
        <w:br w:type="page"/>
      </w:r>
    </w:p>
    <w:p w14:paraId="33836B4C">
      <w:pPr>
        <w:adjustRightInd w:val="0"/>
        <w:spacing w:line="240" w:lineRule="atLeast"/>
        <w:jc w:val="center"/>
        <w:outlineLvl w:val="0"/>
        <w:rPr>
          <w:rFonts w:hint="eastAsia" w:ascii="宋体" w:hAnsi="宋体" w:eastAsia="宋体" w:cs="宋体"/>
          <w:b/>
          <w:color w:val="auto"/>
          <w:sz w:val="30"/>
          <w:szCs w:val="30"/>
          <w:highlight w:val="none"/>
          <w:shd w:val="clear" w:color="auto" w:fill="auto"/>
        </w:rPr>
      </w:pPr>
      <w:bookmarkStart w:id="43" w:name="_Toc12005"/>
      <w:r>
        <w:rPr>
          <w:rFonts w:hint="eastAsia" w:ascii="宋体" w:hAnsi="宋体" w:eastAsia="宋体" w:cs="宋体"/>
          <w:b/>
          <w:color w:val="auto"/>
          <w:sz w:val="30"/>
          <w:szCs w:val="30"/>
          <w:highlight w:val="none"/>
          <w:shd w:val="clear" w:color="auto" w:fill="auto"/>
        </w:rPr>
        <w:t>第五章  合同主要条款</w:t>
      </w:r>
      <w:bookmarkEnd w:id="43"/>
    </w:p>
    <w:p w14:paraId="3A26CF30">
      <w:pPr>
        <w:keepNext w:val="0"/>
        <w:keepLines w:val="0"/>
        <w:pageBreakBefore w:val="0"/>
        <w:widowControl w:val="0"/>
        <w:kinsoku/>
        <w:wordWrap/>
        <w:overflowPunct/>
        <w:topLinePunct w:val="0"/>
        <w:bidi w:val="0"/>
        <w:spacing w:line="420" w:lineRule="exact"/>
        <w:ind w:left="0" w:leftChars="0"/>
        <w:textAlignment w:val="auto"/>
        <w:rPr>
          <w:rFonts w:hint="eastAsia" w:ascii="宋体" w:hAnsi="宋体" w:cs="宋体"/>
          <w:color w:val="auto"/>
          <w:sz w:val="24"/>
          <w:szCs w:val="24"/>
          <w:highlight w:val="none"/>
        </w:rPr>
      </w:pPr>
      <w:bookmarkStart w:id="44" w:name="_Toc466534751"/>
      <w:r>
        <w:rPr>
          <w:rFonts w:hint="eastAsia" w:ascii="宋体" w:hAnsi="宋体" w:cs="宋体"/>
          <w:color w:val="auto"/>
          <w:sz w:val="24"/>
          <w:szCs w:val="24"/>
          <w:highlight w:val="none"/>
        </w:rPr>
        <w:t>项目名称：                           　  　项目编号：</w:t>
      </w:r>
    </w:p>
    <w:p w14:paraId="5BF57E60">
      <w:pPr>
        <w:pStyle w:val="29"/>
        <w:keepNext w:val="0"/>
        <w:keepLines w:val="0"/>
        <w:pageBreakBefore w:val="0"/>
        <w:widowControl w:val="0"/>
        <w:kinsoku/>
        <w:wordWrap/>
        <w:overflowPunct/>
        <w:topLinePunct w:val="0"/>
        <w:bidi w:val="0"/>
        <w:snapToGrid w:val="0"/>
        <w:spacing w:beforeLines="0" w:afterLines="0" w:line="420" w:lineRule="exact"/>
        <w:ind w:left="0" w:leftChars="0"/>
        <w:textAlignment w:val="auto"/>
        <w:rPr>
          <w:rFonts w:hint="eastAsia" w:cs="Arial"/>
          <w:color w:val="auto"/>
          <w:sz w:val="24"/>
          <w:szCs w:val="24"/>
          <w:highlight w:val="none"/>
          <w:lang w:eastAsia="zh-CN"/>
        </w:rPr>
      </w:pPr>
      <w:r>
        <w:rPr>
          <w:rFonts w:hint="eastAsia" w:hAnsi="宋体" w:cs="宋体"/>
          <w:color w:val="auto"/>
          <w:sz w:val="24"/>
          <w:szCs w:val="24"/>
          <w:highlight w:val="none"/>
          <w:lang w:val="en-US" w:eastAsia="zh-CN"/>
        </w:rPr>
        <w:t>建设单位</w:t>
      </w:r>
      <w:r>
        <w:rPr>
          <w:rFonts w:hint="eastAsia" w:hAnsi="宋体" w:cs="宋体"/>
          <w:color w:val="auto"/>
          <w:sz w:val="24"/>
          <w:szCs w:val="24"/>
          <w:highlight w:val="none"/>
        </w:rPr>
        <w:t>：</w:t>
      </w:r>
      <w:r>
        <w:rPr>
          <w:rFonts w:hint="eastAsia" w:cs="Arial"/>
          <w:color w:val="auto"/>
          <w:sz w:val="24"/>
          <w:szCs w:val="24"/>
          <w:highlight w:val="none"/>
          <w:lang w:eastAsia="zh-CN"/>
        </w:rPr>
        <w:t>台州综合保税区投资发展有限公司</w:t>
      </w:r>
    </w:p>
    <w:p w14:paraId="5D101AE2">
      <w:pPr>
        <w:pStyle w:val="29"/>
        <w:keepNext w:val="0"/>
        <w:keepLines w:val="0"/>
        <w:pageBreakBefore w:val="0"/>
        <w:widowControl w:val="0"/>
        <w:kinsoku/>
        <w:wordWrap/>
        <w:overflowPunct/>
        <w:topLinePunct w:val="0"/>
        <w:bidi w:val="0"/>
        <w:snapToGrid w:val="0"/>
        <w:spacing w:beforeLines="0" w:afterLines="0" w:line="420" w:lineRule="exact"/>
        <w:ind w:left="0" w:leftChars="0"/>
        <w:textAlignment w:val="auto"/>
        <w:rPr>
          <w:rFonts w:hint="eastAsia" w:hAnsi="宋体" w:cs="宋体"/>
          <w:color w:val="auto"/>
          <w:sz w:val="24"/>
          <w:szCs w:val="24"/>
          <w:highlight w:val="none"/>
        </w:rPr>
      </w:pPr>
      <w:r>
        <w:rPr>
          <w:rFonts w:hint="eastAsia" w:cs="Arial"/>
          <w:color w:val="auto"/>
          <w:sz w:val="24"/>
          <w:szCs w:val="24"/>
          <w:highlight w:val="none"/>
          <w:lang w:val="en-US" w:eastAsia="zh-CN"/>
        </w:rPr>
        <w:t>施工总承包单位：临海大诚建设工程有限公司</w:t>
      </w:r>
      <w:r>
        <w:rPr>
          <w:rFonts w:hint="eastAsia" w:hAnsi="宋体" w:cs="宋体"/>
          <w:color w:val="auto"/>
          <w:sz w:val="24"/>
          <w:szCs w:val="24"/>
          <w:highlight w:val="none"/>
        </w:rPr>
        <w:t>　　　　　　　　　　　　　　</w:t>
      </w:r>
    </w:p>
    <w:p w14:paraId="747FEFEE">
      <w:pPr>
        <w:pStyle w:val="29"/>
        <w:keepNext w:val="0"/>
        <w:keepLines w:val="0"/>
        <w:pageBreakBefore w:val="0"/>
        <w:widowControl w:val="0"/>
        <w:kinsoku/>
        <w:wordWrap/>
        <w:overflowPunct/>
        <w:topLinePunct w:val="0"/>
        <w:bidi w:val="0"/>
        <w:snapToGrid w:val="0"/>
        <w:spacing w:beforeLines="0" w:afterLines="0" w:line="420" w:lineRule="exact"/>
        <w:ind w:left="0" w:leftChars="0"/>
        <w:textAlignment w:val="auto"/>
        <w:rPr>
          <w:rFonts w:hint="eastAsia" w:hAnsi="宋体" w:cs="宋体"/>
          <w:color w:val="auto"/>
          <w:sz w:val="24"/>
          <w:szCs w:val="24"/>
          <w:highlight w:val="none"/>
        </w:rPr>
      </w:pPr>
      <w:r>
        <w:rPr>
          <w:rFonts w:hint="eastAsia" w:hAnsi="宋体" w:cs="宋体"/>
          <w:color w:val="auto"/>
          <w:sz w:val="24"/>
          <w:szCs w:val="24"/>
          <w:highlight w:val="none"/>
        </w:rPr>
        <w:t>乙方：</w:t>
      </w:r>
    </w:p>
    <w:p w14:paraId="1D5DFAC5">
      <w:pPr>
        <w:pStyle w:val="29"/>
        <w:keepNext w:val="0"/>
        <w:keepLines w:val="0"/>
        <w:pageBreakBefore w:val="0"/>
        <w:widowControl w:val="0"/>
        <w:kinsoku/>
        <w:wordWrap/>
        <w:overflowPunct/>
        <w:topLinePunct w:val="0"/>
        <w:bidi w:val="0"/>
        <w:snapToGrid w:val="0"/>
        <w:spacing w:beforeLines="0" w:afterLines="0" w:line="420" w:lineRule="exact"/>
        <w:ind w:left="0" w:leftChars="0" w:firstLine="480" w:firstLineChars="200"/>
        <w:jc w:val="left"/>
        <w:textAlignment w:val="auto"/>
        <w:rPr>
          <w:rFonts w:hint="eastAsia" w:hAnsi="宋体" w:cs="宋体"/>
          <w:b/>
          <w:color w:val="auto"/>
          <w:sz w:val="24"/>
          <w:szCs w:val="24"/>
          <w:highlight w:val="none"/>
        </w:rPr>
      </w:pPr>
      <w:r>
        <w:rPr>
          <w:rFonts w:hint="eastAsia" w:hAnsi="宋体" w:cs="宋体"/>
          <w:color w:val="auto"/>
          <w:sz w:val="24"/>
          <w:szCs w:val="24"/>
          <w:highlight w:val="none"/>
        </w:rPr>
        <w:t>甲、乙</w:t>
      </w:r>
      <w:r>
        <w:rPr>
          <w:rFonts w:hint="eastAsia" w:hAnsi="宋体" w:cs="宋体"/>
          <w:color w:val="auto"/>
          <w:sz w:val="24"/>
          <w:szCs w:val="24"/>
          <w:highlight w:val="none"/>
          <w:lang w:val="en-US" w:eastAsia="zh-CN"/>
        </w:rPr>
        <w:t>各方</w:t>
      </w:r>
      <w:r>
        <w:rPr>
          <w:rFonts w:hint="eastAsia" w:hAnsi="宋体" w:cs="宋体"/>
          <w:color w:val="auto"/>
          <w:sz w:val="24"/>
          <w:szCs w:val="24"/>
          <w:highlight w:val="none"/>
        </w:rPr>
        <w:t>根据《中华人民共和国民法典》和</w:t>
      </w:r>
      <w:r>
        <w:rPr>
          <w:rFonts w:hint="eastAsia" w:hAnsi="宋体" w:cs="宋体"/>
          <w:color w:val="auto"/>
          <w:sz w:val="24"/>
          <w:szCs w:val="24"/>
          <w:highlight w:val="none"/>
          <w:u w:val="single"/>
        </w:rPr>
        <w:t xml:space="preserve"> </w:t>
      </w:r>
      <w:r>
        <w:rPr>
          <w:rFonts w:hint="eastAsia" w:hAnsi="宋体" w:cs="宋体"/>
          <w:color w:val="auto"/>
          <w:sz w:val="24"/>
          <w:szCs w:val="24"/>
          <w:highlight w:val="none"/>
          <w:u w:val="single"/>
          <w:lang w:eastAsia="zh-CN"/>
        </w:rPr>
        <w:t>台州综合保税区2020-4地块建设工程(区块一、区块三)-提升机采购</w:t>
      </w:r>
      <w:r>
        <w:rPr>
          <w:rFonts w:hint="eastAsia" w:hAnsi="宋体" w:cs="宋体"/>
          <w:color w:val="auto"/>
          <w:sz w:val="24"/>
          <w:szCs w:val="24"/>
          <w:highlight w:val="none"/>
        </w:rPr>
        <w:t>招标文件的相关规定，</w:t>
      </w:r>
      <w:r>
        <w:rPr>
          <w:rFonts w:hint="eastAsia" w:hAnsi="宋体" w:cs="宋体"/>
          <w:color w:val="auto"/>
          <w:sz w:val="24"/>
          <w:szCs w:val="24"/>
          <w:highlight w:val="none"/>
          <w:lang w:val="en-US" w:eastAsia="zh-CN"/>
        </w:rPr>
        <w:t>各</w:t>
      </w:r>
      <w:r>
        <w:rPr>
          <w:rFonts w:hint="eastAsia" w:hAnsi="宋体" w:cs="宋体"/>
          <w:color w:val="auto"/>
          <w:sz w:val="24"/>
          <w:szCs w:val="24"/>
          <w:highlight w:val="none"/>
        </w:rPr>
        <w:t>方达成一致签署本合同。</w:t>
      </w:r>
    </w:p>
    <w:p w14:paraId="77B0F7B4">
      <w:pPr>
        <w:pStyle w:val="29"/>
        <w:keepNext w:val="0"/>
        <w:keepLines w:val="0"/>
        <w:pageBreakBefore w:val="0"/>
        <w:widowControl w:val="0"/>
        <w:kinsoku/>
        <w:wordWrap/>
        <w:overflowPunct/>
        <w:topLinePunct w:val="0"/>
        <w:bidi w:val="0"/>
        <w:snapToGrid w:val="0"/>
        <w:spacing w:beforeLines="0" w:afterLines="0" w:line="420" w:lineRule="exact"/>
        <w:ind w:left="0" w:leftChars="0"/>
        <w:textAlignment w:val="auto"/>
        <w:rPr>
          <w:rFonts w:hint="eastAsia" w:ascii="宋体" w:hAnsi="宋体" w:eastAsia="宋体" w:cs="宋体"/>
          <w:b/>
          <w:color w:val="auto"/>
          <w:sz w:val="24"/>
          <w:szCs w:val="24"/>
          <w:highlight w:val="none"/>
        </w:rPr>
      </w:pPr>
      <w:bookmarkStart w:id="45" w:name="_Toc60218368"/>
      <w:r>
        <w:rPr>
          <w:rFonts w:hint="eastAsia" w:ascii="宋体" w:hAnsi="宋体" w:eastAsia="宋体" w:cs="宋体"/>
          <w:b/>
          <w:color w:val="auto"/>
          <w:sz w:val="24"/>
          <w:szCs w:val="24"/>
          <w:highlight w:val="none"/>
        </w:rPr>
        <w:t>一、货物内容</w:t>
      </w:r>
    </w:p>
    <w:p w14:paraId="637BAD67">
      <w:pPr>
        <w:pStyle w:val="29"/>
        <w:keepNext w:val="0"/>
        <w:keepLines w:val="0"/>
        <w:pageBreakBefore w:val="0"/>
        <w:widowControl w:val="0"/>
        <w:kinsoku/>
        <w:wordWrap/>
        <w:overflowPunct/>
        <w:topLinePunct w:val="0"/>
        <w:bidi w:val="0"/>
        <w:snapToGrid w:val="0"/>
        <w:spacing w:beforeLines="0" w:afterLines="0" w:line="420" w:lineRule="exact"/>
        <w:ind w:left="0" w:leftChars="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详见附件</w:t>
      </w:r>
    </w:p>
    <w:p w14:paraId="0D9FD914">
      <w:pPr>
        <w:pStyle w:val="29"/>
        <w:keepNext w:val="0"/>
        <w:keepLines w:val="0"/>
        <w:pageBreakBefore w:val="0"/>
        <w:widowControl w:val="0"/>
        <w:kinsoku/>
        <w:wordWrap/>
        <w:overflowPunct/>
        <w:topLinePunct w:val="0"/>
        <w:bidi w:val="0"/>
        <w:snapToGrid w:val="0"/>
        <w:spacing w:beforeLines="0" w:afterLines="0" w:line="420" w:lineRule="exact"/>
        <w:ind w:left="0" w:leftChars="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二、合同金额</w:t>
      </w:r>
    </w:p>
    <w:p w14:paraId="543C248A">
      <w:pPr>
        <w:pStyle w:val="29"/>
        <w:keepNext w:val="0"/>
        <w:keepLines w:val="0"/>
        <w:pageBreakBefore w:val="0"/>
        <w:widowControl w:val="0"/>
        <w:kinsoku/>
        <w:wordWrap/>
        <w:overflowPunct/>
        <w:topLinePunct w:val="0"/>
        <w:bidi w:val="0"/>
        <w:snapToGrid w:val="0"/>
        <w:spacing w:beforeLines="0" w:afterLines="0" w:line="420" w:lineRule="exact"/>
        <w:ind w:left="0" w:leftChars="0" w:firstLine="482" w:firstLineChars="200"/>
        <w:textAlignment w:val="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本合同金额为（大写）：_____元（￥_____元）人民币。</w:t>
      </w:r>
      <w:r>
        <w:rPr>
          <w:rFonts w:hint="eastAsia" w:ascii="宋体" w:hAnsi="宋体" w:eastAsia="宋体" w:cs="宋体"/>
          <w:b/>
          <w:color w:val="auto"/>
          <w:sz w:val="24"/>
          <w:szCs w:val="24"/>
          <w:highlight w:val="none"/>
          <w:u w:val="single"/>
          <w:lang w:val="en-US" w:eastAsia="zh-CN"/>
        </w:rPr>
        <w:t>其中不含税金额    元,增值税税率13%,税额     元。</w:t>
      </w:r>
    </w:p>
    <w:p w14:paraId="3CAB7E2B">
      <w:pPr>
        <w:pStyle w:val="29"/>
        <w:keepNext w:val="0"/>
        <w:keepLines w:val="0"/>
        <w:pageBreakBefore w:val="0"/>
        <w:widowControl w:val="0"/>
        <w:kinsoku/>
        <w:wordWrap/>
        <w:overflowPunct/>
        <w:topLinePunct w:val="0"/>
        <w:bidi w:val="0"/>
        <w:snapToGrid w:val="0"/>
        <w:spacing w:beforeLines="0" w:afterLines="0" w:line="420" w:lineRule="exact"/>
        <w:ind w:left="0" w:leftChars="0" w:firstLine="482" w:firstLineChars="200"/>
        <w:textAlignment w:val="auto"/>
        <w:rPr>
          <w:rFonts w:hint="eastAsia" w:ascii="宋体" w:hAnsi="宋体" w:eastAsia="宋体" w:cs="宋体"/>
          <w:b/>
          <w:color w:val="auto"/>
          <w:sz w:val="24"/>
          <w:szCs w:val="24"/>
          <w:highlight w:val="none"/>
          <w:u w:val="single"/>
          <w:lang w:eastAsia="zh-CN"/>
        </w:rPr>
      </w:pPr>
      <w:r>
        <w:rPr>
          <w:rFonts w:hint="eastAsia" w:ascii="宋体" w:hAnsi="宋体" w:eastAsia="宋体" w:cs="宋体"/>
          <w:b/>
          <w:color w:val="auto"/>
          <w:sz w:val="24"/>
          <w:szCs w:val="24"/>
          <w:highlight w:val="none"/>
          <w:u w:val="single"/>
          <w:lang w:eastAsia="zh-CN"/>
        </w:rPr>
        <w:t>本合同</w:t>
      </w:r>
      <w:r>
        <w:rPr>
          <w:rFonts w:hint="eastAsia" w:ascii="宋体" w:hAnsi="宋体" w:eastAsia="宋体" w:cs="宋体"/>
          <w:b/>
          <w:color w:val="auto"/>
          <w:sz w:val="24"/>
          <w:szCs w:val="24"/>
          <w:highlight w:val="none"/>
          <w:u w:val="single"/>
          <w:lang w:val="en-US" w:eastAsia="zh-CN"/>
        </w:rPr>
        <w:t>价</w:t>
      </w:r>
      <w:r>
        <w:rPr>
          <w:rFonts w:hint="eastAsia" w:ascii="宋体" w:hAnsi="宋体" w:eastAsia="宋体" w:cs="宋体"/>
          <w:b/>
          <w:color w:val="auto"/>
          <w:sz w:val="24"/>
          <w:szCs w:val="24"/>
          <w:highlight w:val="none"/>
          <w:u w:val="single"/>
          <w:lang w:eastAsia="zh-CN"/>
        </w:rPr>
        <w:t>包括货款、标准附件、备品备件、专用工具、包装、运输、装卸、保险、税金、货到就位以及安装、调试、保修</w:t>
      </w:r>
      <w:r>
        <w:rPr>
          <w:rFonts w:hint="eastAsia" w:hAnsi="宋体" w:cs="宋体"/>
          <w:b/>
          <w:color w:val="auto"/>
          <w:sz w:val="24"/>
          <w:szCs w:val="24"/>
          <w:highlight w:val="none"/>
          <w:u w:val="single"/>
          <w:lang w:val="en-US" w:eastAsia="zh-CN"/>
        </w:rPr>
        <w:t>、定期检验</w:t>
      </w:r>
      <w:r>
        <w:rPr>
          <w:rFonts w:hint="eastAsia" w:ascii="宋体" w:hAnsi="宋体" w:eastAsia="宋体" w:cs="宋体"/>
          <w:b/>
          <w:color w:val="auto"/>
          <w:sz w:val="24"/>
          <w:szCs w:val="24"/>
          <w:highlight w:val="none"/>
          <w:u w:val="single"/>
          <w:lang w:eastAsia="zh-CN"/>
        </w:rPr>
        <w:t>等一切税金和费用。</w:t>
      </w:r>
    </w:p>
    <w:p w14:paraId="7D90937E">
      <w:pPr>
        <w:pStyle w:val="29"/>
        <w:keepNext w:val="0"/>
        <w:keepLines w:val="0"/>
        <w:pageBreakBefore w:val="0"/>
        <w:widowControl w:val="0"/>
        <w:kinsoku/>
        <w:wordWrap/>
        <w:overflowPunct/>
        <w:topLinePunct w:val="0"/>
        <w:bidi w:val="0"/>
        <w:snapToGrid w:val="0"/>
        <w:spacing w:beforeLines="0" w:afterLines="0" w:line="420" w:lineRule="exact"/>
        <w:ind w:left="0" w:leftChars="0"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乙方对设备须提供足够的备件、附件和易损件并保证是原厂生产的产品，以满足设备正常运行的需要。</w:t>
      </w:r>
    </w:p>
    <w:p w14:paraId="394A73BD">
      <w:pPr>
        <w:pStyle w:val="29"/>
        <w:keepNext w:val="0"/>
        <w:keepLines w:val="0"/>
        <w:pageBreakBefore w:val="0"/>
        <w:widowControl w:val="0"/>
        <w:kinsoku/>
        <w:wordWrap/>
        <w:overflowPunct/>
        <w:topLinePunct w:val="0"/>
        <w:bidi w:val="0"/>
        <w:snapToGrid w:val="0"/>
        <w:spacing w:beforeLines="0" w:afterLines="0" w:line="420" w:lineRule="exact"/>
        <w:ind w:left="0" w:leftChars="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三、技术资料</w:t>
      </w:r>
    </w:p>
    <w:p w14:paraId="2D1DCBAD">
      <w:pPr>
        <w:pStyle w:val="29"/>
        <w:keepNext w:val="0"/>
        <w:keepLines w:val="0"/>
        <w:pageBreakBefore w:val="0"/>
        <w:widowControl w:val="0"/>
        <w:kinsoku/>
        <w:wordWrap/>
        <w:overflowPunct/>
        <w:topLinePunct w:val="0"/>
        <w:bidi w:val="0"/>
        <w:snapToGrid w:val="0"/>
        <w:spacing w:beforeLines="0" w:afterLines="0" w:line="420" w:lineRule="exact"/>
        <w:ind w:left="0" w:leftChars="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1.乙方应</w:t>
      </w:r>
      <w:r>
        <w:rPr>
          <w:rFonts w:hint="eastAsia" w:ascii="宋体" w:hAnsi="宋体" w:eastAsia="宋体" w:cs="宋体"/>
          <w:b/>
          <w:bCs/>
          <w:color w:val="auto"/>
          <w:sz w:val="24"/>
          <w:szCs w:val="24"/>
          <w:highlight w:val="none"/>
          <w:lang w:val="en-US" w:eastAsia="zh-CN"/>
        </w:rPr>
        <w:t>在项目验收前</w:t>
      </w:r>
      <w:r>
        <w:rPr>
          <w:rFonts w:hint="eastAsia" w:ascii="宋体" w:hAnsi="宋体" w:eastAsia="宋体" w:cs="宋体"/>
          <w:b/>
          <w:bCs/>
          <w:color w:val="auto"/>
          <w:sz w:val="24"/>
          <w:szCs w:val="24"/>
          <w:highlight w:val="none"/>
        </w:rPr>
        <w:t>向甲方提供使用货物的有关技术资料。</w:t>
      </w:r>
    </w:p>
    <w:p w14:paraId="052DF92C">
      <w:pPr>
        <w:pStyle w:val="29"/>
        <w:keepNext w:val="0"/>
        <w:keepLines w:val="0"/>
        <w:pageBreakBefore w:val="0"/>
        <w:widowControl w:val="0"/>
        <w:kinsoku/>
        <w:wordWrap/>
        <w:overflowPunct/>
        <w:topLinePunct w:val="0"/>
        <w:bidi w:val="0"/>
        <w:snapToGrid w:val="0"/>
        <w:spacing w:beforeLines="0" w:afterLines="0" w:line="42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5A5775C7">
      <w:pPr>
        <w:pStyle w:val="29"/>
        <w:keepNext w:val="0"/>
        <w:keepLines w:val="0"/>
        <w:pageBreakBefore w:val="0"/>
        <w:widowControl w:val="0"/>
        <w:kinsoku/>
        <w:wordWrap/>
        <w:overflowPunct/>
        <w:topLinePunct w:val="0"/>
        <w:bidi w:val="0"/>
        <w:snapToGrid w:val="0"/>
        <w:spacing w:beforeLines="0" w:afterLines="0" w:line="420" w:lineRule="exact"/>
        <w:ind w:left="412" w:leftChars="0" w:hanging="412" w:hangingChars="171"/>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四、知识产权</w:t>
      </w:r>
    </w:p>
    <w:p w14:paraId="100645DD">
      <w:pPr>
        <w:pStyle w:val="29"/>
        <w:keepNext w:val="0"/>
        <w:keepLines w:val="0"/>
        <w:pageBreakBefore w:val="0"/>
        <w:widowControl w:val="0"/>
        <w:kinsoku/>
        <w:wordWrap/>
        <w:overflowPunct/>
        <w:topLinePunct w:val="0"/>
        <w:bidi w:val="0"/>
        <w:snapToGrid w:val="0"/>
        <w:spacing w:beforeLines="0" w:afterLines="0" w:line="420" w:lineRule="exact"/>
        <w:ind w:left="0"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乙方应保证所提供的货物或其任何一部分均不会侵犯任何第三方的知识产权</w:t>
      </w:r>
      <w:r>
        <w:rPr>
          <w:rFonts w:hint="eastAsia" w:ascii="宋体" w:hAnsi="宋体" w:eastAsia="宋体" w:cs="宋体"/>
          <w:bCs/>
          <w:color w:val="auto"/>
          <w:sz w:val="24"/>
          <w:szCs w:val="24"/>
          <w:highlight w:val="none"/>
        </w:rPr>
        <w:t>。</w:t>
      </w:r>
    </w:p>
    <w:p w14:paraId="0314ABE8">
      <w:pPr>
        <w:pStyle w:val="29"/>
        <w:keepNext w:val="0"/>
        <w:keepLines w:val="0"/>
        <w:pageBreakBefore w:val="0"/>
        <w:widowControl w:val="0"/>
        <w:kinsoku/>
        <w:wordWrap/>
        <w:overflowPunct/>
        <w:topLinePunct w:val="0"/>
        <w:bidi w:val="0"/>
        <w:snapToGrid w:val="0"/>
        <w:spacing w:beforeLines="0" w:afterLines="0" w:line="420" w:lineRule="exact"/>
        <w:ind w:left="0" w:leftChars="0"/>
        <w:textAlignment w:val="auto"/>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五、产权担保</w:t>
      </w:r>
    </w:p>
    <w:p w14:paraId="718650B1">
      <w:pPr>
        <w:pStyle w:val="29"/>
        <w:keepNext w:val="0"/>
        <w:keepLines w:val="0"/>
        <w:pageBreakBefore w:val="0"/>
        <w:widowControl w:val="0"/>
        <w:kinsoku/>
        <w:wordWrap/>
        <w:overflowPunct/>
        <w:topLinePunct w:val="0"/>
        <w:bidi w:val="0"/>
        <w:snapToGrid w:val="0"/>
        <w:spacing w:beforeLines="0" w:afterLines="0" w:line="420" w:lineRule="exact"/>
        <w:ind w:left="0" w:leftChars="0"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乙方保证所交付的货物的所有权完全属于乙方且无任何抵押、查封等产权瑕疵。</w:t>
      </w:r>
    </w:p>
    <w:p w14:paraId="01942B1E">
      <w:pPr>
        <w:pStyle w:val="29"/>
        <w:keepNext w:val="0"/>
        <w:keepLines w:val="0"/>
        <w:pageBreakBefore w:val="0"/>
        <w:widowControl w:val="0"/>
        <w:kinsoku/>
        <w:wordWrap/>
        <w:overflowPunct/>
        <w:topLinePunct w:val="0"/>
        <w:bidi w:val="0"/>
        <w:snapToGrid w:val="0"/>
        <w:spacing w:beforeLines="0" w:afterLines="0" w:line="420" w:lineRule="exact"/>
        <w:ind w:left="410" w:leftChars="0" w:hanging="410" w:hangingChars="17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六、履约保证金</w:t>
      </w:r>
    </w:p>
    <w:p w14:paraId="75DC09DC">
      <w:pPr>
        <w:keepNext w:val="0"/>
        <w:keepLines w:val="0"/>
        <w:pageBreakBefore w:val="0"/>
        <w:widowControl w:val="0"/>
        <w:kinsoku/>
        <w:wordWrap/>
        <w:overflowPunct/>
        <w:topLinePunct w:val="0"/>
        <w:bidi w:val="0"/>
        <w:snapToGrid w:val="0"/>
        <w:spacing w:line="420" w:lineRule="exact"/>
        <w:ind w:left="0" w:leftChars="0" w:firstLine="480" w:firstLineChars="200"/>
        <w:textAlignment w:val="auto"/>
        <w:rPr>
          <w:rFonts w:hint="eastAsia" w:ascii="宋体" w:hAnsi="宋体" w:eastAsia="宋体"/>
          <w:b/>
          <w:bCs/>
          <w:color w:val="auto"/>
          <w:sz w:val="24"/>
          <w:szCs w:val="24"/>
          <w:highlight w:val="none"/>
          <w:lang w:val="en-US" w:eastAsia="zh-CN"/>
        </w:rPr>
      </w:pPr>
      <w:r>
        <w:rPr>
          <w:rFonts w:hint="eastAsia" w:ascii="宋体" w:hAnsi="宋体"/>
          <w:color w:val="auto"/>
          <w:sz w:val="24"/>
          <w:szCs w:val="24"/>
          <w:highlight w:val="none"/>
        </w:rPr>
        <w:t>乙方交纳中标价的</w:t>
      </w:r>
      <w:r>
        <w:rPr>
          <w:rFonts w:hint="eastAsia" w:ascii="宋体" w:hAnsi="宋体"/>
          <w:b/>
          <w:color w:val="auto"/>
          <w:sz w:val="24"/>
          <w:szCs w:val="24"/>
          <w:highlight w:val="none"/>
          <w:u w:val="single"/>
          <w:lang w:val="en-US" w:eastAsia="zh-CN"/>
        </w:rPr>
        <w:t>1%</w:t>
      </w:r>
      <w:r>
        <w:rPr>
          <w:rFonts w:hint="eastAsia" w:ascii="宋体" w:hAnsi="宋体"/>
          <w:color w:val="auto"/>
          <w:sz w:val="24"/>
          <w:szCs w:val="24"/>
          <w:highlight w:val="none"/>
        </w:rPr>
        <w:t>作为本合同的履约保证金</w:t>
      </w:r>
      <w:r>
        <w:rPr>
          <w:rFonts w:hint="eastAsia" w:ascii="宋体" w:hAnsi="宋体"/>
          <w:b/>
          <w:bCs/>
          <w:color w:val="auto"/>
          <w:sz w:val="24"/>
          <w:szCs w:val="24"/>
          <w:highlight w:val="none"/>
          <w:lang w:val="en-US" w:eastAsia="zh-CN"/>
        </w:rPr>
        <w:t>。</w:t>
      </w:r>
    </w:p>
    <w:p w14:paraId="26BFA840">
      <w:pPr>
        <w:keepNext w:val="0"/>
        <w:keepLines w:val="0"/>
        <w:pageBreakBefore w:val="0"/>
        <w:widowControl w:val="0"/>
        <w:kinsoku/>
        <w:wordWrap/>
        <w:overflowPunct/>
        <w:topLinePunct w:val="0"/>
        <w:bidi w:val="0"/>
        <w:spacing w:line="420" w:lineRule="exact"/>
        <w:ind w:left="0" w:leftChars="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七、转包或分包</w:t>
      </w:r>
    </w:p>
    <w:p w14:paraId="0E84B893">
      <w:pPr>
        <w:keepNext w:val="0"/>
        <w:keepLines w:val="0"/>
        <w:pageBreakBefore w:val="0"/>
        <w:widowControl w:val="0"/>
        <w:kinsoku/>
        <w:wordWrap/>
        <w:overflowPunct/>
        <w:topLinePunct w:val="0"/>
        <w:bidi w:val="0"/>
        <w:spacing w:line="42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1.本合同范围的货物，应由乙方直接供应，不得转让他人供应；</w:t>
      </w:r>
    </w:p>
    <w:p w14:paraId="4C66D07E">
      <w:pPr>
        <w:keepNext w:val="0"/>
        <w:keepLines w:val="0"/>
        <w:pageBreakBefore w:val="0"/>
        <w:widowControl w:val="0"/>
        <w:kinsoku/>
        <w:wordWrap/>
        <w:overflowPunct/>
        <w:topLinePunct w:val="0"/>
        <w:bidi w:val="0"/>
        <w:spacing w:line="42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2.除非得到甲方的书面同意，乙方不得将本合同范围的货物全部或部分分包给他人供应；</w:t>
      </w:r>
    </w:p>
    <w:p w14:paraId="6849E3FC">
      <w:pPr>
        <w:keepNext w:val="0"/>
        <w:keepLines w:val="0"/>
        <w:pageBreakBefore w:val="0"/>
        <w:widowControl w:val="0"/>
        <w:kinsoku/>
        <w:wordWrap/>
        <w:overflowPunct/>
        <w:topLinePunct w:val="0"/>
        <w:bidi w:val="0"/>
        <w:spacing w:line="420" w:lineRule="exact"/>
        <w:ind w:left="0" w:leftChars="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3.如有转让和未经甲方同意的分包行为，甲方有权解除合同，履约保证金不予退回并追究乙方</w:t>
      </w:r>
      <w:r>
        <w:rPr>
          <w:rFonts w:hint="eastAsia" w:ascii="宋体" w:hAnsi="宋体" w:eastAsia="宋体" w:cs="宋体"/>
          <w:b/>
          <w:bCs/>
          <w:color w:val="auto"/>
          <w:sz w:val="24"/>
          <w:szCs w:val="24"/>
          <w:highlight w:val="none"/>
          <w:lang w:val="en-US" w:eastAsia="zh-CN"/>
        </w:rPr>
        <w:t>的违约</w:t>
      </w:r>
      <w:r>
        <w:rPr>
          <w:rFonts w:hint="eastAsia" w:ascii="宋体" w:hAnsi="宋体" w:eastAsia="宋体" w:cs="宋体"/>
          <w:b/>
          <w:bCs/>
          <w:color w:val="auto"/>
          <w:sz w:val="24"/>
          <w:szCs w:val="24"/>
          <w:highlight w:val="none"/>
        </w:rPr>
        <w:t>责任。</w:t>
      </w:r>
    </w:p>
    <w:p w14:paraId="6FB18670">
      <w:pPr>
        <w:pStyle w:val="29"/>
        <w:keepNext w:val="0"/>
        <w:keepLines w:val="0"/>
        <w:pageBreakBefore w:val="0"/>
        <w:widowControl w:val="0"/>
        <w:kinsoku/>
        <w:wordWrap/>
        <w:overflowPunct/>
        <w:topLinePunct w:val="0"/>
        <w:bidi w:val="0"/>
        <w:snapToGrid w:val="0"/>
        <w:spacing w:beforeLines="0" w:afterLines="0" w:line="420" w:lineRule="exact"/>
        <w:ind w:left="0" w:leftChars="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rPr>
        <w:t>八、</w:t>
      </w:r>
      <w:r>
        <w:rPr>
          <w:rFonts w:hint="eastAsia" w:ascii="宋体" w:hAnsi="宋体" w:eastAsia="宋体" w:cs="宋体"/>
          <w:b/>
          <w:color w:val="auto"/>
          <w:sz w:val="24"/>
          <w:szCs w:val="24"/>
          <w:highlight w:val="none"/>
          <w:lang w:val="en-US" w:eastAsia="zh-CN"/>
        </w:rPr>
        <w:t>质保期</w:t>
      </w:r>
    </w:p>
    <w:p w14:paraId="20B656FC">
      <w:pPr>
        <w:pStyle w:val="29"/>
        <w:keepNext w:val="0"/>
        <w:keepLines w:val="0"/>
        <w:pageBreakBefore w:val="0"/>
        <w:widowControl w:val="0"/>
        <w:kinsoku/>
        <w:wordWrap/>
        <w:overflowPunct/>
        <w:topLinePunct w:val="0"/>
        <w:bidi w:val="0"/>
        <w:snapToGrid w:val="0"/>
        <w:spacing w:beforeLines="0" w:afterLines="0" w:line="420" w:lineRule="exact"/>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质保期</w:t>
      </w:r>
      <w:r>
        <w:rPr>
          <w:rFonts w:hint="eastAsia" w:ascii="宋体" w:hAnsi="宋体" w:eastAsia="宋体" w:cs="宋体"/>
          <w:color w:val="auto"/>
          <w:sz w:val="24"/>
          <w:szCs w:val="24"/>
          <w:highlight w:val="none"/>
          <w:u w:val="single"/>
        </w:rPr>
        <w:t xml:space="preserve"> </w:t>
      </w:r>
      <w:r>
        <w:rPr>
          <w:rFonts w:hint="eastAsia"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（质保期起算时间为</w:t>
      </w:r>
      <w:r>
        <w:rPr>
          <w:rFonts w:hint="eastAsia" w:cs="宋体"/>
          <w:bCs/>
          <w:color w:val="auto"/>
          <w:sz w:val="24"/>
          <w:szCs w:val="24"/>
          <w:highlight w:val="none"/>
          <w:shd w:val="clear" w:color="auto" w:fill="auto"/>
        </w:rPr>
        <w:t>整体项目验收之日起</w:t>
      </w:r>
      <w:r>
        <w:rPr>
          <w:rFonts w:hint="eastAsia" w:ascii="宋体" w:hAnsi="宋体" w:eastAsia="宋体" w:cs="宋体"/>
          <w:color w:val="auto"/>
          <w:sz w:val="24"/>
          <w:szCs w:val="24"/>
          <w:highlight w:val="none"/>
        </w:rPr>
        <w:t>）</w:t>
      </w:r>
      <w:r>
        <w:rPr>
          <w:rFonts w:hint="eastAsia" w:hAnsi="宋体" w:cs="宋体"/>
          <w:color w:val="auto"/>
          <w:sz w:val="24"/>
          <w:szCs w:val="24"/>
          <w:highlight w:val="none"/>
          <w:lang w:eastAsia="zh-CN"/>
        </w:rPr>
        <w:t>。</w:t>
      </w:r>
    </w:p>
    <w:p w14:paraId="15BA4C57">
      <w:pPr>
        <w:pStyle w:val="280"/>
        <w:keepNext w:val="0"/>
        <w:keepLines w:val="0"/>
        <w:pageBreakBefore w:val="0"/>
        <w:widowControl w:val="0"/>
        <w:kinsoku/>
        <w:wordWrap/>
        <w:overflowPunct/>
        <w:topLinePunct w:val="0"/>
        <w:bidi w:val="0"/>
        <w:spacing w:afterLines="0" w:line="420" w:lineRule="exact"/>
        <w:ind w:left="0" w:leftChars="0" w:firstLine="0" w:firstLineChars="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九、供货时间</w:t>
      </w:r>
    </w:p>
    <w:p w14:paraId="3754013C">
      <w:pPr>
        <w:pStyle w:val="280"/>
        <w:keepNext w:val="0"/>
        <w:keepLines w:val="0"/>
        <w:pageBreakBefore w:val="0"/>
        <w:widowControl w:val="0"/>
        <w:kinsoku/>
        <w:wordWrap/>
        <w:overflowPunct/>
        <w:topLinePunct w:val="0"/>
        <w:bidi w:val="0"/>
        <w:spacing w:afterLines="0" w:line="420" w:lineRule="exact"/>
        <w:ind w:left="0" w:leftChars="0" w:firstLine="480" w:firstLineChars="200"/>
        <w:textAlignment w:val="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合同签订后接到甲方通知之日起60日历天内完成设备的供货及安装调试。</w:t>
      </w:r>
    </w:p>
    <w:p w14:paraId="7D476208">
      <w:pPr>
        <w:pStyle w:val="280"/>
        <w:keepNext w:val="0"/>
        <w:keepLines w:val="0"/>
        <w:pageBreakBefore w:val="0"/>
        <w:widowControl w:val="0"/>
        <w:kinsoku/>
        <w:wordWrap/>
        <w:overflowPunct/>
        <w:topLinePunct w:val="0"/>
        <w:bidi w:val="0"/>
        <w:spacing w:afterLines="0" w:line="420" w:lineRule="exact"/>
        <w:ind w:left="0" w:leftChars="0" w:firstLine="0" w:firstLineChars="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十、付款方式</w:t>
      </w:r>
    </w:p>
    <w:bookmarkEnd w:id="45"/>
    <w:p w14:paraId="6253AD75">
      <w:pPr>
        <w:widowControl/>
        <w:adjustRightInd w:val="0"/>
        <w:snapToGrid w:val="0"/>
        <w:spacing w:line="420" w:lineRule="exact"/>
        <w:ind w:firstLine="480" w:firstLineChars="200"/>
        <w:jc w:val="left"/>
        <w:rPr>
          <w:rFonts w:hint="eastAsia" w:ascii="宋体" w:hAnsi="宋体" w:cs="宋体"/>
          <w:color w:val="auto"/>
          <w:kern w:val="0"/>
          <w:sz w:val="24"/>
          <w:szCs w:val="24"/>
          <w:highlight w:val="none"/>
          <w:lang w:eastAsia="zh-CN" w:bidi="en-US"/>
        </w:rPr>
      </w:pPr>
      <w:r>
        <w:rPr>
          <w:rFonts w:hint="eastAsia" w:ascii="宋体" w:hAnsi="宋体" w:eastAsia="宋体" w:cs="宋体"/>
          <w:color w:val="auto"/>
          <w:kern w:val="0"/>
          <w:sz w:val="24"/>
          <w:szCs w:val="24"/>
          <w:highlight w:val="none"/>
          <w:lang w:bidi="en-US"/>
        </w:rPr>
        <w:t>合同签订</w:t>
      </w:r>
      <w:r>
        <w:rPr>
          <w:rFonts w:hint="eastAsia" w:ascii="宋体" w:hAnsi="宋体" w:eastAsia="宋体" w:cs="宋体"/>
          <w:color w:val="auto"/>
          <w:kern w:val="0"/>
          <w:sz w:val="24"/>
          <w:szCs w:val="24"/>
          <w:highlight w:val="none"/>
          <w:lang w:val="en-US" w:eastAsia="zh-CN" w:bidi="en-US"/>
        </w:rPr>
        <w:t>并具备实施条件</w:t>
      </w:r>
      <w:r>
        <w:rPr>
          <w:rFonts w:hint="eastAsia" w:ascii="宋体" w:hAnsi="宋体" w:eastAsia="宋体" w:cs="宋体"/>
          <w:color w:val="auto"/>
          <w:kern w:val="0"/>
          <w:sz w:val="24"/>
          <w:szCs w:val="24"/>
          <w:highlight w:val="none"/>
          <w:lang w:bidi="en-US"/>
        </w:rPr>
        <w:t>后30日历天内付至</w:t>
      </w:r>
      <w:r>
        <w:rPr>
          <w:rFonts w:hint="eastAsia" w:ascii="宋体" w:hAnsi="宋体" w:eastAsia="宋体" w:cs="宋体"/>
          <w:color w:val="auto"/>
          <w:kern w:val="0"/>
          <w:sz w:val="24"/>
          <w:szCs w:val="24"/>
          <w:highlight w:val="none"/>
          <w:lang w:val="en-US" w:eastAsia="zh-CN" w:bidi="en-US"/>
        </w:rPr>
        <w:t>合同</w:t>
      </w:r>
      <w:r>
        <w:rPr>
          <w:rFonts w:hint="eastAsia" w:ascii="宋体" w:hAnsi="宋体" w:cs="宋体"/>
          <w:color w:val="auto"/>
          <w:kern w:val="0"/>
          <w:sz w:val="24"/>
          <w:szCs w:val="24"/>
          <w:highlight w:val="none"/>
          <w:lang w:val="en-US" w:eastAsia="zh-CN" w:bidi="en-US"/>
        </w:rPr>
        <w:t>价</w:t>
      </w:r>
      <w:r>
        <w:rPr>
          <w:rFonts w:hint="eastAsia" w:ascii="宋体" w:hAnsi="宋体" w:eastAsia="宋体" w:cs="宋体"/>
          <w:color w:val="auto"/>
          <w:kern w:val="0"/>
          <w:sz w:val="24"/>
          <w:szCs w:val="24"/>
          <w:highlight w:val="none"/>
          <w:lang w:bidi="en-US"/>
        </w:rPr>
        <w:t>的</w:t>
      </w:r>
      <w:r>
        <w:rPr>
          <w:rFonts w:hint="eastAsia" w:ascii="宋体" w:hAnsi="宋体" w:eastAsia="宋体" w:cs="宋体"/>
          <w:color w:val="auto"/>
          <w:kern w:val="0"/>
          <w:sz w:val="24"/>
          <w:szCs w:val="24"/>
          <w:highlight w:val="none"/>
          <w:lang w:val="en-US" w:eastAsia="zh-CN" w:bidi="en-US"/>
        </w:rPr>
        <w:t>3</w:t>
      </w:r>
      <w:r>
        <w:rPr>
          <w:rFonts w:hint="eastAsia" w:ascii="宋体" w:hAnsi="宋体" w:eastAsia="宋体" w:cs="宋体"/>
          <w:color w:val="auto"/>
          <w:kern w:val="0"/>
          <w:sz w:val="24"/>
          <w:szCs w:val="24"/>
          <w:highlight w:val="none"/>
          <w:lang w:bidi="en-US"/>
        </w:rPr>
        <w:t>0%，</w:t>
      </w:r>
      <w:r>
        <w:rPr>
          <w:rFonts w:hint="eastAsia" w:ascii="宋体" w:hAnsi="宋体" w:eastAsia="宋体" w:cs="宋体"/>
          <w:color w:val="auto"/>
          <w:kern w:val="0"/>
          <w:sz w:val="24"/>
          <w:szCs w:val="24"/>
          <w:highlight w:val="none"/>
          <w:lang w:val="en-US" w:eastAsia="zh-CN" w:bidi="en-US"/>
        </w:rPr>
        <w:t>项目</w:t>
      </w:r>
      <w:r>
        <w:rPr>
          <w:rFonts w:hint="eastAsia" w:ascii="宋体" w:hAnsi="宋体" w:eastAsia="宋体" w:cs="宋体"/>
          <w:color w:val="auto"/>
          <w:kern w:val="0"/>
          <w:sz w:val="24"/>
          <w:szCs w:val="24"/>
          <w:highlight w:val="none"/>
          <w:lang w:bidi="en-US"/>
        </w:rPr>
        <w:t>验收合格</w:t>
      </w:r>
      <w:r>
        <w:rPr>
          <w:rFonts w:hint="eastAsia" w:ascii="宋体" w:hAnsi="宋体" w:eastAsia="宋体" w:cs="宋体"/>
          <w:color w:val="auto"/>
          <w:kern w:val="0"/>
          <w:sz w:val="24"/>
          <w:szCs w:val="24"/>
          <w:highlight w:val="none"/>
          <w:lang w:val="en-US" w:eastAsia="zh-CN" w:bidi="en-US"/>
        </w:rPr>
        <w:t>并试运行三个月</w:t>
      </w:r>
      <w:r>
        <w:rPr>
          <w:rFonts w:hint="eastAsia" w:ascii="宋体" w:hAnsi="宋体" w:eastAsia="宋体" w:cs="宋体"/>
          <w:color w:val="auto"/>
          <w:kern w:val="0"/>
          <w:sz w:val="24"/>
          <w:szCs w:val="24"/>
          <w:highlight w:val="none"/>
          <w:lang w:bidi="en-US"/>
        </w:rPr>
        <w:t>后30日历天内付至</w:t>
      </w:r>
      <w:r>
        <w:rPr>
          <w:rFonts w:hint="eastAsia" w:ascii="宋体" w:hAnsi="宋体" w:eastAsia="宋体" w:cs="宋体"/>
          <w:color w:val="auto"/>
          <w:kern w:val="0"/>
          <w:sz w:val="24"/>
          <w:szCs w:val="24"/>
          <w:highlight w:val="none"/>
          <w:lang w:val="en-US" w:eastAsia="zh-CN" w:bidi="en-US"/>
        </w:rPr>
        <w:t>合同约定价</w:t>
      </w:r>
      <w:r>
        <w:rPr>
          <w:rFonts w:hint="eastAsia" w:ascii="宋体" w:hAnsi="宋体" w:eastAsia="宋体" w:cs="宋体"/>
          <w:color w:val="auto"/>
          <w:kern w:val="0"/>
          <w:sz w:val="24"/>
          <w:szCs w:val="24"/>
          <w:highlight w:val="none"/>
          <w:lang w:bidi="en-US"/>
        </w:rPr>
        <w:t>的97%，质保期满后付清余款。</w:t>
      </w:r>
      <w:r>
        <w:rPr>
          <w:rFonts w:hint="eastAsia" w:ascii="宋体" w:hAnsi="宋体" w:cs="宋体"/>
          <w:color w:val="auto"/>
          <w:kern w:val="0"/>
          <w:sz w:val="24"/>
          <w:szCs w:val="24"/>
          <w:highlight w:val="none"/>
          <w:lang w:eastAsia="zh-CN" w:bidi="en-US"/>
        </w:rPr>
        <w:t>付款前，开具增值税税率为13%的</w:t>
      </w:r>
      <w:r>
        <w:rPr>
          <w:rFonts w:hint="eastAsia" w:ascii="宋体" w:hAnsi="宋体" w:eastAsia="宋体" w:cs="宋体"/>
          <w:color w:val="auto"/>
          <w:kern w:val="0"/>
          <w:sz w:val="24"/>
          <w:szCs w:val="24"/>
          <w:highlight w:val="none"/>
          <w:lang w:val="en-US" w:eastAsia="zh-CN" w:bidi="en-US"/>
        </w:rPr>
        <w:t>增值税专用</w:t>
      </w:r>
      <w:r>
        <w:rPr>
          <w:rFonts w:hint="eastAsia" w:ascii="宋体" w:hAnsi="宋体" w:eastAsia="宋体" w:cs="宋体"/>
          <w:color w:val="auto"/>
          <w:kern w:val="0"/>
          <w:sz w:val="24"/>
          <w:szCs w:val="24"/>
          <w:highlight w:val="none"/>
          <w:lang w:bidi="en-US"/>
        </w:rPr>
        <w:t>发票</w:t>
      </w:r>
      <w:r>
        <w:rPr>
          <w:rFonts w:hint="eastAsia" w:ascii="宋体" w:hAnsi="宋体" w:eastAsia="宋体" w:cs="宋体"/>
          <w:color w:val="auto"/>
          <w:kern w:val="0"/>
          <w:sz w:val="24"/>
          <w:szCs w:val="24"/>
          <w:highlight w:val="none"/>
          <w:lang w:eastAsia="zh-CN" w:bidi="en-US"/>
        </w:rPr>
        <w:t>（</w:t>
      </w:r>
      <w:r>
        <w:rPr>
          <w:rFonts w:hint="eastAsia" w:ascii="宋体" w:hAnsi="宋体" w:eastAsia="宋体" w:cs="宋体"/>
          <w:color w:val="auto"/>
          <w:kern w:val="0"/>
          <w:sz w:val="24"/>
          <w:szCs w:val="24"/>
          <w:highlight w:val="none"/>
          <w:lang w:bidi="en-US"/>
        </w:rPr>
        <w:t>货物销售类</w:t>
      </w:r>
      <w:r>
        <w:rPr>
          <w:rFonts w:hint="eastAsia" w:ascii="宋体" w:hAnsi="宋体" w:eastAsia="宋体" w:cs="宋体"/>
          <w:color w:val="auto"/>
          <w:kern w:val="0"/>
          <w:sz w:val="24"/>
          <w:szCs w:val="24"/>
          <w:highlight w:val="none"/>
          <w:lang w:eastAsia="zh-CN" w:bidi="en-US"/>
        </w:rPr>
        <w:t>）</w:t>
      </w:r>
      <w:r>
        <w:rPr>
          <w:rFonts w:hint="eastAsia" w:ascii="宋体" w:hAnsi="宋体" w:eastAsia="宋体" w:cs="宋体"/>
          <w:color w:val="auto"/>
          <w:kern w:val="0"/>
          <w:sz w:val="24"/>
          <w:szCs w:val="24"/>
          <w:highlight w:val="none"/>
          <w:lang w:bidi="en-US"/>
        </w:rPr>
        <w:t>应随付款进度及时提供</w:t>
      </w:r>
      <w:r>
        <w:rPr>
          <w:rFonts w:hint="eastAsia" w:ascii="宋体" w:hAnsi="宋体" w:cs="宋体"/>
          <w:color w:val="auto"/>
          <w:kern w:val="0"/>
          <w:sz w:val="24"/>
          <w:szCs w:val="24"/>
          <w:highlight w:val="none"/>
          <w:lang w:eastAsia="zh-CN" w:bidi="en-US"/>
        </w:rPr>
        <w:t>，</w:t>
      </w:r>
      <w:r>
        <w:rPr>
          <w:rFonts w:hint="eastAsia" w:ascii="宋体" w:hAnsi="宋体" w:eastAsia="宋体" w:cs="宋体"/>
          <w:color w:val="auto"/>
          <w:kern w:val="0"/>
          <w:sz w:val="24"/>
          <w:szCs w:val="24"/>
          <w:highlight w:val="none"/>
          <w:lang w:bidi="en-US"/>
        </w:rPr>
        <w:t>本项目的合同价款由临海大诚建设工程有限公司支付给</w:t>
      </w:r>
      <w:r>
        <w:rPr>
          <w:rFonts w:hint="eastAsia" w:ascii="宋体" w:hAnsi="宋体" w:cs="宋体"/>
          <w:color w:val="auto"/>
          <w:kern w:val="0"/>
          <w:sz w:val="24"/>
          <w:szCs w:val="24"/>
          <w:highlight w:val="none"/>
          <w:lang w:val="en-US" w:eastAsia="zh-CN" w:bidi="en-US"/>
        </w:rPr>
        <w:t>乙方</w:t>
      </w:r>
      <w:r>
        <w:rPr>
          <w:rFonts w:hint="eastAsia" w:ascii="宋体" w:hAnsi="宋体" w:cs="宋体"/>
          <w:color w:val="auto"/>
          <w:kern w:val="0"/>
          <w:sz w:val="24"/>
          <w:szCs w:val="24"/>
          <w:highlight w:val="none"/>
          <w:lang w:eastAsia="zh-CN" w:bidi="en-US"/>
        </w:rPr>
        <w:t>。</w:t>
      </w:r>
    </w:p>
    <w:p w14:paraId="42FF4AEC">
      <w:pPr>
        <w:keepNext w:val="0"/>
        <w:keepLines w:val="0"/>
        <w:pageBreakBefore w:val="0"/>
        <w:widowControl w:val="0"/>
        <w:kinsoku/>
        <w:wordWrap/>
        <w:overflowPunct/>
        <w:topLinePunct w:val="0"/>
        <w:bidi w:val="0"/>
        <w:spacing w:line="420" w:lineRule="exact"/>
        <w:ind w:left="0" w:leftChars="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十一、税费</w:t>
      </w:r>
    </w:p>
    <w:p w14:paraId="0EECDCBB">
      <w:pPr>
        <w:keepNext w:val="0"/>
        <w:keepLines w:val="0"/>
        <w:pageBreakBefore w:val="0"/>
        <w:widowControl w:val="0"/>
        <w:kinsoku/>
        <w:wordWrap/>
        <w:overflowPunct/>
        <w:topLinePunct w:val="0"/>
        <w:bidi w:val="0"/>
        <w:spacing w:line="42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本合同执行中相关的一切税费均由乙方负担。</w:t>
      </w:r>
    </w:p>
    <w:p w14:paraId="1743C93B">
      <w:pPr>
        <w:pStyle w:val="29"/>
        <w:keepNext w:val="0"/>
        <w:keepLines w:val="0"/>
        <w:pageBreakBefore w:val="0"/>
        <w:widowControl w:val="0"/>
        <w:kinsoku/>
        <w:wordWrap/>
        <w:overflowPunct/>
        <w:topLinePunct w:val="0"/>
        <w:bidi w:val="0"/>
        <w:spacing w:beforeLines="0" w:afterLines="0" w:line="420" w:lineRule="exact"/>
        <w:ind w:left="0" w:leftChars="0"/>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十</w:t>
      </w:r>
      <w:r>
        <w:rPr>
          <w:rFonts w:hint="eastAsia" w:ascii="宋体" w:hAnsi="宋体" w:eastAsia="宋体" w:cs="宋体"/>
          <w:b/>
          <w:color w:val="auto"/>
          <w:sz w:val="24"/>
          <w:szCs w:val="24"/>
          <w:highlight w:val="none"/>
          <w:lang w:val="en-US" w:eastAsia="zh-CN"/>
        </w:rPr>
        <w:t>二</w:t>
      </w:r>
      <w:r>
        <w:rPr>
          <w:rFonts w:hint="eastAsia" w:ascii="宋体" w:hAnsi="宋体" w:eastAsia="宋体" w:cs="宋体"/>
          <w:b/>
          <w:color w:val="auto"/>
          <w:sz w:val="24"/>
          <w:szCs w:val="24"/>
          <w:highlight w:val="none"/>
          <w:lang w:eastAsia="zh-CN"/>
        </w:rPr>
        <w:t>、质量保证及售后服务</w:t>
      </w:r>
    </w:p>
    <w:p w14:paraId="22B8A746">
      <w:pPr>
        <w:pStyle w:val="29"/>
        <w:keepNext w:val="0"/>
        <w:keepLines w:val="0"/>
        <w:pageBreakBefore w:val="0"/>
        <w:widowControl w:val="0"/>
        <w:kinsoku/>
        <w:wordWrap/>
        <w:overflowPunct/>
        <w:topLinePunct w:val="0"/>
        <w:bidi w:val="0"/>
        <w:spacing w:beforeLines="0" w:afterLines="0" w:line="420" w:lineRule="exact"/>
        <w:ind w:left="0" w:leftChars="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 乙方应按招标文件规定的货物性能、技术要求、质量标准向甲方提供未经使用的全新产品。</w:t>
      </w:r>
    </w:p>
    <w:p w14:paraId="7BD4B5DC">
      <w:pPr>
        <w:pStyle w:val="29"/>
        <w:keepNext w:val="0"/>
        <w:keepLines w:val="0"/>
        <w:pageBreakBefore w:val="0"/>
        <w:widowControl w:val="0"/>
        <w:kinsoku/>
        <w:wordWrap/>
        <w:overflowPunct/>
        <w:topLinePunct w:val="0"/>
        <w:bidi w:val="0"/>
        <w:spacing w:beforeLines="0" w:afterLines="0" w:line="420" w:lineRule="exact"/>
        <w:ind w:left="0" w:leftChars="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2.乙方提供的货物在质保期内因货物本身的质量问题发生故障，乙方应负责免费更换。</w:t>
      </w:r>
    </w:p>
    <w:p w14:paraId="433C40D7">
      <w:pPr>
        <w:pStyle w:val="29"/>
        <w:keepNext w:val="0"/>
        <w:keepLines w:val="0"/>
        <w:pageBreakBefore w:val="0"/>
        <w:widowControl w:val="0"/>
        <w:kinsoku/>
        <w:wordWrap/>
        <w:overflowPunct/>
        <w:topLinePunct w:val="0"/>
        <w:bidi w:val="0"/>
        <w:spacing w:beforeLines="0" w:afterLines="0" w:line="420" w:lineRule="exact"/>
        <w:ind w:left="0" w:leftChars="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对达不到技术要求者，根据实际情况，经</w:t>
      </w:r>
      <w:r>
        <w:rPr>
          <w:rFonts w:hint="eastAsia" w:hAnsi="宋体" w:cs="宋体"/>
          <w:color w:val="auto"/>
          <w:sz w:val="24"/>
          <w:szCs w:val="24"/>
          <w:highlight w:val="none"/>
          <w:lang w:val="en-US" w:eastAsia="zh-CN"/>
        </w:rPr>
        <w:t>各方</w:t>
      </w:r>
      <w:r>
        <w:rPr>
          <w:rFonts w:hint="eastAsia" w:ascii="宋体" w:hAnsi="宋体" w:eastAsia="宋体" w:cs="宋体"/>
          <w:color w:val="auto"/>
          <w:sz w:val="24"/>
          <w:szCs w:val="24"/>
          <w:highlight w:val="none"/>
          <w:lang w:eastAsia="zh-CN"/>
        </w:rPr>
        <w:t>协商，可按以下办法处理：</w:t>
      </w:r>
    </w:p>
    <w:p w14:paraId="734513BF">
      <w:pPr>
        <w:pStyle w:val="29"/>
        <w:keepNext w:val="0"/>
        <w:keepLines w:val="0"/>
        <w:pageBreakBefore w:val="0"/>
        <w:widowControl w:val="0"/>
        <w:kinsoku/>
        <w:wordWrap/>
        <w:overflowPunct/>
        <w:topLinePunct w:val="0"/>
        <w:bidi w:val="0"/>
        <w:spacing w:beforeLines="0" w:afterLines="0" w:line="420" w:lineRule="exact"/>
        <w:ind w:left="0" w:leftChars="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⑴更换：由乙方承担所发生的全部费用。</w:t>
      </w:r>
    </w:p>
    <w:p w14:paraId="4F311E5F">
      <w:pPr>
        <w:pStyle w:val="29"/>
        <w:keepNext w:val="0"/>
        <w:keepLines w:val="0"/>
        <w:pageBreakBefore w:val="0"/>
        <w:widowControl w:val="0"/>
        <w:kinsoku/>
        <w:wordWrap/>
        <w:overflowPunct/>
        <w:topLinePunct w:val="0"/>
        <w:bidi w:val="0"/>
        <w:spacing w:beforeLines="0" w:afterLines="0" w:line="420" w:lineRule="exact"/>
        <w:ind w:left="0" w:leftChars="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⑵贬值处理：由甲乙方合议定价。</w:t>
      </w:r>
    </w:p>
    <w:p w14:paraId="000785E7">
      <w:pPr>
        <w:pStyle w:val="29"/>
        <w:keepNext w:val="0"/>
        <w:keepLines w:val="0"/>
        <w:pageBreakBefore w:val="0"/>
        <w:widowControl w:val="0"/>
        <w:kinsoku/>
        <w:wordWrap/>
        <w:overflowPunct/>
        <w:topLinePunct w:val="0"/>
        <w:bidi w:val="0"/>
        <w:spacing w:beforeLines="0" w:afterLines="0" w:line="420" w:lineRule="exact"/>
        <w:ind w:left="0" w:leftChars="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⑶退货处理：乙方应退还甲方支付的合同款，同时应承担该货物的直接费用（运输、保险、检验、货款利息及银行手续费等）。</w:t>
      </w:r>
    </w:p>
    <w:p w14:paraId="09AE2B7C">
      <w:pPr>
        <w:pStyle w:val="29"/>
        <w:keepNext w:val="0"/>
        <w:keepLines w:val="0"/>
        <w:pageBreakBefore w:val="0"/>
        <w:widowControl w:val="0"/>
        <w:kinsoku/>
        <w:wordWrap/>
        <w:overflowPunct/>
        <w:topLinePunct w:val="0"/>
        <w:bidi w:val="0"/>
        <w:spacing w:beforeLines="0" w:afterLines="0" w:line="420" w:lineRule="exact"/>
        <w:ind w:left="0" w:leftChars="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在质保期内，</w:t>
      </w:r>
      <w:r>
        <w:rPr>
          <w:rFonts w:hint="eastAsia" w:hAnsi="宋体" w:cs="宋体"/>
          <w:color w:val="auto"/>
          <w:sz w:val="24"/>
          <w:szCs w:val="24"/>
          <w:highlight w:val="none"/>
          <w:lang w:val="en-US" w:eastAsia="zh-CN"/>
        </w:rPr>
        <w:t>乙方</w:t>
      </w:r>
      <w:r>
        <w:rPr>
          <w:rFonts w:hint="eastAsia" w:ascii="宋体" w:hAnsi="宋体" w:eastAsia="宋体" w:cs="宋体"/>
          <w:color w:val="auto"/>
          <w:sz w:val="24"/>
          <w:szCs w:val="24"/>
          <w:highlight w:val="none"/>
          <w:lang w:eastAsia="zh-CN"/>
        </w:rPr>
        <w:t>保证提升系统的正常运行，对机械、电器、控制等各部分进行及时的维护、保养和必要的更新升级。质保期内，以上内容及服务</w:t>
      </w:r>
      <w:r>
        <w:rPr>
          <w:rFonts w:hint="eastAsia" w:hAnsi="宋体" w:cs="宋体"/>
          <w:color w:val="auto"/>
          <w:sz w:val="24"/>
          <w:szCs w:val="24"/>
          <w:highlight w:val="none"/>
          <w:lang w:val="en-US" w:eastAsia="zh-CN"/>
        </w:rPr>
        <w:t>为</w:t>
      </w:r>
      <w:r>
        <w:rPr>
          <w:rFonts w:hint="eastAsia" w:ascii="宋体" w:hAnsi="宋体" w:eastAsia="宋体" w:cs="宋体"/>
          <w:color w:val="auto"/>
          <w:sz w:val="24"/>
          <w:szCs w:val="24"/>
          <w:highlight w:val="none"/>
          <w:lang w:eastAsia="zh-CN"/>
        </w:rPr>
        <w:t>免费</w:t>
      </w:r>
      <w:r>
        <w:rPr>
          <w:rFonts w:hint="eastAsia"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因</w:t>
      </w:r>
      <w:r>
        <w:rPr>
          <w:rFonts w:hint="eastAsia" w:hAnsi="宋体" w:cs="宋体"/>
          <w:color w:val="auto"/>
          <w:sz w:val="24"/>
          <w:szCs w:val="24"/>
          <w:highlight w:val="none"/>
          <w:lang w:val="en-US" w:eastAsia="zh-CN"/>
        </w:rPr>
        <w:t>甲方</w:t>
      </w:r>
      <w:r>
        <w:rPr>
          <w:rFonts w:hint="eastAsia" w:ascii="宋体" w:hAnsi="宋体" w:eastAsia="宋体" w:cs="宋体"/>
          <w:color w:val="auto"/>
          <w:sz w:val="24"/>
          <w:szCs w:val="24"/>
          <w:highlight w:val="none"/>
          <w:lang w:eastAsia="zh-CN"/>
        </w:rPr>
        <w:t>不正常使用或人为因素造成的故障，</w:t>
      </w:r>
      <w:r>
        <w:rPr>
          <w:rFonts w:hint="eastAsia" w:hAnsi="宋体" w:cs="宋体"/>
          <w:color w:val="auto"/>
          <w:sz w:val="24"/>
          <w:szCs w:val="24"/>
          <w:highlight w:val="none"/>
          <w:lang w:val="en-US" w:eastAsia="zh-CN"/>
        </w:rPr>
        <w:t>乙方</w:t>
      </w:r>
      <w:r>
        <w:rPr>
          <w:rFonts w:hint="eastAsia" w:ascii="宋体" w:hAnsi="宋体" w:eastAsia="宋体" w:cs="宋体"/>
          <w:color w:val="auto"/>
          <w:sz w:val="24"/>
          <w:szCs w:val="24"/>
          <w:highlight w:val="none"/>
          <w:lang w:eastAsia="zh-CN"/>
        </w:rPr>
        <w:t>负责设备的维修服务，只收取相应的成本费用</w:t>
      </w:r>
      <w:r>
        <w:rPr>
          <w:rFonts w:hint="eastAsia"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质保期满后，</w:t>
      </w:r>
      <w:r>
        <w:rPr>
          <w:rFonts w:hint="eastAsia" w:hAnsi="宋体" w:cs="宋体"/>
          <w:color w:val="auto"/>
          <w:sz w:val="24"/>
          <w:szCs w:val="24"/>
          <w:highlight w:val="none"/>
          <w:lang w:val="en-US" w:eastAsia="zh-CN"/>
        </w:rPr>
        <w:t>乙方</w:t>
      </w:r>
      <w:r>
        <w:rPr>
          <w:rFonts w:hint="eastAsia" w:ascii="宋体" w:hAnsi="宋体" w:eastAsia="宋体" w:cs="宋体"/>
          <w:color w:val="auto"/>
          <w:sz w:val="24"/>
          <w:szCs w:val="24"/>
          <w:highlight w:val="none"/>
          <w:lang w:eastAsia="zh-CN"/>
        </w:rPr>
        <w:t xml:space="preserve">负责设备的维修服务，也只收取相应的成本费用。 </w:t>
      </w:r>
    </w:p>
    <w:p w14:paraId="6D9FE908">
      <w:pPr>
        <w:pStyle w:val="29"/>
        <w:keepNext w:val="0"/>
        <w:keepLines w:val="0"/>
        <w:pageBreakBefore w:val="0"/>
        <w:widowControl w:val="0"/>
        <w:kinsoku/>
        <w:wordWrap/>
        <w:overflowPunct/>
        <w:topLinePunct w:val="0"/>
        <w:bidi w:val="0"/>
        <w:spacing w:beforeLines="0" w:afterLines="0" w:line="420" w:lineRule="exact"/>
        <w:ind w:left="0" w:leftChars="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在质保期内，按照售后服务条款开展售后维修服务工作。现场设备出现故障时，应在接到</w:t>
      </w:r>
      <w:r>
        <w:rPr>
          <w:rFonts w:hint="eastAsia" w:hAnsi="宋体" w:cs="宋体"/>
          <w:color w:val="auto"/>
          <w:sz w:val="24"/>
          <w:szCs w:val="24"/>
          <w:highlight w:val="none"/>
          <w:lang w:val="en-US" w:eastAsia="zh-CN"/>
        </w:rPr>
        <w:t>甲方</w:t>
      </w:r>
      <w:r>
        <w:rPr>
          <w:rFonts w:hint="eastAsia" w:ascii="宋体" w:hAnsi="宋体" w:eastAsia="宋体" w:cs="宋体"/>
          <w:color w:val="auto"/>
          <w:sz w:val="24"/>
          <w:szCs w:val="24"/>
          <w:highlight w:val="none"/>
          <w:lang w:eastAsia="zh-CN"/>
        </w:rPr>
        <w:t>电话通知后的1小时内反应，并提出解决方案。如果通过电话不能解决现场故障，应在接到电话后的12小时内派人到达现场，并尽快排除故障。</w:t>
      </w:r>
    </w:p>
    <w:p w14:paraId="7FB76A9E">
      <w:pPr>
        <w:pStyle w:val="29"/>
        <w:keepNext w:val="0"/>
        <w:keepLines w:val="0"/>
        <w:pageBreakBefore w:val="0"/>
        <w:widowControl w:val="0"/>
        <w:numPr>
          <w:ilvl w:val="0"/>
          <w:numId w:val="0"/>
        </w:numPr>
        <w:kinsoku/>
        <w:wordWrap/>
        <w:overflowPunct/>
        <w:topLinePunct w:val="0"/>
        <w:bidi w:val="0"/>
        <w:spacing w:beforeLines="0" w:afterLines="0" w:line="420" w:lineRule="exact"/>
        <w:ind w:left="0" w:leftChars="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如在使用过程中发生质量问题，乙方在接到甲方通知后在</w:t>
      </w:r>
      <w:r>
        <w:rPr>
          <w:rFonts w:hint="eastAsia" w:hAnsi="宋体" w:cs="宋体"/>
          <w:color w:val="auto"/>
          <w:sz w:val="24"/>
          <w:szCs w:val="24"/>
          <w:highlight w:val="none"/>
          <w:u w:val="none"/>
          <w:lang w:val="en-US" w:eastAsia="zh-CN"/>
        </w:rPr>
        <w:t xml:space="preserve">24 </w:t>
      </w:r>
      <w:r>
        <w:rPr>
          <w:rFonts w:hint="eastAsia" w:ascii="宋体" w:hAnsi="宋体" w:eastAsia="宋体" w:cs="宋体"/>
          <w:color w:val="auto"/>
          <w:sz w:val="24"/>
          <w:szCs w:val="24"/>
          <w:highlight w:val="none"/>
          <w:lang w:eastAsia="zh-CN"/>
        </w:rPr>
        <w:t>小时内到达甲方现场，否则由于故障所造成的全部损失由乙方承担。</w:t>
      </w:r>
    </w:p>
    <w:p w14:paraId="7BE05536">
      <w:pPr>
        <w:pStyle w:val="29"/>
        <w:keepNext w:val="0"/>
        <w:keepLines w:val="0"/>
        <w:pageBreakBefore w:val="0"/>
        <w:widowControl w:val="0"/>
        <w:numPr>
          <w:ilvl w:val="0"/>
          <w:numId w:val="0"/>
        </w:numPr>
        <w:kinsoku/>
        <w:wordWrap/>
        <w:overflowPunct/>
        <w:topLinePunct w:val="0"/>
        <w:bidi w:val="0"/>
        <w:spacing w:beforeLines="0" w:afterLines="0" w:line="420" w:lineRule="exact"/>
        <w:ind w:left="0" w:leftChars="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.在质保期内，乙方应对货物出现的质量及安全问题负责处理解决并承担一切费用。</w:t>
      </w:r>
    </w:p>
    <w:p w14:paraId="4E34D927">
      <w:pPr>
        <w:pStyle w:val="29"/>
        <w:keepNext w:val="0"/>
        <w:keepLines w:val="0"/>
        <w:pageBreakBefore w:val="0"/>
        <w:widowControl w:val="0"/>
        <w:kinsoku/>
        <w:wordWrap/>
        <w:overflowPunct/>
        <w:topLinePunct w:val="0"/>
        <w:bidi w:val="0"/>
        <w:spacing w:beforeLines="0" w:afterLines="0" w:line="420" w:lineRule="exact"/>
        <w:ind w:left="0" w:leftChars="0"/>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7.</w:t>
      </w:r>
      <w:r>
        <w:rPr>
          <w:rFonts w:hint="eastAsia" w:ascii="宋体" w:hAnsi="宋体" w:eastAsia="宋体" w:cs="宋体"/>
          <w:b w:val="0"/>
          <w:bCs/>
          <w:color w:val="auto"/>
          <w:sz w:val="24"/>
          <w:szCs w:val="24"/>
          <w:highlight w:val="none"/>
          <w:lang w:eastAsia="zh-CN"/>
        </w:rPr>
        <w:t>质保期结束前，须由甲乙方进行一次全面检查，任何缺陷必须由乙方负责修理，在修复之后，乙方将缺陷原因、修理内容、完成修理及恢复正常的时间和日期等报告给甲方，报告一式两份。</w:t>
      </w:r>
    </w:p>
    <w:p w14:paraId="780E06B4">
      <w:pPr>
        <w:pStyle w:val="29"/>
        <w:keepNext w:val="0"/>
        <w:keepLines w:val="0"/>
        <w:pageBreakBefore w:val="0"/>
        <w:widowControl w:val="0"/>
        <w:kinsoku/>
        <w:wordWrap/>
        <w:overflowPunct/>
        <w:topLinePunct w:val="0"/>
        <w:bidi w:val="0"/>
        <w:spacing w:beforeLines="0" w:afterLines="0" w:line="420" w:lineRule="exact"/>
        <w:ind w:left="0" w:leftChars="0"/>
        <w:textAlignment w:val="auto"/>
        <w:rPr>
          <w:rFonts w:hint="eastAsia" w:hAnsi="宋体" w:cs="宋体"/>
          <w:bCs/>
          <w:color w:val="auto"/>
          <w:sz w:val="24"/>
          <w:szCs w:val="24"/>
          <w:highlight w:val="none"/>
        </w:rPr>
      </w:pPr>
      <w:r>
        <w:rPr>
          <w:rFonts w:hint="eastAsia" w:hAnsi="宋体" w:cs="宋体"/>
          <w:b w:val="0"/>
          <w:bCs/>
          <w:color w:val="auto"/>
          <w:sz w:val="24"/>
          <w:szCs w:val="24"/>
          <w:highlight w:val="none"/>
          <w:lang w:val="en-US" w:eastAsia="zh-CN"/>
        </w:rPr>
        <w:t>8.</w:t>
      </w:r>
      <w:r>
        <w:rPr>
          <w:rFonts w:hint="eastAsia" w:hAnsi="宋体" w:cs="宋体"/>
          <w:bCs/>
          <w:color w:val="auto"/>
          <w:sz w:val="24"/>
          <w:szCs w:val="24"/>
          <w:highlight w:val="none"/>
        </w:rPr>
        <w:t>质保期内</w:t>
      </w:r>
      <w:r>
        <w:rPr>
          <w:rFonts w:hint="eastAsia" w:hAnsi="宋体" w:cs="宋体"/>
          <w:bCs/>
          <w:color w:val="auto"/>
          <w:sz w:val="24"/>
          <w:szCs w:val="24"/>
          <w:highlight w:val="none"/>
          <w:lang w:val="en-US" w:eastAsia="zh-CN"/>
        </w:rPr>
        <w:t>乙方</w:t>
      </w:r>
      <w:r>
        <w:rPr>
          <w:rFonts w:hint="eastAsia" w:hAnsi="宋体" w:cs="宋体"/>
          <w:bCs/>
          <w:color w:val="auto"/>
          <w:sz w:val="24"/>
          <w:szCs w:val="24"/>
          <w:highlight w:val="none"/>
        </w:rPr>
        <w:t>须免费提供足够的常用检修工具。推荐的检修工具须在投标文件中注明</w:t>
      </w:r>
      <w:r>
        <w:rPr>
          <w:rFonts w:hint="eastAsia" w:hAnsi="宋体" w:cs="宋体"/>
          <w:bCs/>
          <w:color w:val="auto"/>
          <w:sz w:val="24"/>
          <w:szCs w:val="24"/>
          <w:highlight w:val="none"/>
          <w:lang w:eastAsia="zh-CN"/>
        </w:rPr>
        <w:t>，</w:t>
      </w:r>
      <w:r>
        <w:rPr>
          <w:rFonts w:hint="eastAsia" w:hAnsi="宋体" w:cs="宋体"/>
          <w:bCs/>
          <w:color w:val="auto"/>
          <w:sz w:val="24"/>
          <w:szCs w:val="24"/>
          <w:highlight w:val="none"/>
        </w:rPr>
        <w:t>这些工具不能在安装时使用。所有测试需要的附件、零部件和中文操作维修手册应与检修</w:t>
      </w:r>
      <w:r>
        <w:rPr>
          <w:rFonts w:hint="eastAsia" w:hAnsi="宋体" w:cs="宋体"/>
          <w:bCs/>
          <w:color w:val="auto"/>
          <w:sz w:val="24"/>
          <w:szCs w:val="24"/>
          <w:highlight w:val="none"/>
          <w:lang w:val="en-US" w:eastAsia="zh-CN"/>
        </w:rPr>
        <w:t>工具</w:t>
      </w:r>
      <w:r>
        <w:rPr>
          <w:rFonts w:hint="eastAsia" w:hAnsi="宋体" w:cs="宋体"/>
          <w:bCs/>
          <w:color w:val="auto"/>
          <w:sz w:val="24"/>
          <w:szCs w:val="24"/>
          <w:highlight w:val="none"/>
        </w:rPr>
        <w:t xml:space="preserve">一并免费提供。 </w:t>
      </w:r>
    </w:p>
    <w:p w14:paraId="395E4AB9">
      <w:pPr>
        <w:keepNext w:val="0"/>
        <w:keepLines w:val="0"/>
        <w:pageBreakBefore w:val="0"/>
        <w:widowControl/>
        <w:kinsoku/>
        <w:wordWrap/>
        <w:overflowPunct/>
        <w:topLinePunct w:val="0"/>
        <w:autoSpaceDE/>
        <w:autoSpaceDN/>
        <w:bidi w:val="0"/>
        <w:adjustRightInd/>
        <w:snapToGrid/>
        <w:spacing w:line="420" w:lineRule="exact"/>
        <w:jc w:val="left"/>
        <w:textAlignment w:val="auto"/>
        <w:rPr>
          <w:rFonts w:hint="eastAsia" w:cs="宋体"/>
          <w:bCs/>
          <w:color w:val="auto"/>
          <w:sz w:val="24"/>
          <w:szCs w:val="24"/>
          <w:highlight w:val="none"/>
          <w:shd w:val="clear" w:color="auto" w:fill="auto"/>
        </w:rPr>
      </w:pPr>
      <w:r>
        <w:rPr>
          <w:rFonts w:hint="eastAsia" w:hAnsi="宋体" w:cs="宋体"/>
          <w:bCs/>
          <w:color w:val="auto"/>
          <w:sz w:val="24"/>
          <w:szCs w:val="24"/>
          <w:highlight w:val="none"/>
          <w:lang w:val="en-US" w:eastAsia="zh-CN"/>
        </w:rPr>
        <w:t>9.</w:t>
      </w:r>
      <w:r>
        <w:rPr>
          <w:rFonts w:hint="eastAsia" w:cs="宋体"/>
          <w:bCs/>
          <w:color w:val="auto"/>
          <w:sz w:val="24"/>
          <w:szCs w:val="24"/>
          <w:highlight w:val="none"/>
          <w:shd w:val="clear" w:color="auto" w:fill="auto"/>
        </w:rPr>
        <w:t>当</w:t>
      </w:r>
      <w:r>
        <w:rPr>
          <w:rFonts w:hint="eastAsia" w:cs="宋体"/>
          <w:bCs/>
          <w:color w:val="auto"/>
          <w:sz w:val="24"/>
          <w:szCs w:val="24"/>
          <w:highlight w:val="none"/>
          <w:shd w:val="clear" w:color="auto" w:fill="auto"/>
          <w:lang w:val="en-US" w:eastAsia="zh-CN"/>
        </w:rPr>
        <w:t>甲方</w:t>
      </w:r>
      <w:r>
        <w:rPr>
          <w:rFonts w:hint="eastAsia" w:cs="宋体"/>
          <w:bCs/>
          <w:color w:val="auto"/>
          <w:sz w:val="24"/>
          <w:szCs w:val="24"/>
          <w:highlight w:val="none"/>
          <w:shd w:val="clear" w:color="auto" w:fill="auto"/>
        </w:rPr>
        <w:t>需要进行扩充或改造系统设备时</w:t>
      </w:r>
      <w:r>
        <w:rPr>
          <w:rFonts w:hint="eastAsia" w:cs="宋体"/>
          <w:bCs/>
          <w:color w:val="auto"/>
          <w:sz w:val="24"/>
          <w:szCs w:val="24"/>
          <w:highlight w:val="none"/>
          <w:shd w:val="clear" w:color="auto" w:fill="auto"/>
          <w:lang w:eastAsia="zh-CN"/>
        </w:rPr>
        <w:t>，</w:t>
      </w:r>
      <w:r>
        <w:rPr>
          <w:rFonts w:hint="eastAsia" w:cs="宋体"/>
          <w:bCs/>
          <w:color w:val="auto"/>
          <w:sz w:val="24"/>
          <w:szCs w:val="24"/>
          <w:highlight w:val="none"/>
          <w:shd w:val="clear" w:color="auto" w:fill="auto"/>
          <w:lang w:val="en-US" w:eastAsia="zh-CN"/>
        </w:rPr>
        <w:t>对甲方</w:t>
      </w:r>
      <w:r>
        <w:rPr>
          <w:rFonts w:hint="eastAsia" w:cs="宋体"/>
          <w:bCs/>
          <w:color w:val="auto"/>
          <w:sz w:val="24"/>
          <w:szCs w:val="24"/>
          <w:highlight w:val="none"/>
          <w:shd w:val="clear" w:color="auto" w:fill="auto"/>
        </w:rPr>
        <w:t>提供技术支持。所提供的系统设备在以后利用新技术对系统硬件、软件进行性能、功能改进或产品更新时，及时书面通知</w:t>
      </w:r>
      <w:r>
        <w:rPr>
          <w:rFonts w:hint="eastAsia" w:cs="宋体"/>
          <w:bCs/>
          <w:color w:val="auto"/>
          <w:sz w:val="24"/>
          <w:szCs w:val="24"/>
          <w:highlight w:val="none"/>
          <w:shd w:val="clear" w:color="auto" w:fill="auto"/>
          <w:lang w:val="en-US" w:eastAsia="zh-CN"/>
        </w:rPr>
        <w:t>甲方</w:t>
      </w:r>
      <w:r>
        <w:rPr>
          <w:rFonts w:hint="eastAsia" w:cs="宋体"/>
          <w:bCs/>
          <w:color w:val="auto"/>
          <w:sz w:val="24"/>
          <w:szCs w:val="24"/>
          <w:highlight w:val="none"/>
          <w:shd w:val="clear" w:color="auto" w:fill="auto"/>
        </w:rPr>
        <w:t>，供</w:t>
      </w:r>
      <w:r>
        <w:rPr>
          <w:rFonts w:hint="eastAsia" w:cs="宋体"/>
          <w:bCs/>
          <w:color w:val="auto"/>
          <w:sz w:val="24"/>
          <w:szCs w:val="24"/>
          <w:highlight w:val="none"/>
          <w:shd w:val="clear" w:color="auto" w:fill="auto"/>
          <w:lang w:val="en-US" w:eastAsia="zh-CN"/>
        </w:rPr>
        <w:t>甲方</w:t>
      </w:r>
      <w:r>
        <w:rPr>
          <w:rFonts w:hint="eastAsia" w:cs="宋体"/>
          <w:bCs/>
          <w:color w:val="auto"/>
          <w:sz w:val="24"/>
          <w:szCs w:val="24"/>
          <w:highlight w:val="none"/>
          <w:shd w:val="clear" w:color="auto" w:fill="auto"/>
        </w:rPr>
        <w:t>选择。</w:t>
      </w:r>
    </w:p>
    <w:p w14:paraId="7B595F30">
      <w:pPr>
        <w:keepNext w:val="0"/>
        <w:keepLines w:val="0"/>
        <w:pageBreakBefore w:val="0"/>
        <w:widowControl/>
        <w:kinsoku/>
        <w:wordWrap/>
        <w:overflowPunct/>
        <w:topLinePunct w:val="0"/>
        <w:autoSpaceDE/>
        <w:autoSpaceDN/>
        <w:bidi w:val="0"/>
        <w:adjustRightInd/>
        <w:snapToGrid/>
        <w:spacing w:line="420" w:lineRule="exact"/>
        <w:jc w:val="left"/>
        <w:textAlignment w:val="auto"/>
        <w:rPr>
          <w:rFonts w:hint="eastAsia" w:cs="宋体"/>
          <w:bCs/>
          <w:color w:val="auto"/>
          <w:sz w:val="24"/>
          <w:szCs w:val="24"/>
          <w:highlight w:val="none"/>
          <w:shd w:val="clear" w:color="auto" w:fill="auto"/>
        </w:rPr>
      </w:pPr>
      <w:r>
        <w:rPr>
          <w:rFonts w:hint="eastAsia" w:hAnsi="宋体" w:cs="宋体"/>
          <w:bCs/>
          <w:color w:val="auto"/>
          <w:sz w:val="24"/>
          <w:szCs w:val="24"/>
          <w:highlight w:val="none"/>
          <w:lang w:val="en-US" w:eastAsia="zh-CN"/>
        </w:rPr>
        <w:t>10.乙方</w:t>
      </w:r>
      <w:r>
        <w:rPr>
          <w:rFonts w:hint="eastAsia" w:cs="宋体"/>
          <w:bCs/>
          <w:color w:val="auto"/>
          <w:sz w:val="24"/>
          <w:szCs w:val="24"/>
          <w:highlight w:val="none"/>
          <w:shd w:val="clear" w:color="auto" w:fill="auto"/>
        </w:rPr>
        <w:t>承诺为提供的产品终身技术支持，按</w:t>
      </w:r>
      <w:r>
        <w:rPr>
          <w:rFonts w:hint="eastAsia" w:cs="宋体"/>
          <w:bCs/>
          <w:color w:val="auto"/>
          <w:sz w:val="24"/>
          <w:szCs w:val="24"/>
          <w:highlight w:val="none"/>
          <w:shd w:val="clear" w:color="auto" w:fill="auto"/>
          <w:lang w:val="en-US" w:eastAsia="zh-CN"/>
        </w:rPr>
        <w:t>甲方</w:t>
      </w:r>
      <w:r>
        <w:rPr>
          <w:rFonts w:hint="eastAsia" w:cs="宋体"/>
          <w:bCs/>
          <w:color w:val="auto"/>
          <w:sz w:val="24"/>
          <w:szCs w:val="24"/>
          <w:highlight w:val="none"/>
          <w:shd w:val="clear" w:color="auto" w:fill="auto"/>
        </w:rPr>
        <w:t>的需求提供软件升级、修改、完善等技术支持，在质保期内完全免费，质保期外仅收取成本</w:t>
      </w:r>
      <w:r>
        <w:rPr>
          <w:rFonts w:hint="eastAsia" w:cs="宋体"/>
          <w:bCs/>
          <w:color w:val="auto"/>
          <w:sz w:val="24"/>
          <w:szCs w:val="24"/>
          <w:highlight w:val="none"/>
          <w:shd w:val="clear" w:color="auto" w:fill="auto"/>
          <w:lang w:val="en-US" w:eastAsia="zh-CN"/>
        </w:rPr>
        <w:t>费</w:t>
      </w:r>
      <w:r>
        <w:rPr>
          <w:rFonts w:hint="eastAsia" w:cs="宋体"/>
          <w:bCs/>
          <w:color w:val="auto"/>
          <w:sz w:val="24"/>
          <w:szCs w:val="24"/>
          <w:highlight w:val="none"/>
          <w:shd w:val="clear" w:color="auto" w:fill="auto"/>
        </w:rPr>
        <w:t>。</w:t>
      </w:r>
    </w:p>
    <w:p w14:paraId="0CC5245E">
      <w:pPr>
        <w:keepNext w:val="0"/>
        <w:keepLines w:val="0"/>
        <w:pageBreakBefore w:val="0"/>
        <w:widowControl/>
        <w:kinsoku/>
        <w:wordWrap/>
        <w:overflowPunct/>
        <w:topLinePunct w:val="0"/>
        <w:autoSpaceDE/>
        <w:autoSpaceDN/>
        <w:bidi w:val="0"/>
        <w:adjustRightInd/>
        <w:snapToGrid/>
        <w:spacing w:line="420" w:lineRule="exact"/>
        <w:jc w:val="left"/>
        <w:textAlignment w:val="auto"/>
        <w:rPr>
          <w:rFonts w:hint="default" w:cs="宋体"/>
          <w:bCs/>
          <w:color w:val="auto"/>
          <w:sz w:val="24"/>
          <w:szCs w:val="24"/>
          <w:highlight w:val="none"/>
          <w:shd w:val="clear" w:color="auto" w:fill="auto"/>
          <w:lang w:val="en-US" w:eastAsia="zh-CN"/>
        </w:rPr>
      </w:pPr>
      <w:r>
        <w:rPr>
          <w:rFonts w:hint="eastAsia" w:cs="宋体"/>
          <w:bCs/>
          <w:color w:val="auto"/>
          <w:sz w:val="24"/>
          <w:szCs w:val="24"/>
          <w:highlight w:val="none"/>
          <w:shd w:val="clear" w:color="auto" w:fill="auto"/>
          <w:lang w:val="en-US" w:eastAsia="zh-CN"/>
        </w:rPr>
        <w:t>11.乙方应</w:t>
      </w:r>
      <w:r>
        <w:rPr>
          <w:rFonts w:hint="eastAsia" w:cs="宋体"/>
          <w:bCs/>
          <w:color w:val="auto"/>
          <w:sz w:val="24"/>
          <w:szCs w:val="24"/>
          <w:highlight w:val="none"/>
          <w:shd w:val="clear" w:color="auto" w:fill="auto"/>
        </w:rPr>
        <w:t>协助</w:t>
      </w:r>
      <w:r>
        <w:rPr>
          <w:rFonts w:hint="eastAsia" w:cs="宋体"/>
          <w:bCs/>
          <w:color w:val="auto"/>
          <w:sz w:val="24"/>
          <w:szCs w:val="24"/>
          <w:highlight w:val="none"/>
          <w:shd w:val="clear" w:color="auto" w:fill="auto"/>
          <w:lang w:val="en-US" w:eastAsia="zh-CN"/>
        </w:rPr>
        <w:t>甲方</w:t>
      </w:r>
      <w:r>
        <w:rPr>
          <w:rFonts w:hint="eastAsia" w:cs="宋体"/>
          <w:bCs/>
          <w:color w:val="auto"/>
          <w:sz w:val="24"/>
          <w:szCs w:val="24"/>
          <w:highlight w:val="none"/>
          <w:shd w:val="clear" w:color="auto" w:fill="auto"/>
        </w:rPr>
        <w:t>制定岗位作业规范和管理制度</w:t>
      </w:r>
      <w:r>
        <w:rPr>
          <w:rFonts w:hint="eastAsia" w:cs="宋体"/>
          <w:bCs/>
          <w:color w:val="auto"/>
          <w:sz w:val="24"/>
          <w:szCs w:val="24"/>
          <w:highlight w:val="none"/>
          <w:shd w:val="clear" w:color="auto" w:fill="auto"/>
          <w:lang w:eastAsia="zh-CN"/>
        </w:rPr>
        <w:t>。</w:t>
      </w:r>
      <w:r>
        <w:rPr>
          <w:rFonts w:hint="default" w:cs="宋体"/>
          <w:bCs/>
          <w:color w:val="auto"/>
          <w:sz w:val="24"/>
          <w:szCs w:val="24"/>
          <w:highlight w:val="none"/>
          <w:shd w:val="clear" w:color="auto" w:fill="auto"/>
          <w:lang w:val="en-US" w:eastAsia="zh-CN"/>
        </w:rPr>
        <w:t>在设备/系统运行初期一段时间内，现场监督设备/系统运行，并培训</w:t>
      </w:r>
      <w:r>
        <w:rPr>
          <w:rFonts w:hint="eastAsia" w:cs="宋体"/>
          <w:bCs/>
          <w:color w:val="auto"/>
          <w:sz w:val="24"/>
          <w:szCs w:val="24"/>
          <w:highlight w:val="none"/>
          <w:shd w:val="clear" w:color="auto" w:fill="auto"/>
          <w:lang w:val="en-US" w:eastAsia="zh-CN"/>
        </w:rPr>
        <w:t>甲方</w:t>
      </w:r>
      <w:r>
        <w:rPr>
          <w:rFonts w:hint="default" w:cs="宋体"/>
          <w:bCs/>
          <w:color w:val="auto"/>
          <w:sz w:val="24"/>
          <w:szCs w:val="24"/>
          <w:highlight w:val="none"/>
          <w:shd w:val="clear" w:color="auto" w:fill="auto"/>
          <w:lang w:val="en-US" w:eastAsia="zh-CN"/>
        </w:rPr>
        <w:t>的维护人员，保证设备/系统的正常运行，并提供所开发接口程序的安装介质，保证</w:t>
      </w:r>
      <w:r>
        <w:rPr>
          <w:rFonts w:hint="eastAsia" w:cs="宋体"/>
          <w:bCs/>
          <w:color w:val="auto"/>
          <w:sz w:val="24"/>
          <w:szCs w:val="24"/>
          <w:highlight w:val="none"/>
          <w:shd w:val="clear" w:color="auto" w:fill="auto"/>
          <w:lang w:val="en-US" w:eastAsia="zh-CN"/>
        </w:rPr>
        <w:t>甲方</w:t>
      </w:r>
      <w:r>
        <w:rPr>
          <w:rFonts w:hint="default" w:cs="宋体"/>
          <w:bCs/>
          <w:color w:val="auto"/>
          <w:sz w:val="24"/>
          <w:szCs w:val="24"/>
          <w:highlight w:val="none"/>
          <w:shd w:val="clear" w:color="auto" w:fill="auto"/>
          <w:lang w:val="en-US" w:eastAsia="zh-CN"/>
        </w:rPr>
        <w:t>不会因此而耽误系统运行。根据</w:t>
      </w:r>
      <w:r>
        <w:rPr>
          <w:rFonts w:hint="eastAsia" w:cs="宋体"/>
          <w:bCs/>
          <w:color w:val="auto"/>
          <w:sz w:val="24"/>
          <w:szCs w:val="24"/>
          <w:highlight w:val="none"/>
          <w:shd w:val="clear" w:color="auto" w:fill="auto"/>
          <w:lang w:val="en-US" w:eastAsia="zh-CN"/>
        </w:rPr>
        <w:t>甲方</w:t>
      </w:r>
      <w:r>
        <w:rPr>
          <w:rFonts w:hint="default" w:cs="宋体"/>
          <w:bCs/>
          <w:color w:val="auto"/>
          <w:sz w:val="24"/>
          <w:szCs w:val="24"/>
          <w:highlight w:val="none"/>
          <w:shd w:val="clear" w:color="auto" w:fill="auto"/>
          <w:lang w:val="en-US" w:eastAsia="zh-CN"/>
        </w:rPr>
        <w:t>的要求，负责制定系统维护计划。每年（不少于四次，按照</w:t>
      </w:r>
      <w:r>
        <w:rPr>
          <w:rFonts w:hint="eastAsia" w:cs="宋体"/>
          <w:bCs/>
          <w:color w:val="auto"/>
          <w:sz w:val="24"/>
          <w:szCs w:val="24"/>
          <w:highlight w:val="none"/>
          <w:shd w:val="clear" w:color="auto" w:fill="auto"/>
          <w:lang w:val="en-US" w:eastAsia="zh-CN"/>
        </w:rPr>
        <w:t>甲方</w:t>
      </w:r>
      <w:r>
        <w:rPr>
          <w:rFonts w:hint="default" w:cs="宋体"/>
          <w:bCs/>
          <w:color w:val="auto"/>
          <w:sz w:val="24"/>
          <w:szCs w:val="24"/>
          <w:highlight w:val="none"/>
          <w:shd w:val="clear" w:color="auto" w:fill="auto"/>
          <w:lang w:val="en-US" w:eastAsia="zh-CN"/>
        </w:rPr>
        <w:t>要求）派专家到现场，对所提供设备进行巡视检查，并提出相应的巡检报告。巡检主要内容：检查设备运行情况，解决</w:t>
      </w:r>
      <w:r>
        <w:rPr>
          <w:rFonts w:hint="eastAsia" w:cs="宋体"/>
          <w:bCs/>
          <w:color w:val="auto"/>
          <w:sz w:val="24"/>
          <w:szCs w:val="24"/>
          <w:highlight w:val="none"/>
          <w:shd w:val="clear" w:color="auto" w:fill="auto"/>
          <w:lang w:val="en-US" w:eastAsia="zh-CN"/>
        </w:rPr>
        <w:t>甲方</w:t>
      </w:r>
      <w:r>
        <w:rPr>
          <w:rFonts w:hint="default" w:cs="宋体"/>
          <w:bCs/>
          <w:color w:val="auto"/>
          <w:sz w:val="24"/>
          <w:szCs w:val="24"/>
          <w:highlight w:val="none"/>
          <w:shd w:val="clear" w:color="auto" w:fill="auto"/>
          <w:lang w:val="en-US" w:eastAsia="zh-CN"/>
        </w:rPr>
        <w:t>遇到的问题。</w:t>
      </w:r>
    </w:p>
    <w:p w14:paraId="5DC6FC36">
      <w:pPr>
        <w:pStyle w:val="29"/>
        <w:keepNext w:val="0"/>
        <w:keepLines w:val="0"/>
        <w:pageBreakBefore w:val="0"/>
        <w:widowControl w:val="0"/>
        <w:kinsoku/>
        <w:wordWrap/>
        <w:overflowPunct/>
        <w:topLinePunct w:val="0"/>
        <w:bidi w:val="0"/>
        <w:spacing w:beforeLines="0" w:afterLines="0" w:line="420" w:lineRule="exact"/>
        <w:ind w:left="0" w:leftChars="0"/>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十</w:t>
      </w:r>
      <w:r>
        <w:rPr>
          <w:rFonts w:hint="eastAsia" w:ascii="宋体" w:hAnsi="宋体" w:eastAsia="宋体" w:cs="宋体"/>
          <w:b/>
          <w:color w:val="auto"/>
          <w:sz w:val="24"/>
          <w:szCs w:val="24"/>
          <w:highlight w:val="none"/>
          <w:lang w:val="en-US" w:eastAsia="zh-CN"/>
        </w:rPr>
        <w:t>三</w:t>
      </w:r>
      <w:r>
        <w:rPr>
          <w:rFonts w:hint="eastAsia" w:ascii="宋体" w:hAnsi="宋体" w:eastAsia="宋体" w:cs="宋体"/>
          <w:b/>
          <w:color w:val="auto"/>
          <w:sz w:val="24"/>
          <w:szCs w:val="24"/>
          <w:highlight w:val="none"/>
          <w:lang w:eastAsia="zh-CN"/>
        </w:rPr>
        <w:t>、安装、调试和验收要求</w:t>
      </w:r>
    </w:p>
    <w:p w14:paraId="27619AE2">
      <w:pPr>
        <w:pStyle w:val="29"/>
        <w:keepNext w:val="0"/>
        <w:keepLines w:val="0"/>
        <w:pageBreakBefore w:val="0"/>
        <w:widowControl w:val="0"/>
        <w:kinsoku/>
        <w:wordWrap/>
        <w:overflowPunct/>
        <w:topLinePunct w:val="0"/>
        <w:bidi w:val="0"/>
        <w:spacing w:beforeLines="0" w:afterLines="0" w:line="420" w:lineRule="exact"/>
        <w:ind w:left="0" w:leftChars="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（一）</w:t>
      </w:r>
      <w:r>
        <w:rPr>
          <w:rFonts w:hint="eastAsia" w:hAnsi="宋体" w:cs="宋体"/>
          <w:color w:val="auto"/>
          <w:sz w:val="24"/>
          <w:szCs w:val="24"/>
          <w:highlight w:val="none"/>
          <w:lang w:val="en-US" w:eastAsia="zh-CN"/>
        </w:rPr>
        <w:t>乙方</w:t>
      </w:r>
      <w:r>
        <w:rPr>
          <w:rFonts w:hint="eastAsia" w:ascii="宋体" w:hAnsi="宋体" w:eastAsia="宋体" w:cs="宋体"/>
          <w:color w:val="auto"/>
          <w:sz w:val="24"/>
          <w:szCs w:val="24"/>
          <w:highlight w:val="none"/>
          <w:lang w:eastAsia="zh-CN"/>
        </w:rPr>
        <w:t>对制造、运输、安装、调试、试运行等负责。</w:t>
      </w:r>
    </w:p>
    <w:p w14:paraId="5EF931FA">
      <w:pPr>
        <w:pStyle w:val="29"/>
        <w:keepNext w:val="0"/>
        <w:keepLines w:val="0"/>
        <w:pageBreakBefore w:val="0"/>
        <w:widowControl w:val="0"/>
        <w:kinsoku/>
        <w:wordWrap/>
        <w:overflowPunct/>
        <w:topLinePunct w:val="0"/>
        <w:bidi w:val="0"/>
        <w:spacing w:beforeLines="0" w:afterLines="0" w:line="420" w:lineRule="exact"/>
        <w:ind w:left="0" w:leftChars="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（二）</w:t>
      </w:r>
      <w:r>
        <w:rPr>
          <w:rFonts w:hint="eastAsia" w:hAnsi="宋体" w:cs="宋体"/>
          <w:color w:val="auto"/>
          <w:sz w:val="24"/>
          <w:szCs w:val="24"/>
          <w:highlight w:val="none"/>
          <w:lang w:val="en-US" w:eastAsia="zh-CN"/>
        </w:rPr>
        <w:t>乙方</w:t>
      </w:r>
      <w:r>
        <w:rPr>
          <w:rFonts w:hint="eastAsia" w:ascii="宋体" w:hAnsi="宋体" w:eastAsia="宋体" w:cs="宋体"/>
          <w:color w:val="auto"/>
          <w:sz w:val="24"/>
          <w:szCs w:val="24"/>
          <w:highlight w:val="none"/>
          <w:lang w:eastAsia="zh-CN"/>
        </w:rPr>
        <w:t>有责任检查安装现场是否符合产品安装条件。</w:t>
      </w:r>
    </w:p>
    <w:p w14:paraId="275B4399">
      <w:pPr>
        <w:pStyle w:val="29"/>
        <w:keepNext w:val="0"/>
        <w:keepLines w:val="0"/>
        <w:pageBreakBefore w:val="0"/>
        <w:widowControl w:val="0"/>
        <w:kinsoku/>
        <w:wordWrap/>
        <w:overflowPunct/>
        <w:topLinePunct w:val="0"/>
        <w:bidi w:val="0"/>
        <w:spacing w:beforeLines="0" w:afterLines="0" w:line="420" w:lineRule="exact"/>
        <w:ind w:left="0" w:leftChars="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（三）现场安装须符合国家的相关条例，服从监理单位和</w:t>
      </w:r>
      <w:r>
        <w:rPr>
          <w:rFonts w:hint="eastAsia" w:hAnsi="宋体" w:cs="宋体"/>
          <w:color w:val="auto"/>
          <w:sz w:val="24"/>
          <w:szCs w:val="24"/>
          <w:highlight w:val="none"/>
          <w:lang w:val="en-US" w:eastAsia="zh-CN"/>
        </w:rPr>
        <w:t>甲方</w:t>
      </w:r>
      <w:r>
        <w:rPr>
          <w:rFonts w:hint="eastAsia" w:ascii="宋体" w:hAnsi="宋体" w:eastAsia="宋体" w:cs="宋体"/>
          <w:color w:val="auto"/>
          <w:sz w:val="24"/>
          <w:szCs w:val="24"/>
          <w:highlight w:val="none"/>
          <w:lang w:eastAsia="zh-CN"/>
        </w:rPr>
        <w:t>的管理和检查。</w:t>
      </w:r>
    </w:p>
    <w:p w14:paraId="139FCC20">
      <w:pPr>
        <w:pStyle w:val="29"/>
        <w:keepNext w:val="0"/>
        <w:keepLines w:val="0"/>
        <w:pageBreakBefore w:val="0"/>
        <w:widowControl w:val="0"/>
        <w:kinsoku/>
        <w:wordWrap/>
        <w:overflowPunct/>
        <w:topLinePunct w:val="0"/>
        <w:bidi w:val="0"/>
        <w:spacing w:beforeLines="0" w:afterLines="0" w:line="420" w:lineRule="exact"/>
        <w:ind w:left="0" w:leftChars="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（四）</w:t>
      </w:r>
      <w:r>
        <w:rPr>
          <w:rFonts w:hint="eastAsia" w:hAnsi="宋体" w:cs="宋体"/>
          <w:color w:val="auto"/>
          <w:sz w:val="24"/>
          <w:szCs w:val="24"/>
          <w:highlight w:val="none"/>
          <w:lang w:val="en-US" w:eastAsia="zh-CN"/>
        </w:rPr>
        <w:t>乙方</w:t>
      </w:r>
      <w:r>
        <w:rPr>
          <w:rFonts w:hint="eastAsia" w:ascii="宋体" w:hAnsi="宋体" w:eastAsia="宋体" w:cs="宋体"/>
          <w:color w:val="auto"/>
          <w:sz w:val="24"/>
          <w:szCs w:val="24"/>
          <w:highlight w:val="none"/>
          <w:lang w:eastAsia="zh-CN"/>
        </w:rPr>
        <w:t>应派专业工程师在现场负责测试和调试，以检测其设计、制造、运行效果等</w:t>
      </w:r>
      <w:r>
        <w:rPr>
          <w:rFonts w:hint="eastAsia"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并提供所有测试和调试所需的工具、材料、仪器和劳务人员。</w:t>
      </w:r>
    </w:p>
    <w:p w14:paraId="4F39F87B">
      <w:pPr>
        <w:pStyle w:val="29"/>
        <w:keepNext w:val="0"/>
        <w:keepLines w:val="0"/>
        <w:pageBreakBefore w:val="0"/>
        <w:widowControl w:val="0"/>
        <w:kinsoku/>
        <w:wordWrap/>
        <w:overflowPunct/>
        <w:topLinePunct w:val="0"/>
        <w:bidi w:val="0"/>
        <w:spacing w:beforeLines="0" w:afterLines="0" w:line="420" w:lineRule="exact"/>
        <w:ind w:left="0" w:leftChars="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（五）设备试运行应在有关部门及</w:t>
      </w:r>
      <w:r>
        <w:rPr>
          <w:rFonts w:hint="eastAsia" w:hAnsi="宋体" w:cs="宋体"/>
          <w:color w:val="auto"/>
          <w:sz w:val="24"/>
          <w:szCs w:val="24"/>
          <w:highlight w:val="none"/>
          <w:lang w:val="en-US" w:eastAsia="zh-CN"/>
        </w:rPr>
        <w:t>甲方</w:t>
      </w:r>
      <w:r>
        <w:rPr>
          <w:rFonts w:hint="eastAsia" w:ascii="宋体" w:hAnsi="宋体" w:eastAsia="宋体" w:cs="宋体"/>
          <w:color w:val="auto"/>
          <w:sz w:val="24"/>
          <w:szCs w:val="24"/>
          <w:highlight w:val="none"/>
          <w:lang w:eastAsia="zh-CN"/>
        </w:rPr>
        <w:t>有关人员的监督下进行。</w:t>
      </w:r>
    </w:p>
    <w:p w14:paraId="5EC2C563">
      <w:pPr>
        <w:pStyle w:val="29"/>
        <w:keepNext w:val="0"/>
        <w:keepLines w:val="0"/>
        <w:pageBreakBefore w:val="0"/>
        <w:widowControl w:val="0"/>
        <w:kinsoku/>
        <w:wordWrap/>
        <w:overflowPunct/>
        <w:topLinePunct w:val="0"/>
        <w:bidi w:val="0"/>
        <w:spacing w:beforeLines="0" w:afterLines="0" w:line="420" w:lineRule="exact"/>
        <w:ind w:left="0" w:leftChars="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（六）验收</w:t>
      </w:r>
    </w:p>
    <w:p w14:paraId="65FA5A66">
      <w:pPr>
        <w:pStyle w:val="29"/>
        <w:keepNext w:val="0"/>
        <w:keepLines w:val="0"/>
        <w:pageBreakBefore w:val="0"/>
        <w:widowControl w:val="0"/>
        <w:kinsoku/>
        <w:wordWrap/>
        <w:overflowPunct/>
        <w:topLinePunct w:val="0"/>
        <w:bidi w:val="0"/>
        <w:spacing w:beforeLines="0" w:afterLines="0" w:line="420" w:lineRule="exact"/>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1、产品保护</w:t>
      </w:r>
    </w:p>
    <w:p w14:paraId="7C3D4E4B">
      <w:pPr>
        <w:pStyle w:val="29"/>
        <w:keepNext w:val="0"/>
        <w:keepLines w:val="0"/>
        <w:pageBreakBefore w:val="0"/>
        <w:widowControl w:val="0"/>
        <w:kinsoku/>
        <w:wordWrap/>
        <w:overflowPunct/>
        <w:topLinePunct w:val="0"/>
        <w:bidi w:val="0"/>
        <w:spacing w:beforeLines="0" w:afterLines="0" w:line="420" w:lineRule="exact"/>
        <w:ind w:left="0" w:leftChars="0"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工程完成后，</w:t>
      </w:r>
      <w:r>
        <w:rPr>
          <w:rFonts w:hint="eastAsia" w:hAnsi="宋体" w:cs="宋体"/>
          <w:color w:val="auto"/>
          <w:sz w:val="24"/>
          <w:szCs w:val="24"/>
          <w:highlight w:val="none"/>
          <w:lang w:val="en-US" w:eastAsia="zh-CN"/>
        </w:rPr>
        <w:t>乙方</w:t>
      </w:r>
      <w:r>
        <w:rPr>
          <w:rFonts w:hint="eastAsia" w:ascii="宋体" w:hAnsi="宋体" w:eastAsia="宋体" w:cs="宋体"/>
          <w:color w:val="auto"/>
          <w:sz w:val="24"/>
          <w:szCs w:val="24"/>
          <w:highlight w:val="none"/>
          <w:lang w:eastAsia="zh-CN"/>
        </w:rPr>
        <w:t>须负责全部设备的保护和清洁工作，直至设备验收合格并正常运行后为止。在安装过程中，如由于</w:t>
      </w:r>
      <w:r>
        <w:rPr>
          <w:rFonts w:hint="eastAsia" w:hAnsi="宋体" w:cs="宋体"/>
          <w:color w:val="auto"/>
          <w:sz w:val="24"/>
          <w:szCs w:val="24"/>
          <w:highlight w:val="none"/>
          <w:lang w:val="en-US" w:eastAsia="zh-CN"/>
        </w:rPr>
        <w:t>乙方</w:t>
      </w:r>
      <w:r>
        <w:rPr>
          <w:rFonts w:hint="eastAsia" w:ascii="宋体" w:hAnsi="宋体" w:eastAsia="宋体" w:cs="宋体"/>
          <w:color w:val="auto"/>
          <w:sz w:val="24"/>
          <w:szCs w:val="24"/>
          <w:highlight w:val="none"/>
          <w:lang w:eastAsia="zh-CN"/>
        </w:rPr>
        <w:t>原因导致建筑结构或其它设备被损坏，</w:t>
      </w:r>
      <w:r>
        <w:rPr>
          <w:rFonts w:hint="eastAsia" w:hAnsi="宋体" w:cs="宋体"/>
          <w:color w:val="auto"/>
          <w:sz w:val="24"/>
          <w:szCs w:val="24"/>
          <w:highlight w:val="none"/>
          <w:lang w:val="en-US" w:eastAsia="zh-CN"/>
        </w:rPr>
        <w:t>乙方</w:t>
      </w:r>
      <w:r>
        <w:rPr>
          <w:rFonts w:hint="eastAsia" w:ascii="宋体" w:hAnsi="宋体" w:eastAsia="宋体" w:cs="宋体"/>
          <w:color w:val="auto"/>
          <w:sz w:val="24"/>
          <w:szCs w:val="24"/>
          <w:highlight w:val="none"/>
          <w:lang w:eastAsia="zh-CN"/>
        </w:rPr>
        <w:t>将要负责修理或赔偿损失。</w:t>
      </w:r>
    </w:p>
    <w:p w14:paraId="04AF7D23">
      <w:pPr>
        <w:pStyle w:val="29"/>
        <w:keepNext w:val="0"/>
        <w:keepLines w:val="0"/>
        <w:pageBreakBefore w:val="0"/>
        <w:widowControl w:val="0"/>
        <w:kinsoku/>
        <w:wordWrap/>
        <w:overflowPunct/>
        <w:topLinePunct w:val="0"/>
        <w:bidi w:val="0"/>
        <w:spacing w:beforeLines="0" w:afterLines="0" w:line="420" w:lineRule="exact"/>
        <w:ind w:left="0" w:leftChars="0"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2、验收合格条件</w:t>
      </w:r>
    </w:p>
    <w:p w14:paraId="25FFC565">
      <w:pPr>
        <w:pStyle w:val="29"/>
        <w:keepNext w:val="0"/>
        <w:keepLines w:val="0"/>
        <w:pageBreakBefore w:val="0"/>
        <w:widowControl w:val="0"/>
        <w:kinsoku/>
        <w:wordWrap/>
        <w:overflowPunct/>
        <w:topLinePunct w:val="0"/>
        <w:bidi w:val="0"/>
        <w:spacing w:beforeLines="0" w:afterLines="0" w:line="420" w:lineRule="exact"/>
        <w:ind w:left="0" w:leftChars="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（1）运行结果符合产品标准和技术规格书及合同要求。</w:t>
      </w:r>
    </w:p>
    <w:p w14:paraId="3046C345">
      <w:pPr>
        <w:pStyle w:val="29"/>
        <w:keepNext w:val="0"/>
        <w:keepLines w:val="0"/>
        <w:pageBreakBefore w:val="0"/>
        <w:widowControl w:val="0"/>
        <w:kinsoku/>
        <w:wordWrap/>
        <w:overflowPunct/>
        <w:topLinePunct w:val="0"/>
        <w:bidi w:val="0"/>
        <w:spacing w:beforeLines="0" w:afterLines="0" w:line="420" w:lineRule="exact"/>
        <w:ind w:left="0" w:leftChars="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（2）在进行测试和验收运行过程中发生的故障已被消除并得到</w:t>
      </w:r>
      <w:r>
        <w:rPr>
          <w:rFonts w:hint="eastAsia" w:hAnsi="宋体" w:cs="宋体"/>
          <w:color w:val="auto"/>
          <w:sz w:val="24"/>
          <w:szCs w:val="24"/>
          <w:highlight w:val="none"/>
          <w:lang w:val="en-US" w:eastAsia="zh-CN"/>
        </w:rPr>
        <w:t>甲方</w:t>
      </w:r>
      <w:r>
        <w:rPr>
          <w:rFonts w:hint="eastAsia" w:ascii="宋体" w:hAnsi="宋体" w:eastAsia="宋体" w:cs="宋体"/>
          <w:color w:val="auto"/>
          <w:sz w:val="24"/>
          <w:szCs w:val="24"/>
          <w:highlight w:val="none"/>
          <w:lang w:eastAsia="zh-CN"/>
        </w:rPr>
        <w:t>的认可。</w:t>
      </w:r>
    </w:p>
    <w:p w14:paraId="1C2F0C25">
      <w:pPr>
        <w:pStyle w:val="29"/>
        <w:keepNext w:val="0"/>
        <w:keepLines w:val="0"/>
        <w:pageBreakBefore w:val="0"/>
        <w:widowControl w:val="0"/>
        <w:kinsoku/>
        <w:wordWrap/>
        <w:overflowPunct/>
        <w:topLinePunct w:val="0"/>
        <w:bidi w:val="0"/>
        <w:spacing w:beforeLines="0" w:afterLines="0" w:line="420" w:lineRule="exact"/>
        <w:ind w:left="0" w:leftChars="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（3）所有合同中规定的货物和材料都已提交。</w:t>
      </w:r>
    </w:p>
    <w:p w14:paraId="55EA6BD2">
      <w:pPr>
        <w:pStyle w:val="29"/>
        <w:keepNext w:val="0"/>
        <w:keepLines w:val="0"/>
        <w:pageBreakBefore w:val="0"/>
        <w:widowControl w:val="0"/>
        <w:kinsoku/>
        <w:wordWrap/>
        <w:overflowPunct/>
        <w:topLinePunct w:val="0"/>
        <w:bidi w:val="0"/>
        <w:spacing w:beforeLines="0" w:afterLines="0" w:line="420" w:lineRule="exact"/>
        <w:ind w:left="0" w:leftChars="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（4）交由</w:t>
      </w:r>
      <w:r>
        <w:rPr>
          <w:rFonts w:hint="eastAsia" w:hAnsi="宋体" w:cs="宋体"/>
          <w:color w:val="auto"/>
          <w:sz w:val="24"/>
          <w:szCs w:val="24"/>
          <w:highlight w:val="none"/>
          <w:lang w:val="en-US" w:eastAsia="zh-CN"/>
        </w:rPr>
        <w:t>甲方</w:t>
      </w:r>
      <w:r>
        <w:rPr>
          <w:rFonts w:hint="eastAsia" w:ascii="宋体" w:hAnsi="宋体" w:eastAsia="宋体" w:cs="宋体"/>
          <w:color w:val="auto"/>
          <w:sz w:val="24"/>
          <w:szCs w:val="24"/>
          <w:highlight w:val="none"/>
          <w:lang w:eastAsia="zh-CN"/>
        </w:rPr>
        <w:t>使用之前已通过有关部门的验收。</w:t>
      </w:r>
    </w:p>
    <w:p w14:paraId="28339452">
      <w:pPr>
        <w:pStyle w:val="29"/>
        <w:keepNext w:val="0"/>
        <w:keepLines w:val="0"/>
        <w:pageBreakBefore w:val="0"/>
        <w:widowControl w:val="0"/>
        <w:kinsoku/>
        <w:wordWrap/>
        <w:overflowPunct/>
        <w:topLinePunct w:val="0"/>
        <w:bidi w:val="0"/>
        <w:spacing w:beforeLines="0" w:afterLines="0" w:line="420" w:lineRule="exact"/>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（5）整套设备图纸及技术文件都已提交并得到接受。</w:t>
      </w:r>
    </w:p>
    <w:p w14:paraId="653574A0">
      <w:pPr>
        <w:pStyle w:val="29"/>
        <w:keepNext w:val="0"/>
        <w:keepLines w:val="0"/>
        <w:pageBreakBefore w:val="0"/>
        <w:widowControl w:val="0"/>
        <w:kinsoku/>
        <w:wordWrap/>
        <w:overflowPunct/>
        <w:topLinePunct w:val="0"/>
        <w:bidi w:val="0"/>
        <w:spacing w:beforeLines="0" w:afterLines="0" w:line="420" w:lineRule="exact"/>
        <w:ind w:firstLine="240" w:firstLineChars="1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（七）技术培训</w:t>
      </w:r>
    </w:p>
    <w:p w14:paraId="0A2D930D">
      <w:pPr>
        <w:pStyle w:val="29"/>
        <w:keepNext w:val="0"/>
        <w:keepLines w:val="0"/>
        <w:pageBreakBefore w:val="0"/>
        <w:widowControl w:val="0"/>
        <w:kinsoku/>
        <w:wordWrap/>
        <w:overflowPunct/>
        <w:topLinePunct w:val="0"/>
        <w:bidi w:val="0"/>
        <w:spacing w:beforeLines="0" w:afterLines="0" w:line="420" w:lineRule="exact"/>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hAnsi="宋体" w:cs="宋体"/>
          <w:color w:val="auto"/>
          <w:sz w:val="24"/>
          <w:szCs w:val="24"/>
          <w:highlight w:val="none"/>
          <w:lang w:val="en-US" w:eastAsia="zh-CN"/>
        </w:rPr>
        <w:t>乙方</w:t>
      </w:r>
      <w:r>
        <w:rPr>
          <w:rFonts w:hint="eastAsia" w:ascii="宋体" w:hAnsi="宋体" w:eastAsia="宋体" w:cs="宋体"/>
          <w:color w:val="auto"/>
          <w:sz w:val="24"/>
          <w:szCs w:val="24"/>
          <w:highlight w:val="none"/>
          <w:lang w:eastAsia="zh-CN"/>
        </w:rPr>
        <w:t>须对</w:t>
      </w:r>
      <w:r>
        <w:rPr>
          <w:rFonts w:hint="eastAsia" w:hAnsi="宋体" w:cs="宋体"/>
          <w:color w:val="auto"/>
          <w:sz w:val="24"/>
          <w:szCs w:val="24"/>
          <w:highlight w:val="none"/>
          <w:lang w:val="en-US" w:eastAsia="zh-CN"/>
        </w:rPr>
        <w:t>甲方</w:t>
      </w:r>
      <w:r>
        <w:rPr>
          <w:rFonts w:hint="eastAsia" w:ascii="宋体" w:hAnsi="宋体" w:eastAsia="宋体" w:cs="宋体"/>
          <w:color w:val="auto"/>
          <w:sz w:val="24"/>
          <w:szCs w:val="24"/>
          <w:highlight w:val="none"/>
          <w:lang w:eastAsia="zh-CN"/>
        </w:rPr>
        <w:t>的技术人员、维修人员及操作人员进行培训。培训为工地培训。</w:t>
      </w:r>
    </w:p>
    <w:p w14:paraId="77C50331">
      <w:pPr>
        <w:pStyle w:val="29"/>
        <w:keepNext w:val="0"/>
        <w:keepLines w:val="0"/>
        <w:pageBreakBefore w:val="0"/>
        <w:widowControl w:val="0"/>
        <w:kinsoku/>
        <w:wordWrap/>
        <w:overflowPunct/>
        <w:topLinePunct w:val="0"/>
        <w:bidi w:val="0"/>
        <w:spacing w:beforeLines="0" w:afterLines="0" w:line="420" w:lineRule="exact"/>
        <w:ind w:left="0" w:leftChars="0"/>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十</w:t>
      </w:r>
      <w:r>
        <w:rPr>
          <w:rFonts w:hint="eastAsia" w:ascii="宋体" w:hAnsi="宋体" w:eastAsia="宋体" w:cs="宋体"/>
          <w:b/>
          <w:color w:val="auto"/>
          <w:sz w:val="24"/>
          <w:szCs w:val="24"/>
          <w:highlight w:val="none"/>
          <w:lang w:val="en-US" w:eastAsia="zh-CN"/>
        </w:rPr>
        <w:t>四</w:t>
      </w:r>
      <w:r>
        <w:rPr>
          <w:rFonts w:hint="eastAsia" w:ascii="宋体" w:hAnsi="宋体" w:eastAsia="宋体" w:cs="宋体"/>
          <w:b/>
          <w:color w:val="auto"/>
          <w:sz w:val="24"/>
          <w:szCs w:val="24"/>
          <w:highlight w:val="none"/>
          <w:lang w:eastAsia="zh-CN"/>
        </w:rPr>
        <w:t>、货物包装、发运及运输</w:t>
      </w:r>
    </w:p>
    <w:p w14:paraId="003F3327">
      <w:pPr>
        <w:pStyle w:val="29"/>
        <w:keepNext w:val="0"/>
        <w:keepLines w:val="0"/>
        <w:pageBreakBefore w:val="0"/>
        <w:widowControl w:val="0"/>
        <w:kinsoku/>
        <w:wordWrap/>
        <w:overflowPunct/>
        <w:topLinePunct w:val="0"/>
        <w:bidi w:val="0"/>
        <w:spacing w:beforeLines="0" w:afterLines="0" w:line="420" w:lineRule="exact"/>
        <w:ind w:left="0" w:leftChars="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1.乙方应在货物发运前对其进行满足运输距离、防潮、防震和防破损装卸等要求包装，以保证货物安全运达甲方指定地点。</w:t>
      </w:r>
    </w:p>
    <w:p w14:paraId="2DC3F287">
      <w:pPr>
        <w:pStyle w:val="29"/>
        <w:keepNext w:val="0"/>
        <w:keepLines w:val="0"/>
        <w:pageBreakBefore w:val="0"/>
        <w:widowControl w:val="0"/>
        <w:kinsoku/>
        <w:wordWrap/>
        <w:overflowPunct/>
        <w:topLinePunct w:val="0"/>
        <w:bidi w:val="0"/>
        <w:spacing w:beforeLines="0" w:afterLines="0" w:line="420" w:lineRule="exact"/>
        <w:ind w:left="0" w:leftChars="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2.使用说明书、质量检验证明书、随配附件和工具以及清单一并附于货物内。</w:t>
      </w:r>
    </w:p>
    <w:p w14:paraId="53FE70B9">
      <w:pPr>
        <w:pStyle w:val="29"/>
        <w:keepNext w:val="0"/>
        <w:keepLines w:val="0"/>
        <w:pageBreakBefore w:val="0"/>
        <w:widowControl w:val="0"/>
        <w:kinsoku/>
        <w:wordWrap/>
        <w:overflowPunct/>
        <w:topLinePunct w:val="0"/>
        <w:bidi w:val="0"/>
        <w:spacing w:beforeLines="0" w:afterLines="0" w:line="420" w:lineRule="exact"/>
        <w:ind w:left="0" w:leftChars="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3.乙方在货物发运手续办理完毕后24小时内或货到甲方48小时前通知甲方，以准备接货。</w:t>
      </w:r>
    </w:p>
    <w:p w14:paraId="3DCDF408">
      <w:pPr>
        <w:pStyle w:val="29"/>
        <w:keepNext w:val="0"/>
        <w:keepLines w:val="0"/>
        <w:pageBreakBefore w:val="0"/>
        <w:widowControl w:val="0"/>
        <w:kinsoku/>
        <w:wordWrap/>
        <w:overflowPunct/>
        <w:topLinePunct w:val="0"/>
        <w:bidi w:val="0"/>
        <w:spacing w:beforeLines="0" w:afterLines="0" w:line="420" w:lineRule="exact"/>
        <w:ind w:left="0" w:leftChars="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4.货物在交付甲方前发生的风险均由乙方负责。</w:t>
      </w:r>
    </w:p>
    <w:p w14:paraId="26B1389B">
      <w:pPr>
        <w:pStyle w:val="14"/>
        <w:keepNext w:val="0"/>
        <w:keepLines w:val="0"/>
        <w:pageBreakBefore w:val="0"/>
        <w:widowControl w:val="0"/>
        <w:kinsoku/>
        <w:wordWrap/>
        <w:overflowPunct/>
        <w:topLinePunct w:val="0"/>
        <w:bidi w:val="0"/>
        <w:spacing w:line="420" w:lineRule="exact"/>
        <w:ind w:left="0" w:leftChars="0" w:firstLine="0" w:firstLineChars="0"/>
        <w:textAlignment w:val="auto"/>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5.货物在规定的交付期限内由乙方送达甲方指定的地点，乙方同时需通知甲方货物已送达。</w:t>
      </w:r>
    </w:p>
    <w:p w14:paraId="2DCE7A17">
      <w:pPr>
        <w:pStyle w:val="29"/>
        <w:keepNext w:val="0"/>
        <w:keepLines w:val="0"/>
        <w:pageBreakBefore w:val="0"/>
        <w:widowControl w:val="0"/>
        <w:kinsoku/>
        <w:wordWrap/>
        <w:overflowPunct/>
        <w:topLinePunct w:val="0"/>
        <w:bidi w:val="0"/>
        <w:spacing w:beforeLines="0" w:afterLines="0" w:line="420" w:lineRule="exact"/>
        <w:ind w:left="0" w:leftChars="0"/>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十</w:t>
      </w:r>
      <w:r>
        <w:rPr>
          <w:rFonts w:hint="eastAsia" w:ascii="宋体" w:hAnsi="宋体" w:eastAsia="宋体" w:cs="宋体"/>
          <w:b/>
          <w:color w:val="auto"/>
          <w:sz w:val="24"/>
          <w:szCs w:val="24"/>
          <w:highlight w:val="none"/>
          <w:lang w:val="en-US" w:eastAsia="zh-CN"/>
        </w:rPr>
        <w:t>五</w:t>
      </w:r>
      <w:r>
        <w:rPr>
          <w:rFonts w:hint="eastAsia" w:ascii="宋体" w:hAnsi="宋体" w:eastAsia="宋体" w:cs="宋体"/>
          <w:b/>
          <w:color w:val="auto"/>
          <w:sz w:val="24"/>
          <w:szCs w:val="24"/>
          <w:highlight w:val="none"/>
          <w:lang w:eastAsia="zh-CN"/>
        </w:rPr>
        <w:t>、违约责任</w:t>
      </w:r>
    </w:p>
    <w:p w14:paraId="4AA6316B">
      <w:pPr>
        <w:pStyle w:val="29"/>
        <w:keepNext w:val="0"/>
        <w:keepLines w:val="0"/>
        <w:pageBreakBefore w:val="0"/>
        <w:widowControl w:val="0"/>
        <w:kinsoku/>
        <w:wordWrap/>
        <w:overflowPunct/>
        <w:topLinePunct w:val="0"/>
        <w:bidi w:val="0"/>
        <w:snapToGrid w:val="0"/>
        <w:spacing w:beforeLines="0" w:afterLines="0" w:line="420" w:lineRule="exact"/>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1.施工总承包单位</w:t>
      </w:r>
      <w:r>
        <w:rPr>
          <w:rFonts w:hint="eastAsia"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临海大诚建设工程有限公司</w:t>
      </w:r>
      <w:r>
        <w:rPr>
          <w:rFonts w:hint="eastAsia" w:hAnsi="宋体" w:cs="宋体"/>
          <w:color w:val="auto"/>
          <w:sz w:val="24"/>
          <w:szCs w:val="24"/>
          <w:highlight w:val="none"/>
          <w:lang w:eastAsia="zh-CN"/>
        </w:rPr>
        <w:t>）</w:t>
      </w:r>
      <w:r>
        <w:rPr>
          <w:rFonts w:hint="eastAsia" w:ascii="宋体" w:hAnsi="宋体" w:eastAsia="宋体" w:cs="宋体"/>
          <w:color w:val="auto"/>
          <w:sz w:val="24"/>
          <w:szCs w:val="24"/>
          <w:highlight w:val="none"/>
        </w:rPr>
        <w:t>无正当理由拒收货物的，施工总承包单位</w:t>
      </w:r>
      <w:r>
        <w:rPr>
          <w:rFonts w:hint="eastAsia"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临海大诚建设工程有限公司</w:t>
      </w:r>
      <w:r>
        <w:rPr>
          <w:rFonts w:hint="eastAsia" w:hAnsi="宋体" w:cs="宋体"/>
          <w:color w:val="auto"/>
          <w:sz w:val="24"/>
          <w:szCs w:val="24"/>
          <w:highlight w:val="none"/>
          <w:lang w:eastAsia="zh-CN"/>
        </w:rPr>
        <w:t>）</w:t>
      </w:r>
      <w:r>
        <w:rPr>
          <w:rFonts w:hint="eastAsia" w:ascii="宋体" w:hAnsi="宋体" w:eastAsia="宋体" w:cs="宋体"/>
          <w:color w:val="auto"/>
          <w:sz w:val="24"/>
          <w:szCs w:val="24"/>
          <w:highlight w:val="none"/>
        </w:rPr>
        <w:t>向乙方偿付拒收货款总值的百分之五违约金。</w:t>
      </w:r>
    </w:p>
    <w:p w14:paraId="528F5824">
      <w:pPr>
        <w:pStyle w:val="29"/>
        <w:keepNext w:val="0"/>
        <w:keepLines w:val="0"/>
        <w:pageBreakBefore w:val="0"/>
        <w:widowControl w:val="0"/>
        <w:kinsoku/>
        <w:wordWrap/>
        <w:overflowPunct/>
        <w:topLinePunct w:val="0"/>
        <w:bidi w:val="0"/>
        <w:snapToGrid w:val="0"/>
        <w:spacing w:beforeLines="0" w:afterLines="0" w:line="420" w:lineRule="exact"/>
        <w:ind w:left="0" w:left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2.施工总承包单位</w:t>
      </w:r>
      <w:r>
        <w:rPr>
          <w:rFonts w:hint="eastAsia"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临海大诚建设工程有限公司</w:t>
      </w:r>
      <w:r>
        <w:rPr>
          <w:rFonts w:hint="eastAsia" w:hAnsi="宋体" w:cs="宋体"/>
          <w:color w:val="auto"/>
          <w:sz w:val="24"/>
          <w:szCs w:val="24"/>
          <w:highlight w:val="none"/>
          <w:lang w:eastAsia="zh-CN"/>
        </w:rPr>
        <w:t>）</w:t>
      </w:r>
      <w:r>
        <w:rPr>
          <w:rFonts w:hint="eastAsia" w:ascii="宋体" w:hAnsi="宋体" w:eastAsia="宋体" w:cs="宋体"/>
          <w:color w:val="auto"/>
          <w:sz w:val="24"/>
          <w:szCs w:val="24"/>
          <w:highlight w:val="none"/>
        </w:rPr>
        <w:t>无故逾期验收和办理货款支付手续的,施工总承包单位</w:t>
      </w:r>
      <w:r>
        <w:rPr>
          <w:rFonts w:hint="eastAsia"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临海大诚建设工程有限公司</w:t>
      </w:r>
      <w:r>
        <w:rPr>
          <w:rFonts w:hint="eastAsia" w:hAnsi="宋体" w:cs="宋体"/>
          <w:color w:val="auto"/>
          <w:sz w:val="24"/>
          <w:szCs w:val="24"/>
          <w:highlight w:val="none"/>
          <w:lang w:eastAsia="zh-CN"/>
        </w:rPr>
        <w:t>）</w:t>
      </w:r>
      <w:r>
        <w:rPr>
          <w:rFonts w:hint="eastAsia" w:ascii="宋体" w:hAnsi="宋体" w:eastAsia="宋体" w:cs="宋体"/>
          <w:color w:val="auto"/>
          <w:sz w:val="24"/>
          <w:szCs w:val="24"/>
          <w:highlight w:val="none"/>
        </w:rPr>
        <w:t>应按逾期付款总额每日万分之</w:t>
      </w:r>
      <w:r>
        <w:rPr>
          <w:rFonts w:hint="eastAsia" w:hAnsi="宋体" w:cs="宋体"/>
          <w:color w:val="auto"/>
          <w:sz w:val="24"/>
          <w:szCs w:val="24"/>
          <w:highlight w:val="none"/>
          <w:lang w:val="en-US" w:eastAsia="zh-CN"/>
        </w:rPr>
        <w:t>一</w:t>
      </w:r>
      <w:r>
        <w:rPr>
          <w:rFonts w:hint="eastAsia" w:ascii="宋体" w:hAnsi="宋体" w:eastAsia="宋体" w:cs="宋体"/>
          <w:color w:val="auto"/>
          <w:sz w:val="24"/>
          <w:szCs w:val="24"/>
          <w:highlight w:val="none"/>
        </w:rPr>
        <w:t>向乙方支付违约金。</w:t>
      </w:r>
    </w:p>
    <w:p w14:paraId="3D1C9E9E">
      <w:pPr>
        <w:pStyle w:val="29"/>
        <w:keepNext w:val="0"/>
        <w:keepLines w:val="0"/>
        <w:pageBreakBefore w:val="0"/>
        <w:widowControl w:val="0"/>
        <w:kinsoku/>
        <w:wordWrap/>
        <w:overflowPunct/>
        <w:topLinePunct w:val="0"/>
        <w:bidi w:val="0"/>
        <w:snapToGrid w:val="0"/>
        <w:spacing w:beforeLines="0" w:afterLines="0" w:line="420" w:lineRule="exact"/>
        <w:ind w:left="0" w:left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w:t>
      </w:r>
      <w:r>
        <w:rPr>
          <w:rFonts w:hint="eastAsia" w:ascii="宋体" w:hAnsi="宋体" w:eastAsia="宋体" w:cs="宋体"/>
          <w:b w:val="0"/>
          <w:bCs w:val="0"/>
          <w:color w:val="auto"/>
          <w:sz w:val="24"/>
          <w:szCs w:val="24"/>
          <w:highlight w:val="none"/>
        </w:rPr>
        <w:t>逾期交付</w:t>
      </w:r>
      <w:r>
        <w:rPr>
          <w:rFonts w:hint="eastAsia" w:ascii="宋体" w:hAnsi="宋体" w:eastAsia="宋体" w:cs="宋体"/>
          <w:color w:val="auto"/>
          <w:sz w:val="24"/>
          <w:szCs w:val="24"/>
          <w:highlight w:val="none"/>
        </w:rPr>
        <w:t>货物的，乙方应按逾期交货总额每日千分之六向甲方</w:t>
      </w:r>
      <w:r>
        <w:rPr>
          <w:rFonts w:hint="eastAsia"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临海大诚建设工程有限公司</w:t>
      </w:r>
      <w:r>
        <w:rPr>
          <w:rFonts w:hint="eastAsia" w:hAnsi="宋体" w:cs="宋体"/>
          <w:color w:val="auto"/>
          <w:sz w:val="24"/>
          <w:szCs w:val="24"/>
          <w:highlight w:val="none"/>
          <w:lang w:eastAsia="zh-CN"/>
        </w:rPr>
        <w:t>）</w:t>
      </w:r>
      <w:r>
        <w:rPr>
          <w:rFonts w:hint="eastAsia" w:ascii="宋体" w:hAnsi="宋体" w:eastAsia="宋体" w:cs="宋体"/>
          <w:color w:val="auto"/>
          <w:sz w:val="24"/>
          <w:szCs w:val="24"/>
          <w:highlight w:val="none"/>
        </w:rPr>
        <w:t>支付违约金，由施工总承包单位</w:t>
      </w:r>
      <w:r>
        <w:rPr>
          <w:rFonts w:hint="eastAsia"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临海大诚建设工程有限公司</w:t>
      </w:r>
      <w:r>
        <w:rPr>
          <w:rFonts w:hint="eastAsia" w:hAnsi="宋体" w:cs="宋体"/>
          <w:color w:val="auto"/>
          <w:sz w:val="24"/>
          <w:szCs w:val="24"/>
          <w:highlight w:val="none"/>
          <w:lang w:eastAsia="zh-CN"/>
        </w:rPr>
        <w:t>）</w:t>
      </w:r>
      <w:r>
        <w:rPr>
          <w:rFonts w:hint="eastAsia" w:ascii="宋体" w:hAnsi="宋体" w:eastAsia="宋体" w:cs="宋体"/>
          <w:color w:val="auto"/>
          <w:sz w:val="24"/>
          <w:szCs w:val="24"/>
          <w:highlight w:val="none"/>
        </w:rPr>
        <w:t>从待付货款中扣除。逾期超过约定日期10个工作日不能交货的，施工总承包单位</w:t>
      </w:r>
      <w:r>
        <w:rPr>
          <w:rFonts w:hint="eastAsia"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临海大诚建设工程有限公司</w:t>
      </w:r>
      <w:r>
        <w:rPr>
          <w:rFonts w:hint="eastAsia" w:hAnsi="宋体" w:cs="宋体"/>
          <w:color w:val="auto"/>
          <w:sz w:val="24"/>
          <w:szCs w:val="24"/>
          <w:highlight w:val="none"/>
          <w:lang w:eastAsia="zh-CN"/>
        </w:rPr>
        <w:t>）</w:t>
      </w:r>
      <w:r>
        <w:rPr>
          <w:rFonts w:hint="eastAsia" w:ascii="宋体" w:hAnsi="宋体" w:eastAsia="宋体" w:cs="宋体"/>
          <w:color w:val="auto"/>
          <w:sz w:val="24"/>
          <w:szCs w:val="24"/>
          <w:highlight w:val="none"/>
        </w:rPr>
        <w:t>可解除本合同。乙方因逾期交货或因其他违约行为导致施工总承包单位</w:t>
      </w:r>
      <w:r>
        <w:rPr>
          <w:rFonts w:hint="eastAsia"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临海大诚建设工程有限公司</w:t>
      </w:r>
      <w:r>
        <w:rPr>
          <w:rFonts w:hint="eastAsia" w:hAnsi="宋体" w:cs="宋体"/>
          <w:color w:val="auto"/>
          <w:sz w:val="24"/>
          <w:szCs w:val="24"/>
          <w:highlight w:val="none"/>
          <w:lang w:eastAsia="zh-CN"/>
        </w:rPr>
        <w:t>）</w:t>
      </w:r>
      <w:r>
        <w:rPr>
          <w:rFonts w:hint="eastAsia" w:ascii="宋体" w:hAnsi="宋体" w:eastAsia="宋体" w:cs="宋体"/>
          <w:color w:val="auto"/>
          <w:sz w:val="24"/>
          <w:szCs w:val="24"/>
          <w:highlight w:val="none"/>
        </w:rPr>
        <w:t xml:space="preserve">解除合同的，履约保证金不予退回。 </w:t>
      </w:r>
    </w:p>
    <w:p w14:paraId="5946DB7F">
      <w:pPr>
        <w:pStyle w:val="29"/>
        <w:keepNext w:val="0"/>
        <w:keepLines w:val="0"/>
        <w:pageBreakBefore w:val="0"/>
        <w:widowControl w:val="0"/>
        <w:kinsoku/>
        <w:wordWrap/>
        <w:overflowPunct/>
        <w:topLinePunct w:val="0"/>
        <w:bidi w:val="0"/>
        <w:snapToGrid w:val="0"/>
        <w:spacing w:beforeLines="0" w:afterLines="0" w:line="420" w:lineRule="exact"/>
        <w:ind w:left="0" w:left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4.乙方所交的货物品种、型号、规格、技术参数、质量不符合合同规定及招标文件规定标准的，施工总承包单位</w:t>
      </w:r>
      <w:r>
        <w:rPr>
          <w:rFonts w:hint="eastAsia"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临海大诚建设工程有限公司</w:t>
      </w:r>
      <w:r>
        <w:rPr>
          <w:rFonts w:hint="eastAsia" w:hAnsi="宋体" w:cs="宋体"/>
          <w:color w:val="auto"/>
          <w:sz w:val="24"/>
          <w:szCs w:val="24"/>
          <w:highlight w:val="none"/>
          <w:lang w:eastAsia="zh-CN"/>
        </w:rPr>
        <w:t>）</w:t>
      </w:r>
      <w:r>
        <w:rPr>
          <w:rFonts w:hint="eastAsia" w:ascii="宋体" w:hAnsi="宋体" w:eastAsia="宋体" w:cs="宋体"/>
          <w:color w:val="auto"/>
          <w:sz w:val="24"/>
          <w:szCs w:val="24"/>
          <w:highlight w:val="none"/>
        </w:rPr>
        <w:t>有权拒收该货物，乙方愿意更换货物但逾期交货的，按乙方逾期交货处理。乙方拒绝更换货物的，施工总承包单位</w:t>
      </w:r>
      <w:r>
        <w:rPr>
          <w:rFonts w:hint="eastAsia"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临海大诚建设工程有限公司</w:t>
      </w:r>
      <w:r>
        <w:rPr>
          <w:rFonts w:hint="eastAsia" w:hAnsi="宋体" w:cs="宋体"/>
          <w:color w:val="auto"/>
          <w:sz w:val="24"/>
          <w:szCs w:val="24"/>
          <w:highlight w:val="none"/>
          <w:lang w:eastAsia="zh-CN"/>
        </w:rPr>
        <w:t>）</w:t>
      </w:r>
      <w:r>
        <w:rPr>
          <w:rFonts w:hint="eastAsia" w:ascii="宋体" w:hAnsi="宋体" w:eastAsia="宋体" w:cs="宋体"/>
          <w:color w:val="auto"/>
          <w:sz w:val="24"/>
          <w:szCs w:val="24"/>
          <w:highlight w:val="none"/>
        </w:rPr>
        <w:t>可单方面解除合同，履约保证金不予退回。</w:t>
      </w:r>
    </w:p>
    <w:p w14:paraId="2D2F35F6">
      <w:pPr>
        <w:pStyle w:val="29"/>
        <w:keepNext w:val="0"/>
        <w:keepLines w:val="0"/>
        <w:pageBreakBefore w:val="0"/>
        <w:widowControl w:val="0"/>
        <w:kinsoku/>
        <w:wordWrap/>
        <w:overflowPunct/>
        <w:topLinePunct w:val="0"/>
        <w:bidi w:val="0"/>
        <w:spacing w:beforeLines="0" w:afterLines="0" w:line="420" w:lineRule="exact"/>
        <w:ind w:left="0" w:leftChars="0"/>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十</w:t>
      </w:r>
      <w:r>
        <w:rPr>
          <w:rFonts w:hint="eastAsia" w:ascii="宋体" w:hAnsi="宋体" w:eastAsia="宋体" w:cs="宋体"/>
          <w:b/>
          <w:color w:val="auto"/>
          <w:sz w:val="24"/>
          <w:szCs w:val="24"/>
          <w:highlight w:val="none"/>
          <w:lang w:val="en-US" w:eastAsia="zh-CN"/>
        </w:rPr>
        <w:t>六</w:t>
      </w:r>
      <w:r>
        <w:rPr>
          <w:rFonts w:hint="eastAsia" w:ascii="宋体" w:hAnsi="宋体" w:eastAsia="宋体" w:cs="宋体"/>
          <w:b/>
          <w:color w:val="auto"/>
          <w:sz w:val="24"/>
          <w:szCs w:val="24"/>
          <w:highlight w:val="none"/>
          <w:lang w:eastAsia="zh-CN"/>
        </w:rPr>
        <w:t>、不可抗力事件处理</w:t>
      </w:r>
    </w:p>
    <w:p w14:paraId="3E96D15C">
      <w:pPr>
        <w:pStyle w:val="29"/>
        <w:keepNext w:val="0"/>
        <w:keepLines w:val="0"/>
        <w:pageBreakBefore w:val="0"/>
        <w:widowControl w:val="0"/>
        <w:kinsoku/>
        <w:wordWrap/>
        <w:overflowPunct/>
        <w:topLinePunct w:val="0"/>
        <w:bidi w:val="0"/>
        <w:spacing w:beforeLines="0" w:afterLines="0" w:line="420" w:lineRule="exact"/>
        <w:ind w:left="0" w:leftChars="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1.在合同有效期内，任何一方因不可抗力事件导致不能履行合同，则合同履行期可延长，其延长期与不可抗力影响期相同。</w:t>
      </w:r>
    </w:p>
    <w:p w14:paraId="3C28733F">
      <w:pPr>
        <w:pStyle w:val="29"/>
        <w:keepNext w:val="0"/>
        <w:keepLines w:val="0"/>
        <w:pageBreakBefore w:val="0"/>
        <w:widowControl w:val="0"/>
        <w:kinsoku/>
        <w:wordWrap/>
        <w:overflowPunct/>
        <w:topLinePunct w:val="0"/>
        <w:bidi w:val="0"/>
        <w:spacing w:beforeLines="0" w:afterLines="0" w:line="420" w:lineRule="exact"/>
        <w:ind w:left="0" w:leftChars="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2.不可抗力事件发生后，应立即通知对方，并寄送有关权威机构出具的证明。</w:t>
      </w:r>
    </w:p>
    <w:p w14:paraId="0769B2B2">
      <w:pPr>
        <w:pStyle w:val="29"/>
        <w:keepNext w:val="0"/>
        <w:keepLines w:val="0"/>
        <w:pageBreakBefore w:val="0"/>
        <w:widowControl w:val="0"/>
        <w:kinsoku/>
        <w:wordWrap/>
        <w:overflowPunct/>
        <w:topLinePunct w:val="0"/>
        <w:bidi w:val="0"/>
        <w:spacing w:beforeLines="0" w:afterLines="0" w:line="420" w:lineRule="exact"/>
        <w:ind w:left="0" w:leftChars="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3.不可抗力事件延续120天以上，应通过友好协商，确定是否继续履行合同。</w:t>
      </w:r>
    </w:p>
    <w:p w14:paraId="212C6F74">
      <w:pPr>
        <w:pStyle w:val="29"/>
        <w:keepNext w:val="0"/>
        <w:keepLines w:val="0"/>
        <w:pageBreakBefore w:val="0"/>
        <w:widowControl w:val="0"/>
        <w:kinsoku/>
        <w:wordWrap/>
        <w:overflowPunct/>
        <w:topLinePunct w:val="0"/>
        <w:bidi w:val="0"/>
        <w:spacing w:beforeLines="0" w:afterLines="0" w:line="420" w:lineRule="exact"/>
        <w:ind w:left="0" w:leftChars="0"/>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十</w:t>
      </w:r>
      <w:r>
        <w:rPr>
          <w:rFonts w:hint="eastAsia" w:ascii="宋体" w:hAnsi="宋体" w:eastAsia="宋体" w:cs="宋体"/>
          <w:b/>
          <w:color w:val="auto"/>
          <w:sz w:val="24"/>
          <w:szCs w:val="24"/>
          <w:highlight w:val="none"/>
          <w:lang w:val="en-US" w:eastAsia="zh-CN"/>
        </w:rPr>
        <w:t>七</w:t>
      </w:r>
      <w:r>
        <w:rPr>
          <w:rFonts w:hint="eastAsia" w:ascii="宋体" w:hAnsi="宋体" w:eastAsia="宋体" w:cs="宋体"/>
          <w:b/>
          <w:color w:val="auto"/>
          <w:sz w:val="24"/>
          <w:szCs w:val="24"/>
          <w:highlight w:val="none"/>
          <w:lang w:eastAsia="zh-CN"/>
        </w:rPr>
        <w:t>、诉讼</w:t>
      </w:r>
    </w:p>
    <w:p w14:paraId="5F659E79">
      <w:pPr>
        <w:pStyle w:val="29"/>
        <w:keepNext w:val="0"/>
        <w:keepLines w:val="0"/>
        <w:pageBreakBefore w:val="0"/>
        <w:widowControl w:val="0"/>
        <w:kinsoku/>
        <w:wordWrap/>
        <w:overflowPunct/>
        <w:topLinePunct w:val="0"/>
        <w:bidi w:val="0"/>
        <w:spacing w:beforeLines="0" w:afterLines="0" w:line="420" w:lineRule="exact"/>
        <w:ind w:left="0" w:leftChars="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在执行合同中所发生的一切争议，应通过协商解决。如协商不成，可向甲方所在地人民法院起诉。</w:t>
      </w:r>
    </w:p>
    <w:p w14:paraId="2099C9DC">
      <w:pPr>
        <w:pStyle w:val="155"/>
        <w:keepNext w:val="0"/>
        <w:keepLines w:val="0"/>
        <w:pageBreakBefore w:val="0"/>
        <w:widowControl w:val="0"/>
        <w:kinsoku/>
        <w:wordWrap/>
        <w:overflowPunct/>
        <w:topLinePunct w:val="0"/>
        <w:bidi w:val="0"/>
        <w:spacing w:line="420" w:lineRule="exact"/>
        <w:ind w:left="0" w:leftChars="0" w:firstLine="0" w:firstLineChars="0"/>
        <w:textAlignment w:val="auto"/>
        <w:rPr>
          <w:rFonts w:hint="eastAsia"/>
          <w:b/>
          <w:bCs/>
          <w:color w:val="auto"/>
          <w:sz w:val="24"/>
          <w:szCs w:val="24"/>
          <w:highlight w:val="none"/>
        </w:rPr>
      </w:pPr>
      <w:r>
        <w:rPr>
          <w:rFonts w:hint="eastAsia"/>
          <w:b/>
          <w:bCs/>
          <w:color w:val="auto"/>
          <w:sz w:val="24"/>
          <w:szCs w:val="24"/>
          <w:highlight w:val="none"/>
        </w:rPr>
        <w:t>十</w:t>
      </w:r>
      <w:r>
        <w:rPr>
          <w:rFonts w:hint="eastAsia"/>
          <w:b/>
          <w:bCs/>
          <w:color w:val="auto"/>
          <w:sz w:val="24"/>
          <w:szCs w:val="24"/>
          <w:highlight w:val="none"/>
          <w:lang w:val="en-US" w:eastAsia="zh-CN"/>
        </w:rPr>
        <w:t>八</w:t>
      </w:r>
      <w:r>
        <w:rPr>
          <w:rFonts w:hint="eastAsia"/>
          <w:b/>
          <w:bCs/>
          <w:color w:val="auto"/>
          <w:sz w:val="24"/>
          <w:szCs w:val="24"/>
          <w:highlight w:val="none"/>
        </w:rPr>
        <w:t>、合同生效及其它</w:t>
      </w:r>
    </w:p>
    <w:p w14:paraId="4FCB1F1C">
      <w:pPr>
        <w:pStyle w:val="155"/>
        <w:keepNext w:val="0"/>
        <w:keepLines w:val="0"/>
        <w:pageBreakBefore w:val="0"/>
        <w:widowControl w:val="0"/>
        <w:kinsoku/>
        <w:wordWrap/>
        <w:overflowPunct/>
        <w:topLinePunct w:val="0"/>
        <w:bidi w:val="0"/>
        <w:spacing w:line="420" w:lineRule="exact"/>
        <w:ind w:left="0" w:leftChars="0" w:firstLine="0" w:firstLineChars="0"/>
        <w:textAlignment w:val="auto"/>
        <w:rPr>
          <w:rFonts w:hint="eastAsia"/>
          <w:color w:val="auto"/>
          <w:sz w:val="24"/>
          <w:szCs w:val="24"/>
          <w:highlight w:val="none"/>
        </w:rPr>
      </w:pPr>
      <w:r>
        <w:rPr>
          <w:rFonts w:hint="eastAsia"/>
          <w:color w:val="auto"/>
          <w:sz w:val="24"/>
          <w:szCs w:val="24"/>
          <w:highlight w:val="none"/>
        </w:rPr>
        <w:t>1. 合同经</w:t>
      </w:r>
      <w:r>
        <w:rPr>
          <w:rFonts w:hint="eastAsia"/>
          <w:color w:val="auto"/>
          <w:sz w:val="24"/>
          <w:szCs w:val="24"/>
          <w:highlight w:val="none"/>
          <w:lang w:val="en-US" w:eastAsia="zh-CN"/>
        </w:rPr>
        <w:t>各方</w:t>
      </w:r>
      <w:r>
        <w:rPr>
          <w:rFonts w:hint="eastAsia"/>
          <w:color w:val="auto"/>
          <w:sz w:val="24"/>
          <w:szCs w:val="24"/>
          <w:highlight w:val="none"/>
        </w:rPr>
        <w:t>法定代表人或授权代表签字并加盖单位公章后生效。</w:t>
      </w:r>
    </w:p>
    <w:p w14:paraId="7B8F4D89">
      <w:pPr>
        <w:pStyle w:val="155"/>
        <w:keepNext w:val="0"/>
        <w:keepLines w:val="0"/>
        <w:pageBreakBefore w:val="0"/>
        <w:widowControl w:val="0"/>
        <w:kinsoku/>
        <w:wordWrap/>
        <w:overflowPunct/>
        <w:topLinePunct w:val="0"/>
        <w:bidi w:val="0"/>
        <w:spacing w:line="420" w:lineRule="exact"/>
        <w:ind w:left="0" w:leftChars="0" w:firstLine="0" w:firstLineChars="0"/>
        <w:textAlignment w:val="auto"/>
        <w:rPr>
          <w:rFonts w:hint="eastAsia"/>
          <w:color w:val="auto"/>
          <w:sz w:val="24"/>
          <w:szCs w:val="24"/>
          <w:highlight w:val="none"/>
        </w:rPr>
      </w:pPr>
      <w:r>
        <w:rPr>
          <w:rFonts w:hint="eastAsia"/>
          <w:color w:val="auto"/>
          <w:sz w:val="24"/>
          <w:szCs w:val="24"/>
          <w:highlight w:val="none"/>
        </w:rPr>
        <w:t>2. 合同执行中涉及资金和内容修改或补充的，须签订书面补充协议</w:t>
      </w:r>
      <w:r>
        <w:rPr>
          <w:rFonts w:hint="eastAsia"/>
          <w:color w:val="auto"/>
          <w:sz w:val="24"/>
          <w:szCs w:val="24"/>
          <w:highlight w:val="none"/>
          <w:lang w:eastAsia="zh-CN"/>
        </w:rPr>
        <w:t>，</w:t>
      </w:r>
      <w:r>
        <w:rPr>
          <w:rFonts w:hint="eastAsia"/>
          <w:color w:val="auto"/>
          <w:sz w:val="24"/>
          <w:szCs w:val="24"/>
          <w:highlight w:val="none"/>
        </w:rPr>
        <w:t>作为主合同不可分割的一部分。</w:t>
      </w:r>
    </w:p>
    <w:p w14:paraId="7D931065">
      <w:pPr>
        <w:pStyle w:val="155"/>
        <w:keepNext w:val="0"/>
        <w:keepLines w:val="0"/>
        <w:pageBreakBefore w:val="0"/>
        <w:widowControl w:val="0"/>
        <w:kinsoku/>
        <w:wordWrap/>
        <w:overflowPunct/>
        <w:topLinePunct w:val="0"/>
        <w:bidi w:val="0"/>
        <w:spacing w:line="420" w:lineRule="exact"/>
        <w:ind w:left="0" w:leftChars="0" w:firstLine="0" w:firstLineChars="0"/>
        <w:textAlignment w:val="auto"/>
        <w:rPr>
          <w:rFonts w:hint="eastAsia"/>
          <w:color w:val="auto"/>
          <w:sz w:val="24"/>
          <w:szCs w:val="24"/>
          <w:highlight w:val="none"/>
        </w:rPr>
      </w:pPr>
      <w:r>
        <w:rPr>
          <w:rFonts w:hint="eastAsia"/>
          <w:color w:val="auto"/>
          <w:sz w:val="24"/>
          <w:szCs w:val="24"/>
          <w:highlight w:val="none"/>
        </w:rPr>
        <w:t>3. 本合同未尽事宜，遵照《民法典》有关条文执行。</w:t>
      </w:r>
    </w:p>
    <w:p w14:paraId="1DF3C061">
      <w:pPr>
        <w:pStyle w:val="155"/>
        <w:keepNext w:val="0"/>
        <w:keepLines w:val="0"/>
        <w:pageBreakBefore w:val="0"/>
        <w:widowControl w:val="0"/>
        <w:kinsoku/>
        <w:wordWrap/>
        <w:overflowPunct/>
        <w:topLinePunct w:val="0"/>
        <w:bidi w:val="0"/>
        <w:spacing w:line="420" w:lineRule="exact"/>
        <w:ind w:left="0" w:leftChars="0" w:firstLine="0" w:firstLineChars="0"/>
        <w:textAlignment w:val="auto"/>
        <w:rPr>
          <w:rFonts w:hint="default" w:eastAsia="宋体"/>
          <w:color w:val="auto"/>
          <w:sz w:val="24"/>
          <w:szCs w:val="24"/>
          <w:highlight w:val="none"/>
          <w:lang w:val="en-US" w:eastAsia="zh-CN"/>
        </w:rPr>
      </w:pPr>
      <w:r>
        <w:rPr>
          <w:rFonts w:hint="eastAsia"/>
          <w:color w:val="auto"/>
          <w:sz w:val="24"/>
          <w:szCs w:val="24"/>
          <w:highlight w:val="none"/>
          <w:lang w:val="en-US" w:eastAsia="zh-CN"/>
        </w:rPr>
        <w:t>4.本合同一式捌份，甲方肆份，乙方贰份，代理机构贰份。</w:t>
      </w:r>
    </w:p>
    <w:p w14:paraId="23991E85">
      <w:pPr>
        <w:pStyle w:val="155"/>
        <w:keepNext w:val="0"/>
        <w:keepLines w:val="0"/>
        <w:pageBreakBefore w:val="0"/>
        <w:widowControl w:val="0"/>
        <w:kinsoku/>
        <w:wordWrap/>
        <w:overflowPunct/>
        <w:topLinePunct w:val="0"/>
        <w:bidi w:val="0"/>
        <w:spacing w:line="420" w:lineRule="exact"/>
        <w:ind w:left="0" w:leftChars="0" w:firstLine="480"/>
        <w:textAlignment w:val="auto"/>
        <w:rPr>
          <w:rFonts w:hint="eastAsia"/>
          <w:color w:val="auto"/>
          <w:sz w:val="24"/>
          <w:szCs w:val="24"/>
          <w:highlight w:val="none"/>
        </w:rPr>
      </w:pPr>
    </w:p>
    <w:p w14:paraId="2D3067CE">
      <w:pPr>
        <w:pStyle w:val="155"/>
        <w:keepNext w:val="0"/>
        <w:keepLines w:val="0"/>
        <w:pageBreakBefore w:val="0"/>
        <w:widowControl w:val="0"/>
        <w:kinsoku/>
        <w:wordWrap/>
        <w:overflowPunct/>
        <w:topLinePunct w:val="0"/>
        <w:bidi w:val="0"/>
        <w:spacing w:line="420" w:lineRule="exact"/>
        <w:ind w:left="0" w:leftChars="0" w:firstLine="480"/>
        <w:textAlignment w:val="auto"/>
        <w:rPr>
          <w:rFonts w:hint="eastAsia"/>
          <w:color w:val="auto"/>
          <w:sz w:val="24"/>
          <w:szCs w:val="24"/>
          <w:highlight w:val="none"/>
        </w:rPr>
      </w:pPr>
    </w:p>
    <w:p w14:paraId="655FE5E5">
      <w:pPr>
        <w:pStyle w:val="155"/>
        <w:keepNext w:val="0"/>
        <w:keepLines w:val="0"/>
        <w:pageBreakBefore w:val="0"/>
        <w:widowControl w:val="0"/>
        <w:kinsoku/>
        <w:wordWrap/>
        <w:overflowPunct/>
        <w:topLinePunct w:val="0"/>
        <w:bidi w:val="0"/>
        <w:spacing w:line="420" w:lineRule="exact"/>
        <w:ind w:left="0" w:leftChars="0" w:firstLine="480"/>
        <w:textAlignment w:val="auto"/>
        <w:rPr>
          <w:rFonts w:hint="eastAsia"/>
          <w:color w:val="auto"/>
          <w:sz w:val="24"/>
          <w:szCs w:val="24"/>
          <w:highlight w:val="none"/>
        </w:rPr>
      </w:pPr>
    </w:p>
    <w:p w14:paraId="3038654C">
      <w:pPr>
        <w:pStyle w:val="155"/>
        <w:keepNext w:val="0"/>
        <w:keepLines w:val="0"/>
        <w:pageBreakBefore w:val="0"/>
        <w:widowControl w:val="0"/>
        <w:kinsoku/>
        <w:wordWrap/>
        <w:overflowPunct/>
        <w:topLinePunct w:val="0"/>
        <w:bidi w:val="0"/>
        <w:spacing w:line="420" w:lineRule="exact"/>
        <w:ind w:left="0" w:leftChars="0" w:firstLine="480"/>
        <w:textAlignment w:val="auto"/>
        <w:rPr>
          <w:rFonts w:hint="eastAsia"/>
          <w:color w:val="auto"/>
          <w:sz w:val="24"/>
          <w:szCs w:val="24"/>
          <w:highlight w:val="none"/>
        </w:rPr>
      </w:pPr>
      <w:r>
        <w:rPr>
          <w:rFonts w:hint="eastAsia"/>
          <w:color w:val="auto"/>
          <w:sz w:val="24"/>
          <w:szCs w:val="24"/>
          <w:highlight w:val="none"/>
          <w:lang w:val="en-US" w:eastAsia="zh-CN"/>
        </w:rPr>
        <w:t>建设单位</w:t>
      </w:r>
      <w:r>
        <w:rPr>
          <w:rFonts w:hint="eastAsia"/>
          <w:color w:val="auto"/>
          <w:sz w:val="24"/>
          <w:szCs w:val="24"/>
          <w:highlight w:val="none"/>
        </w:rPr>
        <w:t xml:space="preserve">：                               </w:t>
      </w:r>
      <w:r>
        <w:rPr>
          <w:rFonts w:hint="eastAsia"/>
          <w:color w:val="auto"/>
          <w:sz w:val="24"/>
          <w:szCs w:val="24"/>
          <w:highlight w:val="none"/>
          <w:lang w:val="en-US" w:eastAsia="zh-CN"/>
        </w:rPr>
        <w:t>施工总承包单位</w:t>
      </w:r>
      <w:r>
        <w:rPr>
          <w:rFonts w:hint="eastAsia"/>
          <w:color w:val="auto"/>
          <w:sz w:val="24"/>
          <w:szCs w:val="24"/>
          <w:highlight w:val="none"/>
        </w:rPr>
        <w:t xml:space="preserve">： </w:t>
      </w:r>
    </w:p>
    <w:p w14:paraId="77BE55C7">
      <w:pPr>
        <w:pStyle w:val="155"/>
        <w:keepNext w:val="0"/>
        <w:keepLines w:val="0"/>
        <w:pageBreakBefore w:val="0"/>
        <w:widowControl w:val="0"/>
        <w:kinsoku/>
        <w:wordWrap/>
        <w:overflowPunct/>
        <w:topLinePunct w:val="0"/>
        <w:bidi w:val="0"/>
        <w:spacing w:line="420" w:lineRule="exact"/>
        <w:ind w:left="0" w:leftChars="0" w:firstLine="480"/>
        <w:textAlignment w:val="auto"/>
        <w:rPr>
          <w:rFonts w:hint="eastAsia"/>
          <w:color w:val="auto"/>
          <w:sz w:val="24"/>
          <w:szCs w:val="24"/>
          <w:highlight w:val="none"/>
        </w:rPr>
      </w:pPr>
      <w:r>
        <w:rPr>
          <w:rFonts w:hint="eastAsia"/>
          <w:color w:val="auto"/>
          <w:sz w:val="24"/>
          <w:szCs w:val="24"/>
          <w:highlight w:val="none"/>
        </w:rPr>
        <w:t>法定（授权）代表人：                     法定（授权）代表人：</w:t>
      </w:r>
    </w:p>
    <w:p w14:paraId="373BE04E">
      <w:pPr>
        <w:pStyle w:val="155"/>
        <w:keepNext w:val="0"/>
        <w:keepLines w:val="0"/>
        <w:pageBreakBefore w:val="0"/>
        <w:widowControl w:val="0"/>
        <w:kinsoku/>
        <w:wordWrap/>
        <w:overflowPunct/>
        <w:topLinePunct w:val="0"/>
        <w:bidi w:val="0"/>
        <w:spacing w:line="420" w:lineRule="exact"/>
        <w:ind w:left="0" w:leftChars="0" w:firstLine="480"/>
        <w:textAlignment w:val="auto"/>
        <w:rPr>
          <w:rFonts w:hint="eastAsia"/>
          <w:color w:val="auto"/>
          <w:sz w:val="24"/>
          <w:szCs w:val="24"/>
          <w:highlight w:val="none"/>
        </w:rPr>
      </w:pPr>
      <w:r>
        <w:rPr>
          <w:rFonts w:hint="eastAsia"/>
          <w:color w:val="auto"/>
          <w:sz w:val="24"/>
          <w:szCs w:val="24"/>
          <w:highlight w:val="none"/>
        </w:rPr>
        <w:t>地址：                                   地址：</w:t>
      </w:r>
    </w:p>
    <w:p w14:paraId="2ABD9C21">
      <w:pPr>
        <w:pStyle w:val="155"/>
        <w:keepNext w:val="0"/>
        <w:keepLines w:val="0"/>
        <w:pageBreakBefore w:val="0"/>
        <w:widowControl w:val="0"/>
        <w:kinsoku/>
        <w:wordWrap/>
        <w:overflowPunct/>
        <w:topLinePunct w:val="0"/>
        <w:bidi w:val="0"/>
        <w:spacing w:line="420" w:lineRule="exact"/>
        <w:ind w:left="0" w:leftChars="0" w:firstLine="480"/>
        <w:textAlignment w:val="auto"/>
        <w:rPr>
          <w:rFonts w:hint="eastAsia"/>
          <w:color w:val="auto"/>
          <w:sz w:val="24"/>
          <w:szCs w:val="24"/>
          <w:highlight w:val="none"/>
        </w:rPr>
      </w:pPr>
      <w:r>
        <w:rPr>
          <w:rFonts w:hint="eastAsia"/>
          <w:color w:val="auto"/>
          <w:sz w:val="24"/>
          <w:szCs w:val="24"/>
          <w:highlight w:val="none"/>
        </w:rPr>
        <w:t>签字日期：    年 　月    日              签字日期：    年 　月    日</w:t>
      </w:r>
    </w:p>
    <w:p w14:paraId="5F9BFB51">
      <w:pPr>
        <w:pStyle w:val="155"/>
        <w:ind w:firstLine="480"/>
        <w:rPr>
          <w:rFonts w:hint="eastAsia"/>
          <w:color w:val="auto"/>
          <w:highlight w:val="none"/>
        </w:rPr>
      </w:pPr>
    </w:p>
    <w:p w14:paraId="694792C0">
      <w:pPr>
        <w:rPr>
          <w:rFonts w:hint="eastAsia"/>
          <w:b/>
          <w:color w:val="auto"/>
          <w:sz w:val="30"/>
          <w:szCs w:val="30"/>
          <w:highlight w:val="none"/>
        </w:rPr>
      </w:pPr>
    </w:p>
    <w:p w14:paraId="6A5966D9">
      <w:pPr>
        <w:pStyle w:val="155"/>
        <w:keepNext w:val="0"/>
        <w:keepLines w:val="0"/>
        <w:pageBreakBefore w:val="0"/>
        <w:widowControl w:val="0"/>
        <w:kinsoku/>
        <w:wordWrap/>
        <w:overflowPunct/>
        <w:topLinePunct w:val="0"/>
        <w:bidi w:val="0"/>
        <w:spacing w:line="420" w:lineRule="exact"/>
        <w:ind w:left="0" w:leftChars="0" w:firstLine="480"/>
        <w:textAlignment w:val="auto"/>
        <w:rPr>
          <w:rFonts w:hint="eastAsia" w:eastAsia="宋体"/>
          <w:color w:val="auto"/>
          <w:sz w:val="24"/>
          <w:szCs w:val="24"/>
          <w:highlight w:val="none"/>
          <w:lang w:eastAsia="zh-CN"/>
        </w:rPr>
      </w:pPr>
      <w:r>
        <w:rPr>
          <w:rFonts w:hint="eastAsia"/>
          <w:color w:val="auto"/>
          <w:sz w:val="24"/>
          <w:szCs w:val="24"/>
          <w:highlight w:val="none"/>
          <w:lang w:val="en-US" w:eastAsia="zh-CN"/>
        </w:rPr>
        <w:t>乙</w:t>
      </w:r>
      <w:r>
        <w:rPr>
          <w:rFonts w:hint="eastAsia"/>
          <w:color w:val="auto"/>
          <w:sz w:val="24"/>
          <w:szCs w:val="24"/>
          <w:highlight w:val="none"/>
        </w:rPr>
        <w:t xml:space="preserve">方：                               </w:t>
      </w:r>
      <w:r>
        <w:rPr>
          <w:rFonts w:hint="eastAsia"/>
          <w:color w:val="auto"/>
          <w:sz w:val="24"/>
          <w:szCs w:val="24"/>
          <w:highlight w:val="none"/>
          <w:lang w:val="en-US" w:eastAsia="zh-CN"/>
        </w:rPr>
        <w:t xml:space="preserve">  </w:t>
      </w:r>
      <w:r>
        <w:rPr>
          <w:rFonts w:hint="eastAsia"/>
          <w:color w:val="auto"/>
          <w:sz w:val="24"/>
          <w:szCs w:val="24"/>
          <w:highlight w:val="none"/>
        </w:rPr>
        <w:t xml:space="preserve"> </w:t>
      </w:r>
      <w:r>
        <w:rPr>
          <w:rFonts w:hint="eastAsia"/>
          <w:color w:val="auto"/>
          <w:sz w:val="24"/>
          <w:szCs w:val="24"/>
          <w:highlight w:val="none"/>
          <w:lang w:val="en-US" w:eastAsia="zh-CN"/>
        </w:rPr>
        <w:t>见证方</w:t>
      </w:r>
      <w:r>
        <w:rPr>
          <w:rFonts w:hint="eastAsia"/>
          <w:color w:val="auto"/>
          <w:sz w:val="24"/>
          <w:szCs w:val="24"/>
          <w:highlight w:val="none"/>
        </w:rPr>
        <w:t xml:space="preserve"> </w:t>
      </w:r>
      <w:r>
        <w:rPr>
          <w:rFonts w:hint="eastAsia"/>
          <w:color w:val="auto"/>
          <w:sz w:val="24"/>
          <w:szCs w:val="24"/>
          <w:highlight w:val="none"/>
          <w:lang w:eastAsia="zh-CN"/>
        </w:rPr>
        <w:t>：</w:t>
      </w:r>
    </w:p>
    <w:p w14:paraId="0C2C43F8">
      <w:pPr>
        <w:pStyle w:val="155"/>
        <w:keepNext w:val="0"/>
        <w:keepLines w:val="0"/>
        <w:pageBreakBefore w:val="0"/>
        <w:widowControl w:val="0"/>
        <w:kinsoku/>
        <w:wordWrap/>
        <w:overflowPunct/>
        <w:topLinePunct w:val="0"/>
        <w:bidi w:val="0"/>
        <w:spacing w:line="420" w:lineRule="exact"/>
        <w:ind w:left="0" w:leftChars="0" w:firstLine="480"/>
        <w:textAlignment w:val="auto"/>
        <w:rPr>
          <w:rFonts w:hint="eastAsia"/>
          <w:color w:val="auto"/>
          <w:sz w:val="24"/>
          <w:szCs w:val="24"/>
          <w:highlight w:val="none"/>
        </w:rPr>
      </w:pPr>
      <w:r>
        <w:rPr>
          <w:rFonts w:hint="eastAsia"/>
          <w:color w:val="auto"/>
          <w:sz w:val="24"/>
          <w:szCs w:val="24"/>
          <w:highlight w:val="none"/>
        </w:rPr>
        <w:t xml:space="preserve">法定（授权）代表人：                     </w:t>
      </w:r>
    </w:p>
    <w:p w14:paraId="4E73C888">
      <w:pPr>
        <w:pStyle w:val="155"/>
        <w:keepNext w:val="0"/>
        <w:keepLines w:val="0"/>
        <w:pageBreakBefore w:val="0"/>
        <w:widowControl w:val="0"/>
        <w:kinsoku/>
        <w:wordWrap/>
        <w:overflowPunct/>
        <w:topLinePunct w:val="0"/>
        <w:bidi w:val="0"/>
        <w:spacing w:line="420" w:lineRule="exact"/>
        <w:ind w:left="0" w:leftChars="0" w:firstLine="480"/>
        <w:textAlignment w:val="auto"/>
        <w:rPr>
          <w:rFonts w:hint="eastAsia"/>
          <w:color w:val="auto"/>
          <w:sz w:val="24"/>
          <w:szCs w:val="24"/>
          <w:highlight w:val="none"/>
        </w:rPr>
      </w:pPr>
      <w:r>
        <w:rPr>
          <w:rFonts w:hint="eastAsia"/>
          <w:color w:val="auto"/>
          <w:sz w:val="24"/>
          <w:szCs w:val="24"/>
          <w:highlight w:val="none"/>
        </w:rPr>
        <w:t xml:space="preserve">地址：                                   </w:t>
      </w:r>
    </w:p>
    <w:p w14:paraId="0C310116">
      <w:pPr>
        <w:pStyle w:val="155"/>
        <w:keepNext w:val="0"/>
        <w:keepLines w:val="0"/>
        <w:pageBreakBefore w:val="0"/>
        <w:widowControl w:val="0"/>
        <w:kinsoku/>
        <w:wordWrap/>
        <w:overflowPunct/>
        <w:topLinePunct w:val="0"/>
        <w:bidi w:val="0"/>
        <w:spacing w:line="420" w:lineRule="exact"/>
        <w:ind w:left="0" w:leftChars="0" w:firstLine="480"/>
        <w:textAlignment w:val="auto"/>
        <w:rPr>
          <w:rFonts w:hint="eastAsia"/>
          <w:color w:val="auto"/>
          <w:sz w:val="24"/>
          <w:szCs w:val="24"/>
          <w:highlight w:val="none"/>
        </w:rPr>
      </w:pPr>
      <w:r>
        <w:rPr>
          <w:rFonts w:hint="eastAsia"/>
          <w:color w:val="auto"/>
          <w:sz w:val="24"/>
          <w:szCs w:val="24"/>
          <w:highlight w:val="none"/>
        </w:rPr>
        <w:t xml:space="preserve">签字日期：    年 　月    日              </w:t>
      </w:r>
    </w:p>
    <w:p w14:paraId="449E303C">
      <w:pPr>
        <w:pStyle w:val="155"/>
        <w:ind w:firstLine="480"/>
        <w:rPr>
          <w:rFonts w:hint="eastAsia"/>
          <w:color w:val="auto"/>
          <w:highlight w:val="none"/>
        </w:rPr>
      </w:pPr>
    </w:p>
    <w:p w14:paraId="49AA5423">
      <w:pPr>
        <w:rPr>
          <w:rFonts w:hint="eastAsia"/>
          <w:b/>
          <w:color w:val="auto"/>
          <w:sz w:val="30"/>
          <w:szCs w:val="30"/>
          <w:highlight w:val="none"/>
        </w:rPr>
      </w:pPr>
    </w:p>
    <w:p w14:paraId="2C4659FC">
      <w:pPr>
        <w:rPr>
          <w:rFonts w:hint="eastAsia"/>
          <w:b/>
          <w:color w:val="auto"/>
          <w:sz w:val="30"/>
          <w:szCs w:val="30"/>
          <w:highlight w:val="none"/>
        </w:rPr>
      </w:pPr>
    </w:p>
    <w:p w14:paraId="08CE10BA">
      <w:pPr>
        <w:rPr>
          <w:rFonts w:hint="eastAsia"/>
          <w:b/>
          <w:color w:val="auto"/>
          <w:sz w:val="30"/>
          <w:szCs w:val="30"/>
          <w:highlight w:val="none"/>
        </w:rPr>
      </w:pPr>
    </w:p>
    <w:p w14:paraId="0BC25504">
      <w:pPr>
        <w:rPr>
          <w:rFonts w:hint="eastAsia"/>
          <w:b/>
          <w:color w:val="auto"/>
          <w:sz w:val="30"/>
          <w:szCs w:val="30"/>
          <w:highlight w:val="none"/>
        </w:rPr>
      </w:pPr>
    </w:p>
    <w:p w14:paraId="1400AB06">
      <w:pPr>
        <w:rPr>
          <w:rFonts w:hint="eastAsia"/>
          <w:b/>
          <w:color w:val="auto"/>
          <w:sz w:val="30"/>
          <w:szCs w:val="30"/>
          <w:highlight w:val="none"/>
        </w:rPr>
      </w:pPr>
    </w:p>
    <w:p w14:paraId="19060D27">
      <w:pPr>
        <w:rPr>
          <w:rFonts w:hint="eastAsia"/>
          <w:b/>
          <w:color w:val="auto"/>
          <w:sz w:val="30"/>
          <w:szCs w:val="30"/>
          <w:highlight w:val="none"/>
        </w:rPr>
      </w:pPr>
    </w:p>
    <w:p w14:paraId="36069BC7">
      <w:pPr>
        <w:rPr>
          <w:rFonts w:hint="eastAsia"/>
          <w:b/>
          <w:color w:val="auto"/>
          <w:sz w:val="30"/>
          <w:szCs w:val="30"/>
          <w:highlight w:val="none"/>
        </w:rPr>
      </w:pPr>
    </w:p>
    <w:p w14:paraId="6A139379">
      <w:pPr>
        <w:rPr>
          <w:rFonts w:hint="eastAsia"/>
          <w:b/>
          <w:color w:val="auto"/>
          <w:sz w:val="30"/>
          <w:szCs w:val="30"/>
          <w:highlight w:val="none"/>
        </w:rPr>
      </w:pPr>
    </w:p>
    <w:p w14:paraId="02B7E28A">
      <w:pPr>
        <w:rPr>
          <w:rFonts w:hint="eastAsia"/>
          <w:b/>
          <w:color w:val="auto"/>
          <w:sz w:val="30"/>
          <w:szCs w:val="30"/>
          <w:highlight w:val="none"/>
        </w:rPr>
      </w:pPr>
    </w:p>
    <w:p w14:paraId="0F4E19CC">
      <w:pPr>
        <w:rPr>
          <w:rFonts w:hint="eastAsia"/>
          <w:b/>
          <w:color w:val="auto"/>
          <w:sz w:val="30"/>
          <w:szCs w:val="30"/>
          <w:highlight w:val="none"/>
        </w:rPr>
      </w:pPr>
    </w:p>
    <w:p w14:paraId="3CE36162">
      <w:pPr>
        <w:rPr>
          <w:rFonts w:hint="eastAsia"/>
          <w:b/>
          <w:color w:val="auto"/>
          <w:sz w:val="30"/>
          <w:szCs w:val="30"/>
          <w:highlight w:val="none"/>
        </w:rPr>
      </w:pPr>
    </w:p>
    <w:p w14:paraId="7FD6A38E">
      <w:pPr>
        <w:rPr>
          <w:rFonts w:hint="eastAsia"/>
          <w:b/>
          <w:color w:val="auto"/>
          <w:sz w:val="30"/>
          <w:szCs w:val="30"/>
          <w:highlight w:val="none"/>
        </w:rPr>
      </w:pPr>
    </w:p>
    <w:p w14:paraId="1BF5CE6E">
      <w:pPr>
        <w:rPr>
          <w:rFonts w:hint="eastAsia"/>
          <w:b/>
          <w:color w:val="auto"/>
          <w:sz w:val="30"/>
          <w:szCs w:val="30"/>
          <w:highlight w:val="none"/>
        </w:rPr>
      </w:pPr>
    </w:p>
    <w:p w14:paraId="1DB455B3">
      <w:pPr>
        <w:rPr>
          <w:rFonts w:hint="eastAsia"/>
          <w:b/>
          <w:color w:val="auto"/>
          <w:sz w:val="30"/>
          <w:szCs w:val="30"/>
          <w:highlight w:val="none"/>
        </w:rPr>
      </w:pPr>
    </w:p>
    <w:p w14:paraId="64E7463B">
      <w:pPr>
        <w:rPr>
          <w:rFonts w:hint="eastAsia"/>
          <w:b/>
          <w:color w:val="auto"/>
          <w:sz w:val="30"/>
          <w:szCs w:val="30"/>
          <w:highlight w:val="none"/>
        </w:rPr>
      </w:pPr>
    </w:p>
    <w:p w14:paraId="1239D2C9">
      <w:pPr>
        <w:pStyle w:val="50"/>
        <w:rPr>
          <w:rFonts w:hint="eastAsia"/>
          <w:b/>
          <w:color w:val="auto"/>
          <w:sz w:val="30"/>
          <w:szCs w:val="30"/>
          <w:highlight w:val="none"/>
        </w:rPr>
      </w:pPr>
    </w:p>
    <w:p w14:paraId="23CACBA3">
      <w:pPr>
        <w:rPr>
          <w:rFonts w:hint="eastAsia"/>
          <w:color w:val="auto"/>
          <w:highlight w:val="none"/>
        </w:rPr>
      </w:pPr>
    </w:p>
    <w:p w14:paraId="7E9F79AE">
      <w:pPr>
        <w:rPr>
          <w:rFonts w:hint="eastAsia"/>
          <w:color w:val="auto"/>
          <w:highlight w:val="none"/>
        </w:rPr>
      </w:pPr>
    </w:p>
    <w:p w14:paraId="113ED0F6">
      <w:pPr>
        <w:rPr>
          <w:rFonts w:hint="eastAsia"/>
          <w:b/>
          <w:color w:val="auto"/>
          <w:sz w:val="30"/>
          <w:szCs w:val="30"/>
          <w:highlight w:val="none"/>
        </w:rPr>
      </w:pPr>
    </w:p>
    <w:p w14:paraId="241FC9C0">
      <w:pPr>
        <w:pStyle w:val="50"/>
        <w:rPr>
          <w:rFonts w:hint="eastAsia"/>
          <w:color w:val="auto"/>
          <w:highlight w:val="none"/>
        </w:rPr>
      </w:pPr>
    </w:p>
    <w:p w14:paraId="6FF7E53A">
      <w:pPr>
        <w:rPr>
          <w:rFonts w:hint="eastAsia"/>
          <w:b/>
          <w:color w:val="auto"/>
          <w:sz w:val="30"/>
          <w:szCs w:val="30"/>
          <w:highlight w:val="none"/>
        </w:rPr>
      </w:pPr>
    </w:p>
    <w:p w14:paraId="13D4A12C">
      <w:pPr>
        <w:rPr>
          <w:rFonts w:hint="eastAsia"/>
          <w:b/>
          <w:color w:val="auto"/>
          <w:sz w:val="30"/>
          <w:szCs w:val="30"/>
          <w:highlight w:val="none"/>
        </w:rPr>
      </w:pPr>
    </w:p>
    <w:p w14:paraId="0EF65554">
      <w:pPr>
        <w:rPr>
          <w:rFonts w:hint="eastAsia"/>
          <w:b/>
          <w:color w:val="auto"/>
          <w:sz w:val="30"/>
          <w:szCs w:val="30"/>
          <w:highlight w:val="none"/>
        </w:rPr>
      </w:pPr>
    </w:p>
    <w:p w14:paraId="4B38565C">
      <w:pPr>
        <w:rPr>
          <w:rFonts w:hint="eastAsia"/>
          <w:b/>
          <w:color w:val="auto"/>
          <w:sz w:val="30"/>
          <w:szCs w:val="30"/>
          <w:highlight w:val="none"/>
        </w:rPr>
      </w:pPr>
    </w:p>
    <w:p w14:paraId="0B869FF9">
      <w:pPr>
        <w:rPr>
          <w:rFonts w:hint="eastAsia"/>
          <w:b/>
          <w:color w:val="auto"/>
          <w:sz w:val="30"/>
          <w:szCs w:val="30"/>
          <w:highlight w:val="none"/>
        </w:rPr>
      </w:pPr>
    </w:p>
    <w:p w14:paraId="31F98AF7">
      <w:pPr>
        <w:rPr>
          <w:rFonts w:hint="eastAsia"/>
          <w:b/>
          <w:color w:val="auto"/>
          <w:sz w:val="30"/>
          <w:szCs w:val="30"/>
          <w:highlight w:val="none"/>
        </w:rPr>
      </w:pPr>
    </w:p>
    <w:p w14:paraId="76DAF0B1">
      <w:pPr>
        <w:pStyle w:val="50"/>
        <w:ind w:firstLine="0"/>
        <w:rPr>
          <w:rFonts w:hint="eastAsia"/>
          <w:color w:val="auto"/>
          <w:highlight w:val="none"/>
        </w:rPr>
      </w:pPr>
    </w:p>
    <w:p w14:paraId="7D389E9E">
      <w:pPr>
        <w:rPr>
          <w:rFonts w:hint="eastAsia"/>
          <w:color w:val="auto"/>
          <w:highlight w:val="none"/>
        </w:rPr>
      </w:pPr>
    </w:p>
    <w:p w14:paraId="58168C82">
      <w:pPr>
        <w:rPr>
          <w:rFonts w:hint="eastAsia"/>
          <w:color w:val="auto"/>
          <w:highlight w:val="none"/>
        </w:rPr>
      </w:pPr>
    </w:p>
    <w:p w14:paraId="04971F6C">
      <w:pPr>
        <w:pStyle w:val="29"/>
        <w:snapToGrid w:val="0"/>
        <w:spacing w:beforeLines="0" w:afterLines="0" w:line="440" w:lineRule="exact"/>
        <w:jc w:val="center"/>
        <w:rPr>
          <w:rFonts w:hint="eastAsia" w:ascii="宋体" w:hAnsi="宋体" w:eastAsia="宋体" w:cs="宋体"/>
          <w:b/>
          <w:color w:val="auto"/>
          <w:sz w:val="30"/>
          <w:szCs w:val="30"/>
          <w:highlight w:val="none"/>
          <w:shd w:val="clear" w:color="auto" w:fill="auto"/>
        </w:rPr>
      </w:pPr>
      <w:bookmarkStart w:id="46" w:name="_Toc14350"/>
      <w:bookmarkStart w:id="47" w:name="_Toc24427"/>
      <w:r>
        <w:rPr>
          <w:rFonts w:hint="eastAsia" w:ascii="宋体" w:hAnsi="宋体" w:eastAsia="宋体" w:cs="宋体"/>
          <w:b/>
          <w:color w:val="auto"/>
          <w:sz w:val="30"/>
          <w:szCs w:val="30"/>
          <w:highlight w:val="none"/>
          <w:shd w:val="clear" w:color="auto" w:fill="auto"/>
        </w:rPr>
        <w:t>第六章　投标文件格式</w:t>
      </w:r>
      <w:bookmarkEnd w:id="44"/>
      <w:bookmarkEnd w:id="46"/>
      <w:bookmarkEnd w:id="47"/>
    </w:p>
    <w:p w14:paraId="1F2CD8F1">
      <w:pPr>
        <w:pStyle w:val="29"/>
        <w:snapToGrid w:val="0"/>
        <w:spacing w:beforeLines="0" w:afterLines="0" w:line="420" w:lineRule="exact"/>
        <w:jc w:val="center"/>
        <w:rPr>
          <w:rFonts w:hint="eastAsia" w:ascii="宋体" w:hAnsi="宋体" w:eastAsia="宋体" w:cs="宋体"/>
          <w:color w:val="auto"/>
          <w:sz w:val="30"/>
          <w:szCs w:val="30"/>
          <w:highlight w:val="none"/>
          <w:shd w:val="clear" w:color="auto" w:fill="auto"/>
        </w:rPr>
      </w:pPr>
    </w:p>
    <w:p w14:paraId="0850DD29">
      <w:pPr>
        <w:snapToGrid w:val="0"/>
        <w:spacing w:before="120" w:beforeLines="50" w:after="50"/>
        <w:jc w:val="center"/>
        <w:outlineLvl w:val="1"/>
        <w:rPr>
          <w:rFonts w:hint="eastAsia" w:ascii="宋体" w:hAnsi="宋体" w:eastAsia="宋体" w:cs="宋体"/>
          <w:b/>
          <w:bCs/>
          <w:color w:val="auto"/>
          <w:sz w:val="28"/>
          <w:szCs w:val="28"/>
          <w:highlight w:val="none"/>
          <w:shd w:val="clear" w:color="auto" w:fill="auto"/>
        </w:rPr>
      </w:pPr>
      <w:bookmarkStart w:id="48" w:name="_Toc30690"/>
      <w:bookmarkStart w:id="49" w:name="_Toc29949"/>
      <w:bookmarkStart w:id="50" w:name="_Toc265669850"/>
      <w:r>
        <w:rPr>
          <w:rFonts w:hint="eastAsia" w:ascii="宋体" w:hAnsi="宋体" w:eastAsia="宋体" w:cs="宋体"/>
          <w:b/>
          <w:bCs/>
          <w:color w:val="auto"/>
          <w:sz w:val="28"/>
          <w:szCs w:val="28"/>
          <w:highlight w:val="none"/>
          <w:shd w:val="clear" w:color="auto" w:fill="auto"/>
        </w:rPr>
        <w:t>一、资格响应文件格式</w:t>
      </w:r>
      <w:bookmarkEnd w:id="48"/>
      <w:bookmarkEnd w:id="49"/>
    </w:p>
    <w:p w14:paraId="61DFC302">
      <w:pPr>
        <w:snapToGrid w:val="0"/>
        <w:spacing w:before="120" w:beforeLines="50" w:after="50"/>
        <w:jc w:val="center"/>
        <w:rPr>
          <w:rFonts w:hint="eastAsia" w:ascii="宋体" w:hAnsi="宋体" w:eastAsia="宋体" w:cs="宋体"/>
          <w:color w:val="auto"/>
          <w:sz w:val="28"/>
          <w:szCs w:val="28"/>
          <w:highlight w:val="none"/>
          <w:shd w:val="clear" w:color="auto" w:fill="auto"/>
        </w:rPr>
      </w:pPr>
    </w:p>
    <w:p w14:paraId="3969B129">
      <w:pPr>
        <w:snapToGrid w:val="0"/>
        <w:spacing w:before="120" w:beforeLines="50" w:after="50"/>
        <w:jc w:val="center"/>
        <w:rPr>
          <w:rFonts w:hint="eastAsia" w:ascii="宋体" w:hAnsi="宋体" w:eastAsia="宋体" w:cs="宋体"/>
          <w:color w:val="auto"/>
          <w:sz w:val="28"/>
          <w:szCs w:val="28"/>
          <w:highlight w:val="none"/>
          <w:shd w:val="clear" w:color="auto" w:fill="auto"/>
        </w:rPr>
      </w:pPr>
    </w:p>
    <w:p w14:paraId="53FA1AC8">
      <w:pPr>
        <w:snapToGrid w:val="0"/>
        <w:spacing w:before="120" w:beforeLines="50" w:after="50"/>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1.资格响应文件封面格式： </w:t>
      </w:r>
    </w:p>
    <w:p w14:paraId="0658540E">
      <w:pPr>
        <w:snapToGrid w:val="0"/>
        <w:spacing w:before="120" w:beforeLines="50" w:after="5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t xml:space="preserve"> </w:t>
      </w:r>
    </w:p>
    <w:p w14:paraId="4DB13449">
      <w:pPr>
        <w:snapToGrid w:val="0"/>
        <w:spacing w:before="120" w:beforeLines="50" w:after="50"/>
        <w:rPr>
          <w:rFonts w:hint="eastAsia" w:ascii="宋体" w:hAnsi="宋体" w:eastAsia="宋体" w:cs="宋体"/>
          <w:color w:val="auto"/>
          <w:sz w:val="28"/>
          <w:szCs w:val="28"/>
          <w:highlight w:val="none"/>
          <w:shd w:val="clear" w:color="auto" w:fill="auto"/>
        </w:rPr>
      </w:pPr>
    </w:p>
    <w:p w14:paraId="77A59D08">
      <w:pPr>
        <w:snapToGrid w:val="0"/>
        <w:spacing w:before="120" w:beforeLines="50" w:after="50"/>
        <w:jc w:val="center"/>
        <w:rPr>
          <w:rFonts w:hint="eastAsia" w:ascii="宋体" w:hAnsi="宋体" w:eastAsia="宋体" w:cs="宋体"/>
          <w:bCs/>
          <w:color w:val="auto"/>
          <w:sz w:val="28"/>
          <w:szCs w:val="28"/>
          <w:highlight w:val="none"/>
          <w:shd w:val="clear" w:color="auto" w:fill="auto"/>
        </w:rPr>
      </w:pPr>
    </w:p>
    <w:p w14:paraId="1678F76E">
      <w:pPr>
        <w:snapToGrid w:val="0"/>
        <w:spacing w:before="120" w:beforeLines="50" w:after="50"/>
        <w:jc w:val="center"/>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资格响应文件</w:t>
      </w:r>
    </w:p>
    <w:p w14:paraId="5CBA1C72">
      <w:pPr>
        <w:snapToGrid w:val="0"/>
        <w:spacing w:before="120" w:beforeLines="50" w:after="50" w:line="360" w:lineRule="auto"/>
        <w:jc w:val="center"/>
        <w:rPr>
          <w:rFonts w:hint="eastAsia" w:ascii="宋体" w:hAnsi="宋体" w:eastAsia="宋体" w:cs="宋体"/>
          <w:bCs/>
          <w:color w:val="auto"/>
          <w:sz w:val="28"/>
          <w:szCs w:val="28"/>
          <w:highlight w:val="none"/>
          <w:shd w:val="clear" w:color="auto" w:fill="auto"/>
        </w:rPr>
      </w:pPr>
    </w:p>
    <w:p w14:paraId="2EA5B28B">
      <w:pPr>
        <w:snapToGrid w:val="0"/>
        <w:spacing w:before="120" w:beforeLines="50" w:after="50" w:line="360" w:lineRule="auto"/>
        <w:jc w:val="center"/>
        <w:rPr>
          <w:rFonts w:hint="eastAsia" w:ascii="宋体" w:hAnsi="宋体" w:eastAsia="宋体" w:cs="宋体"/>
          <w:bCs/>
          <w:color w:val="auto"/>
          <w:sz w:val="28"/>
          <w:szCs w:val="28"/>
          <w:highlight w:val="none"/>
          <w:shd w:val="clear" w:color="auto" w:fill="auto"/>
        </w:rPr>
      </w:pPr>
    </w:p>
    <w:p w14:paraId="5B71C597">
      <w:pPr>
        <w:snapToGrid w:val="0"/>
        <w:spacing w:before="120" w:beforeLines="50" w:after="50" w:line="360" w:lineRule="auto"/>
        <w:ind w:firstLine="1246" w:firstLineChars="445"/>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项目名称：</w:t>
      </w:r>
    </w:p>
    <w:p w14:paraId="60DB786B">
      <w:pPr>
        <w:snapToGrid w:val="0"/>
        <w:spacing w:before="120" w:beforeLines="50" w:after="50" w:line="360" w:lineRule="auto"/>
        <w:ind w:firstLine="560" w:firstLineChars="200"/>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 xml:space="preserve">     项目编号：    </w:t>
      </w:r>
    </w:p>
    <w:p w14:paraId="73AC3629">
      <w:pPr>
        <w:pStyle w:val="14"/>
        <w:snapToGrid w:val="0"/>
        <w:spacing w:before="50" w:after="50" w:line="360" w:lineRule="auto"/>
        <w:ind w:firstLine="1164" w:firstLineChars="416"/>
        <w:rPr>
          <w:rFonts w:hint="eastAsia" w:ascii="宋体" w:hAnsi="宋体" w:eastAsia="宋体" w:cs="宋体"/>
          <w:bCs/>
          <w:color w:val="auto"/>
          <w:sz w:val="28"/>
          <w:szCs w:val="28"/>
          <w:highlight w:val="none"/>
          <w:shd w:val="clear" w:color="auto" w:fill="auto"/>
        </w:rPr>
      </w:pPr>
    </w:p>
    <w:p w14:paraId="72B271C9">
      <w:pPr>
        <w:pStyle w:val="14"/>
        <w:snapToGrid w:val="0"/>
        <w:spacing w:before="50" w:after="50" w:line="360" w:lineRule="auto"/>
        <w:ind w:firstLine="1164" w:firstLineChars="416"/>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投标人名称：</w:t>
      </w:r>
    </w:p>
    <w:p w14:paraId="13B4F10D">
      <w:pPr>
        <w:pStyle w:val="14"/>
        <w:snapToGrid w:val="0"/>
        <w:spacing w:before="50" w:after="50" w:line="360" w:lineRule="auto"/>
        <w:ind w:firstLine="1164" w:firstLineChars="416"/>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投标人地址：</w:t>
      </w:r>
    </w:p>
    <w:p w14:paraId="1168F18A">
      <w:pPr>
        <w:pStyle w:val="14"/>
        <w:snapToGrid w:val="0"/>
        <w:spacing w:before="50" w:after="50"/>
        <w:ind w:firstLine="1120" w:firstLineChars="400"/>
        <w:rPr>
          <w:rFonts w:hint="eastAsia" w:ascii="宋体" w:hAnsi="宋体" w:eastAsia="宋体" w:cs="宋体"/>
          <w:bCs/>
          <w:color w:val="auto"/>
          <w:sz w:val="28"/>
          <w:szCs w:val="28"/>
          <w:highlight w:val="none"/>
          <w:shd w:val="clear" w:color="auto" w:fill="auto"/>
        </w:rPr>
      </w:pPr>
    </w:p>
    <w:p w14:paraId="1AD34F43">
      <w:pPr>
        <w:snapToGrid w:val="0"/>
        <w:spacing w:line="360" w:lineRule="auto"/>
        <w:ind w:firstLine="3360" w:firstLineChars="1200"/>
        <w:jc w:val="left"/>
        <w:rPr>
          <w:rFonts w:hint="eastAsia" w:ascii="宋体" w:hAnsi="宋体" w:eastAsia="宋体" w:cs="宋体"/>
          <w:color w:val="auto"/>
          <w:sz w:val="28"/>
          <w:szCs w:val="28"/>
          <w:highlight w:val="none"/>
          <w:shd w:val="clear" w:color="auto" w:fill="auto"/>
        </w:rPr>
      </w:pPr>
    </w:p>
    <w:p w14:paraId="2BB6CD83">
      <w:pPr>
        <w:snapToGrid w:val="0"/>
        <w:spacing w:line="360" w:lineRule="auto"/>
        <w:ind w:firstLine="3640" w:firstLineChars="13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8"/>
          <w:szCs w:val="28"/>
          <w:highlight w:val="none"/>
          <w:shd w:val="clear" w:color="auto" w:fill="auto"/>
        </w:rPr>
        <w:t>年  月  日</w:t>
      </w:r>
      <w:r>
        <w:rPr>
          <w:rFonts w:hint="eastAsia" w:ascii="宋体" w:hAnsi="宋体" w:eastAsia="宋体" w:cs="宋体"/>
          <w:color w:val="auto"/>
          <w:sz w:val="28"/>
          <w:szCs w:val="28"/>
          <w:highlight w:val="none"/>
          <w:shd w:val="clear" w:color="auto" w:fill="auto"/>
        </w:rPr>
        <w:br w:type="page"/>
      </w:r>
      <w:bookmarkStart w:id="51" w:name="_Hlk60757343"/>
      <w:r>
        <w:rPr>
          <w:rFonts w:hint="eastAsia" w:ascii="宋体" w:hAnsi="宋体" w:eastAsia="宋体" w:cs="宋体"/>
          <w:color w:val="auto"/>
          <w:sz w:val="24"/>
          <w:highlight w:val="none"/>
          <w:shd w:val="clear" w:color="auto" w:fill="auto"/>
        </w:rPr>
        <w:t>2.营业执照等：</w:t>
      </w:r>
      <w:bookmarkEnd w:id="51"/>
    </w:p>
    <w:p w14:paraId="32F14B16">
      <w:pPr>
        <w:snapToGrid w:val="0"/>
        <w:spacing w:line="360" w:lineRule="auto"/>
        <w:jc w:val="center"/>
        <w:rPr>
          <w:rFonts w:hint="eastAsia" w:ascii="宋体" w:hAnsi="宋体" w:eastAsia="宋体" w:cs="宋体"/>
          <w:b/>
          <w:color w:val="auto"/>
          <w:kern w:val="0"/>
          <w:sz w:val="32"/>
          <w:szCs w:val="32"/>
          <w:highlight w:val="none"/>
          <w:shd w:val="clear" w:color="auto" w:fill="auto"/>
          <w:lang w:val="zh-CN"/>
        </w:rPr>
      </w:pPr>
    </w:p>
    <w:p w14:paraId="23E264A2">
      <w:pPr>
        <w:snapToGrid w:val="0"/>
        <w:spacing w:line="360" w:lineRule="auto"/>
        <w:jc w:val="center"/>
        <w:rPr>
          <w:rFonts w:hint="eastAsia" w:ascii="宋体" w:hAnsi="宋体" w:eastAsia="宋体" w:cs="宋体"/>
          <w:b/>
          <w:color w:val="auto"/>
          <w:kern w:val="0"/>
          <w:sz w:val="32"/>
          <w:szCs w:val="32"/>
          <w:highlight w:val="none"/>
          <w:shd w:val="clear" w:color="auto" w:fill="auto"/>
          <w:lang w:val="zh-CN"/>
        </w:rPr>
      </w:pPr>
    </w:p>
    <w:p w14:paraId="4B79B770">
      <w:pPr>
        <w:snapToGrid w:val="0"/>
        <w:spacing w:line="360" w:lineRule="auto"/>
        <w:jc w:val="center"/>
        <w:rPr>
          <w:rFonts w:hint="eastAsia" w:ascii="宋体" w:hAnsi="宋体" w:eastAsia="宋体" w:cs="宋体"/>
          <w:b/>
          <w:color w:val="auto"/>
          <w:kern w:val="0"/>
          <w:sz w:val="32"/>
          <w:szCs w:val="32"/>
          <w:highlight w:val="none"/>
          <w:shd w:val="clear" w:color="auto" w:fill="auto"/>
          <w:lang w:val="zh-CN"/>
        </w:rPr>
      </w:pPr>
      <w:r>
        <w:rPr>
          <w:rFonts w:hint="eastAsia" w:ascii="宋体" w:hAnsi="宋体" w:eastAsia="宋体" w:cs="宋体"/>
          <w:b/>
          <w:color w:val="auto"/>
          <w:kern w:val="0"/>
          <w:sz w:val="32"/>
          <w:szCs w:val="32"/>
          <w:highlight w:val="none"/>
          <w:shd w:val="clear" w:color="auto" w:fill="auto"/>
          <w:lang w:val="zh-CN"/>
        </w:rPr>
        <w:t>营业执照（推荐使用电子营业执照）</w:t>
      </w:r>
    </w:p>
    <w:p w14:paraId="331344CE">
      <w:pPr>
        <w:snapToGrid w:val="0"/>
        <w:spacing w:line="360" w:lineRule="auto"/>
        <w:rPr>
          <w:rFonts w:hint="eastAsia" w:ascii="宋体" w:hAnsi="宋体" w:eastAsia="宋体" w:cs="宋体"/>
          <w:b/>
          <w:color w:val="auto"/>
          <w:kern w:val="0"/>
          <w:sz w:val="32"/>
          <w:szCs w:val="32"/>
          <w:highlight w:val="none"/>
          <w:shd w:val="clear" w:color="auto" w:fill="auto"/>
          <w:lang w:val="zh-CN"/>
        </w:rPr>
      </w:pPr>
      <w:r>
        <w:rPr>
          <w:rFonts w:hint="eastAsia" w:ascii="宋体" w:hAnsi="宋体" w:eastAsia="宋体" w:cs="宋体"/>
          <w:b/>
          <w:color w:val="auto"/>
          <w:kern w:val="0"/>
          <w:sz w:val="32"/>
          <w:szCs w:val="32"/>
          <w:highlight w:val="none"/>
          <w:shd w:val="clear" w:color="auto" w:fill="auto"/>
          <w:lang w:val="zh-CN"/>
        </w:rPr>
        <w:t>或事业法人登记证或其他工商等登记证明材料原件扫描件或复印件</w:t>
      </w:r>
    </w:p>
    <w:p w14:paraId="13900D2A">
      <w:pPr>
        <w:snapToGrid w:val="0"/>
        <w:spacing w:line="360" w:lineRule="auto"/>
        <w:rPr>
          <w:rFonts w:hint="eastAsia" w:ascii="宋体" w:hAnsi="宋体" w:eastAsia="宋体" w:cs="宋体"/>
          <w:bCs/>
          <w:color w:val="auto"/>
          <w:kern w:val="0"/>
          <w:sz w:val="28"/>
          <w:szCs w:val="28"/>
          <w:highlight w:val="none"/>
          <w:shd w:val="clear" w:color="auto" w:fill="auto"/>
          <w:lang w:val="zh-CN"/>
        </w:rPr>
      </w:pPr>
      <w:r>
        <w:rPr>
          <w:rFonts w:hint="eastAsia" w:ascii="宋体" w:hAnsi="宋体" w:eastAsia="宋体" w:cs="宋体"/>
          <w:bCs/>
          <w:color w:val="auto"/>
          <w:kern w:val="0"/>
          <w:sz w:val="28"/>
          <w:szCs w:val="28"/>
          <w:highlight w:val="none"/>
          <w:shd w:val="clear" w:color="auto" w:fill="auto"/>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169BB4CC">
      <w:pPr>
        <w:snapToGrid w:val="0"/>
        <w:spacing w:line="360" w:lineRule="auto"/>
        <w:jc w:val="center"/>
        <w:rPr>
          <w:rFonts w:hint="eastAsia" w:ascii="宋体" w:hAnsi="宋体" w:eastAsia="宋体" w:cs="宋体"/>
          <w:b/>
          <w:color w:val="auto"/>
          <w:sz w:val="30"/>
          <w:szCs w:val="30"/>
          <w:highlight w:val="none"/>
          <w:shd w:val="clear" w:color="auto" w:fill="auto"/>
        </w:rPr>
      </w:pPr>
    </w:p>
    <w:p w14:paraId="37BAB8D0">
      <w:pPr>
        <w:spacing w:line="360" w:lineRule="auto"/>
        <w:jc w:val="center"/>
        <w:rPr>
          <w:rFonts w:hint="eastAsia" w:ascii="宋体" w:hAnsi="宋体" w:eastAsia="宋体" w:cs="宋体"/>
          <w:b/>
          <w:color w:val="auto"/>
          <w:sz w:val="32"/>
          <w:szCs w:val="32"/>
          <w:highlight w:val="none"/>
          <w:shd w:val="clear" w:color="auto" w:fill="auto"/>
        </w:rPr>
      </w:pPr>
    </w:p>
    <w:p w14:paraId="5F2B86B6">
      <w:pPr>
        <w:spacing w:line="360" w:lineRule="auto"/>
        <w:jc w:val="center"/>
        <w:rPr>
          <w:rFonts w:hint="eastAsia" w:ascii="宋体" w:hAnsi="宋体" w:eastAsia="宋体" w:cs="宋体"/>
          <w:b/>
          <w:bCs/>
          <w:color w:val="auto"/>
          <w:sz w:val="32"/>
          <w:szCs w:val="32"/>
          <w:highlight w:val="none"/>
          <w:shd w:val="clear" w:color="auto" w:fill="auto"/>
        </w:rPr>
      </w:pPr>
    </w:p>
    <w:p w14:paraId="48726A7F">
      <w:pPr>
        <w:spacing w:line="360" w:lineRule="auto"/>
        <w:jc w:val="center"/>
        <w:rPr>
          <w:rFonts w:hint="eastAsia" w:ascii="宋体" w:hAnsi="宋体" w:eastAsia="宋体" w:cs="宋体"/>
          <w:b/>
          <w:bCs/>
          <w:color w:val="auto"/>
          <w:sz w:val="32"/>
          <w:szCs w:val="32"/>
          <w:highlight w:val="none"/>
          <w:shd w:val="clear" w:color="auto" w:fill="auto"/>
        </w:rPr>
      </w:pPr>
    </w:p>
    <w:p w14:paraId="2718D569">
      <w:pPr>
        <w:spacing w:line="360" w:lineRule="auto"/>
        <w:jc w:val="left"/>
        <w:rPr>
          <w:rFonts w:hint="eastAsia" w:ascii="宋体" w:hAnsi="宋体" w:eastAsia="宋体" w:cs="宋体"/>
          <w:color w:val="auto"/>
          <w:sz w:val="24"/>
          <w:highlight w:val="none"/>
          <w:shd w:val="clear" w:color="auto" w:fill="auto"/>
        </w:rPr>
      </w:pPr>
      <w:r>
        <w:rPr>
          <w:rFonts w:hint="eastAsia" w:ascii="宋体" w:hAnsi="宋体" w:eastAsia="宋体" w:cs="宋体"/>
          <w:b/>
          <w:bCs/>
          <w:color w:val="auto"/>
          <w:sz w:val="28"/>
          <w:szCs w:val="28"/>
          <w:highlight w:val="none"/>
          <w:shd w:val="clear" w:color="auto" w:fill="auto"/>
        </w:rPr>
        <w:br w:type="page"/>
      </w:r>
      <w:r>
        <w:rPr>
          <w:rFonts w:hint="eastAsia" w:ascii="宋体" w:hAnsi="宋体" w:eastAsia="宋体" w:cs="宋体"/>
          <w:color w:val="auto"/>
          <w:sz w:val="24"/>
          <w:highlight w:val="none"/>
          <w:shd w:val="clear" w:color="auto" w:fill="auto"/>
        </w:rPr>
        <w:t>3.</w:t>
      </w:r>
      <w:r>
        <w:rPr>
          <w:rFonts w:hint="eastAsia" w:ascii="宋体" w:hAnsi="宋体" w:eastAsia="宋体" w:cs="宋体"/>
          <w:color w:val="auto"/>
          <w:highlight w:val="none"/>
          <w:shd w:val="clear" w:color="auto" w:fill="auto"/>
        </w:rPr>
        <w:t xml:space="preserve"> </w:t>
      </w:r>
      <w:r>
        <w:rPr>
          <w:rFonts w:hint="eastAsia" w:ascii="宋体" w:hAnsi="宋体" w:eastAsia="宋体" w:cs="宋体"/>
          <w:color w:val="auto"/>
          <w:sz w:val="24"/>
          <w:highlight w:val="none"/>
          <w:shd w:val="clear" w:color="auto" w:fill="auto"/>
        </w:rPr>
        <w:t>没有重大违法记录的承诺函格式：</w:t>
      </w:r>
    </w:p>
    <w:p w14:paraId="488B2800">
      <w:pPr>
        <w:spacing w:line="360" w:lineRule="auto"/>
        <w:jc w:val="center"/>
        <w:rPr>
          <w:rFonts w:hint="eastAsia" w:ascii="宋体" w:hAnsi="宋体" w:eastAsia="宋体" w:cs="宋体"/>
          <w:b/>
          <w:color w:val="auto"/>
          <w:kern w:val="0"/>
          <w:sz w:val="32"/>
          <w:szCs w:val="32"/>
          <w:highlight w:val="none"/>
          <w:shd w:val="clear" w:color="auto" w:fill="auto"/>
        </w:rPr>
      </w:pPr>
    </w:p>
    <w:p w14:paraId="6A05BA03">
      <w:pPr>
        <w:spacing w:line="520" w:lineRule="exact"/>
        <w:jc w:val="center"/>
        <w:rPr>
          <w:rFonts w:hint="eastAsia"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t>参加本次采购项目前三年内在经营活动中</w:t>
      </w:r>
    </w:p>
    <w:p w14:paraId="19F3058B">
      <w:pPr>
        <w:spacing w:line="520" w:lineRule="exact"/>
        <w:jc w:val="center"/>
        <w:rPr>
          <w:rFonts w:hint="eastAsia"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t>没有重大违法记录的承诺函</w:t>
      </w:r>
    </w:p>
    <w:p w14:paraId="7156BDD7">
      <w:pPr>
        <w:spacing w:line="520" w:lineRule="exact"/>
        <w:jc w:val="center"/>
        <w:rPr>
          <w:rFonts w:hint="eastAsia" w:ascii="宋体" w:hAnsi="宋体" w:eastAsia="宋体" w:cs="宋体"/>
          <w:bCs/>
          <w:color w:val="auto"/>
          <w:sz w:val="24"/>
          <w:highlight w:val="none"/>
          <w:shd w:val="clear" w:color="auto" w:fill="auto"/>
        </w:rPr>
      </w:pPr>
    </w:p>
    <w:p w14:paraId="0E8025EE">
      <w:pPr>
        <w:ind w:firstLine="420"/>
        <w:rPr>
          <w:rFonts w:hint="eastAsia" w:ascii="宋体" w:hAnsi="宋体" w:eastAsia="宋体" w:cs="宋体"/>
          <w:color w:val="auto"/>
          <w:sz w:val="24"/>
          <w:highlight w:val="none"/>
          <w:shd w:val="clear" w:color="auto" w:fill="auto"/>
        </w:rPr>
      </w:pPr>
    </w:p>
    <w:p w14:paraId="5133DCA0">
      <w:pPr>
        <w:spacing w:line="360" w:lineRule="auto"/>
        <w:rPr>
          <w:rFonts w:hint="eastAsia" w:ascii="宋体" w:hAnsi="宋体" w:eastAsia="宋体" w:cs="宋体"/>
          <w:color w:val="auto"/>
          <w:kern w:val="0"/>
          <w:sz w:val="24"/>
          <w:highlight w:val="none"/>
          <w:shd w:val="clear" w:color="auto" w:fill="auto"/>
        </w:rPr>
      </w:pPr>
      <w:r>
        <w:rPr>
          <w:rFonts w:hint="eastAsia" w:ascii="宋体" w:hAnsi="宋体" w:eastAsia="宋体" w:cs="宋体"/>
          <w:bCs/>
          <w:color w:val="auto"/>
          <w:sz w:val="24"/>
          <w:highlight w:val="none"/>
          <w:shd w:val="clear" w:color="auto" w:fill="auto"/>
        </w:rPr>
        <w:t>致：</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shd w:val="clear" w:color="auto" w:fill="auto"/>
        </w:rPr>
        <w:t>（招标人名称）</w:t>
      </w:r>
      <w:r>
        <w:rPr>
          <w:rFonts w:hint="eastAsia" w:ascii="宋体" w:hAnsi="宋体" w:eastAsia="宋体" w:cs="宋体"/>
          <w:b/>
          <w:bCs/>
          <w:color w:val="auto"/>
          <w:sz w:val="24"/>
          <w:highlight w:val="none"/>
          <w:shd w:val="clear" w:color="auto" w:fill="auto"/>
        </w:rPr>
        <w:t xml:space="preserve"> </w:t>
      </w:r>
      <w:r>
        <w:rPr>
          <w:rFonts w:hint="eastAsia" w:ascii="宋体" w:hAnsi="宋体" w:eastAsia="宋体" w:cs="宋体"/>
          <w:color w:val="auto"/>
          <w:sz w:val="24"/>
          <w:highlight w:val="none"/>
          <w:shd w:val="clear" w:color="auto" w:fill="auto"/>
        </w:rPr>
        <w:t>：</w:t>
      </w:r>
    </w:p>
    <w:p w14:paraId="3B5470DF">
      <w:pPr>
        <w:snapToGrid w:val="0"/>
        <w:spacing w:before="120" w:beforeLines="50" w:after="50" w:line="360" w:lineRule="auto"/>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我方郑重承诺，我方在参加</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shd w:val="clear" w:color="auto" w:fill="auto"/>
        </w:rPr>
        <w:t>项目（项目编号：</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shd w:val="clear" w:color="auto" w:fill="auto"/>
        </w:rPr>
        <w:t>）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w:t>
      </w:r>
      <w:r>
        <w:rPr>
          <w:rFonts w:hint="eastAsia" w:ascii="宋体" w:hAnsi="宋体" w:cs="宋体"/>
          <w:color w:val="auto"/>
          <w:sz w:val="24"/>
          <w:highlight w:val="none"/>
          <w:shd w:val="clear" w:color="auto" w:fill="auto"/>
          <w:lang w:eastAsia="zh-CN"/>
        </w:rPr>
        <w:t>，</w:t>
      </w:r>
      <w:r>
        <w:rPr>
          <w:rFonts w:hint="eastAsia" w:ascii="宋体" w:hAnsi="宋体" w:cs="Arial"/>
          <w:color w:val="auto"/>
          <w:kern w:val="0"/>
          <w:sz w:val="24"/>
          <w:highlight w:val="none"/>
          <w:lang w:eastAsia="zh-CN"/>
        </w:rPr>
        <w:t>未被“信用中国”（www.creditchina.gov.cn)、中国政府采购网（www.ccgp.gov.cn）列入失信被执行人、税收违法黑名单、政府采购严重违法失信行为记录名单</w:t>
      </w:r>
      <w:r>
        <w:rPr>
          <w:rFonts w:hint="eastAsia" w:ascii="宋体" w:hAnsi="宋体" w:eastAsia="宋体" w:cs="宋体"/>
          <w:color w:val="auto"/>
          <w:sz w:val="24"/>
          <w:highlight w:val="none"/>
          <w:shd w:val="clear" w:color="auto" w:fill="auto"/>
        </w:rPr>
        <w:t>。如有虚假或隐瞒，招标人可取消我方任何资格（投标/谈判/中标（成交）/签订合同），我方对此无任何异议，并愿意承担一切后果和责任。</w:t>
      </w:r>
    </w:p>
    <w:p w14:paraId="091D6A9C">
      <w:pPr>
        <w:ind w:firstLine="420"/>
        <w:rPr>
          <w:rFonts w:hint="eastAsia" w:ascii="宋体" w:hAnsi="宋体" w:eastAsia="宋体" w:cs="宋体"/>
          <w:color w:val="auto"/>
          <w:sz w:val="24"/>
          <w:highlight w:val="none"/>
          <w:shd w:val="clear" w:color="auto" w:fill="auto"/>
        </w:rPr>
      </w:pPr>
    </w:p>
    <w:p w14:paraId="071C0E40">
      <w:pPr>
        <w:snapToGrid w:val="0"/>
        <w:spacing w:before="120" w:beforeLines="50" w:after="50" w:line="360" w:lineRule="auto"/>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特此</w:t>
      </w:r>
      <w:r>
        <w:rPr>
          <w:rFonts w:hint="eastAsia" w:ascii="宋体" w:hAnsi="宋体" w:eastAsia="宋体" w:cs="宋体"/>
          <w:color w:val="auto"/>
          <w:kern w:val="0"/>
          <w:sz w:val="24"/>
          <w:highlight w:val="none"/>
          <w:shd w:val="clear" w:color="auto" w:fill="auto"/>
        </w:rPr>
        <w:t>承诺</w:t>
      </w:r>
      <w:r>
        <w:rPr>
          <w:rFonts w:hint="eastAsia" w:ascii="宋体" w:hAnsi="宋体" w:eastAsia="宋体" w:cs="宋体"/>
          <w:color w:val="auto"/>
          <w:sz w:val="24"/>
          <w:highlight w:val="none"/>
          <w:shd w:val="clear" w:color="auto" w:fill="auto"/>
        </w:rPr>
        <w:t>！</w:t>
      </w:r>
    </w:p>
    <w:p w14:paraId="14AD71B7">
      <w:pPr>
        <w:snapToGrid w:val="0"/>
        <w:spacing w:before="50" w:after="120" w:afterLines="50"/>
        <w:jc w:val="left"/>
        <w:rPr>
          <w:rFonts w:hint="eastAsia" w:ascii="宋体" w:hAnsi="宋体" w:eastAsia="宋体" w:cs="宋体"/>
          <w:color w:val="auto"/>
          <w:kern w:val="0"/>
          <w:sz w:val="24"/>
          <w:highlight w:val="none"/>
          <w:shd w:val="clear" w:color="auto" w:fill="auto"/>
          <w:lang w:val="zh-CN"/>
        </w:rPr>
      </w:pPr>
    </w:p>
    <w:p w14:paraId="669E3B7D">
      <w:pPr>
        <w:snapToGrid w:val="0"/>
        <w:spacing w:before="50" w:after="120" w:afterLines="50"/>
        <w:jc w:val="left"/>
        <w:rPr>
          <w:rFonts w:hint="eastAsia" w:ascii="宋体" w:hAnsi="宋体" w:eastAsia="宋体" w:cs="宋体"/>
          <w:color w:val="auto"/>
          <w:kern w:val="0"/>
          <w:sz w:val="24"/>
          <w:highlight w:val="none"/>
          <w:shd w:val="clear" w:color="auto" w:fill="auto"/>
          <w:lang w:val="zh-CN"/>
        </w:rPr>
      </w:pPr>
    </w:p>
    <w:p w14:paraId="3931EF26">
      <w:pPr>
        <w:snapToGrid w:val="0"/>
        <w:spacing w:before="50" w:after="120" w:afterLines="50"/>
        <w:jc w:val="left"/>
        <w:rPr>
          <w:rFonts w:hint="eastAsia" w:ascii="宋体" w:hAnsi="宋体" w:eastAsia="宋体" w:cs="宋体"/>
          <w:color w:val="auto"/>
          <w:kern w:val="0"/>
          <w:sz w:val="24"/>
          <w:highlight w:val="none"/>
          <w:shd w:val="clear" w:color="auto" w:fill="auto"/>
          <w:lang w:val="zh-CN"/>
        </w:rPr>
      </w:pPr>
    </w:p>
    <w:p w14:paraId="252770B1">
      <w:pPr>
        <w:snapToGrid w:val="0"/>
        <w:spacing w:before="50" w:after="120" w:afterLines="50"/>
        <w:jc w:val="left"/>
        <w:rPr>
          <w:rFonts w:hint="eastAsia" w:ascii="宋体" w:hAnsi="宋体" w:eastAsia="宋体" w:cs="宋体"/>
          <w:b/>
          <w:color w:val="auto"/>
          <w:spacing w:val="20"/>
          <w:sz w:val="24"/>
          <w:highlight w:val="none"/>
          <w:shd w:val="clear" w:color="auto" w:fill="auto"/>
        </w:rPr>
      </w:pPr>
      <w:r>
        <w:rPr>
          <w:rFonts w:hint="eastAsia" w:ascii="宋体" w:hAnsi="宋体" w:eastAsia="宋体" w:cs="宋体"/>
          <w:b/>
          <w:color w:val="auto"/>
          <w:spacing w:val="20"/>
          <w:sz w:val="24"/>
          <w:highlight w:val="none"/>
          <w:shd w:val="clear" w:color="auto" w:fill="auto"/>
        </w:rPr>
        <w:t>法定代表人签字（或盖章）：         投标人（盖章）：</w:t>
      </w:r>
    </w:p>
    <w:p w14:paraId="682A894F">
      <w:pPr>
        <w:snapToGrid w:val="0"/>
        <w:spacing w:before="50" w:after="120" w:afterLines="50"/>
        <w:jc w:val="left"/>
        <w:rPr>
          <w:rFonts w:hint="eastAsia" w:ascii="宋体" w:hAnsi="宋体" w:eastAsia="宋体" w:cs="宋体"/>
          <w:b/>
          <w:color w:val="auto"/>
          <w:sz w:val="24"/>
          <w:highlight w:val="none"/>
          <w:shd w:val="clear" w:color="auto" w:fill="auto"/>
        </w:rPr>
      </w:pPr>
    </w:p>
    <w:p w14:paraId="41335FA3">
      <w:pPr>
        <w:snapToGrid w:val="0"/>
        <w:spacing w:before="50" w:after="120" w:afterLines="50"/>
        <w:jc w:val="left"/>
        <w:rPr>
          <w:rFonts w:hint="eastAsia" w:ascii="宋体" w:hAnsi="宋体" w:eastAsia="宋体" w:cs="宋体"/>
          <w:b/>
          <w:color w:val="auto"/>
          <w:sz w:val="24"/>
          <w:highlight w:val="none"/>
          <w:shd w:val="clear" w:color="auto" w:fill="auto"/>
        </w:rPr>
      </w:pPr>
    </w:p>
    <w:p w14:paraId="68915373">
      <w:pPr>
        <w:snapToGrid w:val="0"/>
        <w:spacing w:before="50" w:after="120" w:afterLines="50"/>
        <w:jc w:val="left"/>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日期：  _____年___月___日</w:t>
      </w:r>
    </w:p>
    <w:p w14:paraId="105F1931">
      <w:pPr>
        <w:snapToGrid w:val="0"/>
        <w:spacing w:before="50" w:after="120" w:afterLines="50"/>
        <w:jc w:val="left"/>
        <w:rPr>
          <w:rFonts w:hint="eastAsia" w:ascii="宋体" w:hAnsi="宋体" w:eastAsia="宋体" w:cs="宋体"/>
          <w:color w:val="auto"/>
          <w:sz w:val="28"/>
          <w:szCs w:val="28"/>
          <w:highlight w:val="none"/>
          <w:shd w:val="clear" w:color="auto" w:fill="auto"/>
        </w:rPr>
      </w:pPr>
    </w:p>
    <w:p w14:paraId="44FEC5F8">
      <w:pPr>
        <w:snapToGrid w:val="0"/>
        <w:spacing w:line="360" w:lineRule="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kern w:val="0"/>
          <w:sz w:val="24"/>
          <w:highlight w:val="none"/>
          <w:shd w:val="clear" w:color="auto" w:fill="auto"/>
          <w:lang w:val="zh-CN"/>
        </w:rPr>
        <w:br w:type="page"/>
      </w:r>
    </w:p>
    <w:p w14:paraId="47C1271F">
      <w:pPr>
        <w:widowControl w:val="0"/>
        <w:numPr>
          <w:ilvl w:val="0"/>
          <w:numId w:val="0"/>
        </w:numPr>
        <w:snapToGrid w:val="0"/>
        <w:spacing w:before="120" w:beforeLines="50" w:after="50"/>
        <w:jc w:val="both"/>
        <w:rPr>
          <w:rFonts w:hint="eastAsia" w:ascii="宋体" w:hAnsi="宋体" w:eastAsia="宋体" w:cs="宋体"/>
          <w:color w:val="auto"/>
          <w:sz w:val="28"/>
          <w:szCs w:val="28"/>
          <w:highlight w:val="none"/>
          <w:shd w:val="clear" w:color="auto" w:fill="auto"/>
          <w:lang w:val="en-US" w:eastAsia="zh-CN"/>
        </w:rPr>
      </w:pPr>
    </w:p>
    <w:p w14:paraId="6C18C54B">
      <w:pPr>
        <w:snapToGrid w:val="0"/>
        <w:spacing w:before="120" w:beforeLines="50" w:after="50"/>
        <w:jc w:val="center"/>
        <w:outlineLvl w:val="1"/>
        <w:rPr>
          <w:rFonts w:hint="eastAsia" w:ascii="宋体" w:hAnsi="宋体" w:eastAsia="宋体" w:cs="宋体"/>
          <w:b/>
          <w:bCs/>
          <w:color w:val="auto"/>
          <w:sz w:val="28"/>
          <w:szCs w:val="28"/>
          <w:highlight w:val="none"/>
          <w:shd w:val="clear" w:color="auto" w:fill="auto"/>
        </w:rPr>
      </w:pPr>
      <w:bookmarkStart w:id="52" w:name="_Toc15805"/>
      <w:bookmarkStart w:id="53" w:name="_Toc18185"/>
      <w:bookmarkStart w:id="54" w:name="_Toc466534753"/>
      <w:r>
        <w:rPr>
          <w:rFonts w:hint="eastAsia" w:ascii="宋体" w:hAnsi="宋体" w:eastAsia="宋体" w:cs="宋体"/>
          <w:b/>
          <w:bCs/>
          <w:color w:val="auto"/>
          <w:sz w:val="28"/>
          <w:szCs w:val="28"/>
          <w:highlight w:val="none"/>
          <w:shd w:val="clear" w:color="auto" w:fill="auto"/>
        </w:rPr>
        <w:t>二、商务技术文件格式</w:t>
      </w:r>
      <w:bookmarkEnd w:id="50"/>
      <w:bookmarkEnd w:id="52"/>
      <w:bookmarkEnd w:id="53"/>
      <w:bookmarkEnd w:id="54"/>
    </w:p>
    <w:p w14:paraId="2987A213">
      <w:pPr>
        <w:snapToGrid w:val="0"/>
        <w:spacing w:before="120" w:beforeLines="50" w:after="50"/>
        <w:jc w:val="center"/>
        <w:rPr>
          <w:rFonts w:hint="eastAsia" w:ascii="宋体" w:hAnsi="宋体" w:eastAsia="宋体" w:cs="宋体"/>
          <w:color w:val="auto"/>
          <w:sz w:val="28"/>
          <w:szCs w:val="28"/>
          <w:highlight w:val="none"/>
          <w:shd w:val="clear" w:color="auto" w:fill="auto"/>
        </w:rPr>
      </w:pPr>
    </w:p>
    <w:p w14:paraId="3F91B2EC">
      <w:pPr>
        <w:snapToGrid w:val="0"/>
        <w:spacing w:before="120" w:beforeLines="50" w:after="50"/>
        <w:jc w:val="center"/>
        <w:rPr>
          <w:rFonts w:hint="eastAsia" w:ascii="宋体" w:hAnsi="宋体" w:eastAsia="宋体" w:cs="宋体"/>
          <w:color w:val="auto"/>
          <w:sz w:val="28"/>
          <w:szCs w:val="28"/>
          <w:highlight w:val="none"/>
          <w:shd w:val="clear" w:color="auto" w:fill="auto"/>
        </w:rPr>
      </w:pPr>
    </w:p>
    <w:p w14:paraId="1FEB9547">
      <w:pPr>
        <w:snapToGrid w:val="0"/>
        <w:spacing w:before="120" w:beforeLines="50" w:after="50"/>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4</w:t>
      </w:r>
      <w:r>
        <w:rPr>
          <w:rFonts w:hint="eastAsia" w:ascii="宋体" w:hAnsi="宋体" w:eastAsia="宋体" w:cs="宋体"/>
          <w:color w:val="auto"/>
          <w:sz w:val="28"/>
          <w:szCs w:val="28"/>
          <w:highlight w:val="none"/>
          <w:shd w:val="clear" w:color="auto" w:fill="auto"/>
        </w:rPr>
        <w:t xml:space="preserve">.商务技术文件封面格式： </w:t>
      </w:r>
    </w:p>
    <w:p w14:paraId="0D7F008A">
      <w:pPr>
        <w:snapToGrid w:val="0"/>
        <w:spacing w:before="120" w:beforeLines="50" w:after="5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t xml:space="preserve"> </w:t>
      </w:r>
    </w:p>
    <w:p w14:paraId="2EE1AAFD">
      <w:pPr>
        <w:snapToGrid w:val="0"/>
        <w:spacing w:before="120" w:beforeLines="50" w:after="50"/>
        <w:rPr>
          <w:rFonts w:hint="eastAsia" w:ascii="宋体" w:hAnsi="宋体" w:eastAsia="宋体" w:cs="宋体"/>
          <w:color w:val="auto"/>
          <w:sz w:val="28"/>
          <w:szCs w:val="28"/>
          <w:highlight w:val="none"/>
          <w:shd w:val="clear" w:color="auto" w:fill="auto"/>
        </w:rPr>
      </w:pPr>
    </w:p>
    <w:p w14:paraId="4967046D">
      <w:pPr>
        <w:snapToGrid w:val="0"/>
        <w:spacing w:before="120" w:beforeLines="50" w:after="50"/>
        <w:jc w:val="center"/>
        <w:rPr>
          <w:rFonts w:hint="eastAsia" w:ascii="宋体" w:hAnsi="宋体" w:eastAsia="宋体" w:cs="宋体"/>
          <w:bCs/>
          <w:color w:val="auto"/>
          <w:sz w:val="28"/>
          <w:szCs w:val="28"/>
          <w:highlight w:val="none"/>
          <w:shd w:val="clear" w:color="auto" w:fill="auto"/>
        </w:rPr>
      </w:pPr>
    </w:p>
    <w:p w14:paraId="598FE48F">
      <w:pPr>
        <w:snapToGrid w:val="0"/>
        <w:spacing w:before="120" w:beforeLines="50" w:after="50"/>
        <w:jc w:val="center"/>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商务技术文件</w:t>
      </w:r>
    </w:p>
    <w:p w14:paraId="4D2137FD">
      <w:pPr>
        <w:snapToGrid w:val="0"/>
        <w:spacing w:before="120" w:beforeLines="50" w:after="50" w:line="360" w:lineRule="auto"/>
        <w:jc w:val="center"/>
        <w:rPr>
          <w:rFonts w:hint="eastAsia" w:ascii="宋体" w:hAnsi="宋体" w:eastAsia="宋体" w:cs="宋体"/>
          <w:bCs/>
          <w:color w:val="auto"/>
          <w:sz w:val="28"/>
          <w:szCs w:val="28"/>
          <w:highlight w:val="none"/>
          <w:shd w:val="clear" w:color="auto" w:fill="auto"/>
        </w:rPr>
      </w:pPr>
    </w:p>
    <w:p w14:paraId="61444A11">
      <w:pPr>
        <w:snapToGrid w:val="0"/>
        <w:spacing w:before="120" w:beforeLines="50" w:after="50" w:line="360" w:lineRule="auto"/>
        <w:jc w:val="center"/>
        <w:rPr>
          <w:rFonts w:hint="eastAsia" w:ascii="宋体" w:hAnsi="宋体" w:eastAsia="宋体" w:cs="宋体"/>
          <w:bCs/>
          <w:color w:val="auto"/>
          <w:sz w:val="28"/>
          <w:szCs w:val="28"/>
          <w:highlight w:val="none"/>
          <w:shd w:val="clear" w:color="auto" w:fill="auto"/>
        </w:rPr>
      </w:pPr>
    </w:p>
    <w:p w14:paraId="498C9D1B">
      <w:pPr>
        <w:snapToGrid w:val="0"/>
        <w:spacing w:before="120" w:beforeLines="50" w:after="50" w:line="360" w:lineRule="auto"/>
        <w:ind w:firstLine="1246" w:firstLineChars="445"/>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项目名称：</w:t>
      </w:r>
    </w:p>
    <w:p w14:paraId="2DC78294">
      <w:pPr>
        <w:snapToGrid w:val="0"/>
        <w:spacing w:before="120" w:beforeLines="50" w:after="50" w:line="360" w:lineRule="auto"/>
        <w:ind w:firstLine="560" w:firstLineChars="200"/>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 xml:space="preserve">     项目编号：    </w:t>
      </w:r>
    </w:p>
    <w:p w14:paraId="75F0622F">
      <w:pPr>
        <w:pStyle w:val="14"/>
        <w:snapToGrid w:val="0"/>
        <w:spacing w:before="50" w:after="50" w:line="360" w:lineRule="auto"/>
        <w:ind w:firstLine="1164" w:firstLineChars="416"/>
        <w:rPr>
          <w:rFonts w:hint="eastAsia" w:ascii="宋体" w:hAnsi="宋体" w:eastAsia="宋体" w:cs="宋体"/>
          <w:bCs/>
          <w:color w:val="auto"/>
          <w:sz w:val="28"/>
          <w:szCs w:val="28"/>
          <w:highlight w:val="none"/>
          <w:shd w:val="clear" w:color="auto" w:fill="auto"/>
        </w:rPr>
      </w:pPr>
    </w:p>
    <w:p w14:paraId="4498DB9E">
      <w:pPr>
        <w:pStyle w:val="14"/>
        <w:snapToGrid w:val="0"/>
        <w:spacing w:before="50" w:after="50" w:line="360" w:lineRule="auto"/>
        <w:ind w:firstLine="1164" w:firstLineChars="416"/>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投标人名称：</w:t>
      </w:r>
    </w:p>
    <w:p w14:paraId="1BB9618F">
      <w:pPr>
        <w:pStyle w:val="14"/>
        <w:snapToGrid w:val="0"/>
        <w:spacing w:before="50" w:after="50" w:line="360" w:lineRule="auto"/>
        <w:ind w:firstLine="1164" w:firstLineChars="416"/>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投标人地址：</w:t>
      </w:r>
    </w:p>
    <w:p w14:paraId="77DAAB37">
      <w:pPr>
        <w:pStyle w:val="14"/>
        <w:snapToGrid w:val="0"/>
        <w:spacing w:before="50" w:after="50"/>
        <w:ind w:firstLine="1120" w:firstLineChars="400"/>
        <w:rPr>
          <w:rFonts w:hint="eastAsia" w:ascii="宋体" w:hAnsi="宋体" w:eastAsia="宋体" w:cs="宋体"/>
          <w:bCs/>
          <w:color w:val="auto"/>
          <w:sz w:val="28"/>
          <w:szCs w:val="28"/>
          <w:highlight w:val="none"/>
          <w:shd w:val="clear" w:color="auto" w:fill="auto"/>
        </w:rPr>
      </w:pPr>
    </w:p>
    <w:p w14:paraId="2CD32F31">
      <w:pPr>
        <w:snapToGrid w:val="0"/>
        <w:spacing w:before="120" w:beforeLines="50" w:after="50"/>
        <w:ind w:firstLine="645"/>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8"/>
          <w:szCs w:val="28"/>
          <w:highlight w:val="none"/>
          <w:shd w:val="clear" w:color="auto" w:fill="auto"/>
        </w:rPr>
        <w:t xml:space="preserve">                        年  月  日</w:t>
      </w:r>
      <w:r>
        <w:rPr>
          <w:rFonts w:hint="eastAsia" w:ascii="宋体" w:hAnsi="宋体" w:eastAsia="宋体" w:cs="宋体"/>
          <w:color w:val="auto"/>
          <w:sz w:val="24"/>
          <w:highlight w:val="none"/>
          <w:shd w:val="clear" w:color="auto" w:fill="auto"/>
        </w:rPr>
        <w:br w:type="page"/>
      </w:r>
      <w:bookmarkStart w:id="55" w:name="_Hlk60757098"/>
      <w:r>
        <w:rPr>
          <w:rFonts w:hint="eastAsia" w:ascii="宋体" w:hAnsi="宋体" w:cs="宋体"/>
          <w:color w:val="auto"/>
          <w:sz w:val="24"/>
          <w:highlight w:val="none"/>
          <w:shd w:val="clear" w:color="auto" w:fill="auto"/>
          <w:lang w:val="en-US" w:eastAsia="zh-CN"/>
        </w:rPr>
        <w:t>5</w:t>
      </w:r>
      <w:r>
        <w:rPr>
          <w:rFonts w:hint="eastAsia" w:ascii="宋体" w:hAnsi="宋体" w:eastAsia="宋体" w:cs="宋体"/>
          <w:color w:val="auto"/>
          <w:sz w:val="24"/>
          <w:highlight w:val="none"/>
          <w:shd w:val="clear" w:color="auto" w:fill="auto"/>
        </w:rPr>
        <w:t>.投标函格式：</w:t>
      </w:r>
      <w:bookmarkEnd w:id="55"/>
    </w:p>
    <w:p w14:paraId="4E8B1E53">
      <w:pPr>
        <w:snapToGrid w:val="0"/>
        <w:spacing w:before="120" w:beforeLines="50" w:after="50"/>
        <w:jc w:val="center"/>
        <w:rPr>
          <w:rFonts w:hint="eastAsia" w:ascii="宋体" w:hAnsi="宋体" w:eastAsia="宋体" w:cs="宋体"/>
          <w:b/>
          <w:color w:val="auto"/>
          <w:sz w:val="36"/>
          <w:szCs w:val="36"/>
          <w:highlight w:val="none"/>
          <w:shd w:val="clear" w:color="auto" w:fill="auto"/>
        </w:rPr>
      </w:pPr>
      <w:r>
        <w:rPr>
          <w:rFonts w:hint="eastAsia" w:ascii="宋体" w:hAnsi="宋体" w:eastAsia="宋体" w:cs="宋体"/>
          <w:b/>
          <w:color w:val="auto"/>
          <w:sz w:val="36"/>
          <w:szCs w:val="36"/>
          <w:highlight w:val="none"/>
          <w:shd w:val="clear" w:color="auto" w:fill="auto"/>
        </w:rPr>
        <w:t>投 标 函</w:t>
      </w:r>
    </w:p>
    <w:p w14:paraId="00683728">
      <w:pPr>
        <w:snapToGrid w:val="0"/>
        <w:spacing w:before="120" w:beforeLines="50" w:after="50" w:line="380" w:lineRule="exact"/>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shd w:val="clear" w:color="auto" w:fill="auto"/>
        </w:rPr>
        <w:t>致：______</w:t>
      </w:r>
      <w:r>
        <w:rPr>
          <w:rFonts w:hint="eastAsia" w:ascii="宋体" w:hAnsi="宋体" w:eastAsia="宋体" w:cs="宋体"/>
          <w:color w:val="auto"/>
          <w:sz w:val="24"/>
          <w:highlight w:val="none"/>
          <w:u w:val="single"/>
          <w:shd w:val="clear" w:color="auto" w:fill="auto"/>
        </w:rPr>
        <w:t>_     _</w:t>
      </w:r>
      <w:r>
        <w:rPr>
          <w:rFonts w:hint="eastAsia" w:ascii="宋体" w:hAnsi="宋体" w:eastAsia="宋体" w:cs="宋体"/>
          <w:color w:val="auto"/>
          <w:sz w:val="24"/>
          <w:highlight w:val="none"/>
          <w:shd w:val="clear" w:color="auto" w:fill="auto"/>
        </w:rPr>
        <w:t>_（招标人名称）：</w:t>
      </w:r>
    </w:p>
    <w:p w14:paraId="2D69A996">
      <w:pPr>
        <w:snapToGrid w:val="0"/>
        <w:spacing w:line="360" w:lineRule="auto"/>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1、我方自愿参加贵方组织的_____</w:t>
      </w:r>
      <w:r>
        <w:rPr>
          <w:rFonts w:hint="eastAsia" w:ascii="宋体" w:hAnsi="宋体" w:eastAsia="宋体" w:cs="宋体"/>
          <w:color w:val="auto"/>
          <w:sz w:val="24"/>
          <w:highlight w:val="none"/>
          <w:u w:val="single"/>
          <w:shd w:val="clear" w:color="auto" w:fill="auto"/>
        </w:rPr>
        <w:t>_              _</w:t>
      </w:r>
      <w:r>
        <w:rPr>
          <w:rFonts w:hint="eastAsia" w:ascii="宋体" w:hAnsi="宋体" w:eastAsia="宋体" w:cs="宋体"/>
          <w:color w:val="auto"/>
          <w:sz w:val="24"/>
          <w:highlight w:val="none"/>
          <w:shd w:val="clear" w:color="auto" w:fill="auto"/>
        </w:rPr>
        <w:t>_项目（项目编号：____</w:t>
      </w:r>
      <w:r>
        <w:rPr>
          <w:rFonts w:hint="eastAsia" w:ascii="宋体" w:hAnsi="宋体" w:eastAsia="宋体" w:cs="宋体"/>
          <w:color w:val="auto"/>
          <w:sz w:val="24"/>
          <w:highlight w:val="none"/>
          <w:u w:val="single"/>
          <w:shd w:val="clear" w:color="auto" w:fill="auto"/>
        </w:rPr>
        <w:t>_     _</w:t>
      </w:r>
      <w:r>
        <w:rPr>
          <w:rFonts w:hint="eastAsia" w:ascii="宋体" w:hAnsi="宋体" w:eastAsia="宋体" w:cs="宋体"/>
          <w:color w:val="auto"/>
          <w:sz w:val="24"/>
          <w:highlight w:val="none"/>
          <w:shd w:val="clear" w:color="auto" w:fill="auto"/>
        </w:rPr>
        <w:t>_）的投标，并按采购文件的要求提交商务技术文件、报价文件。</w:t>
      </w:r>
    </w:p>
    <w:p w14:paraId="2A0FC143">
      <w:pPr>
        <w:snapToGrid w:val="0"/>
        <w:spacing w:line="360" w:lineRule="auto"/>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2、我方完全理解并接受招标文件（包括修改补充文件）的各项规定和要求，不再对招标文件的合理性、合法性等相关内容提出质疑或投诉。</w:t>
      </w:r>
    </w:p>
    <w:p w14:paraId="7797E611">
      <w:pPr>
        <w:snapToGrid w:val="0"/>
        <w:spacing w:line="360" w:lineRule="auto"/>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3、我方不是招标人的附属机构以及其它法律法规所规定的限制投标单位。</w:t>
      </w:r>
    </w:p>
    <w:p w14:paraId="46AE65D2">
      <w:pPr>
        <w:snapToGrid w:val="0"/>
        <w:spacing w:line="360" w:lineRule="auto"/>
        <w:ind w:firstLine="482" w:firstLineChars="200"/>
        <w:rPr>
          <w:rFonts w:hint="eastAsia" w:ascii="宋体" w:hAnsi="宋体" w:eastAsia="宋体" w:cs="宋体"/>
          <w:b/>
          <w:bCs/>
          <w:color w:val="auto"/>
          <w:sz w:val="24"/>
          <w:highlight w:val="none"/>
          <w:shd w:val="clear" w:color="auto" w:fill="auto"/>
        </w:rPr>
      </w:pPr>
      <w:r>
        <w:rPr>
          <w:rFonts w:hint="eastAsia" w:ascii="宋体" w:hAnsi="宋体" w:eastAsia="宋体" w:cs="宋体"/>
          <w:b/>
          <w:bCs/>
          <w:color w:val="auto"/>
          <w:sz w:val="24"/>
          <w:highlight w:val="none"/>
          <w:shd w:val="clear" w:color="auto" w:fill="auto"/>
        </w:rPr>
        <w:t>4.、我方向贵方提交的所有投标文件、资料（包括所有</w:t>
      </w:r>
      <w:bookmarkStart w:id="56" w:name="_Hlk59707887"/>
      <w:r>
        <w:rPr>
          <w:rFonts w:hint="eastAsia" w:ascii="宋体" w:hAnsi="宋体" w:eastAsia="宋体" w:cs="宋体"/>
          <w:b/>
          <w:bCs/>
          <w:color w:val="auto"/>
          <w:sz w:val="24"/>
          <w:highlight w:val="none"/>
          <w:shd w:val="clear" w:color="auto" w:fill="auto"/>
        </w:rPr>
        <w:t>证书、合同、报告等</w:t>
      </w:r>
      <w:bookmarkEnd w:id="56"/>
      <w:r>
        <w:rPr>
          <w:rFonts w:hint="eastAsia" w:ascii="宋体" w:hAnsi="宋体" w:eastAsia="宋体" w:cs="宋体"/>
          <w:b/>
          <w:bCs/>
          <w:color w:val="auto"/>
          <w:sz w:val="24"/>
          <w:highlight w:val="none"/>
          <w:shd w:val="clear" w:color="auto" w:fill="auto"/>
        </w:rPr>
        <w:t>）都是准确、真实、合规的，如有虚假或隐瞒，我方愿意承担一切后果。</w:t>
      </w:r>
    </w:p>
    <w:p w14:paraId="007F1657">
      <w:pPr>
        <w:snapToGrid w:val="0"/>
        <w:spacing w:line="360" w:lineRule="auto"/>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5、自投标截止日起 90天内有效。</w:t>
      </w:r>
    </w:p>
    <w:p w14:paraId="2328FF30">
      <w:pPr>
        <w:snapToGrid w:val="0"/>
        <w:spacing w:line="360" w:lineRule="auto"/>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6、如中标，本投标文件至本项目合同履行完毕均保持有效，同意按照贵方要求提供与投标有关的一切数据或资料，并按“招标文件”及相关法律、法规的规定履行合同责任和义务。</w:t>
      </w:r>
    </w:p>
    <w:p w14:paraId="491C2E5A">
      <w:pPr>
        <w:snapToGrid w:val="0"/>
        <w:spacing w:line="360" w:lineRule="auto"/>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7、以上事项如有虚假或隐瞒，我方愿意承担一切后果，并不再寻求任何旨在减轻或免除法律责任的辩解，同意我方的履约保证金不予退回，并对招标人因此引起的损失予以赔偿。</w:t>
      </w:r>
    </w:p>
    <w:p w14:paraId="5DA8C737">
      <w:pPr>
        <w:snapToGrid w:val="0"/>
        <w:spacing w:line="360" w:lineRule="auto"/>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8、我方全权授权被授权人办理针对上述项目的投标、开标、评标、签约等具体事务和签署相关文件，对被授权的各项行为负全部责任，在撤销授权的书面通知以前，本授权书一直有效，被授权人无转委托权。</w:t>
      </w:r>
    </w:p>
    <w:p w14:paraId="21DD381C">
      <w:pPr>
        <w:snapToGrid w:val="0"/>
        <w:spacing w:line="360" w:lineRule="auto"/>
        <w:ind w:firstLine="361" w:firstLineChars="150"/>
        <w:rPr>
          <w:rFonts w:hint="eastAsia" w:ascii="宋体" w:hAnsi="宋体" w:eastAsia="宋体" w:cs="宋体"/>
          <w:b/>
          <w:bCs/>
          <w:color w:val="auto"/>
          <w:sz w:val="24"/>
          <w:highlight w:val="none"/>
          <w:u w:val="single"/>
          <w:shd w:val="clear" w:color="auto" w:fill="auto"/>
        </w:rPr>
      </w:pPr>
      <w:bookmarkStart w:id="57" w:name="_Hlk36048718"/>
      <w:r>
        <w:rPr>
          <w:rFonts w:hint="eastAsia" w:ascii="宋体" w:hAnsi="宋体" w:eastAsia="宋体" w:cs="宋体"/>
          <w:b/>
          <w:bCs/>
          <w:color w:val="auto"/>
          <w:sz w:val="24"/>
          <w:highlight w:val="none"/>
          <w:shd w:val="clear" w:color="auto" w:fill="auto"/>
        </w:rPr>
        <w:t>与本投标有关的一切正式往来信函、传真或邮件</w:t>
      </w:r>
      <w:r>
        <w:rPr>
          <w:rFonts w:hint="eastAsia" w:ascii="宋体" w:hAnsi="宋体" w:eastAsia="宋体" w:cs="宋体"/>
          <w:b/>
          <w:bCs/>
          <w:color w:val="auto"/>
          <w:sz w:val="24"/>
          <w:highlight w:val="none"/>
          <w:u w:val="single"/>
          <w:shd w:val="clear" w:color="auto" w:fill="auto"/>
        </w:rPr>
        <w:t>（例如质疑回复函、中标通知书、采购合同等）请采用如下联系方式送达，我方确保能够及时、准确收悉。</w:t>
      </w:r>
    </w:p>
    <w:p w14:paraId="46747D05">
      <w:pPr>
        <w:snapToGrid w:val="0"/>
        <w:spacing w:line="360" w:lineRule="auto"/>
        <w:ind w:firstLine="360" w:firstLineChars="15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邮寄详细地址：__________</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shd w:val="clear" w:color="auto" w:fill="auto"/>
        </w:rPr>
        <w:t xml:space="preserve">  邮编：__________</w:t>
      </w:r>
    </w:p>
    <w:p w14:paraId="12514D17">
      <w:pPr>
        <w:snapToGrid w:val="0"/>
        <w:spacing w:line="360" w:lineRule="auto"/>
        <w:ind w:firstLine="360" w:firstLineChars="15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收件人姓名：_______</w:t>
      </w:r>
      <w:r>
        <w:rPr>
          <w:rFonts w:hint="eastAsia" w:ascii="宋体" w:hAnsi="宋体" w:eastAsia="宋体" w:cs="宋体"/>
          <w:color w:val="auto"/>
          <w:sz w:val="24"/>
          <w:highlight w:val="none"/>
          <w:u w:val="single"/>
          <w:shd w:val="clear" w:color="auto" w:fill="auto"/>
        </w:rPr>
        <w:t xml:space="preserve">_   </w:t>
      </w:r>
      <w:r>
        <w:rPr>
          <w:rFonts w:hint="eastAsia" w:ascii="宋体" w:hAnsi="宋体" w:eastAsia="宋体" w:cs="宋体"/>
          <w:color w:val="auto"/>
          <w:sz w:val="24"/>
          <w:highlight w:val="none"/>
          <w:shd w:val="clear" w:color="auto" w:fill="auto"/>
        </w:rPr>
        <w:t>联系手机：</w:t>
      </w:r>
      <w:bookmarkStart w:id="58" w:name="_Hlk59370410"/>
      <w:r>
        <w:rPr>
          <w:rFonts w:hint="eastAsia" w:ascii="宋体" w:hAnsi="宋体" w:eastAsia="宋体" w:cs="宋体"/>
          <w:color w:val="auto"/>
          <w:sz w:val="24"/>
          <w:highlight w:val="none"/>
          <w:shd w:val="clear" w:color="auto" w:fill="auto"/>
        </w:rPr>
        <w:t>_______</w:t>
      </w:r>
      <w:r>
        <w:rPr>
          <w:rFonts w:hint="eastAsia" w:ascii="宋体" w:hAnsi="宋体" w:eastAsia="宋体" w:cs="宋体"/>
          <w:color w:val="auto"/>
          <w:sz w:val="24"/>
          <w:highlight w:val="none"/>
          <w:u w:val="single"/>
          <w:shd w:val="clear" w:color="auto" w:fill="auto"/>
        </w:rPr>
        <w:t xml:space="preserve">_       </w:t>
      </w:r>
      <w:bookmarkEnd w:id="58"/>
      <w:r>
        <w:rPr>
          <w:rFonts w:hint="eastAsia" w:ascii="宋体" w:hAnsi="宋体" w:eastAsia="宋体" w:cs="宋体"/>
          <w:color w:val="auto"/>
          <w:sz w:val="24"/>
          <w:highlight w:val="none"/>
          <w:shd w:val="clear" w:color="auto" w:fill="auto"/>
        </w:rPr>
        <w:t>公司电子邮箱</w:t>
      </w:r>
      <w:r>
        <w:rPr>
          <w:rFonts w:hint="eastAsia" w:ascii="宋体" w:hAnsi="宋体" w:eastAsia="宋体" w:cs="宋体"/>
          <w:b/>
          <w:bCs/>
          <w:color w:val="auto"/>
          <w:sz w:val="24"/>
          <w:highlight w:val="none"/>
          <w:shd w:val="clear" w:color="auto" w:fill="auto"/>
        </w:rPr>
        <w:t>：</w:t>
      </w:r>
      <w:r>
        <w:rPr>
          <w:rFonts w:hint="eastAsia" w:ascii="宋体" w:hAnsi="宋体" w:eastAsia="宋体" w:cs="宋体"/>
          <w:color w:val="auto"/>
          <w:sz w:val="24"/>
          <w:highlight w:val="none"/>
          <w:u w:val="single"/>
          <w:shd w:val="clear" w:color="auto" w:fill="auto"/>
        </w:rPr>
        <w:t xml:space="preserve"> _     __ </w:t>
      </w:r>
      <w:r>
        <w:rPr>
          <w:rFonts w:hint="eastAsia" w:ascii="宋体" w:hAnsi="宋体" w:eastAsia="宋体" w:cs="宋体"/>
          <w:color w:val="auto"/>
          <w:sz w:val="24"/>
          <w:highlight w:val="none"/>
          <w:shd w:val="clear" w:color="auto" w:fill="auto"/>
        </w:rPr>
        <w:t xml:space="preserve"> </w:t>
      </w:r>
    </w:p>
    <w:p w14:paraId="247214D7">
      <w:pPr>
        <w:snapToGrid w:val="0"/>
        <w:spacing w:line="360" w:lineRule="auto"/>
        <w:ind w:firstLine="361" w:firstLineChars="150"/>
        <w:jc w:val="left"/>
        <w:rPr>
          <w:rFonts w:hint="eastAsia" w:ascii="宋体" w:hAnsi="宋体" w:eastAsia="宋体" w:cs="宋体"/>
          <w:b/>
          <w:bCs/>
          <w:color w:val="auto"/>
          <w:sz w:val="24"/>
          <w:highlight w:val="none"/>
          <w:shd w:val="clear" w:color="auto" w:fill="auto"/>
        </w:rPr>
      </w:pPr>
      <w:bookmarkStart w:id="59" w:name="_Hlk59370586"/>
      <w:r>
        <w:rPr>
          <w:rFonts w:hint="eastAsia" w:ascii="宋体" w:hAnsi="宋体" w:eastAsia="宋体" w:cs="宋体"/>
          <w:b/>
          <w:bCs/>
          <w:color w:val="auto"/>
          <w:sz w:val="24"/>
          <w:highlight w:val="none"/>
          <w:shd w:val="clear" w:color="auto" w:fill="auto"/>
        </w:rPr>
        <w:t>为了方便评标委员会在必要时对投标人进行询标，请投标人填写以下投标文件编制人信息，以便及时、准确进行询标，投标文件编制人信息可不限于1人。</w:t>
      </w:r>
    </w:p>
    <w:p w14:paraId="673B0151">
      <w:pPr>
        <w:snapToGrid w:val="0"/>
        <w:spacing w:line="360" w:lineRule="auto"/>
        <w:ind w:firstLine="361" w:firstLineChars="150"/>
        <w:jc w:val="left"/>
        <w:rPr>
          <w:rFonts w:hint="eastAsia" w:ascii="宋体" w:hAnsi="宋体" w:eastAsia="宋体" w:cs="宋体"/>
          <w:b/>
          <w:bCs/>
          <w:color w:val="auto"/>
          <w:sz w:val="24"/>
          <w:highlight w:val="none"/>
          <w:u w:val="single"/>
          <w:shd w:val="clear" w:color="auto" w:fill="auto"/>
        </w:rPr>
      </w:pPr>
      <w:r>
        <w:rPr>
          <w:rFonts w:hint="eastAsia" w:ascii="宋体" w:hAnsi="宋体" w:eastAsia="宋体" w:cs="宋体"/>
          <w:b/>
          <w:bCs/>
          <w:color w:val="auto"/>
          <w:sz w:val="24"/>
          <w:highlight w:val="none"/>
          <w:shd w:val="clear" w:color="auto" w:fill="auto"/>
        </w:rPr>
        <w:t>投标文件编制人</w:t>
      </w:r>
      <w:bookmarkEnd w:id="59"/>
      <w:r>
        <w:rPr>
          <w:rFonts w:hint="eastAsia" w:ascii="宋体" w:hAnsi="宋体" w:eastAsia="宋体" w:cs="宋体"/>
          <w:b/>
          <w:bCs/>
          <w:color w:val="auto"/>
          <w:sz w:val="24"/>
          <w:highlight w:val="none"/>
          <w:shd w:val="clear" w:color="auto" w:fill="auto"/>
        </w:rPr>
        <w:t>姓名：_</w:t>
      </w:r>
      <w:r>
        <w:rPr>
          <w:rFonts w:hint="eastAsia" w:ascii="宋体" w:hAnsi="宋体" w:eastAsia="宋体" w:cs="宋体"/>
          <w:b/>
          <w:bCs/>
          <w:color w:val="auto"/>
          <w:sz w:val="24"/>
          <w:highlight w:val="none"/>
          <w:u w:val="single"/>
          <w:shd w:val="clear" w:color="auto" w:fill="auto"/>
        </w:rPr>
        <w:t>_</w:t>
      </w:r>
      <w:r>
        <w:rPr>
          <w:rFonts w:hint="eastAsia" w:ascii="宋体" w:hAnsi="宋体" w:eastAsia="宋体" w:cs="宋体"/>
          <w:b/>
          <w:bCs/>
          <w:color w:val="auto"/>
          <w:sz w:val="24"/>
          <w:highlight w:val="none"/>
          <w:shd w:val="clear" w:color="auto" w:fill="auto"/>
        </w:rPr>
        <w:t>________    手机号码：__</w:t>
      </w:r>
      <w:r>
        <w:rPr>
          <w:rFonts w:hint="eastAsia" w:ascii="宋体" w:hAnsi="宋体" w:eastAsia="宋体" w:cs="宋体"/>
          <w:b/>
          <w:bCs/>
          <w:color w:val="auto"/>
          <w:sz w:val="24"/>
          <w:highlight w:val="none"/>
          <w:u w:val="single"/>
          <w:shd w:val="clear" w:color="auto" w:fill="auto"/>
        </w:rPr>
        <w:t>____    _    __</w:t>
      </w:r>
    </w:p>
    <w:p w14:paraId="21DE2C46">
      <w:pPr>
        <w:snapToGrid w:val="0"/>
        <w:spacing w:line="360" w:lineRule="auto"/>
        <w:ind w:firstLine="361" w:firstLineChars="150"/>
        <w:jc w:val="left"/>
        <w:rPr>
          <w:rFonts w:hint="eastAsia" w:ascii="宋体" w:hAnsi="宋体" w:eastAsia="宋体" w:cs="宋体"/>
          <w:b/>
          <w:color w:val="auto"/>
          <w:sz w:val="24"/>
          <w:highlight w:val="none"/>
          <w:u w:val="single"/>
          <w:shd w:val="clear" w:color="auto" w:fill="auto"/>
        </w:rPr>
      </w:pPr>
      <w:r>
        <w:rPr>
          <w:rFonts w:hint="eastAsia" w:ascii="宋体" w:hAnsi="宋体" w:eastAsia="宋体" w:cs="宋体"/>
          <w:b/>
          <w:color w:val="auto"/>
          <w:sz w:val="24"/>
          <w:highlight w:val="none"/>
          <w:shd w:val="clear" w:color="auto" w:fill="auto"/>
        </w:rPr>
        <w:t>法定代表人（签字或盖章）：</w:t>
      </w:r>
    </w:p>
    <w:p w14:paraId="30F911C5">
      <w:pPr>
        <w:snapToGrid w:val="0"/>
        <w:spacing w:line="360" w:lineRule="auto"/>
        <w:ind w:firstLine="361" w:firstLineChars="150"/>
        <w:jc w:val="left"/>
        <w:rPr>
          <w:rFonts w:hint="eastAsia" w:ascii="宋体" w:hAnsi="宋体" w:eastAsia="宋体" w:cs="宋体"/>
          <w:b/>
          <w:bCs/>
          <w:color w:val="auto"/>
          <w:sz w:val="24"/>
          <w:highlight w:val="none"/>
          <w:shd w:val="clear" w:color="auto" w:fill="auto"/>
        </w:rPr>
      </w:pPr>
      <w:r>
        <w:rPr>
          <w:rFonts w:hint="eastAsia" w:ascii="宋体" w:hAnsi="宋体" w:eastAsia="宋体" w:cs="宋体"/>
          <w:b/>
          <w:color w:val="auto"/>
          <w:sz w:val="24"/>
          <w:highlight w:val="none"/>
          <w:shd w:val="clear" w:color="auto" w:fill="auto"/>
        </w:rPr>
        <w:t>被授权人（签字）:</w:t>
      </w:r>
      <w:bookmarkStart w:id="60" w:name="_Hlk34136414"/>
      <w:r>
        <w:rPr>
          <w:rFonts w:hint="eastAsia" w:ascii="宋体" w:hAnsi="宋体" w:eastAsia="宋体" w:cs="宋体"/>
          <w:b/>
          <w:color w:val="auto"/>
          <w:sz w:val="24"/>
          <w:highlight w:val="none"/>
          <w:shd w:val="clear" w:color="auto" w:fill="auto"/>
        </w:rPr>
        <w:t>_</w:t>
      </w:r>
      <w:r>
        <w:rPr>
          <w:rFonts w:hint="eastAsia" w:ascii="宋体" w:hAnsi="宋体" w:eastAsia="宋体" w:cs="宋体"/>
          <w:color w:val="auto"/>
          <w:sz w:val="24"/>
          <w:highlight w:val="none"/>
          <w:shd w:val="clear" w:color="auto" w:fill="auto"/>
        </w:rPr>
        <w:t>_</w:t>
      </w:r>
      <w:r>
        <w:rPr>
          <w:rFonts w:hint="eastAsia" w:ascii="宋体" w:hAnsi="宋体" w:eastAsia="宋体" w:cs="宋体"/>
          <w:color w:val="auto"/>
          <w:sz w:val="24"/>
          <w:highlight w:val="none"/>
          <w:u w:val="single"/>
          <w:shd w:val="clear" w:color="auto" w:fill="auto"/>
        </w:rPr>
        <w:t>_</w:t>
      </w:r>
      <w:r>
        <w:rPr>
          <w:rFonts w:hint="eastAsia" w:ascii="宋体" w:hAnsi="宋体" w:eastAsia="宋体" w:cs="宋体"/>
          <w:color w:val="auto"/>
          <w:sz w:val="24"/>
          <w:highlight w:val="none"/>
          <w:shd w:val="clear" w:color="auto" w:fill="auto"/>
        </w:rPr>
        <w:t>________</w:t>
      </w:r>
      <w:bookmarkEnd w:id="60"/>
      <w:r>
        <w:rPr>
          <w:rFonts w:hint="eastAsia" w:ascii="宋体" w:hAnsi="宋体" w:eastAsia="宋体" w:cs="宋体"/>
          <w:color w:val="auto"/>
          <w:sz w:val="24"/>
          <w:highlight w:val="none"/>
          <w:shd w:val="clear" w:color="auto" w:fill="auto"/>
        </w:rPr>
        <w:t xml:space="preserve">  </w:t>
      </w:r>
      <w:r>
        <w:rPr>
          <w:rFonts w:hint="eastAsia" w:ascii="宋体" w:hAnsi="宋体" w:eastAsia="宋体" w:cs="宋体"/>
          <w:b/>
          <w:bCs/>
          <w:color w:val="auto"/>
          <w:sz w:val="24"/>
          <w:highlight w:val="none"/>
          <w:shd w:val="clear" w:color="auto" w:fill="auto"/>
        </w:rPr>
        <w:t>被授权人手机号码：</w:t>
      </w:r>
      <w:r>
        <w:rPr>
          <w:rFonts w:hint="eastAsia" w:ascii="宋体" w:hAnsi="宋体" w:eastAsia="宋体" w:cs="宋体"/>
          <w:b/>
          <w:color w:val="auto"/>
          <w:sz w:val="24"/>
          <w:highlight w:val="none"/>
          <w:shd w:val="clear" w:color="auto" w:fill="auto"/>
        </w:rPr>
        <w:t>_</w:t>
      </w:r>
      <w:r>
        <w:rPr>
          <w:rFonts w:hint="eastAsia" w:ascii="宋体" w:hAnsi="宋体" w:eastAsia="宋体" w:cs="宋体"/>
          <w:color w:val="auto"/>
          <w:sz w:val="24"/>
          <w:highlight w:val="none"/>
          <w:shd w:val="clear" w:color="auto" w:fill="auto"/>
        </w:rPr>
        <w:t>_</w:t>
      </w:r>
      <w:r>
        <w:rPr>
          <w:rFonts w:hint="eastAsia" w:ascii="宋体" w:hAnsi="宋体" w:eastAsia="宋体" w:cs="宋体"/>
          <w:color w:val="auto"/>
          <w:sz w:val="24"/>
          <w:highlight w:val="none"/>
          <w:u w:val="single"/>
          <w:shd w:val="clear" w:color="auto" w:fill="auto"/>
        </w:rPr>
        <w:t xml:space="preserve">____    _    __   </w:t>
      </w:r>
    </w:p>
    <w:bookmarkEnd w:id="57"/>
    <w:p w14:paraId="57891525">
      <w:pPr>
        <w:snapToGrid w:val="0"/>
        <w:spacing w:line="360" w:lineRule="auto"/>
        <w:jc w:val="left"/>
        <w:rPr>
          <w:rFonts w:hint="eastAsia" w:ascii="宋体" w:hAnsi="宋体" w:eastAsia="宋体" w:cs="宋体"/>
          <w:color w:val="auto"/>
          <w:sz w:val="24"/>
          <w:highlight w:val="none"/>
          <w:shd w:val="clear" w:color="auto" w:fill="auto"/>
        </w:rPr>
      </w:pPr>
    </w:p>
    <w:p w14:paraId="69C2AB37">
      <w:pPr>
        <w:snapToGrid w:val="0"/>
        <w:spacing w:line="360" w:lineRule="auto"/>
        <w:ind w:firstLine="482"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b/>
          <w:bCs/>
          <w:color w:val="auto"/>
          <w:sz w:val="24"/>
          <w:highlight w:val="none"/>
          <w:shd w:val="clear" w:color="auto" w:fill="auto"/>
        </w:rPr>
        <w:t xml:space="preserve">投标人:(公章) </w:t>
      </w:r>
      <w:r>
        <w:rPr>
          <w:rFonts w:hint="eastAsia" w:ascii="宋体" w:hAnsi="宋体" w:eastAsia="宋体" w:cs="宋体"/>
          <w:color w:val="auto"/>
          <w:sz w:val="24"/>
          <w:highlight w:val="none"/>
          <w:shd w:val="clear" w:color="auto" w:fill="auto"/>
        </w:rPr>
        <w:t xml:space="preserve">                           </w:t>
      </w:r>
      <w:r>
        <w:rPr>
          <w:rFonts w:hint="eastAsia" w:ascii="宋体" w:hAnsi="宋体" w:eastAsia="宋体" w:cs="宋体"/>
          <w:b/>
          <w:color w:val="auto"/>
          <w:sz w:val="24"/>
          <w:highlight w:val="none"/>
          <w:shd w:val="clear" w:color="auto" w:fill="auto"/>
        </w:rPr>
        <w:t>日期:_____年___月___日</w:t>
      </w:r>
    </w:p>
    <w:p w14:paraId="4C97077A">
      <w:pPr>
        <w:snapToGrid w:val="0"/>
        <w:spacing w:before="120" w:beforeLines="50" w:after="50"/>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highlight w:val="none"/>
          <w:shd w:val="clear" w:color="auto" w:fill="auto"/>
        </w:rPr>
        <w:br w:type="page"/>
      </w:r>
      <w:r>
        <w:rPr>
          <w:rFonts w:hint="eastAsia" w:ascii="宋体" w:hAnsi="宋体" w:cs="宋体"/>
          <w:color w:val="auto"/>
          <w:sz w:val="24"/>
          <w:highlight w:val="none"/>
          <w:shd w:val="clear" w:color="auto" w:fill="auto"/>
          <w:lang w:val="en-US" w:eastAsia="zh-CN"/>
        </w:rPr>
        <w:t>6-1</w:t>
      </w:r>
      <w:r>
        <w:rPr>
          <w:rFonts w:hint="eastAsia" w:ascii="宋体" w:hAnsi="宋体" w:eastAsia="宋体" w:cs="宋体"/>
          <w:color w:val="auto"/>
          <w:sz w:val="24"/>
          <w:highlight w:val="none"/>
          <w:shd w:val="clear" w:color="auto" w:fill="auto"/>
        </w:rPr>
        <w:t>.法定代表人授权委托书格式：</w:t>
      </w:r>
    </w:p>
    <w:p w14:paraId="4D37C9D3">
      <w:pPr>
        <w:snapToGrid w:val="0"/>
        <w:spacing w:before="120" w:beforeLines="50" w:after="50"/>
        <w:jc w:val="center"/>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法定代表人授权委托书</w:t>
      </w:r>
    </w:p>
    <w:p w14:paraId="35B19224">
      <w:pPr>
        <w:snapToGrid w:val="0"/>
        <w:spacing w:before="120" w:beforeLines="50" w:after="50" w:line="460" w:lineRule="exact"/>
        <w:rPr>
          <w:rFonts w:hint="eastAsia" w:ascii="宋体" w:hAnsi="宋体" w:eastAsia="宋体" w:cs="宋体"/>
          <w:b/>
          <w:bCs/>
          <w:color w:val="auto"/>
          <w:sz w:val="24"/>
          <w:szCs w:val="20"/>
          <w:highlight w:val="none"/>
          <w:shd w:val="clear" w:color="auto" w:fill="auto"/>
        </w:rPr>
      </w:pPr>
      <w:r>
        <w:rPr>
          <w:rFonts w:hint="eastAsia" w:ascii="宋体" w:hAnsi="宋体" w:eastAsia="宋体" w:cs="宋体"/>
          <w:bCs/>
          <w:color w:val="auto"/>
          <w:sz w:val="24"/>
          <w:highlight w:val="none"/>
          <w:shd w:val="clear" w:color="auto" w:fill="auto"/>
        </w:rPr>
        <w:t>致：</w:t>
      </w:r>
      <w:r>
        <w:rPr>
          <w:rFonts w:hint="eastAsia" w:ascii="宋体" w:hAnsi="宋体" w:eastAsia="宋体" w:cs="宋体"/>
          <w:color w:val="auto"/>
          <w:sz w:val="24"/>
          <w:highlight w:val="none"/>
          <w:shd w:val="clear" w:color="auto" w:fill="auto"/>
        </w:rPr>
        <w:t>______</w:t>
      </w:r>
      <w:r>
        <w:rPr>
          <w:rFonts w:hint="eastAsia" w:ascii="宋体" w:hAnsi="宋体" w:eastAsia="宋体" w:cs="宋体"/>
          <w:color w:val="auto"/>
          <w:sz w:val="24"/>
          <w:highlight w:val="none"/>
          <w:u w:val="single"/>
          <w:shd w:val="clear" w:color="auto" w:fill="auto"/>
        </w:rPr>
        <w:t>_     _</w:t>
      </w:r>
      <w:r>
        <w:rPr>
          <w:rFonts w:hint="eastAsia" w:ascii="宋体" w:hAnsi="宋体" w:eastAsia="宋体" w:cs="宋体"/>
          <w:color w:val="auto"/>
          <w:sz w:val="24"/>
          <w:highlight w:val="none"/>
          <w:shd w:val="clear" w:color="auto" w:fill="auto"/>
        </w:rPr>
        <w:t>_（招标人名称）：</w:t>
      </w:r>
    </w:p>
    <w:p w14:paraId="799268A6">
      <w:pPr>
        <w:snapToGrid w:val="0"/>
        <w:spacing w:before="120" w:beforeLines="50" w:after="50" w:line="460" w:lineRule="exact"/>
        <w:ind w:firstLine="480" w:firstLineChars="200"/>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shd w:val="clear" w:color="auto" w:fill="auto"/>
        </w:rPr>
        <w:t>我</w:t>
      </w:r>
      <w:bookmarkStart w:id="61" w:name="_Hlk12177807"/>
      <w:r>
        <w:rPr>
          <w:rFonts w:hint="eastAsia" w:ascii="宋体" w:hAnsi="宋体" w:eastAsia="宋体" w:cs="宋体"/>
          <w:color w:val="auto"/>
          <w:sz w:val="24"/>
          <w:highlight w:val="none"/>
          <w:shd w:val="clear" w:color="auto" w:fill="auto"/>
        </w:rPr>
        <w:t>______</w:t>
      </w:r>
      <w:r>
        <w:rPr>
          <w:rFonts w:hint="eastAsia" w:ascii="宋体" w:hAnsi="宋体" w:eastAsia="宋体" w:cs="宋体"/>
          <w:color w:val="auto"/>
          <w:sz w:val="24"/>
          <w:highlight w:val="none"/>
          <w:u w:val="single"/>
          <w:shd w:val="clear" w:color="auto" w:fill="auto"/>
        </w:rPr>
        <w:t>_</w:t>
      </w:r>
      <w:r>
        <w:rPr>
          <w:rFonts w:hint="eastAsia" w:ascii="宋体" w:hAnsi="宋体" w:eastAsia="宋体" w:cs="宋体"/>
          <w:color w:val="auto"/>
          <w:sz w:val="24"/>
          <w:highlight w:val="none"/>
          <w:shd w:val="clear" w:color="auto" w:fill="auto"/>
        </w:rPr>
        <w:t>_</w:t>
      </w:r>
      <w:bookmarkEnd w:id="61"/>
      <w:r>
        <w:rPr>
          <w:rFonts w:hint="eastAsia" w:ascii="宋体" w:hAnsi="宋体" w:eastAsia="宋体" w:cs="宋体"/>
          <w:color w:val="auto"/>
          <w:sz w:val="24"/>
          <w:highlight w:val="none"/>
          <w:shd w:val="clear" w:color="auto" w:fill="auto"/>
        </w:rPr>
        <w:t>（姓名）系______</w:t>
      </w:r>
      <w:r>
        <w:rPr>
          <w:rFonts w:hint="eastAsia" w:ascii="宋体" w:hAnsi="宋体" w:eastAsia="宋体" w:cs="宋体"/>
          <w:color w:val="auto"/>
          <w:sz w:val="24"/>
          <w:highlight w:val="none"/>
          <w:u w:val="single"/>
          <w:shd w:val="clear" w:color="auto" w:fill="auto"/>
        </w:rPr>
        <w:t>_     _</w:t>
      </w:r>
      <w:r>
        <w:rPr>
          <w:rFonts w:hint="eastAsia" w:ascii="宋体" w:hAnsi="宋体" w:eastAsia="宋体" w:cs="宋体"/>
          <w:color w:val="auto"/>
          <w:sz w:val="24"/>
          <w:highlight w:val="none"/>
          <w:shd w:val="clear" w:color="auto" w:fill="auto"/>
        </w:rPr>
        <w:t xml:space="preserve">_（投标单位名称）的法定代表人，现授权委托本单位职工 </w:t>
      </w:r>
      <w:bookmarkStart w:id="62" w:name="_Hlk12177819"/>
      <w:r>
        <w:rPr>
          <w:rFonts w:hint="eastAsia" w:ascii="宋体" w:hAnsi="宋体" w:eastAsia="宋体" w:cs="宋体"/>
          <w:color w:val="auto"/>
          <w:sz w:val="24"/>
          <w:highlight w:val="none"/>
          <w:shd w:val="clear" w:color="auto" w:fill="auto"/>
        </w:rPr>
        <w:t>______</w:t>
      </w:r>
      <w:r>
        <w:rPr>
          <w:rFonts w:hint="eastAsia" w:ascii="宋体" w:hAnsi="宋体" w:eastAsia="宋体" w:cs="宋体"/>
          <w:color w:val="auto"/>
          <w:sz w:val="24"/>
          <w:highlight w:val="none"/>
          <w:u w:val="single"/>
          <w:shd w:val="clear" w:color="auto" w:fill="auto"/>
        </w:rPr>
        <w:t xml:space="preserve">_ </w:t>
      </w:r>
      <w:bookmarkEnd w:id="62"/>
      <w:r>
        <w:rPr>
          <w:rFonts w:hint="eastAsia" w:ascii="宋体" w:hAnsi="宋体" w:eastAsia="宋体" w:cs="宋体"/>
          <w:color w:val="auto"/>
          <w:sz w:val="24"/>
          <w:highlight w:val="none"/>
          <w:shd w:val="clear" w:color="auto" w:fill="auto"/>
        </w:rPr>
        <w:t>（姓名）以我方的名义参加______</w:t>
      </w:r>
      <w:r>
        <w:rPr>
          <w:rFonts w:hint="eastAsia" w:ascii="宋体" w:hAnsi="宋体" w:eastAsia="宋体" w:cs="宋体"/>
          <w:color w:val="auto"/>
          <w:sz w:val="24"/>
          <w:highlight w:val="none"/>
          <w:u w:val="single"/>
          <w:shd w:val="clear" w:color="auto" w:fill="auto"/>
        </w:rPr>
        <w:t xml:space="preserve">_          </w:t>
      </w:r>
      <w:r>
        <w:rPr>
          <w:rFonts w:hint="eastAsia" w:ascii="宋体" w:hAnsi="宋体" w:eastAsia="宋体" w:cs="宋体"/>
          <w:color w:val="auto"/>
          <w:sz w:val="24"/>
          <w:highlight w:val="none"/>
          <w:shd w:val="clear" w:color="auto" w:fill="auto"/>
        </w:rPr>
        <w:t>项目的投标活动，并代表我方全权办理针对上述项目的投标、开标、评标、签约等具体事务和签署相关文件。</w:t>
      </w:r>
    </w:p>
    <w:p w14:paraId="1E6D74BE">
      <w:pPr>
        <w:snapToGrid w:val="0"/>
        <w:spacing w:before="120" w:beforeLines="50" w:after="50" w:line="460" w:lineRule="exact"/>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shd w:val="clear" w:color="auto" w:fill="auto"/>
        </w:rPr>
        <w:t xml:space="preserve">    我方对被授权人的签名事项负全部责任。</w:t>
      </w:r>
    </w:p>
    <w:p w14:paraId="05EB561E">
      <w:pPr>
        <w:snapToGrid w:val="0"/>
        <w:spacing w:before="120" w:beforeLines="50" w:after="50" w:line="460" w:lineRule="exact"/>
        <w:ind w:firstLine="480"/>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u w:val="single"/>
          <w:shd w:val="clear" w:color="auto" w:fill="auto"/>
        </w:rPr>
        <w:t>在撤销授权的书面通知以前，本授权书一直有效。</w:t>
      </w:r>
      <w:r>
        <w:rPr>
          <w:rFonts w:hint="eastAsia" w:ascii="宋体" w:hAnsi="宋体" w:eastAsia="宋体" w:cs="宋体"/>
          <w:color w:val="auto"/>
          <w:sz w:val="24"/>
          <w:highlight w:val="none"/>
          <w:shd w:val="clear" w:color="auto" w:fill="auto"/>
        </w:rPr>
        <w:t>被授权人在授权书有效期内签署的所有文件不因授权的撤销而失效。</w:t>
      </w:r>
    </w:p>
    <w:p w14:paraId="5FAD6649">
      <w:pPr>
        <w:snapToGrid w:val="0"/>
        <w:spacing w:before="120" w:beforeLines="50" w:after="50" w:line="460" w:lineRule="exact"/>
        <w:ind w:firstLine="480"/>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shd w:val="clear" w:color="auto" w:fill="auto"/>
        </w:rPr>
        <w:t>被授权人无转委托权，特此委托。</w:t>
      </w:r>
    </w:p>
    <w:p w14:paraId="026493E6">
      <w:pPr>
        <w:snapToGrid w:val="0"/>
        <w:spacing w:before="120" w:beforeLines="50" w:after="50" w:line="460" w:lineRule="exact"/>
        <w:rPr>
          <w:rFonts w:hint="eastAsia" w:ascii="宋体" w:hAnsi="宋体" w:eastAsia="宋体" w:cs="宋体"/>
          <w:color w:val="auto"/>
          <w:sz w:val="28"/>
          <w:szCs w:val="28"/>
          <w:highlight w:val="none"/>
          <w:shd w:val="clear" w:color="auto" w:fill="auto"/>
        </w:rPr>
      </w:pPr>
      <w:r>
        <w:rPr>
          <w:rFonts w:hint="eastAsia" w:ascii="宋体" w:hAnsi="宋体" w:eastAsia="宋体" w:cs="宋体"/>
          <w:b/>
          <w:bCs/>
          <w:color w:val="auto"/>
          <w:sz w:val="28"/>
          <w:szCs w:val="28"/>
          <w:highlight w:val="none"/>
          <w:u w:val="single"/>
          <w:shd w:val="clear" w:color="auto" w:fill="auto"/>
        </w:rPr>
        <w:t>法定代表人签名或盖章：</w:t>
      </w:r>
      <w:r>
        <w:rPr>
          <w:rFonts w:hint="eastAsia" w:ascii="宋体" w:hAnsi="宋体" w:eastAsia="宋体" w:cs="宋体"/>
          <w:b/>
          <w:bCs/>
          <w:color w:val="auto"/>
          <w:sz w:val="28"/>
          <w:szCs w:val="28"/>
          <w:highlight w:val="none"/>
          <w:shd w:val="clear" w:color="auto" w:fill="auto"/>
        </w:rPr>
        <w:t xml:space="preserve">             </w:t>
      </w:r>
      <w:r>
        <w:rPr>
          <w:rFonts w:hint="eastAsia" w:ascii="宋体" w:hAnsi="宋体" w:eastAsia="宋体" w:cs="宋体"/>
          <w:b/>
          <w:bCs/>
          <w:color w:val="auto"/>
          <w:sz w:val="28"/>
          <w:szCs w:val="28"/>
          <w:highlight w:val="none"/>
          <w:u w:val="single"/>
          <w:shd w:val="clear" w:color="auto" w:fill="auto"/>
        </w:rPr>
        <w:t xml:space="preserve">被授权人签字： </w:t>
      </w:r>
      <w:r>
        <w:rPr>
          <w:rFonts w:hint="eastAsia" w:ascii="宋体" w:hAnsi="宋体" w:eastAsia="宋体" w:cs="宋体"/>
          <w:color w:val="auto"/>
          <w:sz w:val="28"/>
          <w:szCs w:val="28"/>
          <w:highlight w:val="none"/>
          <w:shd w:val="clear" w:color="auto" w:fill="auto"/>
        </w:rPr>
        <w:t xml:space="preserve">               </w:t>
      </w:r>
    </w:p>
    <w:p w14:paraId="066A251E">
      <w:pPr>
        <w:snapToGrid w:val="0"/>
        <w:spacing w:before="120" w:beforeLines="50" w:after="50" w:line="460" w:lineRule="exact"/>
        <w:rPr>
          <w:rFonts w:hint="eastAsia" w:ascii="宋体" w:hAnsi="宋体" w:eastAsia="宋体" w:cs="宋体"/>
          <w:color w:val="auto"/>
          <w:sz w:val="24"/>
          <w:szCs w:val="20"/>
          <w:highlight w:val="none"/>
          <w:u w:val="single"/>
          <w:shd w:val="clear" w:color="auto" w:fill="auto"/>
        </w:rPr>
      </w:pPr>
    </w:p>
    <w:p w14:paraId="25AA5FEE">
      <w:pPr>
        <w:snapToGrid w:val="0"/>
        <w:spacing w:before="120" w:beforeLines="50" w:after="50" w:line="460" w:lineRule="exact"/>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t>法定代表人身份证复印件            被授权人身份证复印件</w:t>
      </w:r>
    </w:p>
    <w:tbl>
      <w:tblPr>
        <w:tblStyle w:val="52"/>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707F8D74">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23A222FE">
            <w:pPr>
              <w:spacing w:line="360" w:lineRule="auto"/>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t>身份证复印件粘贴处，正反两面均复印，复印件清晰可认。</w:t>
            </w:r>
          </w:p>
        </w:tc>
        <w:tc>
          <w:tcPr>
            <w:tcW w:w="4961" w:type="dxa"/>
          </w:tcPr>
          <w:p w14:paraId="0C491B91">
            <w:pPr>
              <w:spacing w:line="360" w:lineRule="auto"/>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t>身份证复印件粘贴处，正反两面均复印，复印件清晰可认。</w:t>
            </w:r>
          </w:p>
        </w:tc>
      </w:tr>
      <w:tr w14:paraId="7BE710BB">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649" w:hRule="atLeast"/>
        </w:trPr>
        <w:tc>
          <w:tcPr>
            <w:tcW w:w="4962" w:type="dxa"/>
          </w:tcPr>
          <w:p w14:paraId="30EC45B5">
            <w:pPr>
              <w:spacing w:line="360" w:lineRule="auto"/>
              <w:rPr>
                <w:rFonts w:hint="eastAsia" w:ascii="宋体" w:hAnsi="宋体" w:eastAsia="宋体" w:cs="宋体"/>
                <w:color w:val="auto"/>
                <w:sz w:val="30"/>
                <w:szCs w:val="30"/>
                <w:highlight w:val="none"/>
                <w:shd w:val="clear" w:color="auto" w:fill="auto"/>
              </w:rPr>
            </w:pPr>
          </w:p>
        </w:tc>
        <w:tc>
          <w:tcPr>
            <w:tcW w:w="4961" w:type="dxa"/>
          </w:tcPr>
          <w:p w14:paraId="2755B6B1">
            <w:pPr>
              <w:spacing w:line="360" w:lineRule="auto"/>
              <w:rPr>
                <w:rFonts w:hint="eastAsia" w:ascii="宋体" w:hAnsi="宋体" w:eastAsia="宋体" w:cs="宋体"/>
                <w:color w:val="auto"/>
                <w:sz w:val="30"/>
                <w:szCs w:val="30"/>
                <w:highlight w:val="none"/>
                <w:shd w:val="clear" w:color="auto" w:fill="auto"/>
              </w:rPr>
            </w:pPr>
          </w:p>
        </w:tc>
      </w:tr>
    </w:tbl>
    <w:p w14:paraId="0334FC64">
      <w:pPr>
        <w:snapToGrid w:val="0"/>
        <w:spacing w:before="120" w:beforeLines="50" w:after="50" w:line="460" w:lineRule="exact"/>
        <w:rPr>
          <w:rFonts w:hint="eastAsia" w:ascii="宋体" w:hAnsi="宋体" w:eastAsia="宋体" w:cs="宋体"/>
          <w:b/>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w:t>
      </w:r>
      <w:r>
        <w:rPr>
          <w:rFonts w:hint="eastAsia" w:ascii="宋体" w:hAnsi="宋体" w:eastAsia="宋体" w:cs="宋体"/>
          <w:b/>
          <w:bCs/>
          <w:color w:val="auto"/>
          <w:sz w:val="24"/>
          <w:highlight w:val="none"/>
          <w:shd w:val="clear" w:color="auto" w:fill="auto"/>
        </w:rPr>
        <w:t>投标人:(公章)</w:t>
      </w:r>
    </w:p>
    <w:p w14:paraId="720B2EC3">
      <w:pPr>
        <w:snapToGrid w:val="0"/>
        <w:spacing w:before="120" w:beforeLines="50" w:after="50"/>
        <w:jc w:val="center"/>
        <w:rPr>
          <w:rFonts w:hint="eastAsia" w:ascii="宋体" w:hAnsi="宋体" w:eastAsia="宋体" w:cs="宋体"/>
          <w:b/>
          <w:color w:val="auto"/>
          <w:sz w:val="24"/>
          <w:szCs w:val="20"/>
          <w:highlight w:val="none"/>
          <w:shd w:val="clear" w:color="auto" w:fill="auto"/>
        </w:rPr>
      </w:pPr>
      <w:r>
        <w:rPr>
          <w:rFonts w:hint="eastAsia" w:ascii="宋体" w:hAnsi="宋体" w:eastAsia="宋体" w:cs="宋体"/>
          <w:b/>
          <w:color w:val="auto"/>
          <w:sz w:val="24"/>
          <w:highlight w:val="none"/>
          <w:shd w:val="clear" w:color="auto" w:fill="auto"/>
        </w:rPr>
        <w:t xml:space="preserve">                                        日期：  _____年___月___日</w:t>
      </w:r>
    </w:p>
    <w:p w14:paraId="10202B0B">
      <w:pPr>
        <w:rPr>
          <w:rFonts w:hint="eastAsia" w:ascii="宋体" w:hAnsi="宋体" w:cs="宋体"/>
          <w:color w:val="auto"/>
          <w:sz w:val="24"/>
          <w:highlight w:val="none"/>
        </w:rPr>
      </w:pPr>
    </w:p>
    <w:p w14:paraId="7E15E711">
      <w:pPr>
        <w:rPr>
          <w:rFonts w:ascii="宋体" w:hAnsi="宋体" w:cs="宋体"/>
          <w:color w:val="auto"/>
          <w:sz w:val="24"/>
          <w:highlight w:val="none"/>
        </w:rPr>
      </w:pPr>
      <w:r>
        <w:rPr>
          <w:rFonts w:hint="eastAsia" w:ascii="宋体" w:hAnsi="宋体" w:cs="宋体"/>
          <w:color w:val="auto"/>
          <w:sz w:val="24"/>
          <w:highlight w:val="none"/>
        </w:rPr>
        <w:t>6-2.法定代表人身份证明格式：</w:t>
      </w:r>
    </w:p>
    <w:p w14:paraId="62AF3E9C">
      <w:pPr>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法定代表人身份证明</w:t>
      </w:r>
    </w:p>
    <w:p w14:paraId="3564C002">
      <w:pPr>
        <w:spacing w:line="360" w:lineRule="auto"/>
        <w:jc w:val="center"/>
        <w:rPr>
          <w:rFonts w:ascii="宋体" w:hAnsi="宋体" w:cs="宋体"/>
          <w:color w:val="auto"/>
          <w:sz w:val="24"/>
          <w:highlight w:val="none"/>
        </w:rPr>
      </w:pPr>
      <w:r>
        <w:rPr>
          <w:rFonts w:hint="eastAsia" w:ascii="宋体" w:hAnsi="宋体" w:cs="宋体"/>
          <w:b/>
          <w:color w:val="auto"/>
          <w:sz w:val="24"/>
          <w:highlight w:val="none"/>
        </w:rPr>
        <w:t>（适用于法定代表人、单位负责人本人代表供应商参加投标）</w:t>
      </w:r>
    </w:p>
    <w:p w14:paraId="7F2AE7A6">
      <w:pPr>
        <w:wordWrap w:val="0"/>
        <w:jc w:val="center"/>
        <w:outlineLvl w:val="3"/>
        <w:rPr>
          <w:rFonts w:ascii="宋体" w:hAnsi="宋体" w:cs="宋体"/>
          <w:b/>
          <w:bCs/>
          <w:color w:val="auto"/>
          <w:sz w:val="24"/>
          <w:highlight w:val="none"/>
        </w:rPr>
      </w:pPr>
      <w:r>
        <w:rPr>
          <w:rFonts w:hint="eastAsia" w:ascii="宋体" w:hAnsi="宋体" w:cs="宋体"/>
          <w:b/>
          <w:bCs/>
          <w:color w:val="auto"/>
          <w:sz w:val="24"/>
          <w:highlight w:val="none"/>
        </w:rPr>
        <w:t>法定代表人身份证明</w:t>
      </w:r>
      <w:r>
        <w:rPr>
          <w:rFonts w:hint="eastAsia" w:ascii="宋体" w:hAnsi="宋体" w:cs="宋体"/>
          <w:b/>
          <w:color w:val="auto"/>
          <w:sz w:val="24"/>
          <w:highlight w:val="none"/>
        </w:rPr>
        <w:t>（参考样张）</w:t>
      </w:r>
    </w:p>
    <w:p w14:paraId="6D25878B">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单位名称：</w:t>
      </w:r>
      <w:r>
        <w:rPr>
          <w:rFonts w:hint="eastAsia" w:ascii="宋体" w:hAnsi="宋体" w:cs="宋体"/>
          <w:color w:val="auto"/>
          <w:sz w:val="24"/>
          <w:highlight w:val="none"/>
          <w:u w:val="single"/>
        </w:rPr>
        <w:t xml:space="preserve">                              </w:t>
      </w:r>
    </w:p>
    <w:p w14:paraId="52BDFFD2">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地址：</w:t>
      </w:r>
      <w:r>
        <w:rPr>
          <w:rFonts w:hint="eastAsia" w:ascii="宋体" w:hAnsi="宋体" w:cs="宋体"/>
          <w:color w:val="auto"/>
          <w:sz w:val="24"/>
          <w:highlight w:val="none"/>
          <w:u w:val="single"/>
        </w:rPr>
        <w:t xml:space="preserve">                                  </w:t>
      </w:r>
    </w:p>
    <w:p w14:paraId="0D38D1F9">
      <w:pPr>
        <w:pStyle w:val="406"/>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姓名：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性别：</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身份证号码：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p>
    <w:p w14:paraId="458A459C">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职务：</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mc:AlternateContent>
          <mc:Choice Requires="wps">
            <w:drawing>
              <wp:anchor distT="0" distB="0" distL="0" distR="0" simplePos="0" relativeHeight="251659264" behindDoc="0" locked="0" layoutInCell="1" allowOverlap="1">
                <wp:simplePos x="0" y="0"/>
                <wp:positionH relativeFrom="column">
                  <wp:posOffset>558800</wp:posOffset>
                </wp:positionH>
                <wp:positionV relativeFrom="paragraph">
                  <wp:posOffset>330200</wp:posOffset>
                </wp:positionV>
                <wp:extent cx="4787900" cy="4762500"/>
                <wp:effectExtent l="4445" t="4445" r="8255" b="14605"/>
                <wp:wrapNone/>
                <wp:docPr id="1026" name="矩形 3"/>
                <wp:cNvGraphicFramePr/>
                <a:graphic xmlns:a="http://schemas.openxmlformats.org/drawingml/2006/main">
                  <a:graphicData uri="http://schemas.microsoft.com/office/word/2010/wordprocessingShape">
                    <wps:wsp>
                      <wps:cNvSpPr/>
                      <wps:spPr>
                        <a:xfrm>
                          <a:off x="0" y="0"/>
                          <a:ext cx="4787900" cy="4762500"/>
                        </a:xfrm>
                        <a:prstGeom prst="rect">
                          <a:avLst/>
                        </a:prstGeom>
                        <a:ln w="9525" cap="flat" cmpd="sng">
                          <a:solidFill>
                            <a:srgbClr val="FFFFFF"/>
                          </a:solidFill>
                          <a:prstDash val="solid"/>
                          <a:round/>
                        </a:ln>
                      </wps:spPr>
                      <wps:bodyPr/>
                    </wps:wsp>
                  </a:graphicData>
                </a:graphic>
              </wp:anchor>
            </w:drawing>
          </mc:Choice>
          <mc:Fallback>
            <w:pict>
              <v:rect id="矩形 3" o:spid="_x0000_s1026" o:spt="1" style="position:absolute;left:0pt;margin-left:44pt;margin-top:26pt;height:375pt;width:377pt;z-index:251659264;mso-width-relative:page;mso-height-relative:page;" filled="f" stroked="t" coordsize="21600,21600" o:gfxdata="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CikbC+1wAAAAkBAAAPAAAAAAAAAAEAIAAAACIAAABk&#10;cnMvZG93bnJldi54bWxQSwECFAAUAAAACACHTuJAeACfsM4BAACOAwAADgAAAAAAAAABACAAAAAm&#10;AQAAZHJzL2Uyb0RvYy54bWxQSwUGAAAAAAYABgBZAQAAZgUAAAAA&#10;">
                <v:fill on="f" focussize="0,0"/>
                <v:stroke color="#FFFFFF" joinstyle="round"/>
                <v:imagedata o:title=""/>
                <o:lock v:ext="edit" aspectratio="f"/>
              </v:rect>
            </w:pict>
          </mc:Fallback>
        </mc:AlternateContent>
      </w:r>
      <w:r>
        <w:rPr>
          <w:rFonts w:hint="eastAsia" w:ascii="宋体" w:hAnsi="宋体" w:cs="宋体"/>
          <w:color w:val="auto"/>
          <w:sz w:val="24"/>
          <w:highlight w:val="none"/>
        </w:rPr>
        <w:t xml:space="preserve">  手机号码：</w:t>
      </w:r>
      <w:r>
        <w:rPr>
          <w:rFonts w:hint="eastAsia" w:ascii="宋体" w:hAnsi="宋体" w:cs="宋体"/>
          <w:color w:val="auto"/>
          <w:sz w:val="24"/>
          <w:highlight w:val="none"/>
          <w:u w:val="single"/>
        </w:rPr>
        <w:t xml:space="preserve">                 </w:t>
      </w:r>
    </w:p>
    <w:p w14:paraId="265E5C69">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系</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的法定代表人                        </w:t>
      </w:r>
    </w:p>
    <w:p w14:paraId="25D1142F">
      <w:pPr>
        <w:snapToGrid w:val="0"/>
        <w:spacing w:before="120" w:beforeLines="50" w:after="50" w:line="460" w:lineRule="exact"/>
        <w:jc w:val="center"/>
        <w:rPr>
          <w:rFonts w:ascii="宋体" w:hAnsi="宋体" w:cs="宋体"/>
          <w:b/>
          <w:bCs/>
          <w:color w:val="auto"/>
          <w:sz w:val="24"/>
          <w:highlight w:val="none"/>
        </w:rPr>
      </w:pPr>
      <w:r>
        <w:rPr>
          <w:rFonts w:hint="eastAsia" w:ascii="宋体" w:hAnsi="宋体" w:cs="宋体"/>
          <w:b/>
          <w:bCs/>
          <w:color w:val="auto"/>
          <w:sz w:val="24"/>
          <w:highlight w:val="none"/>
        </w:rPr>
        <w:t xml:space="preserve">   附法定代表人身份证复印件</w:t>
      </w:r>
    </w:p>
    <w:p w14:paraId="0A432339">
      <w:pPr>
        <w:pStyle w:val="407"/>
        <w:ind w:firstLine="480"/>
        <w:rPr>
          <w:rFonts w:ascii="宋体" w:hAnsi="宋体" w:eastAsia="宋体" w:cs="宋体"/>
          <w:color w:val="auto"/>
          <w:sz w:val="24"/>
          <w:szCs w:val="24"/>
          <w:highlight w:val="none"/>
        </w:rPr>
      </w:pPr>
    </w:p>
    <w:tbl>
      <w:tblPr>
        <w:tblStyle w:val="52"/>
        <w:tblpPr w:leftFromText="180" w:rightFromText="180" w:vertAnchor="text" w:horzAnchor="page" w:tblpX="3878" w:tblpY="-114"/>
        <w:tblOverlap w:val="never"/>
        <w:tblW w:w="496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tblGrid>
      <w:tr w14:paraId="213FB6A7">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PrEx>
        <w:trPr>
          <w:trHeight w:val="3238" w:hRule="atLeast"/>
        </w:trPr>
        <w:tc>
          <w:tcPr>
            <w:tcW w:w="4962" w:type="dxa"/>
          </w:tcPr>
          <w:p w14:paraId="53339E86">
            <w:pPr>
              <w:jc w:val="center"/>
              <w:rPr>
                <w:rFonts w:ascii="宋体" w:hAnsi="宋体" w:cs="宋体"/>
                <w:color w:val="auto"/>
                <w:sz w:val="24"/>
                <w:highlight w:val="none"/>
              </w:rPr>
            </w:pPr>
          </w:p>
          <w:p w14:paraId="56622C87">
            <w:pPr>
              <w:rPr>
                <w:rFonts w:ascii="宋体" w:hAnsi="宋体" w:cs="宋体"/>
                <w:color w:val="auto"/>
                <w:sz w:val="24"/>
                <w:highlight w:val="none"/>
              </w:rPr>
            </w:pPr>
          </w:p>
          <w:p w14:paraId="406610E6">
            <w:pPr>
              <w:rPr>
                <w:rFonts w:ascii="宋体" w:hAnsi="宋体" w:cs="宋体"/>
                <w:color w:val="auto"/>
                <w:sz w:val="24"/>
                <w:highlight w:val="none"/>
              </w:rPr>
            </w:pPr>
            <w:r>
              <w:rPr>
                <w:rFonts w:hint="eastAsia" w:ascii="宋体" w:hAnsi="宋体" w:cs="宋体"/>
                <w:color w:val="auto"/>
                <w:sz w:val="24"/>
                <w:highlight w:val="none"/>
              </w:rPr>
              <w:t>法定代表人身份证正面复印件粘贴处，复印件清晰可认</w:t>
            </w:r>
          </w:p>
          <w:p w14:paraId="61030487">
            <w:pPr>
              <w:spacing w:line="360" w:lineRule="auto"/>
              <w:rPr>
                <w:rFonts w:ascii="宋体" w:hAnsi="宋体" w:cs="宋体"/>
                <w:color w:val="auto"/>
                <w:sz w:val="24"/>
                <w:highlight w:val="none"/>
              </w:rPr>
            </w:pPr>
          </w:p>
        </w:tc>
      </w:tr>
      <w:tr w14:paraId="62A369B0">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11174164">
            <w:pPr>
              <w:rPr>
                <w:rFonts w:ascii="宋体" w:hAnsi="宋体" w:cs="宋体"/>
                <w:color w:val="auto"/>
                <w:sz w:val="24"/>
                <w:highlight w:val="none"/>
              </w:rPr>
            </w:pPr>
          </w:p>
          <w:p w14:paraId="05A84746">
            <w:pPr>
              <w:rPr>
                <w:rFonts w:ascii="宋体" w:hAnsi="宋体" w:cs="宋体"/>
                <w:color w:val="auto"/>
                <w:sz w:val="24"/>
                <w:highlight w:val="none"/>
              </w:rPr>
            </w:pPr>
          </w:p>
          <w:p w14:paraId="7B0282E4">
            <w:pPr>
              <w:rPr>
                <w:rFonts w:ascii="宋体" w:hAnsi="宋体" w:cs="宋体"/>
                <w:color w:val="auto"/>
                <w:sz w:val="24"/>
                <w:highlight w:val="none"/>
              </w:rPr>
            </w:pPr>
            <w:r>
              <w:rPr>
                <w:rFonts w:hint="eastAsia" w:ascii="宋体" w:hAnsi="宋体" w:cs="宋体"/>
                <w:color w:val="auto"/>
                <w:sz w:val="24"/>
                <w:highlight w:val="none"/>
              </w:rPr>
              <w:t>法定代表人身份证反面复印件粘贴处，复印件清晰可认</w:t>
            </w:r>
          </w:p>
          <w:p w14:paraId="25B08F18">
            <w:pPr>
              <w:jc w:val="center"/>
              <w:rPr>
                <w:rFonts w:ascii="宋体" w:hAnsi="宋体" w:cs="宋体"/>
                <w:color w:val="auto"/>
                <w:sz w:val="24"/>
                <w:highlight w:val="none"/>
              </w:rPr>
            </w:pPr>
          </w:p>
          <w:p w14:paraId="72C95646">
            <w:pPr>
              <w:spacing w:line="360" w:lineRule="auto"/>
              <w:rPr>
                <w:rFonts w:ascii="宋体" w:hAnsi="宋体" w:cs="宋体"/>
                <w:color w:val="auto"/>
                <w:sz w:val="24"/>
                <w:highlight w:val="none"/>
              </w:rPr>
            </w:pPr>
          </w:p>
        </w:tc>
      </w:tr>
    </w:tbl>
    <w:p w14:paraId="59D56476">
      <w:pPr>
        <w:snapToGrid w:val="0"/>
        <w:spacing w:before="120" w:beforeLines="50" w:after="50" w:line="460" w:lineRule="exact"/>
        <w:rPr>
          <w:rFonts w:ascii="宋体" w:hAnsi="宋体" w:cs="宋体"/>
          <w:b/>
          <w:color w:val="auto"/>
          <w:sz w:val="24"/>
          <w:highlight w:val="none"/>
        </w:rPr>
      </w:pPr>
      <w:r>
        <w:rPr>
          <w:rFonts w:hint="eastAsia" w:ascii="宋体" w:hAnsi="宋体" w:cs="宋体"/>
          <w:color w:val="auto"/>
          <w:sz w:val="24"/>
          <w:highlight w:val="none"/>
        </w:rPr>
        <w:t xml:space="preserve">                         </w:t>
      </w:r>
      <w:r>
        <w:rPr>
          <w:rFonts w:hint="eastAsia" w:ascii="宋体" w:hAnsi="宋体" w:cs="宋体"/>
          <w:b/>
          <w:color w:val="auto"/>
          <w:sz w:val="24"/>
          <w:highlight w:val="none"/>
        </w:rPr>
        <w:t xml:space="preserve"> </w:t>
      </w:r>
    </w:p>
    <w:p w14:paraId="33C55BA4">
      <w:pPr>
        <w:snapToGrid w:val="0"/>
        <w:spacing w:before="120" w:beforeLines="50" w:after="50" w:line="460" w:lineRule="exact"/>
        <w:rPr>
          <w:rFonts w:ascii="宋体" w:hAnsi="宋体" w:cs="宋体"/>
          <w:b/>
          <w:color w:val="auto"/>
          <w:sz w:val="24"/>
          <w:highlight w:val="none"/>
        </w:rPr>
      </w:pPr>
    </w:p>
    <w:p w14:paraId="46AD9543">
      <w:pPr>
        <w:snapToGrid w:val="0"/>
        <w:spacing w:before="120" w:beforeLines="50" w:after="50" w:line="460" w:lineRule="exact"/>
        <w:rPr>
          <w:rFonts w:ascii="宋体" w:hAnsi="宋体" w:cs="宋体"/>
          <w:b/>
          <w:color w:val="auto"/>
          <w:sz w:val="24"/>
          <w:highlight w:val="none"/>
        </w:rPr>
      </w:pPr>
    </w:p>
    <w:p w14:paraId="310D4D0D">
      <w:pPr>
        <w:snapToGrid w:val="0"/>
        <w:spacing w:before="120" w:beforeLines="50" w:after="50" w:line="460" w:lineRule="exact"/>
        <w:rPr>
          <w:rFonts w:ascii="宋体" w:hAnsi="宋体" w:cs="宋体"/>
          <w:b/>
          <w:color w:val="auto"/>
          <w:sz w:val="24"/>
          <w:highlight w:val="none"/>
        </w:rPr>
      </w:pPr>
    </w:p>
    <w:p w14:paraId="4A9B31A6">
      <w:pPr>
        <w:snapToGrid w:val="0"/>
        <w:spacing w:before="120" w:beforeLines="50" w:after="50" w:line="460" w:lineRule="exact"/>
        <w:rPr>
          <w:rFonts w:ascii="宋体" w:hAnsi="宋体" w:cs="宋体"/>
          <w:b/>
          <w:color w:val="auto"/>
          <w:sz w:val="24"/>
          <w:highlight w:val="none"/>
        </w:rPr>
      </w:pPr>
    </w:p>
    <w:p w14:paraId="690C9DE0">
      <w:pPr>
        <w:snapToGrid w:val="0"/>
        <w:spacing w:before="120" w:beforeLines="50" w:after="50" w:line="460" w:lineRule="exact"/>
        <w:rPr>
          <w:rFonts w:ascii="宋体" w:hAnsi="宋体" w:cs="宋体"/>
          <w:b/>
          <w:color w:val="auto"/>
          <w:sz w:val="24"/>
          <w:highlight w:val="none"/>
        </w:rPr>
      </w:pPr>
    </w:p>
    <w:p w14:paraId="37963EC7">
      <w:pPr>
        <w:snapToGrid w:val="0"/>
        <w:spacing w:before="120" w:beforeLines="50" w:after="50" w:line="460" w:lineRule="exact"/>
        <w:rPr>
          <w:rFonts w:ascii="宋体" w:hAnsi="宋体" w:cs="宋体"/>
          <w:b/>
          <w:color w:val="auto"/>
          <w:sz w:val="24"/>
          <w:highlight w:val="none"/>
        </w:rPr>
      </w:pPr>
    </w:p>
    <w:p w14:paraId="40F71DD9">
      <w:pPr>
        <w:snapToGrid w:val="0"/>
        <w:spacing w:before="120" w:beforeLines="50" w:after="50" w:line="460" w:lineRule="exact"/>
        <w:rPr>
          <w:rFonts w:ascii="宋体" w:hAnsi="宋体" w:cs="宋体"/>
          <w:b/>
          <w:color w:val="auto"/>
          <w:sz w:val="24"/>
          <w:highlight w:val="none"/>
        </w:rPr>
      </w:pPr>
    </w:p>
    <w:p w14:paraId="071790F0">
      <w:pPr>
        <w:snapToGrid w:val="0"/>
        <w:spacing w:before="120" w:beforeLines="50" w:after="50" w:line="460" w:lineRule="exact"/>
        <w:rPr>
          <w:rFonts w:ascii="宋体" w:hAnsi="宋体" w:cs="宋体"/>
          <w:b/>
          <w:color w:val="auto"/>
          <w:sz w:val="24"/>
          <w:highlight w:val="none"/>
        </w:rPr>
      </w:pPr>
    </w:p>
    <w:p w14:paraId="0ADF7AA0">
      <w:pPr>
        <w:snapToGrid w:val="0"/>
        <w:spacing w:before="120" w:beforeLines="50" w:after="50" w:line="460" w:lineRule="exact"/>
        <w:rPr>
          <w:rFonts w:ascii="宋体" w:hAnsi="宋体" w:cs="宋体"/>
          <w:b/>
          <w:color w:val="auto"/>
          <w:sz w:val="24"/>
          <w:highlight w:val="none"/>
        </w:rPr>
      </w:pPr>
    </w:p>
    <w:p w14:paraId="0BA77945">
      <w:pPr>
        <w:snapToGrid w:val="0"/>
        <w:spacing w:before="120" w:beforeLines="50" w:after="50" w:line="460" w:lineRule="exact"/>
        <w:rPr>
          <w:rFonts w:ascii="宋体" w:hAnsi="宋体" w:cs="宋体"/>
          <w:b/>
          <w:color w:val="auto"/>
          <w:sz w:val="24"/>
          <w:highlight w:val="none"/>
        </w:rPr>
      </w:pPr>
    </w:p>
    <w:p w14:paraId="228CFB31">
      <w:pPr>
        <w:pStyle w:val="49"/>
        <w:spacing w:before="120"/>
        <w:ind w:firstLine="482"/>
        <w:rPr>
          <w:color w:val="auto"/>
          <w:highlight w:val="none"/>
        </w:rPr>
      </w:pPr>
      <w:r>
        <w:rPr>
          <w:rFonts w:hint="eastAsia" w:ascii="宋体" w:hAnsi="宋体" w:cs="宋体"/>
          <w:b/>
          <w:color w:val="auto"/>
          <w:highlight w:val="none"/>
          <w:lang w:val="en-US" w:eastAsia="zh-CN"/>
        </w:rPr>
        <w:t>投标人</w:t>
      </w:r>
      <w:r>
        <w:rPr>
          <w:rFonts w:hint="eastAsia" w:ascii="宋体" w:hAnsi="宋体" w:cs="宋体"/>
          <w:b/>
          <w:color w:val="auto"/>
          <w:spacing w:val="20"/>
          <w:highlight w:val="none"/>
        </w:rPr>
        <w:t>（</w:t>
      </w:r>
      <w:r>
        <w:rPr>
          <w:rFonts w:hint="eastAsia" w:ascii="宋体" w:hAnsi="宋体" w:cs="宋体"/>
          <w:b/>
          <w:color w:val="auto"/>
          <w:spacing w:val="20"/>
          <w:highlight w:val="none"/>
          <w:lang w:val="en-US" w:eastAsia="zh-CN"/>
        </w:rPr>
        <w:t>盖</w:t>
      </w:r>
      <w:r>
        <w:rPr>
          <w:rFonts w:hint="eastAsia" w:ascii="宋体" w:hAnsi="宋体" w:cs="宋体"/>
          <w:b/>
          <w:color w:val="auto"/>
          <w:spacing w:val="20"/>
          <w:highlight w:val="none"/>
        </w:rPr>
        <w:t>章）</w:t>
      </w:r>
      <w:r>
        <w:rPr>
          <w:rFonts w:hint="eastAsia" w:ascii="宋体" w:hAnsi="宋体" w:cs="宋体"/>
          <w:b/>
          <w:color w:val="auto"/>
          <w:highlight w:val="none"/>
        </w:rPr>
        <w:t xml:space="preserve">：                      </w:t>
      </w:r>
      <w:r>
        <w:rPr>
          <w:rFonts w:hint="eastAsia" w:ascii="宋体" w:hAnsi="宋体" w:cs="宋体"/>
          <w:color w:val="auto"/>
          <w:highlight w:val="none"/>
        </w:rPr>
        <w:t xml:space="preserve"> </w:t>
      </w:r>
      <w:r>
        <w:rPr>
          <w:rFonts w:hint="eastAsia" w:ascii="宋体" w:hAnsi="宋体" w:cs="宋体"/>
          <w:b/>
          <w:color w:val="auto"/>
          <w:highlight w:val="none"/>
        </w:rPr>
        <w:t>日期：  _____年___月___日</w:t>
      </w:r>
    </w:p>
    <w:p w14:paraId="176B7450">
      <w:pPr>
        <w:snapToGrid w:val="0"/>
        <w:spacing w:before="50" w:after="120" w:afterLines="50"/>
        <w:jc w:val="left"/>
        <w:rPr>
          <w:rFonts w:ascii="宋体" w:hAnsi="宋体" w:cs="宋体"/>
          <w:color w:val="auto"/>
          <w:sz w:val="24"/>
          <w:highlight w:val="none"/>
        </w:rPr>
        <w:sectPr>
          <w:footerReference r:id="rId8" w:type="default"/>
          <w:pgSz w:w="11906" w:h="16838"/>
          <w:pgMar w:top="1021" w:right="1588" w:bottom="851" w:left="1588" w:header="851" w:footer="851" w:gutter="0"/>
          <w:pgNumType w:fmt="decimal" w:start="1"/>
          <w:cols w:space="720" w:num="1"/>
        </w:sectPr>
      </w:pPr>
    </w:p>
    <w:p w14:paraId="4E9C326A">
      <w:pPr>
        <w:snapToGrid w:val="0"/>
        <w:spacing w:before="50" w:after="120" w:afterLines="50"/>
        <w:jc w:val="left"/>
        <w:rPr>
          <w:rFonts w:hint="eastAsia" w:ascii="宋体" w:hAnsi="宋体"/>
          <w:color w:val="auto"/>
          <w:sz w:val="24"/>
          <w:highlight w:val="none"/>
        </w:rPr>
      </w:pPr>
      <w:r>
        <w:rPr>
          <w:rFonts w:hint="eastAsia" w:ascii="宋体" w:hAnsi="宋体" w:cs="宋体"/>
          <w:color w:val="auto"/>
          <w:sz w:val="24"/>
          <w:highlight w:val="none"/>
          <w:shd w:val="clear" w:color="auto" w:fill="auto"/>
          <w:lang w:val="en-US" w:eastAsia="zh-CN"/>
        </w:rPr>
        <w:t>7</w:t>
      </w:r>
      <w:r>
        <w:rPr>
          <w:rFonts w:hint="eastAsia" w:ascii="宋体" w:hAnsi="宋体" w:eastAsia="宋体" w:cs="宋体"/>
          <w:color w:val="auto"/>
          <w:sz w:val="24"/>
          <w:highlight w:val="none"/>
          <w:shd w:val="clear" w:color="auto" w:fill="auto"/>
        </w:rPr>
        <w:t>.</w:t>
      </w:r>
      <w:r>
        <w:rPr>
          <w:rFonts w:hint="eastAsia" w:ascii="宋体" w:hAnsi="宋体"/>
          <w:color w:val="auto"/>
          <w:sz w:val="24"/>
          <w:highlight w:val="none"/>
        </w:rPr>
        <w:t>设备说明表格式：</w:t>
      </w:r>
    </w:p>
    <w:p w14:paraId="6F8848A2">
      <w:pPr>
        <w:jc w:val="center"/>
        <w:rPr>
          <w:rFonts w:hint="eastAsia" w:ascii="宋体" w:hAnsi="宋体"/>
          <w:b/>
          <w:bCs/>
          <w:snapToGrid w:val="0"/>
          <w:color w:val="auto"/>
          <w:sz w:val="28"/>
          <w:highlight w:val="none"/>
        </w:rPr>
      </w:pPr>
      <w:r>
        <w:rPr>
          <w:rFonts w:hint="eastAsia" w:ascii="宋体" w:hAnsi="宋体"/>
          <w:b/>
          <w:bCs/>
          <w:snapToGrid w:val="0"/>
          <w:color w:val="auto"/>
          <w:sz w:val="28"/>
          <w:highlight w:val="none"/>
        </w:rPr>
        <w:t>设备说明表</w:t>
      </w:r>
    </w:p>
    <w:p w14:paraId="440E81F3">
      <w:pPr>
        <w:snapToGrid w:val="0"/>
        <w:spacing w:before="120" w:beforeLines="50" w:after="50" w:line="360" w:lineRule="auto"/>
        <w:rPr>
          <w:rFonts w:hint="eastAsia" w:ascii="宋体" w:hAnsi="宋体" w:cs="宋体"/>
          <w:bCs/>
          <w:color w:val="auto"/>
          <w:highlight w:val="none"/>
        </w:rPr>
      </w:pPr>
    </w:p>
    <w:p w14:paraId="38D6349F">
      <w:pPr>
        <w:snapToGrid w:val="0"/>
        <w:spacing w:before="120" w:beforeLines="50" w:after="50" w:line="480" w:lineRule="auto"/>
        <w:rPr>
          <w:rFonts w:hint="eastAsia" w:ascii="宋体" w:hAnsi="宋体"/>
          <w:bCs/>
          <w:color w:val="auto"/>
          <w:sz w:val="24"/>
          <w:highlight w:val="none"/>
        </w:rPr>
      </w:pPr>
      <w:r>
        <w:rPr>
          <w:rFonts w:hint="eastAsia" w:ascii="宋体" w:hAnsi="宋体"/>
          <w:bCs/>
          <w:color w:val="auto"/>
          <w:sz w:val="24"/>
          <w:highlight w:val="none"/>
        </w:rPr>
        <w:t>项目名称：</w:t>
      </w:r>
    </w:p>
    <w:tbl>
      <w:tblPr>
        <w:tblStyle w:val="52"/>
        <w:tblW w:w="0" w:type="auto"/>
        <w:tblInd w:w="93" w:type="dxa"/>
        <w:tblLayout w:type="fixed"/>
        <w:tblCellMar>
          <w:top w:w="0" w:type="dxa"/>
          <w:left w:w="108" w:type="dxa"/>
          <w:bottom w:w="0" w:type="dxa"/>
          <w:right w:w="108" w:type="dxa"/>
        </w:tblCellMar>
      </w:tblPr>
      <w:tblGrid>
        <w:gridCol w:w="728"/>
        <w:gridCol w:w="2122"/>
        <w:gridCol w:w="1701"/>
        <w:gridCol w:w="3402"/>
        <w:gridCol w:w="1266"/>
      </w:tblGrid>
      <w:tr w14:paraId="1BF1F1BE">
        <w:tblPrEx>
          <w:tblCellMar>
            <w:top w:w="0" w:type="dxa"/>
            <w:left w:w="108" w:type="dxa"/>
            <w:bottom w:w="0" w:type="dxa"/>
            <w:right w:w="108" w:type="dxa"/>
          </w:tblCellMar>
        </w:tblPrEx>
        <w:trPr>
          <w:trHeight w:val="435" w:hRule="atLeast"/>
        </w:trPr>
        <w:tc>
          <w:tcPr>
            <w:tcW w:w="728"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AACFC0">
            <w:pPr>
              <w:jc w:val="center"/>
              <w:rPr>
                <w:rFonts w:hint="eastAsia" w:ascii="宋体" w:hAnsi="宋体" w:cs="宋体"/>
                <w:b/>
                <w:color w:val="auto"/>
                <w:kern w:val="0"/>
                <w:highlight w:val="none"/>
              </w:rPr>
            </w:pPr>
            <w:r>
              <w:rPr>
                <w:rFonts w:hint="eastAsia" w:ascii="宋体" w:hAnsi="宋体" w:cs="宋体"/>
                <w:b/>
                <w:color w:val="auto"/>
                <w:kern w:val="0"/>
                <w:highlight w:val="none"/>
              </w:rPr>
              <w:t>序号</w:t>
            </w:r>
          </w:p>
        </w:tc>
        <w:tc>
          <w:tcPr>
            <w:tcW w:w="2122"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D9C8B0">
            <w:pPr>
              <w:jc w:val="center"/>
              <w:rPr>
                <w:rFonts w:hint="eastAsia" w:ascii="宋体" w:hAnsi="宋体" w:cs="宋体"/>
                <w:b/>
                <w:color w:val="auto"/>
                <w:kern w:val="0"/>
                <w:highlight w:val="none"/>
              </w:rPr>
            </w:pPr>
            <w:r>
              <w:rPr>
                <w:rFonts w:hint="eastAsia" w:ascii="宋体" w:hAnsi="宋体" w:cs="宋体"/>
                <w:b/>
                <w:color w:val="auto"/>
                <w:kern w:val="0"/>
                <w:highlight w:val="none"/>
              </w:rPr>
              <w:t>设备名称</w:t>
            </w:r>
          </w:p>
        </w:tc>
        <w:tc>
          <w:tcPr>
            <w:tcW w:w="1701"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53DA24">
            <w:pPr>
              <w:jc w:val="center"/>
              <w:rPr>
                <w:rFonts w:hint="eastAsia" w:ascii="宋体" w:hAnsi="宋体" w:cs="宋体"/>
                <w:b/>
                <w:color w:val="auto"/>
                <w:kern w:val="0"/>
                <w:highlight w:val="none"/>
              </w:rPr>
            </w:pPr>
            <w:r>
              <w:rPr>
                <w:rFonts w:hint="eastAsia" w:ascii="宋体" w:hAnsi="宋体" w:cs="宋体"/>
                <w:b/>
                <w:color w:val="auto"/>
                <w:kern w:val="0"/>
                <w:highlight w:val="none"/>
              </w:rPr>
              <w:t>品牌及型号</w:t>
            </w:r>
          </w:p>
        </w:tc>
        <w:tc>
          <w:tcPr>
            <w:tcW w:w="3402"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1FF9B7">
            <w:pPr>
              <w:jc w:val="center"/>
              <w:rPr>
                <w:rFonts w:hint="eastAsia" w:ascii="宋体" w:hAnsi="宋体" w:cs="宋体"/>
                <w:b/>
                <w:color w:val="auto"/>
                <w:kern w:val="0"/>
                <w:highlight w:val="none"/>
              </w:rPr>
            </w:pPr>
            <w:r>
              <w:rPr>
                <w:rFonts w:hint="eastAsia" w:ascii="宋体" w:hAnsi="宋体" w:cs="宋体"/>
                <w:b/>
                <w:color w:val="auto"/>
                <w:kern w:val="0"/>
                <w:highlight w:val="none"/>
              </w:rPr>
              <w:t>详细参数</w:t>
            </w:r>
          </w:p>
        </w:tc>
        <w:tc>
          <w:tcPr>
            <w:tcW w:w="1266" w:type="dxa"/>
            <w:vMerge w:val="restart"/>
            <w:tcBorders>
              <w:top w:val="single" w:color="000000" w:sz="4" w:space="0"/>
              <w:left w:val="single" w:color="auto" w:sz="4" w:space="0"/>
              <w:bottom w:val="single" w:color="000000" w:sz="4" w:space="0"/>
              <w:right w:val="single" w:color="000000" w:sz="4" w:space="0"/>
            </w:tcBorders>
            <w:shd w:val="clear" w:color="auto" w:fill="FFFFFF"/>
            <w:noWrap w:val="0"/>
            <w:vAlign w:val="center"/>
          </w:tcPr>
          <w:p w14:paraId="4E26B780">
            <w:pPr>
              <w:jc w:val="center"/>
              <w:rPr>
                <w:rFonts w:hint="eastAsia" w:ascii="宋体" w:hAnsi="宋体" w:cs="宋体"/>
                <w:b/>
                <w:color w:val="auto"/>
                <w:kern w:val="0"/>
                <w:highlight w:val="none"/>
              </w:rPr>
            </w:pPr>
            <w:r>
              <w:rPr>
                <w:rFonts w:hint="eastAsia" w:ascii="宋体" w:hAnsi="宋体" w:cs="宋体"/>
                <w:b/>
                <w:color w:val="auto"/>
                <w:kern w:val="0"/>
                <w:highlight w:val="none"/>
              </w:rPr>
              <w:t>备注</w:t>
            </w:r>
          </w:p>
        </w:tc>
      </w:tr>
      <w:tr w14:paraId="231C9C9D">
        <w:tblPrEx>
          <w:tblCellMar>
            <w:top w:w="0" w:type="dxa"/>
            <w:left w:w="108" w:type="dxa"/>
            <w:bottom w:w="0" w:type="dxa"/>
            <w:right w:w="108" w:type="dxa"/>
          </w:tblCellMar>
        </w:tblPrEx>
        <w:trPr>
          <w:trHeight w:val="311" w:hRule="atLeast"/>
        </w:trPr>
        <w:tc>
          <w:tcPr>
            <w:tcW w:w="728" w:type="dxa"/>
            <w:vMerge w:val="continue"/>
            <w:tcBorders>
              <w:top w:val="single" w:color="000000" w:sz="4" w:space="0"/>
              <w:left w:val="single" w:color="000000" w:sz="4" w:space="0"/>
              <w:bottom w:val="single" w:color="000000" w:sz="4" w:space="0"/>
              <w:right w:val="single" w:color="000000" w:sz="4" w:space="0"/>
            </w:tcBorders>
            <w:noWrap w:val="0"/>
            <w:vAlign w:val="center"/>
          </w:tcPr>
          <w:p w14:paraId="5A5352AC">
            <w:pPr>
              <w:rPr>
                <w:rFonts w:hint="eastAsia" w:ascii="宋体" w:hAnsi="宋体" w:cs="宋体"/>
                <w:color w:val="auto"/>
                <w:kern w:val="0"/>
                <w:highlight w:val="none"/>
              </w:rPr>
            </w:pPr>
          </w:p>
        </w:tc>
        <w:tc>
          <w:tcPr>
            <w:tcW w:w="21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7ADF4C68">
            <w:pPr>
              <w:rPr>
                <w:rFonts w:hint="eastAsia" w:ascii="宋体" w:hAnsi="宋体" w:cs="宋体"/>
                <w:color w:val="auto"/>
                <w:kern w:val="0"/>
                <w:highlight w:val="none"/>
              </w:rPr>
            </w:pPr>
          </w:p>
        </w:tc>
        <w:tc>
          <w:tcPr>
            <w:tcW w:w="1701" w:type="dxa"/>
            <w:vMerge w:val="continue"/>
            <w:tcBorders>
              <w:top w:val="single" w:color="000000" w:sz="4" w:space="0"/>
              <w:left w:val="single" w:color="000000" w:sz="4" w:space="0"/>
              <w:bottom w:val="single" w:color="000000" w:sz="4" w:space="0"/>
              <w:right w:val="single" w:color="000000" w:sz="4" w:space="0"/>
            </w:tcBorders>
            <w:noWrap w:val="0"/>
            <w:vAlign w:val="center"/>
          </w:tcPr>
          <w:p w14:paraId="0BF2BA77">
            <w:pPr>
              <w:rPr>
                <w:rFonts w:hint="eastAsia" w:ascii="宋体" w:hAnsi="宋体" w:cs="宋体"/>
                <w:color w:val="auto"/>
                <w:kern w:val="0"/>
                <w:highlight w:val="none"/>
              </w:rPr>
            </w:pPr>
          </w:p>
        </w:tc>
        <w:tc>
          <w:tcPr>
            <w:tcW w:w="3402" w:type="dxa"/>
            <w:vMerge w:val="continue"/>
            <w:tcBorders>
              <w:top w:val="single" w:color="000000" w:sz="4" w:space="0"/>
              <w:left w:val="single" w:color="000000" w:sz="4" w:space="0"/>
              <w:bottom w:val="single" w:color="000000" w:sz="4" w:space="0"/>
              <w:right w:val="single" w:color="000000" w:sz="4" w:space="0"/>
            </w:tcBorders>
            <w:noWrap w:val="0"/>
            <w:vAlign w:val="center"/>
          </w:tcPr>
          <w:p w14:paraId="6879EB62">
            <w:pPr>
              <w:rPr>
                <w:rFonts w:hint="eastAsia" w:ascii="宋体" w:hAnsi="宋体" w:cs="宋体"/>
                <w:color w:val="auto"/>
                <w:kern w:val="0"/>
                <w:highlight w:val="none"/>
              </w:rPr>
            </w:pPr>
          </w:p>
        </w:tc>
        <w:tc>
          <w:tcPr>
            <w:tcW w:w="1266" w:type="dxa"/>
            <w:vMerge w:val="continue"/>
            <w:tcBorders>
              <w:top w:val="single" w:color="000000" w:sz="4" w:space="0"/>
              <w:left w:val="single" w:color="auto" w:sz="4" w:space="0"/>
              <w:bottom w:val="single" w:color="000000" w:sz="4" w:space="0"/>
              <w:right w:val="single" w:color="000000" w:sz="4" w:space="0"/>
            </w:tcBorders>
            <w:noWrap w:val="0"/>
            <w:vAlign w:val="center"/>
          </w:tcPr>
          <w:p w14:paraId="4204D157">
            <w:pPr>
              <w:rPr>
                <w:rFonts w:hint="eastAsia" w:ascii="宋体" w:hAnsi="宋体" w:cs="宋体"/>
                <w:color w:val="auto"/>
                <w:kern w:val="0"/>
                <w:highlight w:val="none"/>
              </w:rPr>
            </w:pPr>
          </w:p>
        </w:tc>
      </w:tr>
      <w:tr w14:paraId="2334BEDD">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10596E73">
            <w:pPr>
              <w:jc w:val="center"/>
              <w:rPr>
                <w:rFonts w:hint="eastAsia" w:ascii="宋体" w:hAnsi="宋体" w:cs="宋体"/>
                <w:color w:val="auto"/>
                <w:kern w:val="0"/>
                <w:highlight w:val="none"/>
              </w:rPr>
            </w:pPr>
            <w:r>
              <w:rPr>
                <w:rFonts w:hint="eastAsia" w:ascii="宋体" w:hAnsi="宋体" w:cs="宋体"/>
                <w:color w:val="auto"/>
                <w:kern w:val="0"/>
                <w:highlight w:val="none"/>
              </w:rPr>
              <w:t>1</w:t>
            </w:r>
          </w:p>
        </w:tc>
        <w:tc>
          <w:tcPr>
            <w:tcW w:w="2122" w:type="dxa"/>
            <w:tcBorders>
              <w:top w:val="nil"/>
              <w:left w:val="nil"/>
              <w:bottom w:val="single" w:color="000000" w:sz="4" w:space="0"/>
              <w:right w:val="single" w:color="000000" w:sz="4" w:space="0"/>
            </w:tcBorders>
            <w:shd w:val="clear" w:color="auto" w:fill="FFFFFF"/>
            <w:noWrap w:val="0"/>
            <w:vAlign w:val="center"/>
          </w:tcPr>
          <w:p w14:paraId="5000C5BD">
            <w:pPr>
              <w:rPr>
                <w:rFonts w:hint="eastAsia" w:ascii="宋体" w:hAnsi="宋体" w:cs="宋体"/>
                <w:color w:val="auto"/>
                <w:kern w:val="0"/>
                <w:highlight w:val="none"/>
              </w:rPr>
            </w:pPr>
          </w:p>
        </w:tc>
        <w:tc>
          <w:tcPr>
            <w:tcW w:w="1701" w:type="dxa"/>
            <w:tcBorders>
              <w:top w:val="nil"/>
              <w:left w:val="nil"/>
              <w:bottom w:val="single" w:color="000000" w:sz="4" w:space="0"/>
              <w:right w:val="single" w:color="000000" w:sz="4" w:space="0"/>
            </w:tcBorders>
            <w:shd w:val="clear" w:color="auto" w:fill="FFFFFF"/>
            <w:noWrap w:val="0"/>
            <w:vAlign w:val="center"/>
          </w:tcPr>
          <w:p w14:paraId="7121BD31">
            <w:pPr>
              <w:rPr>
                <w:rFonts w:hint="eastAsia" w:ascii="宋体" w:hAnsi="宋体" w:cs="宋体"/>
                <w:color w:val="auto"/>
                <w:kern w:val="0"/>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14:paraId="53AA6F70">
            <w:pPr>
              <w:jc w:val="center"/>
              <w:rPr>
                <w:rFonts w:hint="eastAsia" w:ascii="宋体" w:hAnsi="宋体" w:cs="宋体"/>
                <w:color w:val="auto"/>
                <w:kern w:val="0"/>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31A084B0">
            <w:pPr>
              <w:jc w:val="center"/>
              <w:rPr>
                <w:rFonts w:hint="eastAsia" w:ascii="宋体" w:hAnsi="宋体" w:cs="宋体"/>
                <w:color w:val="auto"/>
                <w:kern w:val="0"/>
                <w:highlight w:val="none"/>
              </w:rPr>
            </w:pPr>
          </w:p>
        </w:tc>
      </w:tr>
      <w:tr w14:paraId="1D3DE7F5">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5B52DDCE">
            <w:pPr>
              <w:jc w:val="center"/>
              <w:rPr>
                <w:rFonts w:hint="eastAsia" w:ascii="宋体" w:hAnsi="宋体" w:cs="宋体"/>
                <w:color w:val="auto"/>
                <w:kern w:val="0"/>
                <w:highlight w:val="none"/>
              </w:rPr>
            </w:pPr>
            <w:r>
              <w:rPr>
                <w:rFonts w:hint="eastAsia" w:ascii="宋体" w:hAnsi="宋体" w:cs="宋体"/>
                <w:color w:val="auto"/>
                <w:kern w:val="0"/>
                <w:highlight w:val="none"/>
              </w:rPr>
              <w:t>2</w:t>
            </w:r>
          </w:p>
        </w:tc>
        <w:tc>
          <w:tcPr>
            <w:tcW w:w="2122" w:type="dxa"/>
            <w:tcBorders>
              <w:top w:val="nil"/>
              <w:left w:val="nil"/>
              <w:bottom w:val="single" w:color="000000" w:sz="4" w:space="0"/>
              <w:right w:val="single" w:color="000000" w:sz="4" w:space="0"/>
            </w:tcBorders>
            <w:shd w:val="clear" w:color="auto" w:fill="FFFFFF"/>
            <w:noWrap w:val="0"/>
            <w:vAlign w:val="center"/>
          </w:tcPr>
          <w:p w14:paraId="4EDD7BF2">
            <w:pPr>
              <w:rPr>
                <w:rFonts w:hint="eastAsia" w:ascii="宋体" w:hAnsi="宋体" w:cs="宋体"/>
                <w:color w:val="auto"/>
                <w:kern w:val="0"/>
                <w:highlight w:val="none"/>
              </w:rPr>
            </w:pPr>
          </w:p>
        </w:tc>
        <w:tc>
          <w:tcPr>
            <w:tcW w:w="1701" w:type="dxa"/>
            <w:tcBorders>
              <w:top w:val="nil"/>
              <w:left w:val="nil"/>
              <w:bottom w:val="single" w:color="000000" w:sz="4" w:space="0"/>
              <w:right w:val="single" w:color="000000" w:sz="4" w:space="0"/>
            </w:tcBorders>
            <w:shd w:val="clear" w:color="auto" w:fill="FFFFFF"/>
            <w:noWrap w:val="0"/>
            <w:vAlign w:val="center"/>
          </w:tcPr>
          <w:p w14:paraId="3FE61DD2">
            <w:pPr>
              <w:rPr>
                <w:rFonts w:hint="eastAsia" w:ascii="宋体" w:hAnsi="宋体" w:cs="宋体"/>
                <w:color w:val="auto"/>
                <w:kern w:val="0"/>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14:paraId="07E4C4D1">
            <w:pPr>
              <w:jc w:val="center"/>
              <w:rPr>
                <w:rFonts w:hint="eastAsia" w:ascii="宋体" w:hAnsi="宋体" w:cs="宋体"/>
                <w:color w:val="auto"/>
                <w:kern w:val="0"/>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727CC5C9">
            <w:pPr>
              <w:jc w:val="center"/>
              <w:rPr>
                <w:rFonts w:hint="eastAsia" w:ascii="宋体" w:hAnsi="宋体" w:cs="宋体"/>
                <w:color w:val="auto"/>
                <w:kern w:val="0"/>
                <w:highlight w:val="none"/>
              </w:rPr>
            </w:pPr>
          </w:p>
        </w:tc>
      </w:tr>
      <w:tr w14:paraId="07F37D22">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5AA661D4">
            <w:pPr>
              <w:jc w:val="center"/>
              <w:rPr>
                <w:rFonts w:hint="eastAsia" w:ascii="宋体" w:hAnsi="宋体" w:cs="宋体"/>
                <w:color w:val="auto"/>
                <w:kern w:val="0"/>
                <w:highlight w:val="none"/>
              </w:rPr>
            </w:pPr>
            <w:r>
              <w:rPr>
                <w:rFonts w:hint="eastAsia" w:ascii="宋体" w:hAnsi="宋体" w:cs="宋体"/>
                <w:color w:val="auto"/>
                <w:kern w:val="0"/>
                <w:highlight w:val="none"/>
              </w:rPr>
              <w:t>3</w:t>
            </w:r>
          </w:p>
        </w:tc>
        <w:tc>
          <w:tcPr>
            <w:tcW w:w="2122" w:type="dxa"/>
            <w:tcBorders>
              <w:top w:val="nil"/>
              <w:left w:val="nil"/>
              <w:bottom w:val="single" w:color="000000" w:sz="4" w:space="0"/>
              <w:right w:val="single" w:color="000000" w:sz="4" w:space="0"/>
            </w:tcBorders>
            <w:shd w:val="clear" w:color="auto" w:fill="FFFFFF"/>
            <w:noWrap w:val="0"/>
            <w:vAlign w:val="center"/>
          </w:tcPr>
          <w:p w14:paraId="17CC2FE0">
            <w:pPr>
              <w:rPr>
                <w:rFonts w:hint="eastAsia" w:ascii="宋体" w:hAnsi="宋体" w:cs="宋体"/>
                <w:color w:val="auto"/>
                <w:kern w:val="0"/>
                <w:highlight w:val="none"/>
              </w:rPr>
            </w:pPr>
          </w:p>
        </w:tc>
        <w:tc>
          <w:tcPr>
            <w:tcW w:w="1701" w:type="dxa"/>
            <w:tcBorders>
              <w:top w:val="nil"/>
              <w:left w:val="nil"/>
              <w:bottom w:val="single" w:color="000000" w:sz="4" w:space="0"/>
              <w:right w:val="single" w:color="000000" w:sz="4" w:space="0"/>
            </w:tcBorders>
            <w:shd w:val="clear" w:color="auto" w:fill="FFFFFF"/>
            <w:noWrap w:val="0"/>
            <w:vAlign w:val="center"/>
          </w:tcPr>
          <w:p w14:paraId="0E3762B6">
            <w:pPr>
              <w:rPr>
                <w:rFonts w:hint="eastAsia" w:ascii="宋体" w:hAnsi="宋体" w:cs="宋体"/>
                <w:color w:val="auto"/>
                <w:kern w:val="0"/>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14:paraId="29D88275">
            <w:pPr>
              <w:jc w:val="center"/>
              <w:rPr>
                <w:rFonts w:hint="eastAsia" w:ascii="宋体" w:hAnsi="宋体" w:cs="宋体"/>
                <w:color w:val="auto"/>
                <w:kern w:val="0"/>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44844F06">
            <w:pPr>
              <w:jc w:val="center"/>
              <w:rPr>
                <w:rFonts w:hint="eastAsia" w:ascii="宋体" w:hAnsi="宋体" w:cs="宋体"/>
                <w:color w:val="auto"/>
                <w:kern w:val="0"/>
                <w:highlight w:val="none"/>
              </w:rPr>
            </w:pPr>
          </w:p>
        </w:tc>
      </w:tr>
      <w:tr w14:paraId="063222A4">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0D90DA2B">
            <w:pPr>
              <w:jc w:val="center"/>
              <w:rPr>
                <w:rFonts w:hint="eastAsia" w:ascii="宋体" w:hAnsi="宋体" w:cs="宋体"/>
                <w:color w:val="auto"/>
                <w:kern w:val="0"/>
                <w:highlight w:val="none"/>
              </w:rPr>
            </w:pPr>
            <w:r>
              <w:rPr>
                <w:rFonts w:hint="eastAsia" w:ascii="宋体" w:hAnsi="宋体" w:cs="宋体"/>
                <w:color w:val="auto"/>
                <w:kern w:val="0"/>
                <w:highlight w:val="none"/>
              </w:rPr>
              <w:t>4</w:t>
            </w:r>
          </w:p>
        </w:tc>
        <w:tc>
          <w:tcPr>
            <w:tcW w:w="2122" w:type="dxa"/>
            <w:tcBorders>
              <w:top w:val="nil"/>
              <w:left w:val="nil"/>
              <w:bottom w:val="single" w:color="000000" w:sz="4" w:space="0"/>
              <w:right w:val="single" w:color="000000" w:sz="4" w:space="0"/>
            </w:tcBorders>
            <w:shd w:val="clear" w:color="auto" w:fill="FFFFFF"/>
            <w:noWrap w:val="0"/>
            <w:vAlign w:val="center"/>
          </w:tcPr>
          <w:p w14:paraId="3D01EB4D">
            <w:pPr>
              <w:rPr>
                <w:rFonts w:hint="eastAsia" w:ascii="宋体" w:hAnsi="宋体" w:cs="宋体"/>
                <w:color w:val="auto"/>
                <w:kern w:val="0"/>
                <w:highlight w:val="none"/>
              </w:rPr>
            </w:pPr>
          </w:p>
        </w:tc>
        <w:tc>
          <w:tcPr>
            <w:tcW w:w="1701" w:type="dxa"/>
            <w:tcBorders>
              <w:top w:val="nil"/>
              <w:left w:val="nil"/>
              <w:bottom w:val="single" w:color="000000" w:sz="4" w:space="0"/>
              <w:right w:val="single" w:color="000000" w:sz="4" w:space="0"/>
            </w:tcBorders>
            <w:shd w:val="clear" w:color="auto" w:fill="FFFFFF"/>
            <w:noWrap w:val="0"/>
            <w:vAlign w:val="center"/>
          </w:tcPr>
          <w:p w14:paraId="4B420549">
            <w:pPr>
              <w:rPr>
                <w:rFonts w:hint="eastAsia" w:ascii="宋体" w:hAnsi="宋体" w:cs="宋体"/>
                <w:color w:val="auto"/>
                <w:kern w:val="0"/>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14:paraId="2956278B">
            <w:pPr>
              <w:jc w:val="center"/>
              <w:rPr>
                <w:rFonts w:hint="eastAsia" w:ascii="宋体" w:hAnsi="宋体" w:cs="宋体"/>
                <w:color w:val="auto"/>
                <w:kern w:val="0"/>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61FB8694">
            <w:pPr>
              <w:jc w:val="center"/>
              <w:rPr>
                <w:rFonts w:hint="eastAsia" w:ascii="宋体" w:hAnsi="宋体" w:cs="宋体"/>
                <w:color w:val="auto"/>
                <w:kern w:val="0"/>
                <w:highlight w:val="none"/>
              </w:rPr>
            </w:pPr>
          </w:p>
        </w:tc>
      </w:tr>
      <w:tr w14:paraId="61F9E17B">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3420F028">
            <w:pPr>
              <w:jc w:val="center"/>
              <w:rPr>
                <w:rFonts w:hint="eastAsia" w:ascii="宋体" w:hAnsi="宋体" w:cs="宋体"/>
                <w:color w:val="auto"/>
                <w:kern w:val="0"/>
                <w:highlight w:val="none"/>
              </w:rPr>
            </w:pPr>
            <w:r>
              <w:rPr>
                <w:rFonts w:hint="eastAsia" w:ascii="宋体" w:hAnsi="宋体" w:cs="宋体"/>
                <w:color w:val="auto"/>
                <w:kern w:val="0"/>
                <w:highlight w:val="none"/>
              </w:rPr>
              <w:t>5</w:t>
            </w:r>
          </w:p>
        </w:tc>
        <w:tc>
          <w:tcPr>
            <w:tcW w:w="2122" w:type="dxa"/>
            <w:tcBorders>
              <w:top w:val="nil"/>
              <w:left w:val="nil"/>
              <w:bottom w:val="single" w:color="000000" w:sz="4" w:space="0"/>
              <w:right w:val="single" w:color="000000" w:sz="4" w:space="0"/>
            </w:tcBorders>
            <w:shd w:val="clear" w:color="auto" w:fill="FFFFFF"/>
            <w:noWrap w:val="0"/>
            <w:vAlign w:val="center"/>
          </w:tcPr>
          <w:p w14:paraId="246720A6">
            <w:pPr>
              <w:rPr>
                <w:rFonts w:hint="eastAsia" w:ascii="宋体" w:hAnsi="宋体" w:cs="宋体"/>
                <w:color w:val="auto"/>
                <w:kern w:val="0"/>
                <w:highlight w:val="none"/>
              </w:rPr>
            </w:pPr>
          </w:p>
        </w:tc>
        <w:tc>
          <w:tcPr>
            <w:tcW w:w="1701" w:type="dxa"/>
            <w:tcBorders>
              <w:top w:val="nil"/>
              <w:left w:val="nil"/>
              <w:bottom w:val="single" w:color="000000" w:sz="4" w:space="0"/>
              <w:right w:val="single" w:color="000000" w:sz="4" w:space="0"/>
            </w:tcBorders>
            <w:shd w:val="clear" w:color="auto" w:fill="FFFFFF"/>
            <w:noWrap w:val="0"/>
            <w:vAlign w:val="center"/>
          </w:tcPr>
          <w:p w14:paraId="08E48117">
            <w:pPr>
              <w:rPr>
                <w:rFonts w:hint="eastAsia" w:ascii="宋体" w:hAnsi="宋体" w:cs="宋体"/>
                <w:color w:val="auto"/>
                <w:kern w:val="0"/>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14:paraId="494BAE50">
            <w:pPr>
              <w:jc w:val="center"/>
              <w:rPr>
                <w:rFonts w:hint="eastAsia" w:ascii="宋体" w:hAnsi="宋体" w:cs="宋体"/>
                <w:color w:val="auto"/>
                <w:kern w:val="0"/>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04EFE8EF">
            <w:pPr>
              <w:jc w:val="center"/>
              <w:rPr>
                <w:rFonts w:hint="eastAsia" w:ascii="宋体" w:hAnsi="宋体" w:cs="宋体"/>
                <w:color w:val="auto"/>
                <w:kern w:val="0"/>
                <w:highlight w:val="none"/>
              </w:rPr>
            </w:pPr>
          </w:p>
        </w:tc>
      </w:tr>
      <w:tr w14:paraId="350AE732">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48B8B308">
            <w:pPr>
              <w:jc w:val="center"/>
              <w:rPr>
                <w:rFonts w:hint="eastAsia" w:ascii="宋体" w:hAnsi="宋体" w:cs="宋体"/>
                <w:color w:val="auto"/>
                <w:kern w:val="0"/>
                <w:highlight w:val="none"/>
              </w:rPr>
            </w:pPr>
            <w:r>
              <w:rPr>
                <w:rFonts w:hint="eastAsia" w:ascii="宋体" w:hAnsi="宋体" w:cs="宋体"/>
                <w:color w:val="auto"/>
                <w:kern w:val="0"/>
                <w:highlight w:val="none"/>
              </w:rPr>
              <w:t>6</w:t>
            </w:r>
          </w:p>
        </w:tc>
        <w:tc>
          <w:tcPr>
            <w:tcW w:w="2122" w:type="dxa"/>
            <w:tcBorders>
              <w:top w:val="nil"/>
              <w:left w:val="nil"/>
              <w:bottom w:val="single" w:color="000000" w:sz="4" w:space="0"/>
              <w:right w:val="single" w:color="000000" w:sz="4" w:space="0"/>
            </w:tcBorders>
            <w:shd w:val="clear" w:color="auto" w:fill="FFFFFF"/>
            <w:noWrap w:val="0"/>
            <w:vAlign w:val="center"/>
          </w:tcPr>
          <w:p w14:paraId="5B1C6F7F">
            <w:pPr>
              <w:rPr>
                <w:rFonts w:hint="eastAsia" w:ascii="宋体" w:hAnsi="宋体" w:cs="宋体"/>
                <w:color w:val="auto"/>
                <w:kern w:val="0"/>
                <w:highlight w:val="none"/>
              </w:rPr>
            </w:pPr>
          </w:p>
        </w:tc>
        <w:tc>
          <w:tcPr>
            <w:tcW w:w="1701" w:type="dxa"/>
            <w:tcBorders>
              <w:top w:val="nil"/>
              <w:left w:val="nil"/>
              <w:bottom w:val="single" w:color="000000" w:sz="4" w:space="0"/>
              <w:right w:val="single" w:color="000000" w:sz="4" w:space="0"/>
            </w:tcBorders>
            <w:shd w:val="clear" w:color="auto" w:fill="FFFFFF"/>
            <w:noWrap w:val="0"/>
            <w:vAlign w:val="center"/>
          </w:tcPr>
          <w:p w14:paraId="28C332DD">
            <w:pPr>
              <w:rPr>
                <w:rFonts w:hint="eastAsia" w:ascii="宋体" w:hAnsi="宋体" w:cs="宋体"/>
                <w:color w:val="auto"/>
                <w:kern w:val="0"/>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14:paraId="785370E1">
            <w:pPr>
              <w:jc w:val="center"/>
              <w:rPr>
                <w:rFonts w:hint="eastAsia" w:ascii="宋体" w:hAnsi="宋体" w:cs="宋体"/>
                <w:color w:val="auto"/>
                <w:kern w:val="0"/>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25E8F05D">
            <w:pPr>
              <w:jc w:val="center"/>
              <w:rPr>
                <w:rFonts w:hint="eastAsia" w:ascii="宋体" w:hAnsi="宋体" w:cs="宋体"/>
                <w:color w:val="auto"/>
                <w:kern w:val="0"/>
                <w:highlight w:val="none"/>
              </w:rPr>
            </w:pPr>
          </w:p>
        </w:tc>
      </w:tr>
      <w:tr w14:paraId="48600F55">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39705421">
            <w:pPr>
              <w:jc w:val="center"/>
              <w:rPr>
                <w:rFonts w:hint="eastAsia" w:ascii="宋体" w:hAnsi="宋体" w:cs="宋体"/>
                <w:color w:val="auto"/>
                <w:kern w:val="0"/>
                <w:highlight w:val="none"/>
              </w:rPr>
            </w:pPr>
            <w:r>
              <w:rPr>
                <w:rFonts w:hint="eastAsia" w:ascii="宋体" w:hAnsi="宋体" w:cs="宋体"/>
                <w:color w:val="auto"/>
                <w:kern w:val="0"/>
                <w:highlight w:val="none"/>
              </w:rPr>
              <w:t>7</w:t>
            </w:r>
          </w:p>
        </w:tc>
        <w:tc>
          <w:tcPr>
            <w:tcW w:w="2122" w:type="dxa"/>
            <w:tcBorders>
              <w:top w:val="nil"/>
              <w:left w:val="nil"/>
              <w:bottom w:val="single" w:color="000000" w:sz="4" w:space="0"/>
              <w:right w:val="single" w:color="000000" w:sz="4" w:space="0"/>
            </w:tcBorders>
            <w:shd w:val="clear" w:color="auto" w:fill="FFFFFF"/>
            <w:noWrap w:val="0"/>
            <w:vAlign w:val="center"/>
          </w:tcPr>
          <w:p w14:paraId="01D4A443">
            <w:pPr>
              <w:rPr>
                <w:rFonts w:hint="eastAsia" w:ascii="宋体" w:hAnsi="宋体" w:cs="宋体"/>
                <w:color w:val="auto"/>
                <w:kern w:val="0"/>
                <w:highlight w:val="none"/>
              </w:rPr>
            </w:pPr>
          </w:p>
        </w:tc>
        <w:tc>
          <w:tcPr>
            <w:tcW w:w="1701" w:type="dxa"/>
            <w:tcBorders>
              <w:top w:val="nil"/>
              <w:left w:val="nil"/>
              <w:bottom w:val="single" w:color="000000" w:sz="4" w:space="0"/>
              <w:right w:val="single" w:color="000000" w:sz="4" w:space="0"/>
            </w:tcBorders>
            <w:shd w:val="clear" w:color="auto" w:fill="FFFFFF"/>
            <w:noWrap w:val="0"/>
            <w:vAlign w:val="center"/>
          </w:tcPr>
          <w:p w14:paraId="7CCFFE03">
            <w:pPr>
              <w:rPr>
                <w:rFonts w:hint="eastAsia" w:ascii="宋体" w:hAnsi="宋体" w:cs="宋体"/>
                <w:color w:val="auto"/>
                <w:kern w:val="0"/>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14:paraId="1BAAB5A2">
            <w:pPr>
              <w:jc w:val="center"/>
              <w:rPr>
                <w:rFonts w:hint="eastAsia" w:ascii="宋体" w:hAnsi="宋体" w:cs="宋体"/>
                <w:color w:val="auto"/>
                <w:kern w:val="0"/>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62340F49">
            <w:pPr>
              <w:jc w:val="center"/>
              <w:rPr>
                <w:rFonts w:hint="eastAsia" w:ascii="宋体" w:hAnsi="宋体" w:cs="宋体"/>
                <w:color w:val="auto"/>
                <w:kern w:val="0"/>
                <w:highlight w:val="none"/>
              </w:rPr>
            </w:pPr>
          </w:p>
        </w:tc>
      </w:tr>
      <w:tr w14:paraId="7EDAB261">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4E8ABF7B">
            <w:pPr>
              <w:jc w:val="center"/>
              <w:rPr>
                <w:rFonts w:hint="eastAsia" w:ascii="宋体" w:hAnsi="宋体" w:cs="宋体"/>
                <w:color w:val="auto"/>
                <w:kern w:val="0"/>
                <w:highlight w:val="none"/>
              </w:rPr>
            </w:pPr>
            <w:r>
              <w:rPr>
                <w:rFonts w:hint="eastAsia" w:ascii="宋体" w:hAnsi="宋体" w:cs="宋体"/>
                <w:color w:val="auto"/>
                <w:kern w:val="0"/>
                <w:highlight w:val="none"/>
              </w:rPr>
              <w:t>8</w:t>
            </w:r>
          </w:p>
        </w:tc>
        <w:tc>
          <w:tcPr>
            <w:tcW w:w="2122" w:type="dxa"/>
            <w:tcBorders>
              <w:top w:val="nil"/>
              <w:left w:val="nil"/>
              <w:bottom w:val="single" w:color="000000" w:sz="4" w:space="0"/>
              <w:right w:val="single" w:color="000000" w:sz="4" w:space="0"/>
            </w:tcBorders>
            <w:shd w:val="clear" w:color="auto" w:fill="FFFFFF"/>
            <w:noWrap w:val="0"/>
            <w:vAlign w:val="center"/>
          </w:tcPr>
          <w:p w14:paraId="7D33139F">
            <w:pPr>
              <w:rPr>
                <w:rFonts w:hint="eastAsia" w:ascii="宋体" w:hAnsi="宋体" w:cs="宋体"/>
                <w:color w:val="auto"/>
                <w:kern w:val="0"/>
                <w:highlight w:val="none"/>
              </w:rPr>
            </w:pPr>
          </w:p>
        </w:tc>
        <w:tc>
          <w:tcPr>
            <w:tcW w:w="1701" w:type="dxa"/>
            <w:tcBorders>
              <w:top w:val="nil"/>
              <w:left w:val="nil"/>
              <w:bottom w:val="single" w:color="000000" w:sz="4" w:space="0"/>
              <w:right w:val="single" w:color="000000" w:sz="4" w:space="0"/>
            </w:tcBorders>
            <w:shd w:val="clear" w:color="auto" w:fill="FFFFFF"/>
            <w:noWrap w:val="0"/>
            <w:vAlign w:val="center"/>
          </w:tcPr>
          <w:p w14:paraId="20A77565">
            <w:pPr>
              <w:rPr>
                <w:rFonts w:hint="eastAsia" w:ascii="宋体" w:hAnsi="宋体" w:cs="宋体"/>
                <w:color w:val="auto"/>
                <w:kern w:val="0"/>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14:paraId="656DF90D">
            <w:pPr>
              <w:jc w:val="center"/>
              <w:rPr>
                <w:rFonts w:hint="eastAsia" w:ascii="宋体" w:hAnsi="宋体" w:cs="宋体"/>
                <w:color w:val="auto"/>
                <w:kern w:val="0"/>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04D3B3FC">
            <w:pPr>
              <w:jc w:val="center"/>
              <w:rPr>
                <w:rFonts w:hint="eastAsia" w:ascii="宋体" w:hAnsi="宋体" w:cs="宋体"/>
                <w:color w:val="auto"/>
                <w:kern w:val="0"/>
                <w:highlight w:val="none"/>
              </w:rPr>
            </w:pPr>
          </w:p>
        </w:tc>
      </w:tr>
      <w:tr w14:paraId="17BF81CE">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59646FEC">
            <w:pPr>
              <w:jc w:val="center"/>
              <w:rPr>
                <w:rFonts w:hint="eastAsia" w:ascii="宋体" w:hAnsi="宋体" w:cs="宋体"/>
                <w:color w:val="auto"/>
                <w:kern w:val="0"/>
                <w:highlight w:val="none"/>
              </w:rPr>
            </w:pPr>
            <w:r>
              <w:rPr>
                <w:rFonts w:hint="eastAsia" w:ascii="宋体" w:hAnsi="宋体" w:cs="宋体"/>
                <w:color w:val="auto"/>
                <w:kern w:val="0"/>
                <w:highlight w:val="none"/>
              </w:rPr>
              <w:t>9</w:t>
            </w:r>
          </w:p>
        </w:tc>
        <w:tc>
          <w:tcPr>
            <w:tcW w:w="2122" w:type="dxa"/>
            <w:tcBorders>
              <w:top w:val="nil"/>
              <w:left w:val="nil"/>
              <w:bottom w:val="single" w:color="000000" w:sz="4" w:space="0"/>
              <w:right w:val="single" w:color="000000" w:sz="4" w:space="0"/>
            </w:tcBorders>
            <w:shd w:val="clear" w:color="auto" w:fill="FFFFFF"/>
            <w:noWrap w:val="0"/>
            <w:vAlign w:val="center"/>
          </w:tcPr>
          <w:p w14:paraId="0A5D8205">
            <w:pPr>
              <w:rPr>
                <w:rFonts w:hint="eastAsia" w:ascii="宋体" w:hAnsi="宋体" w:cs="宋体"/>
                <w:color w:val="auto"/>
                <w:kern w:val="0"/>
                <w:highlight w:val="none"/>
              </w:rPr>
            </w:pPr>
          </w:p>
        </w:tc>
        <w:tc>
          <w:tcPr>
            <w:tcW w:w="1701" w:type="dxa"/>
            <w:tcBorders>
              <w:top w:val="nil"/>
              <w:left w:val="nil"/>
              <w:bottom w:val="single" w:color="000000" w:sz="4" w:space="0"/>
              <w:right w:val="single" w:color="000000" w:sz="4" w:space="0"/>
            </w:tcBorders>
            <w:shd w:val="clear" w:color="auto" w:fill="FFFFFF"/>
            <w:noWrap w:val="0"/>
            <w:vAlign w:val="center"/>
          </w:tcPr>
          <w:p w14:paraId="769A1284">
            <w:pPr>
              <w:rPr>
                <w:rFonts w:hint="eastAsia" w:ascii="宋体" w:hAnsi="宋体" w:cs="宋体"/>
                <w:color w:val="auto"/>
                <w:kern w:val="0"/>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14:paraId="2BFD8B5E">
            <w:pPr>
              <w:jc w:val="center"/>
              <w:rPr>
                <w:rFonts w:hint="eastAsia" w:ascii="宋体" w:hAnsi="宋体" w:cs="宋体"/>
                <w:color w:val="auto"/>
                <w:kern w:val="0"/>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69261F00">
            <w:pPr>
              <w:jc w:val="center"/>
              <w:rPr>
                <w:rFonts w:hint="eastAsia" w:ascii="宋体" w:hAnsi="宋体" w:cs="宋体"/>
                <w:color w:val="auto"/>
                <w:kern w:val="0"/>
                <w:highlight w:val="none"/>
              </w:rPr>
            </w:pPr>
          </w:p>
        </w:tc>
      </w:tr>
      <w:tr w14:paraId="60EC60EB">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05D77722">
            <w:pPr>
              <w:jc w:val="center"/>
              <w:rPr>
                <w:rFonts w:hint="eastAsia" w:ascii="宋体" w:hAnsi="宋体" w:cs="宋体"/>
                <w:color w:val="auto"/>
                <w:kern w:val="0"/>
                <w:highlight w:val="none"/>
              </w:rPr>
            </w:pPr>
            <w:r>
              <w:rPr>
                <w:rFonts w:hint="eastAsia" w:ascii="宋体" w:hAnsi="宋体" w:cs="宋体"/>
                <w:color w:val="auto"/>
                <w:kern w:val="0"/>
                <w:highlight w:val="none"/>
              </w:rPr>
              <w:t>10</w:t>
            </w:r>
          </w:p>
        </w:tc>
        <w:tc>
          <w:tcPr>
            <w:tcW w:w="2122" w:type="dxa"/>
            <w:tcBorders>
              <w:top w:val="nil"/>
              <w:left w:val="nil"/>
              <w:bottom w:val="single" w:color="000000" w:sz="4" w:space="0"/>
              <w:right w:val="single" w:color="000000" w:sz="4" w:space="0"/>
            </w:tcBorders>
            <w:shd w:val="clear" w:color="auto" w:fill="FFFFFF"/>
            <w:noWrap w:val="0"/>
            <w:vAlign w:val="center"/>
          </w:tcPr>
          <w:p w14:paraId="61FB8FA8">
            <w:pPr>
              <w:rPr>
                <w:rFonts w:hint="eastAsia" w:ascii="宋体" w:hAnsi="宋体" w:cs="宋体"/>
                <w:color w:val="auto"/>
                <w:kern w:val="0"/>
                <w:highlight w:val="none"/>
              </w:rPr>
            </w:pPr>
          </w:p>
        </w:tc>
        <w:tc>
          <w:tcPr>
            <w:tcW w:w="1701" w:type="dxa"/>
            <w:tcBorders>
              <w:top w:val="nil"/>
              <w:left w:val="nil"/>
              <w:bottom w:val="single" w:color="000000" w:sz="4" w:space="0"/>
              <w:right w:val="single" w:color="000000" w:sz="4" w:space="0"/>
            </w:tcBorders>
            <w:shd w:val="clear" w:color="auto" w:fill="FFFFFF"/>
            <w:noWrap w:val="0"/>
            <w:vAlign w:val="center"/>
          </w:tcPr>
          <w:p w14:paraId="50089475">
            <w:pPr>
              <w:rPr>
                <w:rFonts w:hint="eastAsia" w:ascii="宋体" w:hAnsi="宋体" w:cs="宋体"/>
                <w:color w:val="auto"/>
                <w:kern w:val="0"/>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14:paraId="7C310B53">
            <w:pPr>
              <w:jc w:val="center"/>
              <w:rPr>
                <w:rFonts w:hint="eastAsia" w:ascii="宋体" w:hAnsi="宋体" w:cs="宋体"/>
                <w:color w:val="auto"/>
                <w:kern w:val="0"/>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6BAE0F80">
            <w:pPr>
              <w:jc w:val="center"/>
              <w:rPr>
                <w:rFonts w:hint="eastAsia" w:ascii="宋体" w:hAnsi="宋体" w:cs="宋体"/>
                <w:color w:val="auto"/>
                <w:kern w:val="0"/>
                <w:highlight w:val="none"/>
              </w:rPr>
            </w:pPr>
          </w:p>
        </w:tc>
      </w:tr>
      <w:tr w14:paraId="2D143102">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7780314A">
            <w:pPr>
              <w:jc w:val="center"/>
              <w:rPr>
                <w:rFonts w:hint="eastAsia" w:ascii="宋体" w:hAnsi="宋体" w:cs="宋体"/>
                <w:color w:val="auto"/>
                <w:kern w:val="0"/>
                <w:highlight w:val="none"/>
              </w:rPr>
            </w:pPr>
            <w:r>
              <w:rPr>
                <w:rFonts w:hint="eastAsia" w:ascii="宋体" w:hAnsi="宋体" w:cs="宋体"/>
                <w:color w:val="auto"/>
                <w:kern w:val="0"/>
                <w:highlight w:val="none"/>
              </w:rPr>
              <w:t>11</w:t>
            </w:r>
          </w:p>
        </w:tc>
        <w:tc>
          <w:tcPr>
            <w:tcW w:w="2122" w:type="dxa"/>
            <w:tcBorders>
              <w:top w:val="nil"/>
              <w:left w:val="nil"/>
              <w:bottom w:val="single" w:color="000000" w:sz="4" w:space="0"/>
              <w:right w:val="single" w:color="000000" w:sz="4" w:space="0"/>
            </w:tcBorders>
            <w:shd w:val="clear" w:color="auto" w:fill="FFFFFF"/>
            <w:noWrap w:val="0"/>
            <w:vAlign w:val="center"/>
          </w:tcPr>
          <w:p w14:paraId="01E40740">
            <w:pPr>
              <w:rPr>
                <w:rFonts w:hint="eastAsia" w:ascii="宋体" w:hAnsi="宋体" w:cs="宋体"/>
                <w:color w:val="auto"/>
                <w:kern w:val="0"/>
                <w:highlight w:val="none"/>
              </w:rPr>
            </w:pPr>
          </w:p>
        </w:tc>
        <w:tc>
          <w:tcPr>
            <w:tcW w:w="1701" w:type="dxa"/>
            <w:tcBorders>
              <w:top w:val="nil"/>
              <w:left w:val="nil"/>
              <w:bottom w:val="single" w:color="000000" w:sz="4" w:space="0"/>
              <w:right w:val="single" w:color="000000" w:sz="4" w:space="0"/>
            </w:tcBorders>
            <w:shd w:val="clear" w:color="auto" w:fill="FFFFFF"/>
            <w:noWrap w:val="0"/>
            <w:vAlign w:val="center"/>
          </w:tcPr>
          <w:p w14:paraId="6EC00E72">
            <w:pPr>
              <w:rPr>
                <w:rFonts w:hint="eastAsia" w:ascii="宋体" w:hAnsi="宋体" w:cs="宋体"/>
                <w:color w:val="auto"/>
                <w:kern w:val="0"/>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14:paraId="3E3D48AB">
            <w:pPr>
              <w:jc w:val="center"/>
              <w:rPr>
                <w:rFonts w:hint="eastAsia" w:ascii="宋体" w:hAnsi="宋体" w:cs="宋体"/>
                <w:color w:val="auto"/>
                <w:kern w:val="0"/>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795208A3">
            <w:pPr>
              <w:jc w:val="center"/>
              <w:rPr>
                <w:rFonts w:hint="eastAsia" w:ascii="宋体" w:hAnsi="宋体" w:cs="宋体"/>
                <w:color w:val="auto"/>
                <w:kern w:val="0"/>
                <w:highlight w:val="none"/>
              </w:rPr>
            </w:pPr>
          </w:p>
        </w:tc>
      </w:tr>
      <w:tr w14:paraId="43400AFB">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52CEED60">
            <w:pPr>
              <w:jc w:val="center"/>
              <w:rPr>
                <w:rFonts w:hint="eastAsia" w:ascii="宋体" w:hAnsi="宋体" w:cs="宋体"/>
                <w:color w:val="auto"/>
                <w:kern w:val="0"/>
                <w:highlight w:val="none"/>
              </w:rPr>
            </w:pPr>
            <w:r>
              <w:rPr>
                <w:rFonts w:hint="eastAsia" w:ascii="宋体" w:hAnsi="宋体" w:cs="宋体"/>
                <w:color w:val="auto"/>
                <w:kern w:val="0"/>
                <w:highlight w:val="none"/>
              </w:rPr>
              <w:t>12</w:t>
            </w:r>
          </w:p>
        </w:tc>
        <w:tc>
          <w:tcPr>
            <w:tcW w:w="2122" w:type="dxa"/>
            <w:tcBorders>
              <w:top w:val="nil"/>
              <w:left w:val="nil"/>
              <w:bottom w:val="single" w:color="000000" w:sz="4" w:space="0"/>
              <w:right w:val="single" w:color="000000" w:sz="4" w:space="0"/>
            </w:tcBorders>
            <w:shd w:val="clear" w:color="auto" w:fill="FFFFFF"/>
            <w:noWrap w:val="0"/>
            <w:vAlign w:val="center"/>
          </w:tcPr>
          <w:p w14:paraId="1464F7AC">
            <w:pPr>
              <w:rPr>
                <w:rFonts w:hint="eastAsia" w:ascii="宋体" w:hAnsi="宋体" w:cs="宋体"/>
                <w:color w:val="auto"/>
                <w:kern w:val="0"/>
                <w:highlight w:val="none"/>
              </w:rPr>
            </w:pPr>
          </w:p>
        </w:tc>
        <w:tc>
          <w:tcPr>
            <w:tcW w:w="1701" w:type="dxa"/>
            <w:tcBorders>
              <w:top w:val="nil"/>
              <w:left w:val="nil"/>
              <w:bottom w:val="single" w:color="000000" w:sz="4" w:space="0"/>
              <w:right w:val="single" w:color="000000" w:sz="4" w:space="0"/>
            </w:tcBorders>
            <w:shd w:val="clear" w:color="auto" w:fill="FFFFFF"/>
            <w:noWrap w:val="0"/>
            <w:vAlign w:val="center"/>
          </w:tcPr>
          <w:p w14:paraId="3D18E5BC">
            <w:pPr>
              <w:rPr>
                <w:rFonts w:hint="eastAsia" w:ascii="宋体" w:hAnsi="宋体" w:cs="宋体"/>
                <w:color w:val="auto"/>
                <w:kern w:val="0"/>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14:paraId="3C7A8C10">
            <w:pPr>
              <w:jc w:val="center"/>
              <w:rPr>
                <w:rFonts w:hint="eastAsia" w:ascii="宋体" w:hAnsi="宋体" w:cs="宋体"/>
                <w:color w:val="auto"/>
                <w:kern w:val="0"/>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034628E2">
            <w:pPr>
              <w:jc w:val="center"/>
              <w:rPr>
                <w:rFonts w:hint="eastAsia" w:ascii="宋体" w:hAnsi="宋体" w:cs="宋体"/>
                <w:color w:val="auto"/>
                <w:kern w:val="0"/>
                <w:highlight w:val="none"/>
              </w:rPr>
            </w:pPr>
          </w:p>
        </w:tc>
      </w:tr>
      <w:tr w14:paraId="080F67AD">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0CB3E6CC">
            <w:pPr>
              <w:jc w:val="center"/>
              <w:rPr>
                <w:rFonts w:hint="eastAsia" w:ascii="宋体" w:hAnsi="宋体" w:cs="宋体"/>
                <w:color w:val="auto"/>
                <w:kern w:val="0"/>
                <w:highlight w:val="none"/>
              </w:rPr>
            </w:pPr>
            <w:r>
              <w:rPr>
                <w:rFonts w:hint="eastAsia" w:ascii="宋体" w:hAnsi="宋体" w:cs="宋体"/>
                <w:color w:val="auto"/>
                <w:kern w:val="0"/>
                <w:highlight w:val="none"/>
              </w:rPr>
              <w:t>13</w:t>
            </w:r>
          </w:p>
        </w:tc>
        <w:tc>
          <w:tcPr>
            <w:tcW w:w="2122" w:type="dxa"/>
            <w:tcBorders>
              <w:top w:val="nil"/>
              <w:left w:val="nil"/>
              <w:bottom w:val="single" w:color="000000" w:sz="4" w:space="0"/>
              <w:right w:val="single" w:color="000000" w:sz="4" w:space="0"/>
            </w:tcBorders>
            <w:shd w:val="clear" w:color="auto" w:fill="FFFFFF"/>
            <w:noWrap w:val="0"/>
            <w:vAlign w:val="center"/>
          </w:tcPr>
          <w:p w14:paraId="039EE520">
            <w:pPr>
              <w:rPr>
                <w:rFonts w:hint="eastAsia" w:ascii="宋体" w:hAnsi="宋体" w:cs="宋体"/>
                <w:color w:val="auto"/>
                <w:kern w:val="0"/>
                <w:highlight w:val="none"/>
              </w:rPr>
            </w:pPr>
          </w:p>
        </w:tc>
        <w:tc>
          <w:tcPr>
            <w:tcW w:w="1701" w:type="dxa"/>
            <w:tcBorders>
              <w:top w:val="nil"/>
              <w:left w:val="nil"/>
              <w:bottom w:val="single" w:color="000000" w:sz="4" w:space="0"/>
              <w:right w:val="single" w:color="000000" w:sz="4" w:space="0"/>
            </w:tcBorders>
            <w:shd w:val="clear" w:color="auto" w:fill="FFFFFF"/>
            <w:noWrap w:val="0"/>
            <w:vAlign w:val="center"/>
          </w:tcPr>
          <w:p w14:paraId="73C7EBAB">
            <w:pPr>
              <w:rPr>
                <w:rFonts w:hint="eastAsia" w:ascii="宋体" w:hAnsi="宋体" w:cs="宋体"/>
                <w:color w:val="auto"/>
                <w:kern w:val="0"/>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14:paraId="137449A3">
            <w:pPr>
              <w:jc w:val="center"/>
              <w:rPr>
                <w:rFonts w:hint="eastAsia" w:ascii="宋体" w:hAnsi="宋体" w:cs="宋体"/>
                <w:color w:val="auto"/>
                <w:kern w:val="0"/>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3E8CF426">
            <w:pPr>
              <w:jc w:val="center"/>
              <w:rPr>
                <w:rFonts w:hint="eastAsia" w:ascii="宋体" w:hAnsi="宋体" w:cs="宋体"/>
                <w:color w:val="auto"/>
                <w:kern w:val="0"/>
                <w:highlight w:val="none"/>
              </w:rPr>
            </w:pPr>
          </w:p>
        </w:tc>
      </w:tr>
    </w:tbl>
    <w:p w14:paraId="41565361">
      <w:pPr>
        <w:snapToGrid w:val="0"/>
        <w:spacing w:before="50" w:after="120" w:afterLines="50"/>
        <w:rPr>
          <w:rFonts w:hint="eastAsia" w:ascii="宋体" w:hAnsi="宋体" w:cs="宋体"/>
          <w:color w:val="auto"/>
          <w:spacing w:val="20"/>
          <w:highlight w:val="none"/>
        </w:rPr>
      </w:pPr>
    </w:p>
    <w:p w14:paraId="551AD17B">
      <w:pPr>
        <w:snapToGrid w:val="0"/>
        <w:spacing w:before="50" w:after="120" w:afterLines="50"/>
        <w:jc w:val="left"/>
        <w:rPr>
          <w:rFonts w:hint="eastAsia" w:ascii="宋体" w:hAnsi="宋体"/>
          <w:color w:val="auto"/>
          <w:spacing w:val="20"/>
          <w:sz w:val="24"/>
          <w:highlight w:val="none"/>
        </w:rPr>
      </w:pPr>
      <w:r>
        <w:rPr>
          <w:rFonts w:hint="eastAsia" w:ascii="宋体" w:hAnsi="宋体"/>
          <w:b/>
          <w:bCs/>
          <w:color w:val="auto"/>
          <w:spacing w:val="20"/>
          <w:sz w:val="24"/>
          <w:highlight w:val="none"/>
        </w:rPr>
        <w:t>注：</w:t>
      </w:r>
      <w:r>
        <w:rPr>
          <w:rFonts w:hint="eastAsia" w:ascii="宋体" w:hAnsi="宋体"/>
          <w:b/>
          <w:bCs/>
          <w:color w:val="auto"/>
          <w:sz w:val="24"/>
          <w:highlight w:val="none"/>
        </w:rPr>
        <w:t>投标人根据采购清单中的内容进行填写，设备说明表中勿填写价格信息</w:t>
      </w:r>
      <w:r>
        <w:rPr>
          <w:rFonts w:hint="eastAsia" w:ascii="宋体" w:hAnsi="宋体"/>
          <w:color w:val="auto"/>
          <w:spacing w:val="20"/>
          <w:sz w:val="24"/>
          <w:highlight w:val="none"/>
        </w:rPr>
        <w:t>。</w:t>
      </w:r>
    </w:p>
    <w:p w14:paraId="14A90E07">
      <w:pPr>
        <w:snapToGrid w:val="0"/>
        <w:spacing w:before="50" w:after="120" w:afterLines="50"/>
        <w:jc w:val="left"/>
        <w:rPr>
          <w:rFonts w:hint="eastAsia" w:ascii="宋体" w:hAnsi="宋体"/>
          <w:color w:val="auto"/>
          <w:spacing w:val="20"/>
          <w:sz w:val="24"/>
          <w:highlight w:val="none"/>
        </w:rPr>
      </w:pPr>
      <w:r>
        <w:rPr>
          <w:rFonts w:hint="eastAsia" w:ascii="宋体" w:hAnsi="宋体"/>
          <w:color w:val="auto"/>
          <w:spacing w:val="20"/>
          <w:sz w:val="24"/>
          <w:highlight w:val="none"/>
        </w:rPr>
        <w:t>法定代表人签字（或盖章）：            投标人（盖章）：</w:t>
      </w:r>
    </w:p>
    <w:p w14:paraId="7A1995C1">
      <w:pPr>
        <w:snapToGrid w:val="0"/>
        <w:spacing w:before="50" w:after="120" w:afterLines="50"/>
        <w:jc w:val="left"/>
        <w:rPr>
          <w:rFonts w:hint="eastAsia" w:ascii="宋体" w:hAnsi="宋体"/>
          <w:color w:val="auto"/>
          <w:spacing w:val="20"/>
          <w:sz w:val="24"/>
          <w:highlight w:val="none"/>
        </w:rPr>
      </w:pPr>
      <w:r>
        <w:rPr>
          <w:rFonts w:hint="eastAsia" w:ascii="宋体" w:hAnsi="宋体"/>
          <w:color w:val="auto"/>
          <w:spacing w:val="20"/>
          <w:sz w:val="24"/>
          <w:highlight w:val="none"/>
        </w:rPr>
        <w:t>日期：</w:t>
      </w: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日</w:t>
      </w:r>
    </w:p>
    <w:p w14:paraId="49FD0B89">
      <w:pPr>
        <w:snapToGrid w:val="0"/>
        <w:spacing w:before="50" w:after="120" w:afterLines="50"/>
        <w:jc w:val="left"/>
        <w:rPr>
          <w:rFonts w:hint="eastAsia" w:ascii="宋体" w:hAnsi="宋体"/>
          <w:color w:val="auto"/>
          <w:sz w:val="24"/>
          <w:highlight w:val="none"/>
        </w:rPr>
      </w:pPr>
    </w:p>
    <w:p w14:paraId="62CA3BFA">
      <w:pPr>
        <w:snapToGrid w:val="0"/>
        <w:spacing w:before="50" w:after="120" w:afterLines="50"/>
        <w:jc w:val="left"/>
        <w:rPr>
          <w:rFonts w:hint="eastAsia" w:ascii="宋体" w:hAnsi="宋体"/>
          <w:color w:val="auto"/>
          <w:sz w:val="24"/>
          <w:highlight w:val="none"/>
        </w:rPr>
      </w:pPr>
    </w:p>
    <w:p w14:paraId="08BBFB70">
      <w:pPr>
        <w:snapToGrid w:val="0"/>
        <w:spacing w:before="50" w:after="120" w:afterLines="50"/>
        <w:jc w:val="left"/>
        <w:rPr>
          <w:rFonts w:ascii="宋体" w:hAnsi="宋体"/>
          <w:color w:val="auto"/>
          <w:sz w:val="24"/>
          <w:highlight w:val="none"/>
        </w:rPr>
      </w:pPr>
    </w:p>
    <w:p w14:paraId="6109687E">
      <w:pPr>
        <w:snapToGrid w:val="0"/>
        <w:spacing w:before="50" w:after="120" w:afterLines="50"/>
        <w:jc w:val="left"/>
        <w:rPr>
          <w:rFonts w:hint="eastAsia" w:ascii="宋体" w:hAnsi="宋体"/>
          <w:color w:val="auto"/>
          <w:sz w:val="24"/>
          <w:highlight w:val="none"/>
        </w:rPr>
      </w:pPr>
    </w:p>
    <w:p w14:paraId="03C62521">
      <w:pPr>
        <w:pStyle w:val="29"/>
        <w:snapToGrid w:val="0"/>
        <w:spacing w:beforeLines="0" w:afterLines="0" w:line="240" w:lineRule="auto"/>
        <w:rPr>
          <w:rFonts w:hint="eastAsia" w:ascii="宋体" w:hAnsi="宋体" w:eastAsia="宋体" w:cs="宋体"/>
          <w:color w:val="auto"/>
          <w:highlight w:val="none"/>
          <w:shd w:val="clear" w:color="auto" w:fill="auto"/>
        </w:rPr>
        <w:sectPr>
          <w:footerReference r:id="rId9" w:type="default"/>
          <w:pgSz w:w="11906" w:h="16838"/>
          <w:pgMar w:top="1021" w:right="1588" w:bottom="851" w:left="1588" w:header="567" w:footer="454" w:gutter="0"/>
          <w:pgNumType w:fmt="decimal"/>
          <w:cols w:space="720" w:num="1"/>
          <w:docGrid w:linePitch="286" w:charSpace="0"/>
        </w:sectPr>
      </w:pPr>
      <w:bookmarkStart w:id="63" w:name="_Hlk60757472"/>
      <w:r>
        <w:rPr>
          <w:rFonts w:hint="eastAsia" w:ascii="宋体" w:hAnsi="宋体" w:eastAsia="宋体" w:cs="宋体"/>
          <w:b/>
          <w:color w:val="auto"/>
          <w:sz w:val="24"/>
          <w:highlight w:val="none"/>
          <w:shd w:val="clear" w:color="auto" w:fill="auto"/>
        </w:rPr>
        <w:br w:type="page"/>
      </w:r>
      <w:bookmarkEnd w:id="63"/>
    </w:p>
    <w:p w14:paraId="3E6E1901">
      <w:pPr>
        <w:snapToGrid w:val="0"/>
        <w:spacing w:before="50" w:after="120" w:afterLines="50"/>
        <w:ind w:firstLine="360" w:firstLineChars="150"/>
        <w:jc w:val="left"/>
        <w:rPr>
          <w:rFonts w:hint="eastAsia" w:ascii="宋体" w:hAnsi="宋体" w:eastAsia="宋体" w:cs="宋体"/>
          <w:color w:val="auto"/>
          <w:sz w:val="24"/>
          <w:highlight w:val="none"/>
          <w:shd w:val="clear" w:color="auto" w:fill="auto"/>
        </w:rPr>
      </w:pPr>
      <w:r>
        <w:rPr>
          <w:rFonts w:hint="eastAsia" w:ascii="宋体" w:hAnsi="宋体" w:cs="宋体"/>
          <w:color w:val="auto"/>
          <w:sz w:val="24"/>
          <w:highlight w:val="none"/>
          <w:shd w:val="clear" w:color="auto" w:fill="auto"/>
          <w:lang w:val="en-US" w:eastAsia="zh-CN"/>
        </w:rPr>
        <w:t>8</w:t>
      </w:r>
      <w:r>
        <w:rPr>
          <w:rFonts w:hint="eastAsia" w:ascii="宋体" w:hAnsi="宋体" w:eastAsia="宋体" w:cs="宋体"/>
          <w:color w:val="auto"/>
          <w:sz w:val="24"/>
          <w:highlight w:val="none"/>
          <w:shd w:val="clear" w:color="auto" w:fill="auto"/>
        </w:rPr>
        <w:t>.投标人类似合同案例一览表格式：</w:t>
      </w:r>
    </w:p>
    <w:p w14:paraId="074B7F6A">
      <w:pPr>
        <w:snapToGrid w:val="0"/>
        <w:spacing w:before="50" w:after="120" w:afterLines="50"/>
        <w:jc w:val="center"/>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投标人类似合同案例一览表</w:t>
      </w:r>
    </w:p>
    <w:p w14:paraId="1AEED5C1">
      <w:pPr>
        <w:snapToGrid w:val="0"/>
        <w:spacing w:before="120" w:beforeLines="50" w:after="50" w:line="480" w:lineRule="auto"/>
        <w:ind w:firstLine="1068" w:firstLineChars="445"/>
        <w:rPr>
          <w:rFonts w:hint="eastAsia" w:ascii="宋体" w:hAnsi="宋体" w:eastAsia="宋体" w:cs="宋体"/>
          <w:bCs/>
          <w:color w:val="auto"/>
          <w:sz w:val="24"/>
          <w:highlight w:val="none"/>
          <w:shd w:val="clear" w:color="auto" w:fill="auto"/>
        </w:rPr>
      </w:pPr>
    </w:p>
    <w:p w14:paraId="3CD673D9">
      <w:pPr>
        <w:snapToGrid w:val="0"/>
        <w:spacing w:before="120" w:beforeLines="50" w:after="50" w:line="480" w:lineRule="auto"/>
        <w:ind w:firstLine="1068" w:firstLineChars="445"/>
        <w:rPr>
          <w:rFonts w:hint="eastAsia" w:ascii="宋体" w:hAnsi="宋体" w:eastAsia="宋体" w:cs="宋体"/>
          <w:bCs/>
          <w:color w:val="auto"/>
          <w:sz w:val="24"/>
          <w:szCs w:val="20"/>
          <w:highlight w:val="none"/>
          <w:shd w:val="clear" w:color="auto" w:fill="auto"/>
        </w:rPr>
      </w:pPr>
      <w:r>
        <w:rPr>
          <w:rFonts w:hint="eastAsia" w:ascii="宋体" w:hAnsi="宋体" w:eastAsia="宋体" w:cs="宋体"/>
          <w:bCs/>
          <w:color w:val="auto"/>
          <w:sz w:val="24"/>
          <w:highlight w:val="none"/>
          <w:shd w:val="clear" w:color="auto" w:fill="auto"/>
        </w:rPr>
        <w:t xml:space="preserve">项目名称：                                            </w:t>
      </w:r>
      <w:r>
        <w:rPr>
          <w:rFonts w:hint="eastAsia" w:ascii="宋体" w:hAnsi="宋体" w:eastAsia="宋体" w:cs="宋体"/>
          <w:color w:val="auto"/>
          <w:sz w:val="24"/>
          <w:highlight w:val="none"/>
          <w:shd w:val="clear" w:color="auto" w:fill="auto"/>
        </w:rPr>
        <w:t>项目编号：</w:t>
      </w:r>
    </w:p>
    <w:tbl>
      <w:tblPr>
        <w:tblStyle w:val="52"/>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33"/>
        <w:gridCol w:w="2835"/>
        <w:gridCol w:w="2003"/>
        <w:gridCol w:w="1843"/>
        <w:gridCol w:w="1764"/>
        <w:gridCol w:w="1921"/>
        <w:gridCol w:w="1399"/>
      </w:tblGrid>
      <w:tr w14:paraId="0D4C7CD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25" w:hRule="atLeast"/>
          <w:jc w:val="center"/>
        </w:trPr>
        <w:tc>
          <w:tcPr>
            <w:tcW w:w="2433" w:type="dxa"/>
            <w:tcBorders>
              <w:top w:val="single" w:color="auto" w:sz="4" w:space="0"/>
              <w:left w:val="single" w:color="auto" w:sz="4" w:space="0"/>
              <w:bottom w:val="single" w:color="auto" w:sz="4" w:space="0"/>
              <w:right w:val="single" w:color="auto" w:sz="4" w:space="0"/>
            </w:tcBorders>
            <w:vAlign w:val="center"/>
          </w:tcPr>
          <w:p w14:paraId="3CA979B5">
            <w:pPr>
              <w:snapToGrid w:val="0"/>
              <w:spacing w:line="400" w:lineRule="exact"/>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招标人名称</w:t>
            </w:r>
          </w:p>
        </w:tc>
        <w:tc>
          <w:tcPr>
            <w:tcW w:w="2835" w:type="dxa"/>
            <w:tcBorders>
              <w:top w:val="single" w:color="auto" w:sz="4" w:space="0"/>
              <w:left w:val="single" w:color="auto" w:sz="4" w:space="0"/>
              <w:bottom w:val="single" w:color="auto" w:sz="4" w:space="0"/>
              <w:right w:val="single" w:color="auto" w:sz="4" w:space="0"/>
            </w:tcBorders>
            <w:vAlign w:val="center"/>
          </w:tcPr>
          <w:p w14:paraId="2ECE4408">
            <w:pPr>
              <w:snapToGrid w:val="0"/>
              <w:spacing w:line="400" w:lineRule="exact"/>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项目名称</w:t>
            </w:r>
          </w:p>
        </w:tc>
        <w:tc>
          <w:tcPr>
            <w:tcW w:w="2003" w:type="dxa"/>
            <w:tcBorders>
              <w:top w:val="single" w:color="auto" w:sz="4" w:space="0"/>
              <w:left w:val="single" w:color="auto" w:sz="4" w:space="0"/>
              <w:bottom w:val="single" w:color="auto" w:sz="4" w:space="0"/>
              <w:right w:val="single" w:color="auto" w:sz="4" w:space="0"/>
            </w:tcBorders>
            <w:vAlign w:val="center"/>
          </w:tcPr>
          <w:p w14:paraId="60B44142">
            <w:pPr>
              <w:snapToGrid w:val="0"/>
              <w:spacing w:line="400" w:lineRule="exact"/>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合同金额（万元）</w:t>
            </w:r>
          </w:p>
        </w:tc>
        <w:tc>
          <w:tcPr>
            <w:tcW w:w="1843" w:type="dxa"/>
            <w:tcBorders>
              <w:top w:val="single" w:color="auto" w:sz="4" w:space="0"/>
              <w:left w:val="single" w:color="auto" w:sz="4" w:space="0"/>
              <w:right w:val="single" w:color="auto" w:sz="4" w:space="0"/>
            </w:tcBorders>
            <w:vAlign w:val="center"/>
          </w:tcPr>
          <w:p w14:paraId="22B55EFD">
            <w:pPr>
              <w:snapToGrid w:val="0"/>
              <w:spacing w:line="400" w:lineRule="exact"/>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合同签订时间</w:t>
            </w:r>
          </w:p>
        </w:tc>
        <w:tc>
          <w:tcPr>
            <w:tcW w:w="1764" w:type="dxa"/>
            <w:tcBorders>
              <w:top w:val="single" w:color="auto" w:sz="4" w:space="0"/>
              <w:left w:val="single" w:color="auto" w:sz="4" w:space="0"/>
              <w:bottom w:val="single" w:color="auto" w:sz="4" w:space="0"/>
              <w:right w:val="single" w:color="auto" w:sz="4" w:space="0"/>
            </w:tcBorders>
            <w:vAlign w:val="center"/>
          </w:tcPr>
          <w:p w14:paraId="49AD2971">
            <w:pPr>
              <w:snapToGrid w:val="0"/>
              <w:spacing w:line="400" w:lineRule="exac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合同完成时间</w:t>
            </w:r>
          </w:p>
        </w:tc>
        <w:tc>
          <w:tcPr>
            <w:tcW w:w="1921" w:type="dxa"/>
            <w:tcBorders>
              <w:top w:val="single" w:color="auto" w:sz="4" w:space="0"/>
              <w:left w:val="single" w:color="auto" w:sz="4" w:space="0"/>
              <w:bottom w:val="single" w:color="auto" w:sz="4" w:space="0"/>
              <w:right w:val="single" w:color="auto" w:sz="4" w:space="0"/>
            </w:tcBorders>
            <w:vAlign w:val="center"/>
          </w:tcPr>
          <w:p w14:paraId="7078225D">
            <w:pPr>
              <w:snapToGrid w:val="0"/>
              <w:spacing w:line="400" w:lineRule="exact"/>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招标人联系人</w:t>
            </w:r>
          </w:p>
        </w:tc>
        <w:tc>
          <w:tcPr>
            <w:tcW w:w="1399" w:type="dxa"/>
            <w:tcBorders>
              <w:top w:val="single" w:color="auto" w:sz="4" w:space="0"/>
              <w:left w:val="single" w:color="auto" w:sz="4" w:space="0"/>
              <w:bottom w:val="single" w:color="auto" w:sz="4" w:space="0"/>
              <w:right w:val="single" w:color="auto" w:sz="4" w:space="0"/>
            </w:tcBorders>
            <w:vAlign w:val="center"/>
          </w:tcPr>
          <w:p w14:paraId="6197FED2">
            <w:pPr>
              <w:widowControl/>
              <w:spacing w:line="400" w:lineRule="exac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联系电话</w:t>
            </w:r>
          </w:p>
        </w:tc>
      </w:tr>
      <w:tr w14:paraId="094DCC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2433" w:type="dxa"/>
            <w:tcBorders>
              <w:top w:val="single" w:color="auto" w:sz="4" w:space="0"/>
              <w:left w:val="single" w:color="auto" w:sz="4" w:space="0"/>
              <w:bottom w:val="single" w:color="auto" w:sz="4" w:space="0"/>
              <w:right w:val="single" w:color="auto" w:sz="4" w:space="0"/>
            </w:tcBorders>
          </w:tcPr>
          <w:p w14:paraId="0FA20FCC">
            <w:pPr>
              <w:snapToGrid w:val="0"/>
              <w:spacing w:line="240" w:lineRule="exact"/>
              <w:jc w:val="left"/>
              <w:rPr>
                <w:rFonts w:hint="eastAsia" w:ascii="宋体" w:hAnsi="宋体" w:eastAsia="宋体" w:cs="宋体"/>
                <w:color w:val="auto"/>
                <w:sz w:val="24"/>
                <w:highlight w:val="none"/>
                <w:shd w:val="clear" w:color="auto" w:fill="auto"/>
              </w:rPr>
            </w:pPr>
          </w:p>
        </w:tc>
        <w:tc>
          <w:tcPr>
            <w:tcW w:w="2835" w:type="dxa"/>
            <w:tcBorders>
              <w:top w:val="single" w:color="auto" w:sz="4" w:space="0"/>
              <w:left w:val="single" w:color="auto" w:sz="4" w:space="0"/>
              <w:bottom w:val="single" w:color="auto" w:sz="4" w:space="0"/>
              <w:right w:val="single" w:color="auto" w:sz="4" w:space="0"/>
            </w:tcBorders>
          </w:tcPr>
          <w:p w14:paraId="3F08ABC6">
            <w:pPr>
              <w:snapToGrid w:val="0"/>
              <w:spacing w:line="240" w:lineRule="exact"/>
              <w:jc w:val="left"/>
              <w:rPr>
                <w:rFonts w:hint="eastAsia" w:ascii="宋体" w:hAnsi="宋体" w:eastAsia="宋体" w:cs="宋体"/>
                <w:color w:val="auto"/>
                <w:sz w:val="24"/>
                <w:highlight w:val="none"/>
                <w:shd w:val="clear" w:color="auto" w:fill="auto"/>
              </w:rPr>
            </w:pPr>
          </w:p>
        </w:tc>
        <w:tc>
          <w:tcPr>
            <w:tcW w:w="2003" w:type="dxa"/>
            <w:tcBorders>
              <w:top w:val="single" w:color="auto" w:sz="4" w:space="0"/>
              <w:left w:val="single" w:color="auto" w:sz="4" w:space="0"/>
              <w:bottom w:val="single" w:color="auto" w:sz="4" w:space="0"/>
              <w:right w:val="single" w:color="auto" w:sz="4" w:space="0"/>
            </w:tcBorders>
          </w:tcPr>
          <w:p w14:paraId="39F68533">
            <w:pPr>
              <w:snapToGrid w:val="0"/>
              <w:spacing w:line="240" w:lineRule="exact"/>
              <w:jc w:val="left"/>
              <w:rPr>
                <w:rFonts w:hint="eastAsia" w:ascii="宋体" w:hAnsi="宋体" w:eastAsia="宋体" w:cs="宋体"/>
                <w:color w:val="auto"/>
                <w:sz w:val="24"/>
                <w:highlight w:val="none"/>
                <w:shd w:val="clear" w:color="auto" w:fill="auto"/>
              </w:rPr>
            </w:pPr>
          </w:p>
        </w:tc>
        <w:tc>
          <w:tcPr>
            <w:tcW w:w="1843" w:type="dxa"/>
            <w:tcBorders>
              <w:top w:val="single" w:color="auto" w:sz="4" w:space="0"/>
              <w:left w:val="single" w:color="auto" w:sz="4" w:space="0"/>
              <w:bottom w:val="single" w:color="auto" w:sz="4" w:space="0"/>
              <w:right w:val="single" w:color="auto" w:sz="4" w:space="0"/>
            </w:tcBorders>
          </w:tcPr>
          <w:p w14:paraId="42B70968">
            <w:pPr>
              <w:snapToGrid w:val="0"/>
              <w:spacing w:line="240" w:lineRule="exact"/>
              <w:jc w:val="left"/>
              <w:rPr>
                <w:rFonts w:hint="eastAsia" w:ascii="宋体" w:hAnsi="宋体" w:eastAsia="宋体" w:cs="宋体"/>
                <w:color w:val="auto"/>
                <w:sz w:val="24"/>
                <w:highlight w:val="none"/>
                <w:shd w:val="clear" w:color="auto" w:fill="auto"/>
              </w:rPr>
            </w:pPr>
          </w:p>
        </w:tc>
        <w:tc>
          <w:tcPr>
            <w:tcW w:w="1764" w:type="dxa"/>
            <w:tcBorders>
              <w:top w:val="single" w:color="auto" w:sz="4" w:space="0"/>
              <w:left w:val="single" w:color="auto" w:sz="4" w:space="0"/>
              <w:bottom w:val="single" w:color="auto" w:sz="4" w:space="0"/>
              <w:right w:val="single" w:color="auto" w:sz="4" w:space="0"/>
            </w:tcBorders>
          </w:tcPr>
          <w:p w14:paraId="437E7634">
            <w:pPr>
              <w:snapToGrid w:val="0"/>
              <w:spacing w:line="240" w:lineRule="exact"/>
              <w:jc w:val="left"/>
              <w:rPr>
                <w:rFonts w:hint="eastAsia" w:ascii="宋体" w:hAnsi="宋体" w:eastAsia="宋体" w:cs="宋体"/>
                <w:color w:val="auto"/>
                <w:sz w:val="24"/>
                <w:highlight w:val="none"/>
                <w:shd w:val="clear" w:color="auto" w:fill="auto"/>
              </w:rPr>
            </w:pPr>
          </w:p>
        </w:tc>
        <w:tc>
          <w:tcPr>
            <w:tcW w:w="1921" w:type="dxa"/>
            <w:tcBorders>
              <w:top w:val="single" w:color="auto" w:sz="4" w:space="0"/>
              <w:left w:val="single" w:color="auto" w:sz="4" w:space="0"/>
              <w:bottom w:val="single" w:color="auto" w:sz="4" w:space="0"/>
              <w:right w:val="single" w:color="auto" w:sz="4" w:space="0"/>
            </w:tcBorders>
          </w:tcPr>
          <w:p w14:paraId="3E39CEC0">
            <w:pPr>
              <w:snapToGrid w:val="0"/>
              <w:spacing w:line="240" w:lineRule="exact"/>
              <w:jc w:val="left"/>
              <w:rPr>
                <w:rFonts w:hint="eastAsia" w:ascii="宋体" w:hAnsi="宋体" w:eastAsia="宋体" w:cs="宋体"/>
                <w:color w:val="auto"/>
                <w:sz w:val="24"/>
                <w:highlight w:val="none"/>
                <w:shd w:val="clear" w:color="auto" w:fill="auto"/>
              </w:rPr>
            </w:pPr>
          </w:p>
        </w:tc>
        <w:tc>
          <w:tcPr>
            <w:tcW w:w="1399" w:type="dxa"/>
            <w:tcBorders>
              <w:top w:val="single" w:color="auto" w:sz="4" w:space="0"/>
              <w:left w:val="single" w:color="auto" w:sz="4" w:space="0"/>
              <w:bottom w:val="single" w:color="auto" w:sz="4" w:space="0"/>
              <w:right w:val="single" w:color="auto" w:sz="4" w:space="0"/>
            </w:tcBorders>
          </w:tcPr>
          <w:p w14:paraId="42B0FBDF">
            <w:pPr>
              <w:snapToGrid w:val="0"/>
              <w:spacing w:line="240" w:lineRule="exact"/>
              <w:jc w:val="left"/>
              <w:rPr>
                <w:rFonts w:hint="eastAsia" w:ascii="宋体" w:hAnsi="宋体" w:eastAsia="宋体" w:cs="宋体"/>
                <w:color w:val="auto"/>
                <w:sz w:val="24"/>
                <w:highlight w:val="none"/>
                <w:shd w:val="clear" w:color="auto" w:fill="auto"/>
              </w:rPr>
            </w:pPr>
          </w:p>
        </w:tc>
      </w:tr>
      <w:tr w14:paraId="58FB72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5D6FFF21">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2835" w:type="dxa"/>
            <w:tcBorders>
              <w:top w:val="single" w:color="auto" w:sz="4" w:space="0"/>
              <w:left w:val="single" w:color="auto" w:sz="4" w:space="0"/>
              <w:bottom w:val="single" w:color="auto" w:sz="4" w:space="0"/>
              <w:right w:val="single" w:color="auto" w:sz="4" w:space="0"/>
            </w:tcBorders>
          </w:tcPr>
          <w:p w14:paraId="7D1C81C0">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2003" w:type="dxa"/>
            <w:tcBorders>
              <w:top w:val="single" w:color="auto" w:sz="4" w:space="0"/>
              <w:left w:val="single" w:color="auto" w:sz="4" w:space="0"/>
              <w:bottom w:val="single" w:color="auto" w:sz="4" w:space="0"/>
              <w:right w:val="single" w:color="auto" w:sz="4" w:space="0"/>
            </w:tcBorders>
          </w:tcPr>
          <w:p w14:paraId="316F5649">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843" w:type="dxa"/>
            <w:tcBorders>
              <w:top w:val="single" w:color="auto" w:sz="4" w:space="0"/>
              <w:left w:val="single" w:color="auto" w:sz="4" w:space="0"/>
              <w:bottom w:val="single" w:color="auto" w:sz="4" w:space="0"/>
              <w:right w:val="single" w:color="auto" w:sz="4" w:space="0"/>
            </w:tcBorders>
          </w:tcPr>
          <w:p w14:paraId="4A1A8869">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764" w:type="dxa"/>
            <w:tcBorders>
              <w:top w:val="single" w:color="auto" w:sz="4" w:space="0"/>
              <w:left w:val="single" w:color="auto" w:sz="4" w:space="0"/>
              <w:bottom w:val="single" w:color="auto" w:sz="4" w:space="0"/>
              <w:right w:val="single" w:color="auto" w:sz="4" w:space="0"/>
            </w:tcBorders>
          </w:tcPr>
          <w:p w14:paraId="518172E6">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921" w:type="dxa"/>
            <w:tcBorders>
              <w:top w:val="single" w:color="auto" w:sz="4" w:space="0"/>
              <w:left w:val="single" w:color="auto" w:sz="4" w:space="0"/>
              <w:bottom w:val="single" w:color="auto" w:sz="4" w:space="0"/>
              <w:right w:val="single" w:color="auto" w:sz="4" w:space="0"/>
            </w:tcBorders>
          </w:tcPr>
          <w:p w14:paraId="6260E411">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399" w:type="dxa"/>
            <w:tcBorders>
              <w:top w:val="single" w:color="auto" w:sz="4" w:space="0"/>
              <w:left w:val="single" w:color="auto" w:sz="4" w:space="0"/>
              <w:bottom w:val="single" w:color="auto" w:sz="4" w:space="0"/>
              <w:right w:val="single" w:color="auto" w:sz="4" w:space="0"/>
            </w:tcBorders>
          </w:tcPr>
          <w:p w14:paraId="5E6C6FB4">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r>
      <w:tr w14:paraId="5D215C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jc w:val="center"/>
        </w:trPr>
        <w:tc>
          <w:tcPr>
            <w:tcW w:w="2433" w:type="dxa"/>
            <w:tcBorders>
              <w:top w:val="single" w:color="auto" w:sz="4" w:space="0"/>
              <w:left w:val="single" w:color="auto" w:sz="4" w:space="0"/>
              <w:bottom w:val="single" w:color="auto" w:sz="4" w:space="0"/>
              <w:right w:val="single" w:color="auto" w:sz="4" w:space="0"/>
            </w:tcBorders>
          </w:tcPr>
          <w:p w14:paraId="5A67FABC">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2835" w:type="dxa"/>
            <w:tcBorders>
              <w:top w:val="single" w:color="auto" w:sz="4" w:space="0"/>
              <w:left w:val="single" w:color="auto" w:sz="4" w:space="0"/>
              <w:bottom w:val="single" w:color="auto" w:sz="4" w:space="0"/>
              <w:right w:val="single" w:color="auto" w:sz="4" w:space="0"/>
            </w:tcBorders>
          </w:tcPr>
          <w:p w14:paraId="71479AB7">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2003" w:type="dxa"/>
            <w:tcBorders>
              <w:top w:val="single" w:color="auto" w:sz="4" w:space="0"/>
              <w:left w:val="single" w:color="auto" w:sz="4" w:space="0"/>
              <w:bottom w:val="single" w:color="auto" w:sz="4" w:space="0"/>
              <w:right w:val="single" w:color="auto" w:sz="4" w:space="0"/>
            </w:tcBorders>
          </w:tcPr>
          <w:p w14:paraId="07E28710">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843" w:type="dxa"/>
            <w:tcBorders>
              <w:top w:val="single" w:color="auto" w:sz="4" w:space="0"/>
              <w:left w:val="single" w:color="auto" w:sz="4" w:space="0"/>
              <w:bottom w:val="single" w:color="auto" w:sz="4" w:space="0"/>
              <w:right w:val="single" w:color="auto" w:sz="4" w:space="0"/>
            </w:tcBorders>
          </w:tcPr>
          <w:p w14:paraId="1D36BB3D">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764" w:type="dxa"/>
            <w:tcBorders>
              <w:top w:val="single" w:color="auto" w:sz="4" w:space="0"/>
              <w:left w:val="single" w:color="auto" w:sz="4" w:space="0"/>
              <w:bottom w:val="single" w:color="auto" w:sz="4" w:space="0"/>
              <w:right w:val="single" w:color="auto" w:sz="4" w:space="0"/>
            </w:tcBorders>
          </w:tcPr>
          <w:p w14:paraId="719DE140">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921" w:type="dxa"/>
            <w:tcBorders>
              <w:top w:val="single" w:color="auto" w:sz="4" w:space="0"/>
              <w:left w:val="single" w:color="auto" w:sz="4" w:space="0"/>
              <w:bottom w:val="single" w:color="auto" w:sz="4" w:space="0"/>
              <w:right w:val="single" w:color="auto" w:sz="4" w:space="0"/>
            </w:tcBorders>
          </w:tcPr>
          <w:p w14:paraId="66A9EE7C">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399" w:type="dxa"/>
            <w:tcBorders>
              <w:top w:val="single" w:color="auto" w:sz="4" w:space="0"/>
              <w:left w:val="single" w:color="auto" w:sz="4" w:space="0"/>
              <w:bottom w:val="single" w:color="auto" w:sz="4" w:space="0"/>
              <w:right w:val="single" w:color="auto" w:sz="4" w:space="0"/>
            </w:tcBorders>
          </w:tcPr>
          <w:p w14:paraId="5978DF22">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r>
      <w:tr w14:paraId="763A98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4A7BC91C">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2835" w:type="dxa"/>
            <w:tcBorders>
              <w:top w:val="single" w:color="auto" w:sz="4" w:space="0"/>
              <w:left w:val="single" w:color="auto" w:sz="4" w:space="0"/>
              <w:bottom w:val="single" w:color="auto" w:sz="4" w:space="0"/>
              <w:right w:val="single" w:color="auto" w:sz="4" w:space="0"/>
            </w:tcBorders>
          </w:tcPr>
          <w:p w14:paraId="0FCE3D03">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2003" w:type="dxa"/>
            <w:tcBorders>
              <w:top w:val="single" w:color="auto" w:sz="4" w:space="0"/>
              <w:left w:val="single" w:color="auto" w:sz="4" w:space="0"/>
              <w:bottom w:val="single" w:color="auto" w:sz="4" w:space="0"/>
              <w:right w:val="single" w:color="auto" w:sz="4" w:space="0"/>
            </w:tcBorders>
          </w:tcPr>
          <w:p w14:paraId="440A1813">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843" w:type="dxa"/>
            <w:tcBorders>
              <w:top w:val="single" w:color="auto" w:sz="4" w:space="0"/>
              <w:left w:val="single" w:color="auto" w:sz="4" w:space="0"/>
              <w:bottom w:val="single" w:color="auto" w:sz="4" w:space="0"/>
              <w:right w:val="single" w:color="auto" w:sz="4" w:space="0"/>
            </w:tcBorders>
          </w:tcPr>
          <w:p w14:paraId="474904AB">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764" w:type="dxa"/>
            <w:tcBorders>
              <w:top w:val="single" w:color="auto" w:sz="4" w:space="0"/>
              <w:left w:val="single" w:color="auto" w:sz="4" w:space="0"/>
              <w:bottom w:val="single" w:color="auto" w:sz="4" w:space="0"/>
              <w:right w:val="single" w:color="auto" w:sz="4" w:space="0"/>
            </w:tcBorders>
          </w:tcPr>
          <w:p w14:paraId="4E8D2891">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921" w:type="dxa"/>
            <w:tcBorders>
              <w:top w:val="single" w:color="auto" w:sz="4" w:space="0"/>
              <w:left w:val="single" w:color="auto" w:sz="4" w:space="0"/>
              <w:bottom w:val="single" w:color="auto" w:sz="4" w:space="0"/>
              <w:right w:val="single" w:color="auto" w:sz="4" w:space="0"/>
            </w:tcBorders>
          </w:tcPr>
          <w:p w14:paraId="05F36838">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399" w:type="dxa"/>
            <w:tcBorders>
              <w:top w:val="single" w:color="auto" w:sz="4" w:space="0"/>
              <w:left w:val="single" w:color="auto" w:sz="4" w:space="0"/>
              <w:bottom w:val="single" w:color="auto" w:sz="4" w:space="0"/>
              <w:right w:val="single" w:color="auto" w:sz="4" w:space="0"/>
            </w:tcBorders>
          </w:tcPr>
          <w:p w14:paraId="1F781F4C">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r>
      <w:tr w14:paraId="5CA5D8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3676EA93">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2835" w:type="dxa"/>
            <w:tcBorders>
              <w:top w:val="single" w:color="auto" w:sz="4" w:space="0"/>
              <w:left w:val="single" w:color="auto" w:sz="4" w:space="0"/>
              <w:bottom w:val="single" w:color="auto" w:sz="4" w:space="0"/>
              <w:right w:val="single" w:color="auto" w:sz="4" w:space="0"/>
            </w:tcBorders>
          </w:tcPr>
          <w:p w14:paraId="0B51C2E7">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2003" w:type="dxa"/>
            <w:tcBorders>
              <w:top w:val="single" w:color="auto" w:sz="4" w:space="0"/>
              <w:left w:val="single" w:color="auto" w:sz="4" w:space="0"/>
              <w:bottom w:val="single" w:color="auto" w:sz="4" w:space="0"/>
              <w:right w:val="single" w:color="auto" w:sz="4" w:space="0"/>
            </w:tcBorders>
          </w:tcPr>
          <w:p w14:paraId="341DA7A4">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843" w:type="dxa"/>
            <w:tcBorders>
              <w:top w:val="single" w:color="auto" w:sz="4" w:space="0"/>
              <w:left w:val="single" w:color="auto" w:sz="4" w:space="0"/>
              <w:bottom w:val="single" w:color="auto" w:sz="4" w:space="0"/>
              <w:right w:val="single" w:color="auto" w:sz="4" w:space="0"/>
            </w:tcBorders>
          </w:tcPr>
          <w:p w14:paraId="1F4A623A">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764" w:type="dxa"/>
            <w:tcBorders>
              <w:top w:val="single" w:color="auto" w:sz="4" w:space="0"/>
              <w:left w:val="single" w:color="auto" w:sz="4" w:space="0"/>
              <w:bottom w:val="single" w:color="auto" w:sz="4" w:space="0"/>
              <w:right w:val="single" w:color="auto" w:sz="4" w:space="0"/>
            </w:tcBorders>
          </w:tcPr>
          <w:p w14:paraId="45085FC3">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921" w:type="dxa"/>
            <w:tcBorders>
              <w:top w:val="single" w:color="auto" w:sz="4" w:space="0"/>
              <w:left w:val="single" w:color="auto" w:sz="4" w:space="0"/>
              <w:bottom w:val="single" w:color="auto" w:sz="4" w:space="0"/>
              <w:right w:val="single" w:color="auto" w:sz="4" w:space="0"/>
            </w:tcBorders>
          </w:tcPr>
          <w:p w14:paraId="7A481DA5">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399" w:type="dxa"/>
            <w:tcBorders>
              <w:top w:val="single" w:color="auto" w:sz="4" w:space="0"/>
              <w:left w:val="single" w:color="auto" w:sz="4" w:space="0"/>
              <w:bottom w:val="single" w:color="auto" w:sz="4" w:space="0"/>
              <w:right w:val="single" w:color="auto" w:sz="4" w:space="0"/>
            </w:tcBorders>
          </w:tcPr>
          <w:p w14:paraId="7046089E">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r>
    </w:tbl>
    <w:p w14:paraId="1B45F8A4">
      <w:pPr>
        <w:pStyle w:val="15"/>
        <w:snapToGrid w:val="0"/>
        <w:ind w:firstLine="960" w:firstLineChars="4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w:t>
      </w:r>
    </w:p>
    <w:p w14:paraId="39AC1318">
      <w:pPr>
        <w:pStyle w:val="15"/>
        <w:snapToGrid w:val="0"/>
        <w:ind w:firstLine="361" w:firstLineChars="150"/>
        <w:rPr>
          <w:rFonts w:hint="eastAsia" w:ascii="宋体" w:hAnsi="宋体" w:eastAsia="宋体" w:cs="宋体"/>
          <w:b/>
          <w:color w:val="auto"/>
          <w:sz w:val="24"/>
          <w:szCs w:val="24"/>
          <w:highlight w:val="none"/>
          <w:shd w:val="clear" w:color="auto" w:fill="auto"/>
        </w:rPr>
      </w:pPr>
    </w:p>
    <w:p w14:paraId="5F455D15">
      <w:pPr>
        <w:pStyle w:val="15"/>
        <w:snapToGrid w:val="0"/>
        <w:ind w:firstLine="482" w:firstLineChars="200"/>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法定代表人签字（或盖章）：                            投标人（盖章）：    </w:t>
      </w:r>
      <w:r>
        <w:rPr>
          <w:rFonts w:hint="eastAsia" w:ascii="宋体" w:hAnsi="宋体" w:eastAsia="宋体" w:cs="宋体"/>
          <w:color w:val="auto"/>
          <w:sz w:val="24"/>
          <w:szCs w:val="24"/>
          <w:highlight w:val="none"/>
          <w:shd w:val="clear" w:color="auto" w:fill="auto"/>
        </w:rPr>
        <w:t xml:space="preserve">                </w:t>
      </w:r>
      <w:r>
        <w:rPr>
          <w:rFonts w:hint="eastAsia" w:ascii="宋体" w:hAnsi="宋体" w:eastAsia="宋体" w:cs="宋体"/>
          <w:b/>
          <w:color w:val="auto"/>
          <w:sz w:val="24"/>
          <w:szCs w:val="24"/>
          <w:highlight w:val="none"/>
          <w:shd w:val="clear" w:color="auto" w:fill="auto"/>
        </w:rPr>
        <w:t>日期：  _____年___月___日</w:t>
      </w:r>
    </w:p>
    <w:p w14:paraId="699423F5">
      <w:pPr>
        <w:pStyle w:val="15"/>
        <w:snapToGrid w:val="0"/>
        <w:rPr>
          <w:rFonts w:hint="eastAsia" w:ascii="宋体" w:hAnsi="宋体" w:eastAsia="宋体" w:cs="宋体"/>
          <w:color w:val="auto"/>
          <w:sz w:val="24"/>
          <w:szCs w:val="24"/>
          <w:highlight w:val="none"/>
          <w:shd w:val="clear" w:color="auto" w:fill="auto"/>
        </w:rPr>
        <w:sectPr>
          <w:pgSz w:w="16838" w:h="11906" w:orient="landscape"/>
          <w:pgMar w:top="1588" w:right="1021" w:bottom="1588" w:left="851" w:header="851" w:footer="851" w:gutter="0"/>
          <w:pgNumType w:fmt="decimal"/>
          <w:cols w:space="720" w:num="1"/>
        </w:sectPr>
      </w:pPr>
    </w:p>
    <w:p w14:paraId="3333D38D">
      <w:pPr>
        <w:snapToGrid w:val="0"/>
        <w:spacing w:before="50" w:after="120" w:afterLines="50"/>
        <w:jc w:val="left"/>
        <w:rPr>
          <w:rFonts w:hint="eastAsia" w:ascii="宋体" w:hAnsi="宋体" w:eastAsia="宋体" w:cs="宋体"/>
          <w:color w:val="auto"/>
          <w:sz w:val="24"/>
          <w:szCs w:val="20"/>
          <w:highlight w:val="none"/>
          <w:shd w:val="clear" w:color="auto" w:fill="auto"/>
        </w:rPr>
      </w:pPr>
      <w:r>
        <w:rPr>
          <w:rFonts w:hint="eastAsia" w:ascii="宋体" w:hAnsi="宋体" w:cs="宋体"/>
          <w:color w:val="auto"/>
          <w:sz w:val="24"/>
          <w:highlight w:val="none"/>
          <w:shd w:val="clear" w:color="auto" w:fill="auto"/>
          <w:lang w:val="en-US" w:eastAsia="zh-CN"/>
        </w:rPr>
        <w:t>9</w:t>
      </w:r>
      <w:r>
        <w:rPr>
          <w:rFonts w:hint="eastAsia" w:ascii="宋体" w:hAnsi="宋体" w:eastAsia="宋体" w:cs="宋体"/>
          <w:color w:val="auto"/>
          <w:sz w:val="24"/>
          <w:highlight w:val="none"/>
          <w:shd w:val="clear" w:color="auto" w:fill="auto"/>
        </w:rPr>
        <w:t>.售后服务网点情况表格式：</w:t>
      </w:r>
    </w:p>
    <w:p w14:paraId="1A859263">
      <w:pPr>
        <w:snapToGrid w:val="0"/>
        <w:spacing w:before="50" w:after="120" w:afterLines="50"/>
        <w:jc w:val="left"/>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szCs w:val="20"/>
          <w:highlight w:val="none"/>
          <w:shd w:val="clear" w:color="auto" w:fill="auto"/>
        </w:rPr>
        <w:t xml:space="preserve"> </w:t>
      </w:r>
    </w:p>
    <w:p w14:paraId="4326DE95">
      <w:pPr>
        <w:pStyle w:val="38"/>
        <w:snapToGrid w:val="0"/>
        <w:ind w:left="480" w:hanging="480"/>
        <w:rPr>
          <w:rFonts w:hint="eastAsia" w:ascii="宋体" w:hAnsi="宋体" w:eastAsia="宋体" w:cs="宋体"/>
          <w:color w:val="auto"/>
          <w:sz w:val="24"/>
          <w:highlight w:val="none"/>
          <w:shd w:val="clear" w:color="auto" w:fill="auto"/>
        </w:rPr>
      </w:pPr>
    </w:p>
    <w:p w14:paraId="2AC4B505">
      <w:pPr>
        <w:pStyle w:val="38"/>
        <w:snapToGrid w:val="0"/>
        <w:ind w:left="482" w:hanging="482"/>
        <w:jc w:val="center"/>
        <w:rPr>
          <w:rFonts w:hint="eastAsia" w:ascii="宋体" w:hAnsi="宋体" w:eastAsia="宋体" w:cs="宋体"/>
          <w:bCs/>
          <w:color w:val="auto"/>
          <w:sz w:val="24"/>
          <w:highlight w:val="none"/>
          <w:shd w:val="clear" w:color="auto" w:fill="auto"/>
        </w:rPr>
      </w:pPr>
      <w:r>
        <w:rPr>
          <w:rFonts w:hint="eastAsia" w:ascii="宋体" w:hAnsi="宋体" w:eastAsia="宋体" w:cs="宋体"/>
          <w:b/>
          <w:color w:val="auto"/>
          <w:sz w:val="24"/>
          <w:highlight w:val="none"/>
          <w:shd w:val="clear" w:color="auto" w:fill="auto"/>
        </w:rPr>
        <w:t>售后服务网点情况表</w:t>
      </w:r>
    </w:p>
    <w:p w14:paraId="3CD24C1E">
      <w:pPr>
        <w:snapToGrid w:val="0"/>
        <w:spacing w:before="120" w:beforeLines="50" w:after="50" w:line="480" w:lineRule="auto"/>
        <w:rPr>
          <w:rFonts w:hint="eastAsia" w:ascii="宋体" w:hAnsi="宋体" w:eastAsia="宋体" w:cs="宋体"/>
          <w:bCs/>
          <w:color w:val="auto"/>
          <w:sz w:val="24"/>
          <w:szCs w:val="20"/>
          <w:highlight w:val="none"/>
          <w:shd w:val="clear" w:color="auto" w:fill="auto"/>
        </w:rPr>
      </w:pPr>
      <w:r>
        <w:rPr>
          <w:rFonts w:hint="eastAsia" w:ascii="宋体" w:hAnsi="宋体" w:eastAsia="宋体" w:cs="宋体"/>
          <w:bCs/>
          <w:color w:val="auto"/>
          <w:sz w:val="24"/>
          <w:highlight w:val="none"/>
          <w:shd w:val="clear" w:color="auto" w:fill="auto"/>
        </w:rPr>
        <w:t>项目名称：</w:t>
      </w:r>
    </w:p>
    <w:p w14:paraId="329CB1CE">
      <w:pPr>
        <w:snapToGrid w:val="0"/>
        <w:spacing w:before="120" w:beforeLines="50" w:after="50" w:line="480" w:lineRule="auto"/>
        <w:rPr>
          <w:rFonts w:hint="eastAsia" w:ascii="宋体" w:hAnsi="宋体" w:eastAsia="宋体" w:cs="宋体"/>
          <w:b/>
          <w:color w:val="auto"/>
          <w:sz w:val="24"/>
          <w:highlight w:val="none"/>
          <w:shd w:val="clear" w:color="auto" w:fill="auto"/>
        </w:rPr>
      </w:pPr>
      <w:r>
        <w:rPr>
          <w:rFonts w:hint="eastAsia" w:ascii="宋体" w:hAnsi="宋体" w:eastAsia="宋体" w:cs="宋体"/>
          <w:color w:val="auto"/>
          <w:sz w:val="24"/>
          <w:highlight w:val="none"/>
          <w:shd w:val="clear" w:color="auto" w:fill="auto"/>
        </w:rPr>
        <w:t>项目编号：</w:t>
      </w:r>
    </w:p>
    <w:tbl>
      <w:tblPr>
        <w:tblStyle w:val="52"/>
        <w:tblpPr w:leftFromText="180" w:rightFromText="180" w:vertAnchor="text" w:horzAnchor="margin" w:tblpY="66"/>
        <w:tblW w:w="934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1622"/>
        <w:gridCol w:w="540"/>
        <w:gridCol w:w="1326"/>
        <w:gridCol w:w="888"/>
        <w:gridCol w:w="2162"/>
        <w:gridCol w:w="1080"/>
      </w:tblGrid>
      <w:tr w14:paraId="149483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323DD022">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shd w:val="clear" w:color="auto" w:fill="auto"/>
              </w:rPr>
              <w:t>服务网点名称</w:t>
            </w:r>
          </w:p>
        </w:tc>
        <w:tc>
          <w:tcPr>
            <w:tcW w:w="6538" w:type="dxa"/>
            <w:gridSpan w:val="5"/>
            <w:tcBorders>
              <w:top w:val="single" w:color="auto" w:sz="4" w:space="0"/>
              <w:left w:val="single" w:color="auto" w:sz="4" w:space="0"/>
              <w:bottom w:val="single" w:color="auto" w:sz="4" w:space="0"/>
              <w:right w:val="single" w:color="auto" w:sz="4" w:space="0"/>
            </w:tcBorders>
          </w:tcPr>
          <w:p w14:paraId="4C4FFAEE">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c>
          <w:tcPr>
            <w:tcW w:w="1080" w:type="dxa"/>
            <w:vMerge w:val="restart"/>
            <w:tcBorders>
              <w:top w:val="single" w:color="auto" w:sz="4" w:space="0"/>
              <w:left w:val="single" w:color="auto" w:sz="4" w:space="0"/>
              <w:bottom w:val="single" w:color="auto" w:sz="4" w:space="0"/>
              <w:right w:val="single" w:color="auto" w:sz="4" w:space="0"/>
            </w:tcBorders>
          </w:tcPr>
          <w:p w14:paraId="623D9756">
            <w:pPr>
              <w:snapToGrid w:val="0"/>
              <w:spacing w:before="50" w:after="120" w:afterLines="50" w:line="360" w:lineRule="auto"/>
              <w:jc w:val="center"/>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shd w:val="clear" w:color="auto" w:fill="auto"/>
              </w:rPr>
              <w:t>投标文件页码</w:t>
            </w:r>
          </w:p>
        </w:tc>
      </w:tr>
      <w:tr w14:paraId="237B64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602F320A">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shd w:val="clear" w:color="auto" w:fill="auto"/>
              </w:rPr>
              <w:t>地址</w:t>
            </w:r>
          </w:p>
        </w:tc>
        <w:tc>
          <w:tcPr>
            <w:tcW w:w="6538" w:type="dxa"/>
            <w:gridSpan w:val="5"/>
            <w:tcBorders>
              <w:top w:val="single" w:color="auto" w:sz="4" w:space="0"/>
              <w:left w:val="single" w:color="auto" w:sz="4" w:space="0"/>
              <w:bottom w:val="single" w:color="auto" w:sz="4" w:space="0"/>
              <w:right w:val="single" w:color="auto" w:sz="4" w:space="0"/>
            </w:tcBorders>
          </w:tcPr>
          <w:p w14:paraId="7500F887">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19FEA693">
            <w:pPr>
              <w:widowControl/>
              <w:spacing w:line="360" w:lineRule="auto"/>
              <w:jc w:val="left"/>
              <w:rPr>
                <w:rFonts w:hint="eastAsia" w:ascii="宋体" w:hAnsi="宋体" w:eastAsia="宋体" w:cs="宋体"/>
                <w:color w:val="auto"/>
                <w:sz w:val="24"/>
                <w:szCs w:val="20"/>
                <w:highlight w:val="none"/>
                <w:shd w:val="clear" w:color="auto" w:fill="auto"/>
              </w:rPr>
            </w:pPr>
          </w:p>
        </w:tc>
      </w:tr>
      <w:tr w14:paraId="243EFD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23F0CC8A">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shd w:val="clear" w:color="auto" w:fill="auto"/>
              </w:rPr>
              <w:t>注册资本金</w:t>
            </w:r>
          </w:p>
        </w:tc>
        <w:tc>
          <w:tcPr>
            <w:tcW w:w="1622" w:type="dxa"/>
            <w:tcBorders>
              <w:top w:val="single" w:color="auto" w:sz="4" w:space="0"/>
              <w:left w:val="single" w:color="auto" w:sz="4" w:space="0"/>
              <w:bottom w:val="single" w:color="auto" w:sz="4" w:space="0"/>
              <w:right w:val="single" w:color="auto" w:sz="4" w:space="0"/>
            </w:tcBorders>
          </w:tcPr>
          <w:p w14:paraId="4EB7CF7F">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c>
          <w:tcPr>
            <w:tcW w:w="2754" w:type="dxa"/>
            <w:gridSpan w:val="3"/>
            <w:tcBorders>
              <w:top w:val="single" w:color="auto" w:sz="4" w:space="0"/>
              <w:left w:val="single" w:color="auto" w:sz="4" w:space="0"/>
              <w:bottom w:val="single" w:color="auto" w:sz="4" w:space="0"/>
              <w:right w:val="single" w:color="auto" w:sz="4" w:space="0"/>
            </w:tcBorders>
          </w:tcPr>
          <w:p w14:paraId="2001787A">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shd w:val="clear" w:color="auto" w:fill="auto"/>
              </w:rPr>
              <w:t>其中：投标人出资比例</w:t>
            </w:r>
          </w:p>
        </w:tc>
        <w:tc>
          <w:tcPr>
            <w:tcW w:w="2162" w:type="dxa"/>
            <w:tcBorders>
              <w:top w:val="single" w:color="auto" w:sz="4" w:space="0"/>
              <w:left w:val="single" w:color="auto" w:sz="4" w:space="0"/>
              <w:bottom w:val="single" w:color="auto" w:sz="4" w:space="0"/>
              <w:right w:val="single" w:color="auto" w:sz="4" w:space="0"/>
            </w:tcBorders>
          </w:tcPr>
          <w:p w14:paraId="16E73B10">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c>
          <w:tcPr>
            <w:tcW w:w="1080" w:type="dxa"/>
            <w:tcBorders>
              <w:top w:val="single" w:color="auto" w:sz="4" w:space="0"/>
              <w:left w:val="single" w:color="auto" w:sz="4" w:space="0"/>
              <w:bottom w:val="single" w:color="auto" w:sz="4" w:space="0"/>
              <w:right w:val="single" w:color="auto" w:sz="4" w:space="0"/>
            </w:tcBorders>
          </w:tcPr>
          <w:p w14:paraId="2C61730D">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r>
      <w:tr w14:paraId="04668F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7CE3E917">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shd w:val="clear" w:color="auto" w:fill="auto"/>
              </w:rPr>
              <w:t>员工总人数</w:t>
            </w:r>
          </w:p>
        </w:tc>
        <w:tc>
          <w:tcPr>
            <w:tcW w:w="1622" w:type="dxa"/>
            <w:tcBorders>
              <w:top w:val="single" w:color="auto" w:sz="4" w:space="0"/>
              <w:left w:val="single" w:color="auto" w:sz="4" w:space="0"/>
              <w:bottom w:val="single" w:color="auto" w:sz="4" w:space="0"/>
              <w:right w:val="single" w:color="auto" w:sz="4" w:space="0"/>
            </w:tcBorders>
          </w:tcPr>
          <w:p w14:paraId="118B8C22">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c>
          <w:tcPr>
            <w:tcW w:w="2754" w:type="dxa"/>
            <w:gridSpan w:val="3"/>
            <w:tcBorders>
              <w:top w:val="single" w:color="auto" w:sz="4" w:space="0"/>
              <w:left w:val="single" w:color="auto" w:sz="4" w:space="0"/>
              <w:bottom w:val="single" w:color="auto" w:sz="4" w:space="0"/>
              <w:right w:val="single" w:color="auto" w:sz="4" w:space="0"/>
            </w:tcBorders>
          </w:tcPr>
          <w:p w14:paraId="03E1443F">
            <w:pPr>
              <w:snapToGrid w:val="0"/>
              <w:spacing w:before="50" w:after="120" w:afterLines="50" w:line="360" w:lineRule="auto"/>
              <w:ind w:left="120"/>
              <w:jc w:val="left"/>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shd w:val="clear" w:color="auto" w:fill="auto"/>
              </w:rPr>
              <w:t>其中：技术人员数</w:t>
            </w:r>
          </w:p>
        </w:tc>
        <w:tc>
          <w:tcPr>
            <w:tcW w:w="2162" w:type="dxa"/>
            <w:tcBorders>
              <w:top w:val="single" w:color="auto" w:sz="4" w:space="0"/>
              <w:left w:val="single" w:color="auto" w:sz="4" w:space="0"/>
              <w:bottom w:val="single" w:color="auto" w:sz="4" w:space="0"/>
              <w:right w:val="single" w:color="auto" w:sz="4" w:space="0"/>
            </w:tcBorders>
          </w:tcPr>
          <w:p w14:paraId="32753D38">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c>
          <w:tcPr>
            <w:tcW w:w="1080" w:type="dxa"/>
            <w:tcBorders>
              <w:top w:val="single" w:color="auto" w:sz="4" w:space="0"/>
              <w:left w:val="single" w:color="auto" w:sz="4" w:space="0"/>
              <w:bottom w:val="single" w:color="auto" w:sz="4" w:space="0"/>
              <w:right w:val="single" w:color="auto" w:sz="4" w:space="0"/>
            </w:tcBorders>
          </w:tcPr>
          <w:p w14:paraId="04B57E7B">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r>
      <w:tr w14:paraId="35A485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6283B15E">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szCs w:val="20"/>
                <w:highlight w:val="none"/>
                <w:shd w:val="clear" w:color="auto" w:fill="auto"/>
              </w:rPr>
              <w:t>设立日期</w:t>
            </w:r>
          </w:p>
        </w:tc>
        <w:tc>
          <w:tcPr>
            <w:tcW w:w="6538" w:type="dxa"/>
            <w:gridSpan w:val="5"/>
            <w:tcBorders>
              <w:top w:val="single" w:color="auto" w:sz="4" w:space="0"/>
              <w:left w:val="single" w:color="auto" w:sz="4" w:space="0"/>
              <w:bottom w:val="single" w:color="auto" w:sz="4" w:space="0"/>
              <w:right w:val="single" w:color="auto" w:sz="4" w:space="0"/>
            </w:tcBorders>
          </w:tcPr>
          <w:p w14:paraId="66598761">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c>
          <w:tcPr>
            <w:tcW w:w="1080" w:type="dxa"/>
            <w:tcBorders>
              <w:top w:val="single" w:color="auto" w:sz="4" w:space="0"/>
              <w:left w:val="single" w:color="auto" w:sz="4" w:space="0"/>
              <w:bottom w:val="single" w:color="auto" w:sz="4" w:space="0"/>
              <w:right w:val="single" w:color="auto" w:sz="4" w:space="0"/>
            </w:tcBorders>
          </w:tcPr>
          <w:p w14:paraId="336C6038">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r>
      <w:tr w14:paraId="1DF16D1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34C0F62F">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shd w:val="clear" w:color="auto" w:fill="auto"/>
              </w:rPr>
              <w:t>售后服务内容</w:t>
            </w:r>
          </w:p>
        </w:tc>
        <w:tc>
          <w:tcPr>
            <w:tcW w:w="6538" w:type="dxa"/>
            <w:gridSpan w:val="5"/>
            <w:tcBorders>
              <w:top w:val="single" w:color="auto" w:sz="4" w:space="0"/>
              <w:left w:val="single" w:color="auto" w:sz="4" w:space="0"/>
              <w:bottom w:val="single" w:color="auto" w:sz="4" w:space="0"/>
              <w:right w:val="single" w:color="auto" w:sz="4" w:space="0"/>
            </w:tcBorders>
          </w:tcPr>
          <w:p w14:paraId="73220B1E">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c>
          <w:tcPr>
            <w:tcW w:w="1080" w:type="dxa"/>
            <w:tcBorders>
              <w:top w:val="single" w:color="auto" w:sz="4" w:space="0"/>
              <w:left w:val="single" w:color="auto" w:sz="4" w:space="0"/>
              <w:bottom w:val="single" w:color="auto" w:sz="4" w:space="0"/>
              <w:right w:val="single" w:color="auto" w:sz="4" w:space="0"/>
            </w:tcBorders>
          </w:tcPr>
          <w:p w14:paraId="385AD520">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r>
      <w:tr w14:paraId="6CA417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74CE9443">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shd w:val="clear" w:color="auto" w:fill="auto"/>
              </w:rPr>
              <w:t>服务承诺</w:t>
            </w:r>
          </w:p>
        </w:tc>
        <w:tc>
          <w:tcPr>
            <w:tcW w:w="6538" w:type="dxa"/>
            <w:gridSpan w:val="5"/>
            <w:tcBorders>
              <w:top w:val="single" w:color="auto" w:sz="4" w:space="0"/>
              <w:left w:val="single" w:color="auto" w:sz="4" w:space="0"/>
              <w:bottom w:val="single" w:color="auto" w:sz="4" w:space="0"/>
              <w:right w:val="single" w:color="auto" w:sz="4" w:space="0"/>
            </w:tcBorders>
          </w:tcPr>
          <w:p w14:paraId="2264DC6F">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c>
          <w:tcPr>
            <w:tcW w:w="1080" w:type="dxa"/>
            <w:tcBorders>
              <w:top w:val="single" w:color="auto" w:sz="4" w:space="0"/>
              <w:left w:val="single" w:color="auto" w:sz="4" w:space="0"/>
              <w:bottom w:val="single" w:color="auto" w:sz="4" w:space="0"/>
              <w:right w:val="single" w:color="auto" w:sz="4" w:space="0"/>
            </w:tcBorders>
          </w:tcPr>
          <w:p w14:paraId="10F62AD5">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r>
      <w:tr w14:paraId="1ED0F23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61FD3672">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shd w:val="clear" w:color="auto" w:fill="auto"/>
              </w:rPr>
              <w:t>业务咨询电话</w:t>
            </w:r>
          </w:p>
        </w:tc>
        <w:tc>
          <w:tcPr>
            <w:tcW w:w="2162" w:type="dxa"/>
            <w:gridSpan w:val="2"/>
            <w:tcBorders>
              <w:top w:val="single" w:color="auto" w:sz="4" w:space="0"/>
              <w:left w:val="single" w:color="auto" w:sz="4" w:space="0"/>
              <w:bottom w:val="single" w:color="auto" w:sz="4" w:space="0"/>
              <w:right w:val="single" w:color="auto" w:sz="2" w:space="0"/>
            </w:tcBorders>
          </w:tcPr>
          <w:p w14:paraId="4C4BF835">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c>
          <w:tcPr>
            <w:tcW w:w="1326" w:type="dxa"/>
            <w:tcBorders>
              <w:top w:val="single" w:color="auto" w:sz="4" w:space="0"/>
              <w:left w:val="single" w:color="auto" w:sz="2" w:space="0"/>
              <w:bottom w:val="single" w:color="auto" w:sz="4" w:space="0"/>
              <w:right w:val="single" w:color="auto" w:sz="2" w:space="0"/>
            </w:tcBorders>
          </w:tcPr>
          <w:p w14:paraId="303C7147">
            <w:pPr>
              <w:snapToGrid w:val="0"/>
              <w:spacing w:before="50" w:after="120" w:afterLines="50" w:line="360" w:lineRule="auto"/>
              <w:jc w:val="center"/>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shd w:val="clear" w:color="auto" w:fill="auto"/>
              </w:rPr>
              <w:t>传 真</w:t>
            </w:r>
          </w:p>
        </w:tc>
        <w:tc>
          <w:tcPr>
            <w:tcW w:w="3050" w:type="dxa"/>
            <w:gridSpan w:val="2"/>
            <w:tcBorders>
              <w:top w:val="single" w:color="auto" w:sz="4" w:space="0"/>
              <w:left w:val="single" w:color="auto" w:sz="2" w:space="0"/>
              <w:bottom w:val="single" w:color="auto" w:sz="4" w:space="0"/>
              <w:right w:val="single" w:color="auto" w:sz="2" w:space="0"/>
            </w:tcBorders>
          </w:tcPr>
          <w:p w14:paraId="6D39A21E">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c>
          <w:tcPr>
            <w:tcW w:w="1080" w:type="dxa"/>
            <w:tcBorders>
              <w:top w:val="single" w:color="auto" w:sz="4" w:space="0"/>
              <w:left w:val="single" w:color="auto" w:sz="2" w:space="0"/>
              <w:bottom w:val="single" w:color="auto" w:sz="4" w:space="0"/>
              <w:right w:val="single" w:color="auto" w:sz="4" w:space="0"/>
            </w:tcBorders>
          </w:tcPr>
          <w:p w14:paraId="42EB5119">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r>
      <w:tr w14:paraId="6AB5F6A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726" w:type="dxa"/>
            <w:tcBorders>
              <w:top w:val="single" w:color="auto" w:sz="4" w:space="0"/>
              <w:left w:val="single" w:color="auto" w:sz="4" w:space="0"/>
              <w:bottom w:val="single" w:color="auto" w:sz="4" w:space="0"/>
              <w:right w:val="single" w:color="auto" w:sz="4" w:space="0"/>
            </w:tcBorders>
          </w:tcPr>
          <w:p w14:paraId="277A7B56">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shd w:val="clear" w:color="auto" w:fill="auto"/>
              </w:rPr>
              <w:t>负责人</w:t>
            </w:r>
          </w:p>
        </w:tc>
        <w:tc>
          <w:tcPr>
            <w:tcW w:w="2162" w:type="dxa"/>
            <w:gridSpan w:val="2"/>
            <w:tcBorders>
              <w:top w:val="single" w:color="auto" w:sz="4" w:space="0"/>
              <w:left w:val="single" w:color="auto" w:sz="4" w:space="0"/>
              <w:bottom w:val="single" w:color="auto" w:sz="4" w:space="0"/>
              <w:right w:val="single" w:color="auto" w:sz="2" w:space="0"/>
            </w:tcBorders>
          </w:tcPr>
          <w:p w14:paraId="0911CB65">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c>
          <w:tcPr>
            <w:tcW w:w="1326" w:type="dxa"/>
            <w:tcBorders>
              <w:top w:val="single" w:color="auto" w:sz="4" w:space="0"/>
              <w:left w:val="single" w:color="auto" w:sz="2" w:space="0"/>
              <w:bottom w:val="single" w:color="auto" w:sz="4" w:space="0"/>
              <w:right w:val="single" w:color="auto" w:sz="2" w:space="0"/>
            </w:tcBorders>
          </w:tcPr>
          <w:p w14:paraId="4BA11733">
            <w:pPr>
              <w:snapToGrid w:val="0"/>
              <w:spacing w:before="50" w:after="120" w:afterLines="50" w:line="360" w:lineRule="auto"/>
              <w:jc w:val="center"/>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shd w:val="clear" w:color="auto" w:fill="auto"/>
              </w:rPr>
              <w:t>联系电话</w:t>
            </w:r>
          </w:p>
        </w:tc>
        <w:tc>
          <w:tcPr>
            <w:tcW w:w="3050" w:type="dxa"/>
            <w:gridSpan w:val="2"/>
            <w:tcBorders>
              <w:top w:val="single" w:color="auto" w:sz="4" w:space="0"/>
              <w:left w:val="single" w:color="auto" w:sz="2" w:space="0"/>
              <w:bottom w:val="single" w:color="auto" w:sz="4" w:space="0"/>
              <w:right w:val="single" w:color="auto" w:sz="4" w:space="0"/>
            </w:tcBorders>
          </w:tcPr>
          <w:p w14:paraId="2F72D895">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c>
          <w:tcPr>
            <w:tcW w:w="1080" w:type="dxa"/>
            <w:tcBorders>
              <w:top w:val="single" w:color="auto" w:sz="4" w:space="0"/>
              <w:left w:val="single" w:color="auto" w:sz="4" w:space="0"/>
              <w:bottom w:val="single" w:color="auto" w:sz="4" w:space="0"/>
              <w:right w:val="single" w:color="auto" w:sz="4" w:space="0"/>
            </w:tcBorders>
          </w:tcPr>
          <w:p w14:paraId="1BEC57F9">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r>
    </w:tbl>
    <w:p w14:paraId="4C9128A3">
      <w:pPr>
        <w:pStyle w:val="38"/>
        <w:snapToGrid w:val="0"/>
        <w:ind w:left="199" w:hanging="199" w:hangingChars="83"/>
        <w:rPr>
          <w:rFonts w:hint="eastAsia" w:ascii="宋体" w:hAnsi="宋体" w:eastAsia="宋体" w:cs="宋体"/>
          <w:color w:val="auto"/>
          <w:sz w:val="24"/>
          <w:highlight w:val="none"/>
          <w:shd w:val="clear" w:color="auto" w:fill="auto"/>
        </w:rPr>
      </w:pPr>
    </w:p>
    <w:p w14:paraId="2F1841B2">
      <w:pPr>
        <w:pStyle w:val="15"/>
        <w:snapToGrid w:val="0"/>
        <w:rPr>
          <w:rFonts w:hint="eastAsia" w:ascii="宋体" w:hAnsi="宋体" w:eastAsia="宋体" w:cs="宋体"/>
          <w:color w:val="auto"/>
          <w:sz w:val="24"/>
          <w:highlight w:val="none"/>
          <w:shd w:val="clear" w:color="auto" w:fill="auto"/>
        </w:rPr>
      </w:pPr>
    </w:p>
    <w:p w14:paraId="5B721143">
      <w:pPr>
        <w:pStyle w:val="20"/>
        <w:snapToGrid w:val="0"/>
        <w:rPr>
          <w:rFonts w:hint="eastAsia" w:ascii="宋体" w:hAnsi="宋体" w:eastAsia="宋体" w:cs="宋体"/>
          <w:b/>
          <w:color w:val="auto"/>
          <w:sz w:val="24"/>
          <w:highlight w:val="none"/>
          <w:shd w:val="clear" w:color="auto" w:fill="auto"/>
        </w:rPr>
      </w:pPr>
      <w:r>
        <w:rPr>
          <w:rFonts w:hint="eastAsia" w:ascii="宋体" w:hAnsi="宋体" w:eastAsia="宋体" w:cs="宋体"/>
          <w:b/>
          <w:color w:val="auto"/>
          <w:spacing w:val="20"/>
          <w:sz w:val="24"/>
          <w:highlight w:val="none"/>
          <w:shd w:val="clear" w:color="auto" w:fill="auto"/>
        </w:rPr>
        <w:t xml:space="preserve">法定代表人签字（或盖章）：            投标人（盖章）： </w:t>
      </w:r>
      <w:r>
        <w:rPr>
          <w:rFonts w:hint="eastAsia" w:ascii="宋体" w:hAnsi="宋体" w:eastAsia="宋体" w:cs="宋体"/>
          <w:b/>
          <w:color w:val="auto"/>
          <w:sz w:val="24"/>
          <w:highlight w:val="none"/>
          <w:shd w:val="clear" w:color="auto" w:fill="auto"/>
        </w:rPr>
        <w:t xml:space="preserve">           　 </w:t>
      </w:r>
    </w:p>
    <w:p w14:paraId="3E1DE3F2">
      <w:pPr>
        <w:pStyle w:val="20"/>
        <w:snapToGrid w:val="0"/>
        <w:rPr>
          <w:rFonts w:hint="eastAsia" w:ascii="宋体" w:hAnsi="宋体" w:eastAsia="宋体" w:cs="宋体"/>
          <w:b/>
          <w:color w:val="auto"/>
          <w:sz w:val="24"/>
          <w:highlight w:val="none"/>
          <w:shd w:val="clear" w:color="auto" w:fill="auto"/>
        </w:rPr>
      </w:pPr>
    </w:p>
    <w:p w14:paraId="4A595012">
      <w:pPr>
        <w:snapToGrid w:val="0"/>
        <w:spacing w:before="50" w:after="120" w:afterLines="50"/>
        <w:jc w:val="left"/>
        <w:rPr>
          <w:rFonts w:hint="eastAsia" w:ascii="宋体" w:hAnsi="宋体" w:eastAsia="宋体" w:cs="宋体"/>
          <w:b/>
          <w:color w:val="auto"/>
          <w:sz w:val="24"/>
          <w:szCs w:val="20"/>
          <w:highlight w:val="none"/>
          <w:shd w:val="clear" w:color="auto" w:fill="auto"/>
        </w:rPr>
      </w:pPr>
      <w:r>
        <w:rPr>
          <w:rFonts w:hint="eastAsia" w:ascii="宋体" w:hAnsi="宋体" w:eastAsia="宋体" w:cs="宋体"/>
          <w:b/>
          <w:color w:val="auto"/>
          <w:kern w:val="0"/>
          <w:sz w:val="24"/>
          <w:highlight w:val="none"/>
          <w:shd w:val="clear" w:color="auto" w:fill="auto"/>
        </w:rPr>
        <w:t>日期：  _____年___月___日</w:t>
      </w:r>
    </w:p>
    <w:p w14:paraId="704D0460">
      <w:pPr>
        <w:snapToGrid w:val="0"/>
        <w:spacing w:before="50"/>
        <w:jc w:val="left"/>
        <w:rPr>
          <w:rFonts w:hint="eastAsia" w:ascii="宋体" w:hAnsi="宋体" w:eastAsia="宋体" w:cs="宋体"/>
          <w:color w:val="auto"/>
          <w:sz w:val="24"/>
          <w:highlight w:val="none"/>
          <w:shd w:val="clear" w:color="auto" w:fill="auto"/>
        </w:rPr>
      </w:pPr>
    </w:p>
    <w:p w14:paraId="36BCFF15">
      <w:pPr>
        <w:snapToGrid w:val="0"/>
        <w:spacing w:before="50"/>
        <w:jc w:val="left"/>
        <w:rPr>
          <w:rFonts w:hint="eastAsia" w:ascii="宋体" w:hAnsi="宋体" w:eastAsia="宋体" w:cs="宋体"/>
          <w:color w:val="auto"/>
          <w:sz w:val="24"/>
          <w:highlight w:val="none"/>
          <w:shd w:val="clear" w:color="auto" w:fill="auto"/>
        </w:rPr>
      </w:pPr>
    </w:p>
    <w:p w14:paraId="7D84525E">
      <w:pPr>
        <w:rPr>
          <w:rFonts w:hint="eastAsia" w:ascii="宋体" w:hAnsi="宋体" w:eastAsia="宋体" w:cs="宋体"/>
          <w:color w:val="auto"/>
          <w:sz w:val="24"/>
          <w:highlight w:val="none"/>
          <w:shd w:val="clear" w:color="auto" w:fill="auto"/>
        </w:rPr>
      </w:pPr>
      <w:bookmarkStart w:id="64" w:name="_Hlk77588362"/>
    </w:p>
    <w:p w14:paraId="31184F12">
      <w:pPr>
        <w:rPr>
          <w:rFonts w:hint="eastAsia" w:ascii="宋体" w:hAnsi="宋体" w:eastAsia="宋体" w:cs="宋体"/>
          <w:color w:val="auto"/>
          <w:sz w:val="24"/>
          <w:highlight w:val="none"/>
          <w:shd w:val="clear" w:color="auto" w:fill="auto"/>
        </w:rPr>
      </w:pPr>
    </w:p>
    <w:p w14:paraId="313D75DA">
      <w:pPr>
        <w:rPr>
          <w:rFonts w:hint="eastAsia" w:ascii="宋体" w:hAnsi="宋体" w:eastAsia="宋体" w:cs="宋体"/>
          <w:color w:val="auto"/>
          <w:sz w:val="24"/>
          <w:highlight w:val="none"/>
          <w:shd w:val="clear" w:color="auto" w:fill="auto"/>
        </w:rPr>
      </w:pPr>
    </w:p>
    <w:p w14:paraId="21C5D627">
      <w:pPr>
        <w:rPr>
          <w:rFonts w:hint="eastAsia" w:ascii="宋体" w:hAnsi="宋体" w:eastAsia="宋体" w:cs="宋体"/>
          <w:color w:val="auto"/>
          <w:sz w:val="24"/>
          <w:highlight w:val="none"/>
          <w:shd w:val="clear" w:color="auto" w:fill="auto"/>
        </w:rPr>
      </w:pPr>
    </w:p>
    <w:p w14:paraId="653B7DEC">
      <w:pPr>
        <w:rPr>
          <w:rFonts w:hint="eastAsia" w:ascii="宋体" w:hAnsi="宋体" w:eastAsia="宋体" w:cs="宋体"/>
          <w:color w:val="auto"/>
          <w:sz w:val="24"/>
          <w:highlight w:val="none"/>
          <w:shd w:val="clear" w:color="auto" w:fill="auto"/>
        </w:rPr>
      </w:pPr>
    </w:p>
    <w:p w14:paraId="11CE8E01">
      <w:pPr>
        <w:rPr>
          <w:rFonts w:hint="eastAsia" w:ascii="宋体" w:hAnsi="宋体" w:eastAsia="宋体" w:cs="宋体"/>
          <w:color w:val="auto"/>
          <w:sz w:val="24"/>
          <w:highlight w:val="none"/>
          <w:shd w:val="clear" w:color="auto" w:fill="auto"/>
        </w:rPr>
      </w:pPr>
    </w:p>
    <w:p w14:paraId="0AB279A3">
      <w:pPr>
        <w:rPr>
          <w:rFonts w:hint="eastAsia" w:ascii="宋体" w:hAnsi="宋体" w:eastAsia="宋体" w:cs="宋体"/>
          <w:color w:val="auto"/>
          <w:sz w:val="24"/>
          <w:highlight w:val="none"/>
          <w:shd w:val="clear" w:color="auto" w:fill="auto"/>
        </w:rPr>
      </w:pPr>
    </w:p>
    <w:p w14:paraId="0A56FA3B">
      <w:pPr>
        <w:rPr>
          <w:rFonts w:hint="eastAsia" w:ascii="宋体" w:hAnsi="宋体" w:eastAsia="宋体" w:cs="宋体"/>
          <w:color w:val="auto"/>
          <w:sz w:val="24"/>
          <w:highlight w:val="none"/>
          <w:shd w:val="clear" w:color="auto" w:fill="auto"/>
        </w:rPr>
      </w:pPr>
    </w:p>
    <w:p w14:paraId="31952BCC">
      <w:pPr>
        <w:rPr>
          <w:rFonts w:hint="eastAsia" w:ascii="宋体" w:hAnsi="宋体" w:eastAsia="宋体" w:cs="宋体"/>
          <w:color w:val="auto"/>
          <w:sz w:val="24"/>
          <w:highlight w:val="none"/>
          <w:shd w:val="clear" w:color="auto" w:fill="auto"/>
        </w:rPr>
      </w:pPr>
      <w:r>
        <w:rPr>
          <w:rFonts w:hint="eastAsia" w:ascii="宋体" w:hAnsi="宋体" w:cs="宋体"/>
          <w:color w:val="auto"/>
          <w:sz w:val="24"/>
          <w:highlight w:val="none"/>
          <w:shd w:val="clear" w:color="auto" w:fill="auto"/>
          <w:lang w:val="en-US" w:eastAsia="zh-CN"/>
        </w:rPr>
        <w:t>10</w:t>
      </w:r>
      <w:r>
        <w:rPr>
          <w:rFonts w:hint="eastAsia" w:ascii="宋体" w:hAnsi="宋体" w:eastAsia="宋体" w:cs="宋体"/>
          <w:color w:val="auto"/>
          <w:sz w:val="24"/>
          <w:highlight w:val="none"/>
          <w:shd w:val="clear" w:color="auto" w:fill="auto"/>
        </w:rPr>
        <w:t>.商务及技术响应表格式：</w:t>
      </w:r>
      <w:bookmarkEnd w:id="64"/>
    </w:p>
    <w:p w14:paraId="15704F80">
      <w:pPr>
        <w:snapToGrid w:val="0"/>
        <w:spacing w:before="50"/>
        <w:jc w:val="center"/>
        <w:rPr>
          <w:rFonts w:hint="eastAsia" w:ascii="宋体" w:hAnsi="宋体"/>
          <w:bCs/>
          <w:color w:val="auto"/>
          <w:sz w:val="24"/>
          <w:highlight w:val="none"/>
        </w:rPr>
      </w:pPr>
      <w:r>
        <w:rPr>
          <w:rFonts w:hint="eastAsia" w:ascii="宋体" w:hAnsi="宋体"/>
          <w:b/>
          <w:color w:val="auto"/>
          <w:sz w:val="24"/>
          <w:highlight w:val="none"/>
        </w:rPr>
        <w:t>商务技术响应表</w:t>
      </w:r>
    </w:p>
    <w:p w14:paraId="72194F93">
      <w:pPr>
        <w:snapToGrid w:val="0"/>
        <w:spacing w:before="120" w:beforeLines="50" w:after="50" w:line="480" w:lineRule="auto"/>
        <w:ind w:firstLine="480" w:firstLineChars="200"/>
        <w:rPr>
          <w:rFonts w:hint="default" w:ascii="宋体" w:hAnsi="宋体" w:eastAsia="宋体"/>
          <w:color w:val="auto"/>
          <w:sz w:val="24"/>
          <w:highlight w:val="none"/>
          <w:lang w:val="en-US" w:eastAsia="zh-CN"/>
        </w:rPr>
      </w:pPr>
      <w:r>
        <w:rPr>
          <w:rFonts w:hint="eastAsia" w:ascii="宋体" w:hAnsi="宋体"/>
          <w:bCs/>
          <w:color w:val="auto"/>
          <w:sz w:val="24"/>
          <w:highlight w:val="none"/>
        </w:rPr>
        <w:t>项目名称：</w:t>
      </w:r>
      <w:r>
        <w:rPr>
          <w:rFonts w:hint="eastAsia" w:ascii="宋体" w:hAnsi="宋体"/>
          <w:bCs/>
          <w:color w:val="auto"/>
          <w:sz w:val="24"/>
          <w:highlight w:val="none"/>
          <w:lang w:val="en-US" w:eastAsia="zh-CN"/>
        </w:rPr>
        <w:t xml:space="preserve">                                  项目编号：</w:t>
      </w:r>
    </w:p>
    <w:tbl>
      <w:tblPr>
        <w:tblStyle w:val="52"/>
        <w:tblW w:w="1063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23"/>
        <w:gridCol w:w="1150"/>
        <w:gridCol w:w="4766"/>
        <w:gridCol w:w="640"/>
        <w:gridCol w:w="2321"/>
        <w:gridCol w:w="1237"/>
      </w:tblGrid>
      <w:tr w14:paraId="4F0592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06" w:hRule="atLeast"/>
          <w:jc w:val="center"/>
        </w:trPr>
        <w:tc>
          <w:tcPr>
            <w:tcW w:w="523" w:type="dxa"/>
            <w:tcBorders>
              <w:top w:val="single" w:color="auto" w:sz="4" w:space="0"/>
              <w:left w:val="single" w:color="auto" w:sz="4" w:space="0"/>
              <w:bottom w:val="single" w:color="auto" w:sz="4" w:space="0"/>
              <w:right w:val="single" w:color="auto" w:sz="4" w:space="0"/>
            </w:tcBorders>
            <w:noWrap w:val="0"/>
            <w:vAlign w:val="center"/>
          </w:tcPr>
          <w:p w14:paraId="72E2AF6A">
            <w:pPr>
              <w:snapToGrid w:val="0"/>
              <w:spacing w:before="120" w:beforeLines="50" w:line="280" w:lineRule="exact"/>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序号</w:t>
            </w:r>
          </w:p>
        </w:tc>
        <w:tc>
          <w:tcPr>
            <w:tcW w:w="1150" w:type="dxa"/>
            <w:tcBorders>
              <w:top w:val="single" w:color="auto" w:sz="4" w:space="0"/>
              <w:left w:val="single" w:color="auto" w:sz="4" w:space="0"/>
              <w:bottom w:val="single" w:color="auto" w:sz="4" w:space="0"/>
              <w:right w:val="single" w:color="auto" w:sz="4" w:space="0"/>
            </w:tcBorders>
            <w:noWrap w:val="0"/>
            <w:vAlign w:val="center"/>
          </w:tcPr>
          <w:p w14:paraId="604D16BB">
            <w:pPr>
              <w:snapToGrid w:val="0"/>
              <w:spacing w:before="120" w:beforeLines="50" w:line="280" w:lineRule="exact"/>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名称</w:t>
            </w:r>
          </w:p>
        </w:tc>
        <w:tc>
          <w:tcPr>
            <w:tcW w:w="4766" w:type="dxa"/>
            <w:tcBorders>
              <w:top w:val="single" w:color="auto" w:sz="4" w:space="0"/>
              <w:left w:val="single" w:color="auto" w:sz="4" w:space="0"/>
              <w:bottom w:val="single" w:color="auto" w:sz="4" w:space="0"/>
              <w:right w:val="single" w:color="auto" w:sz="4" w:space="0"/>
            </w:tcBorders>
            <w:noWrap w:val="0"/>
            <w:vAlign w:val="center"/>
          </w:tcPr>
          <w:p w14:paraId="366ADE40">
            <w:pPr>
              <w:snapToGrid w:val="0"/>
              <w:spacing w:before="120" w:beforeLines="50" w:line="280" w:lineRule="exact"/>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招标文件要求</w:t>
            </w:r>
          </w:p>
        </w:tc>
        <w:tc>
          <w:tcPr>
            <w:tcW w:w="640" w:type="dxa"/>
            <w:tcBorders>
              <w:top w:val="single" w:color="auto" w:sz="4" w:space="0"/>
              <w:left w:val="single" w:color="auto" w:sz="4" w:space="0"/>
              <w:bottom w:val="single" w:color="auto" w:sz="4" w:space="0"/>
              <w:right w:val="single" w:color="auto" w:sz="4" w:space="0"/>
            </w:tcBorders>
            <w:noWrap w:val="0"/>
            <w:vAlign w:val="center"/>
          </w:tcPr>
          <w:p w14:paraId="303D2DCF">
            <w:pPr>
              <w:snapToGrid w:val="0"/>
              <w:spacing w:line="280" w:lineRule="exact"/>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是否</w:t>
            </w:r>
          </w:p>
          <w:p w14:paraId="45E05DB6">
            <w:pPr>
              <w:snapToGrid w:val="0"/>
              <w:spacing w:line="280" w:lineRule="exact"/>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响应</w:t>
            </w:r>
          </w:p>
        </w:tc>
        <w:tc>
          <w:tcPr>
            <w:tcW w:w="2321" w:type="dxa"/>
            <w:tcBorders>
              <w:top w:val="single" w:color="auto" w:sz="4" w:space="0"/>
              <w:left w:val="single" w:color="auto" w:sz="4" w:space="0"/>
              <w:bottom w:val="single" w:color="auto" w:sz="4" w:space="0"/>
              <w:right w:val="single" w:color="auto" w:sz="4" w:space="0"/>
            </w:tcBorders>
            <w:noWrap w:val="0"/>
            <w:vAlign w:val="center"/>
          </w:tcPr>
          <w:p w14:paraId="321155AC">
            <w:pPr>
              <w:snapToGrid w:val="0"/>
              <w:spacing w:before="120" w:beforeLines="50" w:line="280" w:lineRule="exact"/>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投标人的应标情况</w:t>
            </w:r>
          </w:p>
        </w:tc>
        <w:tc>
          <w:tcPr>
            <w:tcW w:w="1237" w:type="dxa"/>
            <w:tcBorders>
              <w:top w:val="single" w:color="auto" w:sz="4" w:space="0"/>
              <w:left w:val="single" w:color="auto" w:sz="4" w:space="0"/>
              <w:bottom w:val="single" w:color="auto" w:sz="4" w:space="0"/>
              <w:right w:val="single" w:color="auto" w:sz="4" w:space="0"/>
            </w:tcBorders>
            <w:noWrap w:val="0"/>
            <w:vAlign w:val="center"/>
          </w:tcPr>
          <w:p w14:paraId="38550A1A">
            <w:pPr>
              <w:snapToGrid w:val="0"/>
              <w:spacing w:before="120" w:beforeLines="50" w:line="280" w:lineRule="exact"/>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相应内容在投标文件中页码</w:t>
            </w:r>
          </w:p>
        </w:tc>
      </w:tr>
      <w:tr w14:paraId="0C2B45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80" w:hRule="atLeast"/>
          <w:jc w:val="center"/>
        </w:trPr>
        <w:tc>
          <w:tcPr>
            <w:tcW w:w="523" w:type="dxa"/>
            <w:tcBorders>
              <w:top w:val="single" w:color="auto" w:sz="4" w:space="0"/>
              <w:left w:val="single" w:color="auto" w:sz="4" w:space="0"/>
              <w:bottom w:val="single" w:color="auto" w:sz="4" w:space="0"/>
              <w:right w:val="single" w:color="auto" w:sz="4" w:space="0"/>
            </w:tcBorders>
            <w:noWrap w:val="0"/>
            <w:vAlign w:val="center"/>
          </w:tcPr>
          <w:p w14:paraId="5935AEBE">
            <w:pPr>
              <w:snapToGrid w:val="0"/>
              <w:spacing w:line="36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w:t>
            </w:r>
          </w:p>
        </w:tc>
        <w:tc>
          <w:tcPr>
            <w:tcW w:w="1150" w:type="dxa"/>
            <w:tcBorders>
              <w:top w:val="single" w:color="auto" w:sz="4" w:space="0"/>
              <w:left w:val="single" w:color="auto" w:sz="4" w:space="0"/>
              <w:bottom w:val="single" w:color="auto" w:sz="4" w:space="0"/>
              <w:right w:val="single" w:color="auto" w:sz="4" w:space="0"/>
            </w:tcBorders>
            <w:noWrap w:val="0"/>
            <w:vAlign w:val="center"/>
          </w:tcPr>
          <w:p w14:paraId="1E46936B">
            <w:pPr>
              <w:snapToGrid w:val="0"/>
              <w:spacing w:line="360" w:lineRule="exact"/>
              <w:jc w:val="center"/>
              <w:rPr>
                <w:rFonts w:hint="eastAsia" w:ascii="宋体" w:hAnsi="宋体" w:cs="宋体"/>
                <w:color w:val="auto"/>
                <w:sz w:val="24"/>
                <w:szCs w:val="24"/>
                <w:highlight w:val="none"/>
              </w:rPr>
            </w:pPr>
          </w:p>
        </w:tc>
        <w:tc>
          <w:tcPr>
            <w:tcW w:w="4766" w:type="dxa"/>
            <w:tcBorders>
              <w:top w:val="single" w:color="auto" w:sz="4" w:space="0"/>
              <w:left w:val="single" w:color="auto" w:sz="4" w:space="0"/>
              <w:bottom w:val="single" w:color="auto" w:sz="4" w:space="0"/>
              <w:right w:val="single" w:color="auto" w:sz="4" w:space="0"/>
            </w:tcBorders>
            <w:noWrap w:val="0"/>
            <w:vAlign w:val="center"/>
          </w:tcPr>
          <w:p w14:paraId="6C7C9604">
            <w:pPr>
              <w:snapToGrid w:val="0"/>
              <w:spacing w:line="360" w:lineRule="exact"/>
              <w:rPr>
                <w:rFonts w:hint="eastAsia" w:ascii="宋体" w:hAnsi="宋体" w:cs="宋体"/>
                <w:color w:val="auto"/>
                <w:sz w:val="24"/>
                <w:szCs w:val="24"/>
                <w:highlight w:val="none"/>
              </w:rPr>
            </w:pPr>
          </w:p>
        </w:tc>
        <w:tc>
          <w:tcPr>
            <w:tcW w:w="640" w:type="dxa"/>
            <w:tcBorders>
              <w:top w:val="single" w:color="auto" w:sz="4" w:space="0"/>
              <w:left w:val="single" w:color="auto" w:sz="4" w:space="0"/>
              <w:bottom w:val="single" w:color="auto" w:sz="4" w:space="0"/>
              <w:right w:val="single" w:color="auto" w:sz="4" w:space="0"/>
            </w:tcBorders>
            <w:noWrap w:val="0"/>
            <w:vAlign w:val="top"/>
          </w:tcPr>
          <w:p w14:paraId="12308440">
            <w:pPr>
              <w:snapToGrid w:val="0"/>
              <w:spacing w:before="120" w:beforeLines="50" w:line="360" w:lineRule="auto"/>
              <w:rPr>
                <w:rFonts w:hint="eastAsia" w:ascii="宋体" w:hAnsi="宋体" w:cs="宋体"/>
                <w:color w:val="auto"/>
                <w:sz w:val="24"/>
                <w:szCs w:val="24"/>
                <w:highlight w:val="none"/>
              </w:rPr>
            </w:pPr>
          </w:p>
        </w:tc>
        <w:tc>
          <w:tcPr>
            <w:tcW w:w="2321" w:type="dxa"/>
            <w:tcBorders>
              <w:top w:val="single" w:color="auto" w:sz="4" w:space="0"/>
              <w:left w:val="single" w:color="auto" w:sz="4" w:space="0"/>
              <w:bottom w:val="single" w:color="auto" w:sz="4" w:space="0"/>
              <w:right w:val="single" w:color="auto" w:sz="4" w:space="0"/>
            </w:tcBorders>
            <w:noWrap w:val="0"/>
            <w:vAlign w:val="top"/>
          </w:tcPr>
          <w:p w14:paraId="611A4957">
            <w:pPr>
              <w:snapToGrid w:val="0"/>
              <w:spacing w:before="120" w:beforeLines="50" w:line="360" w:lineRule="auto"/>
              <w:rPr>
                <w:rFonts w:hint="eastAsia" w:ascii="宋体" w:hAnsi="宋体" w:cs="宋体"/>
                <w:color w:val="auto"/>
                <w:sz w:val="24"/>
                <w:szCs w:val="24"/>
                <w:highlight w:val="none"/>
              </w:rPr>
            </w:pPr>
          </w:p>
        </w:tc>
        <w:tc>
          <w:tcPr>
            <w:tcW w:w="1237" w:type="dxa"/>
            <w:tcBorders>
              <w:top w:val="single" w:color="auto" w:sz="4" w:space="0"/>
              <w:left w:val="single" w:color="auto" w:sz="4" w:space="0"/>
              <w:bottom w:val="single" w:color="auto" w:sz="4" w:space="0"/>
              <w:right w:val="single" w:color="auto" w:sz="4" w:space="0"/>
            </w:tcBorders>
            <w:noWrap w:val="0"/>
            <w:vAlign w:val="top"/>
          </w:tcPr>
          <w:p w14:paraId="0241BDB2">
            <w:pPr>
              <w:snapToGrid w:val="0"/>
              <w:spacing w:before="120" w:beforeLines="50" w:line="360" w:lineRule="auto"/>
              <w:rPr>
                <w:rFonts w:hint="eastAsia" w:ascii="宋体" w:hAnsi="宋体" w:cs="宋体"/>
                <w:color w:val="auto"/>
                <w:sz w:val="24"/>
                <w:szCs w:val="24"/>
                <w:highlight w:val="none"/>
              </w:rPr>
            </w:pPr>
          </w:p>
        </w:tc>
      </w:tr>
      <w:tr w14:paraId="2D4B36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80" w:hRule="atLeast"/>
          <w:jc w:val="center"/>
        </w:trPr>
        <w:tc>
          <w:tcPr>
            <w:tcW w:w="523" w:type="dxa"/>
            <w:tcBorders>
              <w:top w:val="single" w:color="auto" w:sz="4" w:space="0"/>
              <w:left w:val="single" w:color="auto" w:sz="4" w:space="0"/>
              <w:bottom w:val="single" w:color="auto" w:sz="4" w:space="0"/>
              <w:right w:val="single" w:color="auto" w:sz="4" w:space="0"/>
            </w:tcBorders>
            <w:noWrap w:val="0"/>
            <w:vAlign w:val="center"/>
          </w:tcPr>
          <w:p w14:paraId="1FD4E878">
            <w:pPr>
              <w:snapToGrid w:val="0"/>
              <w:spacing w:line="360" w:lineRule="exact"/>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p>
        </w:tc>
        <w:tc>
          <w:tcPr>
            <w:tcW w:w="1150" w:type="dxa"/>
            <w:tcBorders>
              <w:top w:val="single" w:color="auto" w:sz="4" w:space="0"/>
              <w:left w:val="single" w:color="auto" w:sz="4" w:space="0"/>
              <w:bottom w:val="single" w:color="auto" w:sz="4" w:space="0"/>
              <w:right w:val="single" w:color="auto" w:sz="4" w:space="0"/>
            </w:tcBorders>
            <w:noWrap w:val="0"/>
            <w:vAlign w:val="center"/>
          </w:tcPr>
          <w:p w14:paraId="476E8143">
            <w:pPr>
              <w:snapToGrid w:val="0"/>
              <w:spacing w:line="360" w:lineRule="exact"/>
              <w:jc w:val="center"/>
              <w:rPr>
                <w:rFonts w:hint="eastAsia" w:ascii="宋体" w:hAnsi="宋体" w:cs="宋体"/>
                <w:color w:val="auto"/>
                <w:sz w:val="24"/>
                <w:szCs w:val="24"/>
                <w:highlight w:val="none"/>
              </w:rPr>
            </w:pPr>
          </w:p>
        </w:tc>
        <w:tc>
          <w:tcPr>
            <w:tcW w:w="4766" w:type="dxa"/>
            <w:tcBorders>
              <w:top w:val="single" w:color="auto" w:sz="4" w:space="0"/>
              <w:left w:val="single" w:color="auto" w:sz="4" w:space="0"/>
              <w:bottom w:val="single" w:color="auto" w:sz="4" w:space="0"/>
              <w:right w:val="single" w:color="auto" w:sz="4" w:space="0"/>
            </w:tcBorders>
            <w:noWrap w:val="0"/>
            <w:vAlign w:val="center"/>
          </w:tcPr>
          <w:p w14:paraId="2310736D">
            <w:pPr>
              <w:snapToGrid w:val="0"/>
              <w:spacing w:line="360" w:lineRule="exact"/>
              <w:jc w:val="center"/>
              <w:rPr>
                <w:rFonts w:hint="default" w:ascii="宋体" w:hAnsi="宋体" w:cs="宋体"/>
                <w:color w:val="auto"/>
                <w:sz w:val="24"/>
                <w:szCs w:val="24"/>
                <w:highlight w:val="none"/>
                <w:lang w:val="en-US"/>
              </w:rPr>
            </w:pPr>
          </w:p>
        </w:tc>
        <w:tc>
          <w:tcPr>
            <w:tcW w:w="640" w:type="dxa"/>
            <w:tcBorders>
              <w:top w:val="single" w:color="auto" w:sz="4" w:space="0"/>
              <w:left w:val="single" w:color="auto" w:sz="4" w:space="0"/>
              <w:bottom w:val="single" w:color="auto" w:sz="4" w:space="0"/>
              <w:right w:val="single" w:color="auto" w:sz="4" w:space="0"/>
            </w:tcBorders>
            <w:noWrap w:val="0"/>
            <w:vAlign w:val="top"/>
          </w:tcPr>
          <w:p w14:paraId="4AD7A4E6">
            <w:pPr>
              <w:snapToGrid w:val="0"/>
              <w:spacing w:before="120" w:beforeLines="50" w:line="360" w:lineRule="auto"/>
              <w:rPr>
                <w:rFonts w:hint="eastAsia" w:ascii="宋体" w:hAnsi="宋体" w:cs="宋体"/>
                <w:color w:val="auto"/>
                <w:sz w:val="24"/>
                <w:szCs w:val="24"/>
                <w:highlight w:val="none"/>
              </w:rPr>
            </w:pPr>
          </w:p>
        </w:tc>
        <w:tc>
          <w:tcPr>
            <w:tcW w:w="2321" w:type="dxa"/>
            <w:tcBorders>
              <w:top w:val="single" w:color="auto" w:sz="4" w:space="0"/>
              <w:left w:val="single" w:color="auto" w:sz="4" w:space="0"/>
              <w:bottom w:val="single" w:color="auto" w:sz="4" w:space="0"/>
              <w:right w:val="single" w:color="auto" w:sz="4" w:space="0"/>
            </w:tcBorders>
            <w:noWrap w:val="0"/>
            <w:vAlign w:val="top"/>
          </w:tcPr>
          <w:p w14:paraId="7FF3C3F4">
            <w:pPr>
              <w:snapToGrid w:val="0"/>
              <w:spacing w:before="120" w:beforeLines="50" w:line="360" w:lineRule="auto"/>
              <w:rPr>
                <w:rFonts w:hint="eastAsia" w:ascii="宋体" w:hAnsi="宋体" w:cs="宋体"/>
                <w:color w:val="auto"/>
                <w:sz w:val="24"/>
                <w:szCs w:val="24"/>
                <w:highlight w:val="none"/>
              </w:rPr>
            </w:pPr>
          </w:p>
        </w:tc>
        <w:tc>
          <w:tcPr>
            <w:tcW w:w="1237" w:type="dxa"/>
            <w:tcBorders>
              <w:top w:val="single" w:color="auto" w:sz="4" w:space="0"/>
              <w:left w:val="single" w:color="auto" w:sz="4" w:space="0"/>
              <w:bottom w:val="single" w:color="auto" w:sz="4" w:space="0"/>
              <w:right w:val="single" w:color="auto" w:sz="4" w:space="0"/>
            </w:tcBorders>
            <w:noWrap w:val="0"/>
            <w:vAlign w:val="top"/>
          </w:tcPr>
          <w:p w14:paraId="53A4B70C">
            <w:pPr>
              <w:snapToGrid w:val="0"/>
              <w:spacing w:before="120" w:beforeLines="50" w:line="360" w:lineRule="auto"/>
              <w:rPr>
                <w:rFonts w:hint="eastAsia" w:ascii="宋体" w:hAnsi="宋体" w:cs="宋体"/>
                <w:color w:val="auto"/>
                <w:sz w:val="24"/>
                <w:szCs w:val="24"/>
                <w:highlight w:val="none"/>
              </w:rPr>
            </w:pPr>
          </w:p>
        </w:tc>
      </w:tr>
      <w:tr w14:paraId="2C31F9C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64" w:hRule="atLeast"/>
          <w:jc w:val="center"/>
        </w:trPr>
        <w:tc>
          <w:tcPr>
            <w:tcW w:w="523" w:type="dxa"/>
            <w:tcBorders>
              <w:top w:val="single" w:color="auto" w:sz="4" w:space="0"/>
              <w:left w:val="single" w:color="auto" w:sz="4" w:space="0"/>
              <w:bottom w:val="single" w:color="auto" w:sz="4" w:space="0"/>
              <w:right w:val="single" w:color="auto" w:sz="4" w:space="0"/>
            </w:tcBorders>
            <w:noWrap w:val="0"/>
            <w:vAlign w:val="center"/>
          </w:tcPr>
          <w:p w14:paraId="0301D155">
            <w:pPr>
              <w:snapToGrid w:val="0"/>
              <w:spacing w:line="360" w:lineRule="exact"/>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3</w:t>
            </w:r>
          </w:p>
        </w:tc>
        <w:tc>
          <w:tcPr>
            <w:tcW w:w="1150" w:type="dxa"/>
            <w:tcBorders>
              <w:top w:val="single" w:color="auto" w:sz="4" w:space="0"/>
              <w:left w:val="single" w:color="auto" w:sz="4" w:space="0"/>
              <w:bottom w:val="single" w:color="auto" w:sz="4" w:space="0"/>
              <w:right w:val="single" w:color="auto" w:sz="4" w:space="0"/>
            </w:tcBorders>
            <w:noWrap w:val="0"/>
            <w:vAlign w:val="center"/>
          </w:tcPr>
          <w:p w14:paraId="368C9654">
            <w:pPr>
              <w:snapToGrid w:val="0"/>
              <w:spacing w:line="360" w:lineRule="exact"/>
              <w:jc w:val="center"/>
              <w:rPr>
                <w:rFonts w:hint="eastAsia" w:ascii="宋体" w:hAnsi="宋体" w:cs="宋体"/>
                <w:color w:val="auto"/>
                <w:sz w:val="24"/>
                <w:szCs w:val="24"/>
                <w:highlight w:val="none"/>
              </w:rPr>
            </w:pPr>
          </w:p>
        </w:tc>
        <w:tc>
          <w:tcPr>
            <w:tcW w:w="4766" w:type="dxa"/>
            <w:tcBorders>
              <w:top w:val="single" w:color="auto" w:sz="4" w:space="0"/>
              <w:left w:val="single" w:color="auto" w:sz="4" w:space="0"/>
              <w:bottom w:val="single" w:color="auto" w:sz="4" w:space="0"/>
              <w:right w:val="single" w:color="auto" w:sz="4" w:space="0"/>
            </w:tcBorders>
            <w:noWrap w:val="0"/>
            <w:vAlign w:val="center"/>
          </w:tcPr>
          <w:p w14:paraId="15EBFF26">
            <w:pPr>
              <w:snapToGrid w:val="0"/>
              <w:spacing w:line="360" w:lineRule="exact"/>
              <w:jc w:val="center"/>
              <w:rPr>
                <w:rFonts w:hint="eastAsia" w:ascii="宋体" w:hAnsi="宋体" w:cs="宋体"/>
                <w:color w:val="auto"/>
                <w:sz w:val="24"/>
                <w:szCs w:val="24"/>
                <w:highlight w:val="none"/>
              </w:rPr>
            </w:pPr>
          </w:p>
        </w:tc>
        <w:tc>
          <w:tcPr>
            <w:tcW w:w="640" w:type="dxa"/>
            <w:tcBorders>
              <w:top w:val="single" w:color="auto" w:sz="4" w:space="0"/>
              <w:left w:val="single" w:color="auto" w:sz="4" w:space="0"/>
              <w:bottom w:val="single" w:color="auto" w:sz="4" w:space="0"/>
              <w:right w:val="single" w:color="auto" w:sz="4" w:space="0"/>
            </w:tcBorders>
            <w:noWrap w:val="0"/>
            <w:vAlign w:val="top"/>
          </w:tcPr>
          <w:p w14:paraId="3E3C7C3D">
            <w:pPr>
              <w:snapToGrid w:val="0"/>
              <w:spacing w:before="120" w:beforeLines="50" w:line="360" w:lineRule="auto"/>
              <w:rPr>
                <w:rFonts w:hint="eastAsia" w:ascii="宋体" w:hAnsi="宋体" w:cs="宋体"/>
                <w:color w:val="auto"/>
                <w:sz w:val="24"/>
                <w:szCs w:val="24"/>
                <w:highlight w:val="none"/>
              </w:rPr>
            </w:pPr>
          </w:p>
        </w:tc>
        <w:tc>
          <w:tcPr>
            <w:tcW w:w="2321" w:type="dxa"/>
            <w:tcBorders>
              <w:top w:val="single" w:color="auto" w:sz="4" w:space="0"/>
              <w:left w:val="single" w:color="auto" w:sz="4" w:space="0"/>
              <w:bottom w:val="single" w:color="auto" w:sz="4" w:space="0"/>
              <w:right w:val="single" w:color="auto" w:sz="4" w:space="0"/>
            </w:tcBorders>
            <w:noWrap w:val="0"/>
            <w:vAlign w:val="top"/>
          </w:tcPr>
          <w:p w14:paraId="5AF7E493">
            <w:pPr>
              <w:snapToGrid w:val="0"/>
              <w:spacing w:before="120" w:beforeLines="50" w:line="360" w:lineRule="auto"/>
              <w:rPr>
                <w:rFonts w:hint="eastAsia" w:ascii="宋体" w:hAnsi="宋体" w:cs="宋体"/>
                <w:color w:val="auto"/>
                <w:sz w:val="24"/>
                <w:szCs w:val="24"/>
                <w:highlight w:val="none"/>
              </w:rPr>
            </w:pPr>
          </w:p>
        </w:tc>
        <w:tc>
          <w:tcPr>
            <w:tcW w:w="1237" w:type="dxa"/>
            <w:tcBorders>
              <w:top w:val="single" w:color="auto" w:sz="4" w:space="0"/>
              <w:left w:val="single" w:color="auto" w:sz="4" w:space="0"/>
              <w:bottom w:val="single" w:color="auto" w:sz="4" w:space="0"/>
              <w:right w:val="single" w:color="auto" w:sz="4" w:space="0"/>
            </w:tcBorders>
            <w:noWrap w:val="0"/>
            <w:vAlign w:val="top"/>
          </w:tcPr>
          <w:p w14:paraId="7F804709">
            <w:pPr>
              <w:snapToGrid w:val="0"/>
              <w:spacing w:before="120" w:beforeLines="50" w:line="360" w:lineRule="auto"/>
              <w:rPr>
                <w:rFonts w:hint="eastAsia" w:ascii="宋体" w:hAnsi="宋体" w:cs="宋体"/>
                <w:color w:val="auto"/>
                <w:sz w:val="24"/>
                <w:szCs w:val="24"/>
                <w:highlight w:val="none"/>
              </w:rPr>
            </w:pPr>
          </w:p>
        </w:tc>
      </w:tr>
      <w:tr w14:paraId="4F449E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95" w:hRule="atLeast"/>
          <w:jc w:val="center"/>
        </w:trPr>
        <w:tc>
          <w:tcPr>
            <w:tcW w:w="523" w:type="dxa"/>
            <w:tcBorders>
              <w:top w:val="single" w:color="auto" w:sz="4" w:space="0"/>
              <w:left w:val="single" w:color="auto" w:sz="4" w:space="0"/>
              <w:bottom w:val="single" w:color="auto" w:sz="4" w:space="0"/>
              <w:right w:val="single" w:color="auto" w:sz="4" w:space="0"/>
            </w:tcBorders>
            <w:noWrap w:val="0"/>
            <w:vAlign w:val="center"/>
          </w:tcPr>
          <w:p w14:paraId="7E287E18">
            <w:pPr>
              <w:snapToGrid w:val="0"/>
              <w:spacing w:line="360" w:lineRule="exact"/>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4</w:t>
            </w:r>
          </w:p>
        </w:tc>
        <w:tc>
          <w:tcPr>
            <w:tcW w:w="1150" w:type="dxa"/>
            <w:tcBorders>
              <w:top w:val="single" w:color="auto" w:sz="4" w:space="0"/>
              <w:left w:val="single" w:color="auto" w:sz="4" w:space="0"/>
              <w:bottom w:val="single" w:color="auto" w:sz="4" w:space="0"/>
              <w:right w:val="single" w:color="auto" w:sz="4" w:space="0"/>
            </w:tcBorders>
            <w:noWrap w:val="0"/>
            <w:vAlign w:val="center"/>
          </w:tcPr>
          <w:p w14:paraId="4E527323">
            <w:pPr>
              <w:snapToGrid w:val="0"/>
              <w:spacing w:line="360" w:lineRule="exact"/>
              <w:jc w:val="center"/>
              <w:rPr>
                <w:rFonts w:hint="eastAsia" w:ascii="宋体" w:hAnsi="宋体" w:cs="宋体"/>
                <w:color w:val="auto"/>
                <w:sz w:val="24"/>
                <w:szCs w:val="24"/>
                <w:highlight w:val="none"/>
              </w:rPr>
            </w:pPr>
          </w:p>
        </w:tc>
        <w:tc>
          <w:tcPr>
            <w:tcW w:w="4766" w:type="dxa"/>
            <w:tcBorders>
              <w:top w:val="single" w:color="auto" w:sz="4" w:space="0"/>
              <w:left w:val="single" w:color="auto" w:sz="4" w:space="0"/>
              <w:bottom w:val="single" w:color="auto" w:sz="4" w:space="0"/>
              <w:right w:val="single" w:color="auto" w:sz="4" w:space="0"/>
            </w:tcBorders>
            <w:noWrap w:val="0"/>
            <w:vAlign w:val="center"/>
          </w:tcPr>
          <w:p w14:paraId="69B505E0">
            <w:pPr>
              <w:adjustRightInd w:val="0"/>
              <w:snapToGrid w:val="0"/>
              <w:spacing w:line="360" w:lineRule="exact"/>
              <w:jc w:val="left"/>
              <w:rPr>
                <w:rFonts w:hint="eastAsia" w:ascii="宋体" w:hAnsi="宋体" w:cs="宋体"/>
                <w:color w:val="auto"/>
                <w:sz w:val="24"/>
                <w:szCs w:val="24"/>
                <w:highlight w:val="none"/>
              </w:rPr>
            </w:pPr>
          </w:p>
        </w:tc>
        <w:tc>
          <w:tcPr>
            <w:tcW w:w="640" w:type="dxa"/>
            <w:tcBorders>
              <w:top w:val="single" w:color="auto" w:sz="4" w:space="0"/>
              <w:left w:val="single" w:color="auto" w:sz="4" w:space="0"/>
              <w:bottom w:val="single" w:color="auto" w:sz="4" w:space="0"/>
              <w:right w:val="single" w:color="auto" w:sz="4" w:space="0"/>
            </w:tcBorders>
            <w:noWrap w:val="0"/>
            <w:vAlign w:val="top"/>
          </w:tcPr>
          <w:p w14:paraId="3DEF3EEE">
            <w:pPr>
              <w:snapToGrid w:val="0"/>
              <w:spacing w:before="120" w:beforeLines="50" w:line="360" w:lineRule="auto"/>
              <w:ind w:left="86"/>
              <w:rPr>
                <w:rFonts w:hint="eastAsia" w:ascii="宋体" w:hAnsi="宋体" w:cs="宋体"/>
                <w:color w:val="auto"/>
                <w:sz w:val="24"/>
                <w:szCs w:val="24"/>
                <w:highlight w:val="none"/>
              </w:rPr>
            </w:pPr>
          </w:p>
        </w:tc>
        <w:tc>
          <w:tcPr>
            <w:tcW w:w="2321" w:type="dxa"/>
            <w:tcBorders>
              <w:top w:val="single" w:color="auto" w:sz="4" w:space="0"/>
              <w:left w:val="single" w:color="auto" w:sz="4" w:space="0"/>
              <w:bottom w:val="single" w:color="auto" w:sz="4" w:space="0"/>
              <w:right w:val="single" w:color="auto" w:sz="4" w:space="0"/>
            </w:tcBorders>
            <w:noWrap w:val="0"/>
            <w:vAlign w:val="top"/>
          </w:tcPr>
          <w:p w14:paraId="0AE1106A">
            <w:pPr>
              <w:snapToGrid w:val="0"/>
              <w:spacing w:before="120" w:beforeLines="50" w:line="360" w:lineRule="auto"/>
              <w:ind w:left="86"/>
              <w:rPr>
                <w:rFonts w:hint="eastAsia" w:ascii="宋体" w:hAnsi="宋体" w:cs="宋体"/>
                <w:color w:val="auto"/>
                <w:sz w:val="24"/>
                <w:szCs w:val="24"/>
                <w:highlight w:val="none"/>
              </w:rPr>
            </w:pPr>
          </w:p>
        </w:tc>
        <w:tc>
          <w:tcPr>
            <w:tcW w:w="1237" w:type="dxa"/>
            <w:tcBorders>
              <w:top w:val="single" w:color="auto" w:sz="4" w:space="0"/>
              <w:left w:val="single" w:color="auto" w:sz="4" w:space="0"/>
              <w:bottom w:val="single" w:color="auto" w:sz="4" w:space="0"/>
              <w:right w:val="single" w:color="auto" w:sz="4" w:space="0"/>
            </w:tcBorders>
            <w:noWrap w:val="0"/>
            <w:vAlign w:val="top"/>
          </w:tcPr>
          <w:p w14:paraId="4E23EA82">
            <w:pPr>
              <w:snapToGrid w:val="0"/>
              <w:spacing w:before="120" w:beforeLines="50" w:line="360" w:lineRule="auto"/>
              <w:ind w:left="86"/>
              <w:rPr>
                <w:rFonts w:hint="eastAsia" w:ascii="宋体" w:hAnsi="宋体" w:cs="宋体"/>
                <w:color w:val="auto"/>
                <w:sz w:val="24"/>
                <w:szCs w:val="24"/>
                <w:highlight w:val="none"/>
              </w:rPr>
            </w:pPr>
          </w:p>
        </w:tc>
      </w:tr>
      <w:tr w14:paraId="67B5A0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69" w:hRule="atLeast"/>
          <w:jc w:val="center"/>
        </w:trPr>
        <w:tc>
          <w:tcPr>
            <w:tcW w:w="523" w:type="dxa"/>
            <w:tcBorders>
              <w:top w:val="single" w:color="auto" w:sz="4" w:space="0"/>
              <w:left w:val="single" w:color="auto" w:sz="4" w:space="0"/>
              <w:bottom w:val="single" w:color="auto" w:sz="4" w:space="0"/>
              <w:right w:val="single" w:color="auto" w:sz="4" w:space="0"/>
            </w:tcBorders>
            <w:noWrap w:val="0"/>
            <w:vAlign w:val="center"/>
          </w:tcPr>
          <w:p w14:paraId="49326B20">
            <w:pPr>
              <w:snapToGrid w:val="0"/>
              <w:spacing w:line="360" w:lineRule="exact"/>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5</w:t>
            </w:r>
          </w:p>
        </w:tc>
        <w:tc>
          <w:tcPr>
            <w:tcW w:w="1150" w:type="dxa"/>
            <w:tcBorders>
              <w:top w:val="single" w:color="auto" w:sz="4" w:space="0"/>
              <w:left w:val="single" w:color="auto" w:sz="4" w:space="0"/>
              <w:bottom w:val="single" w:color="auto" w:sz="4" w:space="0"/>
              <w:right w:val="single" w:color="auto" w:sz="4" w:space="0"/>
            </w:tcBorders>
            <w:noWrap w:val="0"/>
            <w:vAlign w:val="center"/>
          </w:tcPr>
          <w:p w14:paraId="7CC4D227">
            <w:pPr>
              <w:snapToGrid w:val="0"/>
              <w:spacing w:line="360" w:lineRule="exact"/>
              <w:jc w:val="center"/>
              <w:rPr>
                <w:rFonts w:hint="eastAsia" w:ascii="宋体" w:hAnsi="宋体" w:cs="宋体"/>
                <w:color w:val="auto"/>
                <w:sz w:val="24"/>
                <w:szCs w:val="24"/>
                <w:highlight w:val="none"/>
              </w:rPr>
            </w:pPr>
          </w:p>
        </w:tc>
        <w:tc>
          <w:tcPr>
            <w:tcW w:w="4766" w:type="dxa"/>
            <w:tcBorders>
              <w:top w:val="single" w:color="auto" w:sz="4" w:space="0"/>
              <w:left w:val="single" w:color="auto" w:sz="4" w:space="0"/>
              <w:bottom w:val="single" w:color="auto" w:sz="4" w:space="0"/>
              <w:right w:val="single" w:color="auto" w:sz="4" w:space="0"/>
            </w:tcBorders>
            <w:noWrap w:val="0"/>
            <w:vAlign w:val="center"/>
          </w:tcPr>
          <w:p w14:paraId="2E9C95B5">
            <w:pPr>
              <w:adjustRightInd w:val="0"/>
              <w:snapToGrid w:val="0"/>
              <w:spacing w:line="360" w:lineRule="exact"/>
              <w:jc w:val="left"/>
              <w:rPr>
                <w:rFonts w:hint="eastAsia"/>
                <w:color w:val="auto"/>
                <w:sz w:val="24"/>
                <w:szCs w:val="24"/>
                <w:highlight w:val="none"/>
              </w:rPr>
            </w:pPr>
          </w:p>
        </w:tc>
        <w:tc>
          <w:tcPr>
            <w:tcW w:w="640" w:type="dxa"/>
            <w:tcBorders>
              <w:top w:val="single" w:color="auto" w:sz="4" w:space="0"/>
              <w:left w:val="single" w:color="auto" w:sz="4" w:space="0"/>
              <w:bottom w:val="single" w:color="auto" w:sz="4" w:space="0"/>
              <w:right w:val="single" w:color="auto" w:sz="4" w:space="0"/>
            </w:tcBorders>
            <w:noWrap w:val="0"/>
            <w:vAlign w:val="top"/>
          </w:tcPr>
          <w:p w14:paraId="2C52C54A">
            <w:pPr>
              <w:snapToGrid w:val="0"/>
              <w:spacing w:before="120" w:beforeLines="50" w:line="360" w:lineRule="auto"/>
              <w:rPr>
                <w:rFonts w:hint="eastAsia" w:ascii="宋体" w:hAnsi="宋体" w:cs="宋体"/>
                <w:color w:val="auto"/>
                <w:sz w:val="24"/>
                <w:szCs w:val="24"/>
                <w:highlight w:val="none"/>
              </w:rPr>
            </w:pPr>
          </w:p>
        </w:tc>
        <w:tc>
          <w:tcPr>
            <w:tcW w:w="2321" w:type="dxa"/>
            <w:tcBorders>
              <w:top w:val="single" w:color="auto" w:sz="4" w:space="0"/>
              <w:left w:val="single" w:color="auto" w:sz="4" w:space="0"/>
              <w:bottom w:val="single" w:color="auto" w:sz="4" w:space="0"/>
              <w:right w:val="single" w:color="auto" w:sz="4" w:space="0"/>
            </w:tcBorders>
            <w:noWrap w:val="0"/>
            <w:vAlign w:val="top"/>
          </w:tcPr>
          <w:p w14:paraId="1D249688">
            <w:pPr>
              <w:snapToGrid w:val="0"/>
              <w:spacing w:before="120" w:beforeLines="50" w:line="360" w:lineRule="auto"/>
              <w:rPr>
                <w:rFonts w:hint="eastAsia" w:ascii="宋体" w:hAnsi="宋体" w:cs="宋体"/>
                <w:color w:val="auto"/>
                <w:sz w:val="24"/>
                <w:szCs w:val="24"/>
                <w:highlight w:val="none"/>
              </w:rPr>
            </w:pPr>
          </w:p>
        </w:tc>
        <w:tc>
          <w:tcPr>
            <w:tcW w:w="1237" w:type="dxa"/>
            <w:tcBorders>
              <w:top w:val="single" w:color="auto" w:sz="4" w:space="0"/>
              <w:left w:val="single" w:color="auto" w:sz="4" w:space="0"/>
              <w:bottom w:val="single" w:color="auto" w:sz="4" w:space="0"/>
              <w:right w:val="single" w:color="auto" w:sz="4" w:space="0"/>
            </w:tcBorders>
            <w:noWrap w:val="0"/>
            <w:vAlign w:val="top"/>
          </w:tcPr>
          <w:p w14:paraId="3A9390D2">
            <w:pPr>
              <w:snapToGrid w:val="0"/>
              <w:spacing w:before="120" w:beforeLines="50" w:line="360" w:lineRule="auto"/>
              <w:rPr>
                <w:rFonts w:hint="eastAsia" w:ascii="宋体" w:hAnsi="宋体" w:cs="宋体"/>
                <w:color w:val="auto"/>
                <w:sz w:val="24"/>
                <w:szCs w:val="24"/>
                <w:highlight w:val="none"/>
              </w:rPr>
            </w:pPr>
          </w:p>
        </w:tc>
      </w:tr>
      <w:tr w14:paraId="6FF04C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85" w:hRule="atLeast"/>
          <w:jc w:val="center"/>
        </w:trPr>
        <w:tc>
          <w:tcPr>
            <w:tcW w:w="523" w:type="dxa"/>
            <w:tcBorders>
              <w:top w:val="single" w:color="auto" w:sz="4" w:space="0"/>
              <w:left w:val="single" w:color="auto" w:sz="4" w:space="0"/>
              <w:bottom w:val="single" w:color="auto" w:sz="4" w:space="0"/>
              <w:right w:val="single" w:color="auto" w:sz="4" w:space="0"/>
            </w:tcBorders>
            <w:noWrap w:val="0"/>
            <w:vAlign w:val="center"/>
          </w:tcPr>
          <w:p w14:paraId="30C6C87E">
            <w:pPr>
              <w:snapToGrid w:val="0"/>
              <w:spacing w:line="360" w:lineRule="exact"/>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6</w:t>
            </w:r>
          </w:p>
        </w:tc>
        <w:tc>
          <w:tcPr>
            <w:tcW w:w="1150" w:type="dxa"/>
            <w:tcBorders>
              <w:top w:val="single" w:color="auto" w:sz="4" w:space="0"/>
              <w:left w:val="single" w:color="auto" w:sz="4" w:space="0"/>
              <w:bottom w:val="single" w:color="auto" w:sz="4" w:space="0"/>
              <w:right w:val="single" w:color="auto" w:sz="4" w:space="0"/>
            </w:tcBorders>
            <w:noWrap w:val="0"/>
            <w:vAlign w:val="center"/>
          </w:tcPr>
          <w:p w14:paraId="4F4975C7">
            <w:pPr>
              <w:snapToGrid w:val="0"/>
              <w:spacing w:line="360" w:lineRule="exact"/>
              <w:jc w:val="center"/>
              <w:rPr>
                <w:rFonts w:hint="eastAsia" w:ascii="宋体" w:hAnsi="宋体" w:cs="宋体"/>
                <w:color w:val="auto"/>
                <w:sz w:val="24"/>
                <w:szCs w:val="24"/>
                <w:highlight w:val="none"/>
              </w:rPr>
            </w:pPr>
          </w:p>
        </w:tc>
        <w:tc>
          <w:tcPr>
            <w:tcW w:w="4766" w:type="dxa"/>
            <w:tcBorders>
              <w:top w:val="single" w:color="auto" w:sz="4" w:space="0"/>
              <w:left w:val="single" w:color="auto" w:sz="4" w:space="0"/>
              <w:bottom w:val="single" w:color="auto" w:sz="4" w:space="0"/>
              <w:right w:val="single" w:color="auto" w:sz="4" w:space="0"/>
            </w:tcBorders>
            <w:noWrap w:val="0"/>
            <w:vAlign w:val="center"/>
          </w:tcPr>
          <w:p w14:paraId="150FB6AC">
            <w:pPr>
              <w:widowControl/>
              <w:snapToGrid w:val="0"/>
              <w:spacing w:line="320" w:lineRule="exact"/>
              <w:jc w:val="left"/>
              <w:rPr>
                <w:rFonts w:hint="eastAsia" w:ascii="宋体" w:hAnsi="宋体" w:cs="宋体"/>
                <w:color w:val="auto"/>
                <w:sz w:val="24"/>
                <w:szCs w:val="24"/>
                <w:highlight w:val="none"/>
              </w:rPr>
            </w:pPr>
          </w:p>
        </w:tc>
        <w:tc>
          <w:tcPr>
            <w:tcW w:w="640" w:type="dxa"/>
            <w:tcBorders>
              <w:top w:val="single" w:color="auto" w:sz="4" w:space="0"/>
              <w:left w:val="single" w:color="auto" w:sz="4" w:space="0"/>
              <w:bottom w:val="single" w:color="auto" w:sz="4" w:space="0"/>
              <w:right w:val="single" w:color="auto" w:sz="4" w:space="0"/>
            </w:tcBorders>
            <w:noWrap w:val="0"/>
            <w:vAlign w:val="top"/>
          </w:tcPr>
          <w:p w14:paraId="06FBA5B5">
            <w:pPr>
              <w:snapToGrid w:val="0"/>
              <w:spacing w:before="120" w:beforeLines="50" w:line="360" w:lineRule="auto"/>
              <w:rPr>
                <w:rFonts w:hint="eastAsia" w:ascii="宋体" w:hAnsi="宋体" w:cs="宋体"/>
                <w:color w:val="auto"/>
                <w:sz w:val="24"/>
                <w:szCs w:val="24"/>
                <w:highlight w:val="none"/>
              </w:rPr>
            </w:pPr>
          </w:p>
        </w:tc>
        <w:tc>
          <w:tcPr>
            <w:tcW w:w="2321" w:type="dxa"/>
            <w:tcBorders>
              <w:top w:val="single" w:color="auto" w:sz="4" w:space="0"/>
              <w:left w:val="single" w:color="auto" w:sz="4" w:space="0"/>
              <w:bottom w:val="single" w:color="auto" w:sz="4" w:space="0"/>
              <w:right w:val="single" w:color="auto" w:sz="4" w:space="0"/>
            </w:tcBorders>
            <w:noWrap w:val="0"/>
            <w:vAlign w:val="top"/>
          </w:tcPr>
          <w:p w14:paraId="5ADB35F1">
            <w:pPr>
              <w:snapToGrid w:val="0"/>
              <w:spacing w:before="120" w:beforeLines="50" w:line="360" w:lineRule="auto"/>
              <w:rPr>
                <w:rFonts w:hint="eastAsia" w:ascii="宋体" w:hAnsi="宋体" w:cs="宋体"/>
                <w:color w:val="auto"/>
                <w:sz w:val="24"/>
                <w:szCs w:val="24"/>
                <w:highlight w:val="none"/>
              </w:rPr>
            </w:pPr>
          </w:p>
        </w:tc>
        <w:tc>
          <w:tcPr>
            <w:tcW w:w="1237" w:type="dxa"/>
            <w:tcBorders>
              <w:top w:val="single" w:color="auto" w:sz="4" w:space="0"/>
              <w:left w:val="single" w:color="auto" w:sz="4" w:space="0"/>
              <w:bottom w:val="single" w:color="auto" w:sz="4" w:space="0"/>
              <w:right w:val="single" w:color="auto" w:sz="4" w:space="0"/>
            </w:tcBorders>
            <w:noWrap w:val="0"/>
            <w:vAlign w:val="top"/>
          </w:tcPr>
          <w:p w14:paraId="4FC1022B">
            <w:pPr>
              <w:snapToGrid w:val="0"/>
              <w:spacing w:before="120" w:beforeLines="50" w:line="360" w:lineRule="auto"/>
              <w:rPr>
                <w:rFonts w:hint="eastAsia" w:ascii="宋体" w:hAnsi="宋体" w:cs="宋体"/>
                <w:color w:val="auto"/>
                <w:sz w:val="24"/>
                <w:szCs w:val="24"/>
                <w:highlight w:val="none"/>
              </w:rPr>
            </w:pPr>
          </w:p>
        </w:tc>
      </w:tr>
      <w:tr w14:paraId="384C6D1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5" w:hRule="atLeast"/>
          <w:jc w:val="center"/>
        </w:trPr>
        <w:tc>
          <w:tcPr>
            <w:tcW w:w="523" w:type="dxa"/>
            <w:tcBorders>
              <w:top w:val="single" w:color="auto" w:sz="4" w:space="0"/>
              <w:left w:val="single" w:color="auto" w:sz="4" w:space="0"/>
              <w:bottom w:val="single" w:color="auto" w:sz="4" w:space="0"/>
              <w:right w:val="single" w:color="auto" w:sz="4" w:space="0"/>
            </w:tcBorders>
            <w:noWrap w:val="0"/>
            <w:vAlign w:val="center"/>
          </w:tcPr>
          <w:p w14:paraId="72E1ECE2">
            <w:pPr>
              <w:snapToGrid w:val="0"/>
              <w:spacing w:line="360" w:lineRule="exact"/>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7</w:t>
            </w:r>
          </w:p>
        </w:tc>
        <w:tc>
          <w:tcPr>
            <w:tcW w:w="1150" w:type="dxa"/>
            <w:tcBorders>
              <w:top w:val="single" w:color="auto" w:sz="4" w:space="0"/>
              <w:left w:val="single" w:color="auto" w:sz="4" w:space="0"/>
              <w:bottom w:val="single" w:color="auto" w:sz="4" w:space="0"/>
              <w:right w:val="single" w:color="auto" w:sz="4" w:space="0"/>
            </w:tcBorders>
            <w:noWrap w:val="0"/>
            <w:vAlign w:val="center"/>
          </w:tcPr>
          <w:p w14:paraId="17F50829">
            <w:pPr>
              <w:snapToGrid w:val="0"/>
              <w:spacing w:line="360" w:lineRule="exact"/>
              <w:jc w:val="center"/>
              <w:rPr>
                <w:rFonts w:hint="eastAsia" w:ascii="宋体" w:hAnsi="宋体" w:cs="宋体"/>
                <w:color w:val="auto"/>
                <w:sz w:val="24"/>
                <w:szCs w:val="24"/>
                <w:highlight w:val="none"/>
              </w:rPr>
            </w:pPr>
          </w:p>
        </w:tc>
        <w:tc>
          <w:tcPr>
            <w:tcW w:w="4766" w:type="dxa"/>
            <w:tcBorders>
              <w:top w:val="single" w:color="auto" w:sz="4" w:space="0"/>
              <w:left w:val="single" w:color="auto" w:sz="4" w:space="0"/>
              <w:bottom w:val="single" w:color="auto" w:sz="4" w:space="0"/>
              <w:right w:val="single" w:color="auto" w:sz="4" w:space="0"/>
            </w:tcBorders>
            <w:noWrap w:val="0"/>
            <w:vAlign w:val="center"/>
          </w:tcPr>
          <w:p w14:paraId="21916633">
            <w:pPr>
              <w:snapToGrid w:val="0"/>
              <w:spacing w:line="360" w:lineRule="exact"/>
              <w:rPr>
                <w:rFonts w:hint="eastAsia" w:ascii="宋体" w:hAnsi="宋体" w:cs="宋体"/>
                <w:color w:val="auto"/>
                <w:sz w:val="24"/>
                <w:szCs w:val="24"/>
                <w:highlight w:val="none"/>
              </w:rPr>
            </w:pPr>
          </w:p>
        </w:tc>
        <w:tc>
          <w:tcPr>
            <w:tcW w:w="640" w:type="dxa"/>
            <w:tcBorders>
              <w:top w:val="single" w:color="auto" w:sz="4" w:space="0"/>
              <w:left w:val="single" w:color="auto" w:sz="4" w:space="0"/>
              <w:bottom w:val="single" w:color="auto" w:sz="4" w:space="0"/>
              <w:right w:val="single" w:color="auto" w:sz="4" w:space="0"/>
            </w:tcBorders>
            <w:noWrap w:val="0"/>
            <w:vAlign w:val="top"/>
          </w:tcPr>
          <w:p w14:paraId="74BB9672">
            <w:pPr>
              <w:snapToGrid w:val="0"/>
              <w:spacing w:before="120" w:beforeLines="50" w:line="360" w:lineRule="auto"/>
              <w:rPr>
                <w:rFonts w:hint="eastAsia" w:ascii="宋体" w:hAnsi="宋体" w:cs="宋体"/>
                <w:color w:val="auto"/>
                <w:sz w:val="24"/>
                <w:szCs w:val="24"/>
                <w:highlight w:val="none"/>
              </w:rPr>
            </w:pPr>
          </w:p>
        </w:tc>
        <w:tc>
          <w:tcPr>
            <w:tcW w:w="2321" w:type="dxa"/>
            <w:tcBorders>
              <w:top w:val="single" w:color="auto" w:sz="4" w:space="0"/>
              <w:left w:val="single" w:color="auto" w:sz="4" w:space="0"/>
              <w:bottom w:val="single" w:color="auto" w:sz="4" w:space="0"/>
              <w:right w:val="single" w:color="auto" w:sz="4" w:space="0"/>
            </w:tcBorders>
            <w:noWrap w:val="0"/>
            <w:vAlign w:val="top"/>
          </w:tcPr>
          <w:p w14:paraId="708A889B">
            <w:pPr>
              <w:snapToGrid w:val="0"/>
              <w:spacing w:before="120" w:beforeLines="50" w:line="360" w:lineRule="auto"/>
              <w:rPr>
                <w:rFonts w:hint="eastAsia" w:ascii="宋体" w:hAnsi="宋体" w:cs="宋体"/>
                <w:color w:val="auto"/>
                <w:sz w:val="24"/>
                <w:szCs w:val="24"/>
                <w:highlight w:val="none"/>
              </w:rPr>
            </w:pPr>
          </w:p>
        </w:tc>
        <w:tc>
          <w:tcPr>
            <w:tcW w:w="1237" w:type="dxa"/>
            <w:tcBorders>
              <w:top w:val="single" w:color="auto" w:sz="4" w:space="0"/>
              <w:left w:val="single" w:color="auto" w:sz="4" w:space="0"/>
              <w:bottom w:val="single" w:color="auto" w:sz="4" w:space="0"/>
              <w:right w:val="single" w:color="auto" w:sz="4" w:space="0"/>
            </w:tcBorders>
            <w:noWrap w:val="0"/>
            <w:vAlign w:val="top"/>
          </w:tcPr>
          <w:p w14:paraId="7377AB3B">
            <w:pPr>
              <w:snapToGrid w:val="0"/>
              <w:spacing w:before="120" w:beforeLines="50" w:line="360" w:lineRule="auto"/>
              <w:rPr>
                <w:rFonts w:hint="eastAsia" w:ascii="宋体" w:hAnsi="宋体" w:cs="宋体"/>
                <w:color w:val="auto"/>
                <w:sz w:val="24"/>
                <w:szCs w:val="24"/>
                <w:highlight w:val="none"/>
              </w:rPr>
            </w:pPr>
          </w:p>
        </w:tc>
      </w:tr>
      <w:tr w14:paraId="26F3D3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3" w:hRule="atLeast"/>
          <w:jc w:val="center"/>
        </w:trPr>
        <w:tc>
          <w:tcPr>
            <w:tcW w:w="523" w:type="dxa"/>
            <w:tcBorders>
              <w:top w:val="single" w:color="auto" w:sz="4" w:space="0"/>
              <w:left w:val="single" w:color="auto" w:sz="4" w:space="0"/>
              <w:bottom w:val="single" w:color="auto" w:sz="4" w:space="0"/>
              <w:right w:val="single" w:color="auto" w:sz="4" w:space="0"/>
            </w:tcBorders>
            <w:noWrap w:val="0"/>
            <w:vAlign w:val="center"/>
          </w:tcPr>
          <w:p w14:paraId="44463BE2">
            <w:pPr>
              <w:snapToGrid w:val="0"/>
              <w:spacing w:line="360" w:lineRule="exact"/>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8</w:t>
            </w:r>
          </w:p>
        </w:tc>
        <w:tc>
          <w:tcPr>
            <w:tcW w:w="1150" w:type="dxa"/>
            <w:tcBorders>
              <w:top w:val="single" w:color="auto" w:sz="4" w:space="0"/>
              <w:left w:val="single" w:color="auto" w:sz="4" w:space="0"/>
              <w:bottom w:val="single" w:color="auto" w:sz="4" w:space="0"/>
              <w:right w:val="single" w:color="auto" w:sz="4" w:space="0"/>
            </w:tcBorders>
            <w:noWrap w:val="0"/>
            <w:vAlign w:val="center"/>
          </w:tcPr>
          <w:p w14:paraId="7CF56165">
            <w:pPr>
              <w:snapToGrid w:val="0"/>
              <w:spacing w:line="360" w:lineRule="exact"/>
              <w:jc w:val="center"/>
              <w:rPr>
                <w:rFonts w:hint="eastAsia" w:ascii="宋体" w:hAnsi="宋体" w:cs="宋体"/>
                <w:color w:val="auto"/>
                <w:sz w:val="24"/>
                <w:szCs w:val="24"/>
                <w:highlight w:val="none"/>
              </w:rPr>
            </w:pPr>
          </w:p>
        </w:tc>
        <w:tc>
          <w:tcPr>
            <w:tcW w:w="4766" w:type="dxa"/>
            <w:tcBorders>
              <w:top w:val="single" w:color="auto" w:sz="4" w:space="0"/>
              <w:left w:val="single" w:color="auto" w:sz="4" w:space="0"/>
              <w:bottom w:val="single" w:color="auto" w:sz="4" w:space="0"/>
              <w:right w:val="single" w:color="auto" w:sz="4" w:space="0"/>
            </w:tcBorders>
            <w:noWrap w:val="0"/>
            <w:vAlign w:val="center"/>
          </w:tcPr>
          <w:p w14:paraId="4BB17820">
            <w:pPr>
              <w:snapToGrid w:val="0"/>
              <w:spacing w:line="360" w:lineRule="exact"/>
              <w:rPr>
                <w:rFonts w:hint="eastAsia" w:ascii="宋体" w:hAnsi="宋体" w:cs="宋体"/>
                <w:color w:val="auto"/>
                <w:sz w:val="24"/>
                <w:szCs w:val="24"/>
                <w:highlight w:val="none"/>
              </w:rPr>
            </w:pPr>
          </w:p>
        </w:tc>
        <w:tc>
          <w:tcPr>
            <w:tcW w:w="640" w:type="dxa"/>
            <w:tcBorders>
              <w:top w:val="single" w:color="auto" w:sz="4" w:space="0"/>
              <w:left w:val="single" w:color="auto" w:sz="4" w:space="0"/>
              <w:bottom w:val="single" w:color="auto" w:sz="4" w:space="0"/>
              <w:right w:val="single" w:color="auto" w:sz="4" w:space="0"/>
            </w:tcBorders>
            <w:noWrap w:val="0"/>
            <w:vAlign w:val="top"/>
          </w:tcPr>
          <w:p w14:paraId="63379801">
            <w:pPr>
              <w:snapToGrid w:val="0"/>
              <w:spacing w:before="120" w:beforeLines="50" w:line="360" w:lineRule="auto"/>
              <w:rPr>
                <w:rFonts w:hint="eastAsia" w:ascii="宋体" w:hAnsi="宋体" w:cs="宋体"/>
                <w:color w:val="auto"/>
                <w:sz w:val="24"/>
                <w:szCs w:val="24"/>
                <w:highlight w:val="none"/>
              </w:rPr>
            </w:pPr>
          </w:p>
        </w:tc>
        <w:tc>
          <w:tcPr>
            <w:tcW w:w="2321" w:type="dxa"/>
            <w:tcBorders>
              <w:top w:val="single" w:color="auto" w:sz="4" w:space="0"/>
              <w:left w:val="single" w:color="auto" w:sz="4" w:space="0"/>
              <w:bottom w:val="single" w:color="auto" w:sz="4" w:space="0"/>
              <w:right w:val="single" w:color="auto" w:sz="4" w:space="0"/>
            </w:tcBorders>
            <w:noWrap w:val="0"/>
            <w:vAlign w:val="top"/>
          </w:tcPr>
          <w:p w14:paraId="02D8202D">
            <w:pPr>
              <w:snapToGrid w:val="0"/>
              <w:spacing w:before="120" w:beforeLines="50" w:line="360" w:lineRule="auto"/>
              <w:rPr>
                <w:rFonts w:hint="eastAsia" w:ascii="宋体" w:hAnsi="宋体" w:cs="宋体"/>
                <w:color w:val="auto"/>
                <w:sz w:val="24"/>
                <w:szCs w:val="24"/>
                <w:highlight w:val="none"/>
              </w:rPr>
            </w:pPr>
          </w:p>
        </w:tc>
        <w:tc>
          <w:tcPr>
            <w:tcW w:w="1237" w:type="dxa"/>
            <w:tcBorders>
              <w:top w:val="single" w:color="auto" w:sz="4" w:space="0"/>
              <w:left w:val="single" w:color="auto" w:sz="4" w:space="0"/>
              <w:bottom w:val="single" w:color="auto" w:sz="4" w:space="0"/>
              <w:right w:val="single" w:color="auto" w:sz="4" w:space="0"/>
            </w:tcBorders>
            <w:noWrap w:val="0"/>
            <w:vAlign w:val="top"/>
          </w:tcPr>
          <w:p w14:paraId="72B6B808">
            <w:pPr>
              <w:snapToGrid w:val="0"/>
              <w:spacing w:before="120" w:beforeLines="50" w:line="360" w:lineRule="auto"/>
              <w:rPr>
                <w:rFonts w:hint="eastAsia" w:ascii="宋体" w:hAnsi="宋体" w:cs="宋体"/>
                <w:color w:val="auto"/>
                <w:sz w:val="24"/>
                <w:szCs w:val="24"/>
                <w:highlight w:val="none"/>
              </w:rPr>
            </w:pPr>
          </w:p>
        </w:tc>
      </w:tr>
      <w:tr w14:paraId="10FF71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95" w:hRule="atLeast"/>
          <w:jc w:val="center"/>
        </w:trPr>
        <w:tc>
          <w:tcPr>
            <w:tcW w:w="523" w:type="dxa"/>
            <w:tcBorders>
              <w:top w:val="single" w:color="auto" w:sz="4" w:space="0"/>
              <w:left w:val="single" w:color="auto" w:sz="4" w:space="0"/>
              <w:bottom w:val="single" w:color="auto" w:sz="4" w:space="0"/>
              <w:right w:val="single" w:color="auto" w:sz="4" w:space="0"/>
            </w:tcBorders>
            <w:noWrap w:val="0"/>
            <w:vAlign w:val="center"/>
          </w:tcPr>
          <w:p w14:paraId="3F912FDA">
            <w:pPr>
              <w:snapToGrid w:val="0"/>
              <w:spacing w:line="360" w:lineRule="exact"/>
              <w:jc w:val="center"/>
              <w:rPr>
                <w:rFonts w:hint="eastAsia" w:ascii="宋体" w:hAnsi="宋体" w:cs="宋体"/>
                <w:color w:val="auto"/>
                <w:sz w:val="24"/>
                <w:szCs w:val="24"/>
                <w:highlight w:val="none"/>
              </w:rPr>
            </w:pPr>
          </w:p>
        </w:tc>
        <w:tc>
          <w:tcPr>
            <w:tcW w:w="1150" w:type="dxa"/>
            <w:tcBorders>
              <w:top w:val="single" w:color="auto" w:sz="4" w:space="0"/>
              <w:left w:val="single" w:color="auto" w:sz="4" w:space="0"/>
              <w:bottom w:val="single" w:color="auto" w:sz="4" w:space="0"/>
              <w:right w:val="single" w:color="auto" w:sz="4" w:space="0"/>
            </w:tcBorders>
            <w:noWrap w:val="0"/>
            <w:vAlign w:val="top"/>
          </w:tcPr>
          <w:p w14:paraId="4FCA19E8">
            <w:pPr>
              <w:snapToGrid w:val="0"/>
              <w:spacing w:before="120" w:beforeLines="50" w:line="360" w:lineRule="auto"/>
              <w:jc w:val="center"/>
              <w:rPr>
                <w:rFonts w:hint="eastAsia" w:ascii="宋体" w:hAnsi="宋体" w:cs="宋体"/>
                <w:color w:val="auto"/>
                <w:sz w:val="24"/>
                <w:szCs w:val="24"/>
                <w:highlight w:val="none"/>
              </w:rPr>
            </w:pPr>
          </w:p>
        </w:tc>
        <w:tc>
          <w:tcPr>
            <w:tcW w:w="4766" w:type="dxa"/>
            <w:tcBorders>
              <w:top w:val="single" w:color="auto" w:sz="4" w:space="0"/>
              <w:left w:val="single" w:color="auto" w:sz="4" w:space="0"/>
              <w:bottom w:val="single" w:color="auto" w:sz="4" w:space="0"/>
              <w:right w:val="single" w:color="auto" w:sz="4" w:space="0"/>
            </w:tcBorders>
            <w:noWrap w:val="0"/>
            <w:vAlign w:val="top"/>
          </w:tcPr>
          <w:p w14:paraId="01B2445A">
            <w:pPr>
              <w:snapToGrid w:val="0"/>
              <w:spacing w:before="120" w:beforeLines="50" w:line="360" w:lineRule="auto"/>
              <w:jc w:val="center"/>
              <w:rPr>
                <w:rFonts w:hint="eastAsia" w:ascii="宋体" w:hAnsi="宋体" w:cs="宋体"/>
                <w:color w:val="auto"/>
                <w:sz w:val="24"/>
                <w:szCs w:val="24"/>
                <w:highlight w:val="none"/>
              </w:rPr>
            </w:pPr>
          </w:p>
        </w:tc>
        <w:tc>
          <w:tcPr>
            <w:tcW w:w="640" w:type="dxa"/>
            <w:tcBorders>
              <w:top w:val="single" w:color="auto" w:sz="4" w:space="0"/>
              <w:left w:val="single" w:color="auto" w:sz="4" w:space="0"/>
              <w:bottom w:val="single" w:color="auto" w:sz="4" w:space="0"/>
              <w:right w:val="single" w:color="auto" w:sz="4" w:space="0"/>
            </w:tcBorders>
            <w:noWrap w:val="0"/>
            <w:vAlign w:val="top"/>
          </w:tcPr>
          <w:p w14:paraId="0A1E0EAD">
            <w:pPr>
              <w:snapToGrid w:val="0"/>
              <w:spacing w:before="120" w:beforeLines="50" w:line="360" w:lineRule="auto"/>
              <w:rPr>
                <w:rFonts w:hint="eastAsia" w:ascii="宋体" w:hAnsi="宋体" w:cs="宋体"/>
                <w:color w:val="auto"/>
                <w:sz w:val="24"/>
                <w:szCs w:val="24"/>
                <w:highlight w:val="none"/>
              </w:rPr>
            </w:pPr>
          </w:p>
        </w:tc>
        <w:tc>
          <w:tcPr>
            <w:tcW w:w="2321" w:type="dxa"/>
            <w:tcBorders>
              <w:top w:val="single" w:color="auto" w:sz="4" w:space="0"/>
              <w:left w:val="single" w:color="auto" w:sz="4" w:space="0"/>
              <w:bottom w:val="single" w:color="auto" w:sz="4" w:space="0"/>
              <w:right w:val="single" w:color="auto" w:sz="4" w:space="0"/>
            </w:tcBorders>
            <w:noWrap w:val="0"/>
            <w:vAlign w:val="top"/>
          </w:tcPr>
          <w:p w14:paraId="202BF9B9">
            <w:pPr>
              <w:snapToGrid w:val="0"/>
              <w:spacing w:before="120" w:beforeLines="50" w:line="360" w:lineRule="auto"/>
              <w:rPr>
                <w:rFonts w:hint="eastAsia" w:ascii="宋体" w:hAnsi="宋体" w:cs="宋体"/>
                <w:color w:val="auto"/>
                <w:sz w:val="24"/>
                <w:szCs w:val="24"/>
                <w:highlight w:val="none"/>
              </w:rPr>
            </w:pPr>
          </w:p>
        </w:tc>
        <w:tc>
          <w:tcPr>
            <w:tcW w:w="1237" w:type="dxa"/>
            <w:tcBorders>
              <w:top w:val="single" w:color="auto" w:sz="4" w:space="0"/>
              <w:left w:val="single" w:color="auto" w:sz="4" w:space="0"/>
              <w:bottom w:val="single" w:color="auto" w:sz="4" w:space="0"/>
              <w:right w:val="single" w:color="auto" w:sz="4" w:space="0"/>
            </w:tcBorders>
            <w:noWrap w:val="0"/>
            <w:vAlign w:val="top"/>
          </w:tcPr>
          <w:p w14:paraId="49934113">
            <w:pPr>
              <w:snapToGrid w:val="0"/>
              <w:spacing w:before="120" w:beforeLines="50" w:line="360" w:lineRule="auto"/>
              <w:rPr>
                <w:rFonts w:hint="eastAsia" w:ascii="宋体" w:hAnsi="宋体" w:cs="宋体"/>
                <w:color w:val="auto"/>
                <w:sz w:val="24"/>
                <w:szCs w:val="24"/>
                <w:highlight w:val="none"/>
              </w:rPr>
            </w:pPr>
          </w:p>
        </w:tc>
      </w:tr>
    </w:tbl>
    <w:p w14:paraId="11278C38">
      <w:pPr>
        <w:snapToGrid w:val="0"/>
        <w:spacing w:line="340" w:lineRule="exact"/>
        <w:rPr>
          <w:rFonts w:ascii="宋体" w:hAnsi="宋体"/>
          <w:b/>
          <w:color w:val="auto"/>
          <w:sz w:val="24"/>
          <w:szCs w:val="20"/>
          <w:highlight w:val="none"/>
          <w:u w:val="single"/>
          <w:shd w:val="pct10" w:color="auto" w:fill="FFFFFF"/>
        </w:rPr>
      </w:pPr>
      <w:r>
        <w:rPr>
          <w:rFonts w:hint="eastAsia" w:ascii="宋体" w:hAnsi="宋体"/>
          <w:b/>
          <w:color w:val="auto"/>
          <w:sz w:val="24"/>
          <w:szCs w:val="20"/>
          <w:highlight w:val="none"/>
          <w:u w:val="single"/>
          <w:shd w:val="pct10" w:color="auto" w:fill="FFFFFF"/>
        </w:rPr>
        <w:t>注：1、投标人应在此表中将招标文件中列明</w:t>
      </w:r>
      <w:bookmarkStart w:id="65" w:name="_Hlk535995896"/>
      <w:r>
        <w:rPr>
          <w:rFonts w:hint="eastAsia" w:ascii="宋体" w:hAnsi="宋体"/>
          <w:b/>
          <w:color w:val="auto"/>
          <w:sz w:val="24"/>
          <w:szCs w:val="20"/>
          <w:highlight w:val="none"/>
          <w:u w:val="single"/>
          <w:shd w:val="pct10" w:color="auto" w:fill="FFFFFF"/>
        </w:rPr>
        <w:t>的商务要求和技术参数要求的正偏离或负偏离的应标内容详细写明，</w:t>
      </w:r>
      <w:bookmarkEnd w:id="65"/>
      <w:r>
        <w:rPr>
          <w:rFonts w:hint="eastAsia" w:ascii="宋体" w:hAnsi="宋体"/>
          <w:b/>
          <w:color w:val="auto"/>
          <w:sz w:val="24"/>
          <w:szCs w:val="20"/>
          <w:highlight w:val="none"/>
          <w:u w:val="single"/>
          <w:shd w:val="pct10" w:color="auto" w:fill="FFFFFF"/>
        </w:rPr>
        <w:t>特别是勿遗漏打▲的商务和技术要求的应标内容。</w:t>
      </w:r>
      <w:r>
        <w:rPr>
          <w:rFonts w:hint="eastAsia" w:hAnsi="宋体"/>
          <w:b/>
          <w:color w:val="auto"/>
          <w:sz w:val="24"/>
          <w:highlight w:val="none"/>
          <w:u w:val="single"/>
          <w:shd w:val="pct10" w:color="auto" w:fill="FFFFFF"/>
        </w:rPr>
        <w:t>投标人可根据自身认为需响应的事项，自行增加行数。</w:t>
      </w:r>
    </w:p>
    <w:p w14:paraId="15699831">
      <w:pPr>
        <w:snapToGrid w:val="0"/>
        <w:spacing w:line="340" w:lineRule="exact"/>
        <w:rPr>
          <w:rFonts w:ascii="宋体" w:hAnsi="宋体"/>
          <w:b/>
          <w:color w:val="auto"/>
          <w:sz w:val="24"/>
          <w:szCs w:val="20"/>
          <w:highlight w:val="none"/>
          <w:u w:val="single"/>
          <w:shd w:val="pct10" w:color="auto" w:fill="FFFFFF"/>
        </w:rPr>
      </w:pPr>
      <w:r>
        <w:rPr>
          <w:rFonts w:ascii="宋体" w:hAnsi="宋体"/>
          <w:b/>
          <w:color w:val="auto"/>
          <w:sz w:val="24"/>
          <w:szCs w:val="20"/>
          <w:highlight w:val="none"/>
          <w:u w:val="single"/>
          <w:shd w:val="pct10" w:color="auto" w:fill="FFFFFF"/>
        </w:rPr>
        <w:t>2</w:t>
      </w:r>
      <w:r>
        <w:rPr>
          <w:rFonts w:hint="eastAsia" w:ascii="宋体" w:hAnsi="宋体"/>
          <w:b/>
          <w:color w:val="auto"/>
          <w:sz w:val="24"/>
          <w:szCs w:val="20"/>
          <w:highlight w:val="none"/>
          <w:u w:val="single"/>
          <w:shd w:val="pct10" w:color="auto" w:fill="FFFFFF"/>
        </w:rPr>
        <w:t>、如果仅标注完全响应而不列出详细的应标内容，不予认可该商务及技术条款已作响应。</w:t>
      </w:r>
    </w:p>
    <w:p w14:paraId="17CDA500">
      <w:pPr>
        <w:pStyle w:val="29"/>
        <w:snapToGrid w:val="0"/>
        <w:spacing w:beforeLines="0" w:afterLines="0" w:line="340" w:lineRule="exact"/>
        <w:ind w:firstLine="280" w:firstLineChars="100"/>
        <w:rPr>
          <w:rFonts w:hAnsi="宋体"/>
          <w:color w:val="auto"/>
          <w:highlight w:val="none"/>
        </w:rPr>
      </w:pPr>
      <w:r>
        <w:rPr>
          <w:rFonts w:hint="eastAsia" w:hAnsi="宋体"/>
          <w:color w:val="auto"/>
          <w:spacing w:val="20"/>
          <w:highlight w:val="none"/>
        </w:rPr>
        <w:t>法定代表人签字（或盖章）：            投标人（盖章）：</w:t>
      </w:r>
    </w:p>
    <w:p w14:paraId="7CB5BEFE">
      <w:pPr>
        <w:widowControl/>
        <w:spacing w:line="340" w:lineRule="exact"/>
        <w:jc w:val="right"/>
        <w:rPr>
          <w:rFonts w:hint="eastAsia" w:ascii="宋体" w:hAnsi="宋体"/>
          <w:color w:val="auto"/>
          <w:sz w:val="24"/>
          <w:highlight w:val="none"/>
        </w:rPr>
      </w:pPr>
      <w:r>
        <w:rPr>
          <w:rFonts w:hint="eastAsia" w:ascii="宋体" w:hAnsi="宋体"/>
          <w:color w:val="auto"/>
          <w:sz w:val="24"/>
          <w:highlight w:val="none"/>
        </w:rPr>
        <w:t xml:space="preserve">  日期：</w:t>
      </w: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日</w:t>
      </w:r>
    </w:p>
    <w:p w14:paraId="5CF2A018">
      <w:pPr>
        <w:rPr>
          <w:rFonts w:hint="eastAsia" w:ascii="宋体" w:hAnsi="宋体"/>
          <w:color w:val="auto"/>
          <w:sz w:val="24"/>
          <w:highlight w:val="none"/>
        </w:rPr>
        <w:sectPr>
          <w:pgSz w:w="11906" w:h="16838"/>
          <w:pgMar w:top="1020" w:right="1587" w:bottom="850" w:left="1587" w:header="851" w:footer="850" w:gutter="0"/>
          <w:pgNumType w:fmt="decimal"/>
          <w:cols w:space="0" w:num="1"/>
          <w:rtlGutter w:val="0"/>
          <w:docGrid w:linePitch="0" w:charSpace="0"/>
        </w:sectPr>
      </w:pPr>
      <w:r>
        <w:rPr>
          <w:rFonts w:hint="eastAsia" w:ascii="宋体" w:hAnsi="宋体"/>
          <w:color w:val="auto"/>
          <w:sz w:val="24"/>
          <w:highlight w:val="none"/>
        </w:rPr>
        <w:br w:type="page"/>
      </w:r>
    </w:p>
    <w:p w14:paraId="25E6C10B">
      <w:pPr>
        <w:snapToGrid w:val="0"/>
        <w:spacing w:line="400" w:lineRule="exact"/>
        <w:jc w:val="center"/>
        <w:rPr>
          <w:rFonts w:hint="eastAsia" w:ascii="宋体" w:hAnsi="宋体" w:eastAsia="宋体" w:cs="宋体"/>
          <w:b/>
          <w:color w:val="auto"/>
          <w:sz w:val="30"/>
          <w:szCs w:val="30"/>
          <w:highlight w:val="none"/>
          <w:shd w:val="clear" w:color="auto" w:fill="auto"/>
        </w:rPr>
      </w:pPr>
      <w:bookmarkStart w:id="66" w:name="_Toc11354"/>
      <w:bookmarkStart w:id="67" w:name="_Toc16395"/>
      <w:bookmarkStart w:id="68" w:name="_Toc466534754"/>
      <w:bookmarkStart w:id="69" w:name="_Toc265669851"/>
      <w:r>
        <w:rPr>
          <w:rFonts w:hint="eastAsia" w:ascii="宋体" w:hAnsi="宋体" w:eastAsia="宋体" w:cs="宋体"/>
          <w:b/>
          <w:color w:val="auto"/>
          <w:sz w:val="30"/>
          <w:szCs w:val="30"/>
          <w:highlight w:val="none"/>
          <w:shd w:val="clear" w:color="auto" w:fill="auto"/>
        </w:rPr>
        <w:t>三、报价文件格式</w:t>
      </w:r>
      <w:bookmarkEnd w:id="66"/>
      <w:bookmarkEnd w:id="67"/>
      <w:bookmarkEnd w:id="68"/>
      <w:bookmarkEnd w:id="69"/>
    </w:p>
    <w:p w14:paraId="7BCB81A1">
      <w:pPr>
        <w:snapToGrid w:val="0"/>
        <w:spacing w:before="120" w:beforeLines="50" w:after="50"/>
        <w:ind w:firstLine="645"/>
        <w:jc w:val="center"/>
        <w:rPr>
          <w:rFonts w:hint="eastAsia" w:ascii="宋体" w:hAnsi="宋体" w:eastAsia="宋体" w:cs="宋体"/>
          <w:color w:val="auto"/>
          <w:sz w:val="24"/>
          <w:szCs w:val="20"/>
          <w:highlight w:val="none"/>
          <w:shd w:val="clear" w:color="auto" w:fill="auto"/>
        </w:rPr>
      </w:pPr>
      <w:r>
        <w:rPr>
          <w:rFonts w:hint="eastAsia" w:ascii="宋体" w:hAnsi="宋体" w:eastAsia="宋体" w:cs="宋体"/>
          <w:bCs/>
          <w:color w:val="auto"/>
          <w:sz w:val="24"/>
          <w:highlight w:val="none"/>
          <w:shd w:val="clear" w:color="auto" w:fill="auto"/>
        </w:rPr>
        <w:t xml:space="preserve"> </w:t>
      </w:r>
    </w:p>
    <w:p w14:paraId="5844064A">
      <w:pPr>
        <w:snapToGrid w:val="0"/>
        <w:spacing w:before="120" w:beforeLines="50" w:after="50"/>
        <w:rPr>
          <w:rFonts w:hint="eastAsia" w:ascii="宋体" w:hAnsi="宋体" w:eastAsia="宋体" w:cs="宋体"/>
          <w:color w:val="auto"/>
          <w:sz w:val="24"/>
          <w:szCs w:val="20"/>
          <w:highlight w:val="none"/>
          <w:shd w:val="clear" w:color="auto" w:fill="auto"/>
        </w:rPr>
      </w:pPr>
    </w:p>
    <w:p w14:paraId="47EA99A8">
      <w:pPr>
        <w:snapToGrid w:val="0"/>
        <w:spacing w:before="120" w:beforeLines="50" w:after="50"/>
        <w:rPr>
          <w:rFonts w:hint="eastAsia" w:ascii="宋体" w:hAnsi="宋体" w:eastAsia="宋体" w:cs="宋体"/>
          <w:color w:val="auto"/>
          <w:sz w:val="24"/>
          <w:szCs w:val="20"/>
          <w:highlight w:val="none"/>
          <w:shd w:val="clear" w:color="auto" w:fill="auto"/>
        </w:rPr>
      </w:pPr>
    </w:p>
    <w:p w14:paraId="6AEB8600">
      <w:pPr>
        <w:snapToGrid w:val="0"/>
        <w:spacing w:before="120" w:beforeLines="50" w:after="50"/>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11</w:t>
      </w:r>
      <w:r>
        <w:rPr>
          <w:rFonts w:hint="eastAsia" w:ascii="宋体" w:hAnsi="宋体" w:eastAsia="宋体" w:cs="宋体"/>
          <w:color w:val="auto"/>
          <w:sz w:val="28"/>
          <w:szCs w:val="28"/>
          <w:highlight w:val="none"/>
          <w:shd w:val="clear" w:color="auto" w:fill="auto"/>
        </w:rPr>
        <w:t xml:space="preserve">.报价文件封面格式： </w:t>
      </w:r>
    </w:p>
    <w:p w14:paraId="205D8A88">
      <w:pPr>
        <w:snapToGrid w:val="0"/>
        <w:spacing w:before="120" w:beforeLines="50" w:after="50"/>
        <w:jc w:val="center"/>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报 价 文 件</w:t>
      </w:r>
    </w:p>
    <w:p w14:paraId="2FD72EB6">
      <w:pPr>
        <w:snapToGrid w:val="0"/>
        <w:spacing w:before="120" w:beforeLines="50" w:after="50"/>
        <w:jc w:val="center"/>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t xml:space="preserve"> </w:t>
      </w:r>
    </w:p>
    <w:p w14:paraId="3FD560BC">
      <w:pPr>
        <w:snapToGrid w:val="0"/>
        <w:spacing w:before="120" w:beforeLines="50" w:after="50" w:line="360" w:lineRule="auto"/>
        <w:jc w:val="center"/>
        <w:rPr>
          <w:rFonts w:hint="eastAsia" w:ascii="宋体" w:hAnsi="宋体" w:eastAsia="宋体" w:cs="宋体"/>
          <w:bCs/>
          <w:color w:val="auto"/>
          <w:sz w:val="28"/>
          <w:szCs w:val="28"/>
          <w:highlight w:val="none"/>
          <w:shd w:val="clear" w:color="auto" w:fill="auto"/>
        </w:rPr>
      </w:pPr>
    </w:p>
    <w:p w14:paraId="43839D9C">
      <w:pPr>
        <w:snapToGrid w:val="0"/>
        <w:spacing w:before="120" w:beforeLines="50" w:after="50" w:line="360" w:lineRule="auto"/>
        <w:ind w:firstLine="1246" w:firstLineChars="445"/>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项目名称：</w:t>
      </w:r>
    </w:p>
    <w:p w14:paraId="58A41B31">
      <w:pPr>
        <w:snapToGrid w:val="0"/>
        <w:spacing w:before="120" w:beforeLines="50" w:after="50" w:line="360" w:lineRule="auto"/>
        <w:ind w:firstLine="560" w:firstLineChars="200"/>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 xml:space="preserve">     项目编号：</w:t>
      </w:r>
    </w:p>
    <w:p w14:paraId="1F7B11E8">
      <w:pPr>
        <w:pStyle w:val="14"/>
        <w:snapToGrid w:val="0"/>
        <w:spacing w:before="50" w:after="50" w:line="360" w:lineRule="auto"/>
        <w:ind w:firstLine="1164" w:firstLineChars="416"/>
        <w:rPr>
          <w:rFonts w:hint="eastAsia" w:ascii="宋体" w:hAnsi="宋体" w:eastAsia="宋体" w:cs="宋体"/>
          <w:bCs/>
          <w:color w:val="auto"/>
          <w:sz w:val="28"/>
          <w:szCs w:val="28"/>
          <w:highlight w:val="none"/>
          <w:shd w:val="clear" w:color="auto" w:fill="auto"/>
        </w:rPr>
      </w:pPr>
    </w:p>
    <w:p w14:paraId="4DF7E6B0">
      <w:pPr>
        <w:pStyle w:val="14"/>
        <w:snapToGrid w:val="0"/>
        <w:spacing w:before="50" w:after="50" w:line="360" w:lineRule="auto"/>
        <w:ind w:firstLine="1164" w:firstLineChars="416"/>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投标人名称：</w:t>
      </w:r>
    </w:p>
    <w:p w14:paraId="32FDC8C3">
      <w:pPr>
        <w:pStyle w:val="14"/>
        <w:snapToGrid w:val="0"/>
        <w:spacing w:before="50" w:after="50" w:line="360" w:lineRule="auto"/>
        <w:ind w:firstLine="1164" w:firstLineChars="416"/>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投标人地址：</w:t>
      </w:r>
    </w:p>
    <w:p w14:paraId="1CB1FD6C">
      <w:pPr>
        <w:snapToGrid w:val="0"/>
        <w:spacing w:before="120" w:beforeLines="50" w:after="50" w:line="360" w:lineRule="auto"/>
        <w:jc w:val="center"/>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                        </w:t>
      </w:r>
    </w:p>
    <w:p w14:paraId="6272CA71">
      <w:pPr>
        <w:snapToGrid w:val="0"/>
        <w:spacing w:before="120" w:beforeLines="50" w:after="50" w:line="360" w:lineRule="auto"/>
        <w:jc w:val="center"/>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年  月  日</w:t>
      </w:r>
    </w:p>
    <w:p w14:paraId="29B54656">
      <w:pPr>
        <w:pStyle w:val="29"/>
        <w:snapToGrid w:val="0"/>
        <w:spacing w:beforeLines="0" w:afterLines="0" w:line="24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br w:type="page"/>
      </w:r>
      <w:r>
        <w:rPr>
          <w:rFonts w:hint="eastAsia" w:hAnsi="宋体" w:cs="宋体"/>
          <w:color w:val="auto"/>
          <w:highlight w:val="none"/>
          <w:shd w:val="clear" w:color="auto" w:fill="auto"/>
          <w:lang w:val="en-US" w:eastAsia="zh-CN"/>
        </w:rPr>
        <w:t>12</w:t>
      </w:r>
      <w:r>
        <w:rPr>
          <w:rFonts w:hint="eastAsia" w:ascii="宋体" w:hAnsi="宋体" w:eastAsia="宋体" w:cs="宋体"/>
          <w:color w:val="auto"/>
          <w:highlight w:val="none"/>
          <w:shd w:val="clear" w:color="auto" w:fill="auto"/>
        </w:rPr>
        <w:t>.开标一览表格式：</w:t>
      </w:r>
    </w:p>
    <w:p w14:paraId="7A56C5F8">
      <w:pPr>
        <w:pStyle w:val="29"/>
        <w:snapToGrid w:val="0"/>
        <w:spacing w:beforeLines="0" w:afterLines="0" w:line="240" w:lineRule="auto"/>
        <w:jc w:val="center"/>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开标一览表</w:t>
      </w:r>
    </w:p>
    <w:p w14:paraId="2BAA7E8E">
      <w:pPr>
        <w:snapToGrid w:val="0"/>
        <w:spacing w:before="120" w:beforeLines="50" w:after="50" w:line="480" w:lineRule="auto"/>
        <w:rPr>
          <w:rFonts w:hint="eastAsia" w:ascii="宋体" w:hAnsi="宋体" w:eastAsia="宋体" w:cs="宋体"/>
          <w:b/>
          <w:color w:val="auto"/>
          <w:sz w:val="24"/>
          <w:highlight w:val="none"/>
          <w:shd w:val="clear" w:color="auto" w:fill="auto"/>
        </w:rPr>
      </w:pPr>
    </w:p>
    <w:p w14:paraId="73BD05C7">
      <w:pPr>
        <w:snapToGrid w:val="0"/>
        <w:spacing w:before="120" w:beforeLines="50" w:after="50" w:line="480" w:lineRule="auto"/>
        <w:ind w:firstLine="480" w:firstLineChars="200"/>
        <w:rPr>
          <w:rFonts w:hint="eastAsia" w:ascii="宋体" w:hAnsi="宋体" w:eastAsia="宋体" w:cs="宋体"/>
          <w:bCs/>
          <w:color w:val="auto"/>
          <w:sz w:val="24"/>
          <w:szCs w:val="20"/>
          <w:highlight w:val="none"/>
          <w:shd w:val="clear" w:color="auto" w:fill="auto"/>
        </w:rPr>
      </w:pPr>
      <w:r>
        <w:rPr>
          <w:rFonts w:hint="eastAsia" w:ascii="宋体" w:hAnsi="宋体" w:eastAsia="宋体" w:cs="宋体"/>
          <w:bCs/>
          <w:color w:val="auto"/>
          <w:sz w:val="24"/>
          <w:highlight w:val="none"/>
          <w:shd w:val="clear" w:color="auto" w:fill="auto"/>
        </w:rPr>
        <w:t>项目名称：</w:t>
      </w:r>
    </w:p>
    <w:p w14:paraId="5510337D">
      <w:pPr>
        <w:snapToGrid w:val="0"/>
        <w:spacing w:before="120" w:beforeLines="50" w:after="50" w:line="480" w:lineRule="auto"/>
        <w:ind w:firstLine="480" w:firstLineChars="200"/>
        <w:rPr>
          <w:rFonts w:hint="eastAsia" w:ascii="宋体" w:hAnsi="宋体" w:eastAsia="宋体" w:cs="宋体"/>
          <w:b/>
          <w:color w:val="auto"/>
          <w:sz w:val="24"/>
          <w:highlight w:val="none"/>
          <w:shd w:val="clear" w:color="auto" w:fill="auto"/>
        </w:rPr>
      </w:pPr>
      <w:r>
        <w:rPr>
          <w:rFonts w:hint="eastAsia" w:ascii="宋体" w:hAnsi="宋体" w:eastAsia="宋体" w:cs="宋体"/>
          <w:color w:val="auto"/>
          <w:sz w:val="24"/>
          <w:highlight w:val="none"/>
          <w:shd w:val="clear" w:color="auto" w:fill="auto"/>
        </w:rPr>
        <w:t>项目编号：</w:t>
      </w:r>
    </w:p>
    <w:tbl>
      <w:tblPr>
        <w:tblStyle w:val="52"/>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5526"/>
        <w:gridCol w:w="1854"/>
      </w:tblGrid>
      <w:tr w14:paraId="00D30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val="0"/>
            <w:vAlign w:val="top"/>
          </w:tcPr>
          <w:p w14:paraId="7C700129">
            <w:pPr>
              <w:pStyle w:val="29"/>
              <w:snapToGrid w:val="0"/>
              <w:spacing w:before="120" w:after="120" w:line="240" w:lineRule="auto"/>
              <w:jc w:val="center"/>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名称</w:t>
            </w:r>
          </w:p>
        </w:tc>
        <w:tc>
          <w:tcPr>
            <w:tcW w:w="5526" w:type="dxa"/>
            <w:noWrap w:val="0"/>
            <w:vAlign w:val="top"/>
          </w:tcPr>
          <w:p w14:paraId="5DF13C0A">
            <w:pPr>
              <w:pStyle w:val="29"/>
              <w:snapToGrid w:val="0"/>
              <w:spacing w:before="120" w:after="120" w:line="240" w:lineRule="auto"/>
              <w:jc w:val="center"/>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内容</w:t>
            </w:r>
          </w:p>
        </w:tc>
        <w:tc>
          <w:tcPr>
            <w:tcW w:w="1854" w:type="dxa"/>
            <w:noWrap w:val="0"/>
            <w:vAlign w:val="top"/>
          </w:tcPr>
          <w:p w14:paraId="3982AC3E">
            <w:pPr>
              <w:pStyle w:val="29"/>
              <w:snapToGrid w:val="0"/>
              <w:spacing w:before="120" w:after="120" w:line="240" w:lineRule="auto"/>
              <w:jc w:val="center"/>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备注</w:t>
            </w:r>
          </w:p>
        </w:tc>
      </w:tr>
      <w:tr w14:paraId="05F72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val="0"/>
            <w:vAlign w:val="center"/>
          </w:tcPr>
          <w:p w14:paraId="5D6DD958">
            <w:pPr>
              <w:pStyle w:val="29"/>
              <w:snapToGrid w:val="0"/>
              <w:spacing w:before="120" w:after="120" w:line="240" w:lineRule="auto"/>
              <w:jc w:val="center"/>
              <w:rPr>
                <w:rFonts w:hint="eastAsia" w:ascii="宋体" w:hAnsi="宋体" w:eastAsia="宋体" w:cs="宋体"/>
                <w:b/>
                <w:color w:val="auto"/>
                <w:highlight w:val="none"/>
                <w:shd w:val="clear" w:color="auto" w:fill="auto"/>
              </w:rPr>
            </w:pPr>
          </w:p>
          <w:p w14:paraId="314374DE">
            <w:pPr>
              <w:pStyle w:val="29"/>
              <w:snapToGrid w:val="0"/>
              <w:spacing w:beforeLines="0" w:afterLines="0" w:line="240" w:lineRule="auto"/>
              <w:jc w:val="center"/>
              <w:rPr>
                <w:rFonts w:hAnsi="宋体"/>
                <w:color w:val="auto"/>
                <w:kern w:val="2"/>
                <w:highlight w:val="none"/>
              </w:rPr>
            </w:pPr>
            <w:r>
              <w:rPr>
                <w:rFonts w:hint="eastAsia" w:hAnsi="宋体"/>
                <w:color w:val="auto"/>
                <w:kern w:val="2"/>
                <w:highlight w:val="none"/>
              </w:rPr>
              <w:t>投标总报价</w:t>
            </w:r>
          </w:p>
          <w:p w14:paraId="5B32D64C">
            <w:pPr>
              <w:pStyle w:val="29"/>
              <w:snapToGrid w:val="0"/>
              <w:spacing w:before="120" w:after="120" w:line="240" w:lineRule="auto"/>
              <w:jc w:val="center"/>
              <w:rPr>
                <w:rFonts w:hint="eastAsia" w:ascii="宋体" w:hAnsi="宋体" w:eastAsia="宋体" w:cs="宋体"/>
                <w:b/>
                <w:color w:val="auto"/>
                <w:highlight w:val="none"/>
                <w:shd w:val="clear" w:color="auto" w:fill="auto"/>
              </w:rPr>
            </w:pPr>
          </w:p>
          <w:p w14:paraId="6AC51552">
            <w:pPr>
              <w:pStyle w:val="29"/>
              <w:snapToGrid w:val="0"/>
              <w:spacing w:before="120" w:after="120" w:line="240" w:lineRule="auto"/>
              <w:jc w:val="center"/>
              <w:rPr>
                <w:rFonts w:hint="eastAsia" w:ascii="宋体" w:hAnsi="宋体" w:eastAsia="宋体" w:cs="宋体"/>
                <w:b/>
                <w:color w:val="auto"/>
                <w:highlight w:val="none"/>
                <w:shd w:val="clear" w:color="auto" w:fill="auto"/>
              </w:rPr>
            </w:pPr>
          </w:p>
        </w:tc>
        <w:tc>
          <w:tcPr>
            <w:tcW w:w="5526" w:type="dxa"/>
            <w:noWrap w:val="0"/>
            <w:vAlign w:val="center"/>
          </w:tcPr>
          <w:p w14:paraId="0FDFAA11">
            <w:pPr>
              <w:pStyle w:val="29"/>
              <w:snapToGrid w:val="0"/>
              <w:spacing w:before="120" w:after="120" w:line="240" w:lineRule="auto"/>
              <w:rPr>
                <w:rFonts w:hint="eastAsia" w:ascii="宋体" w:hAnsi="宋体" w:eastAsia="宋体" w:cs="宋体"/>
                <w:color w:val="auto"/>
                <w:highlight w:val="none"/>
                <w:shd w:val="clear" w:color="auto" w:fill="auto"/>
              </w:rPr>
            </w:pPr>
          </w:p>
          <w:p w14:paraId="640966F6">
            <w:pPr>
              <w:pStyle w:val="29"/>
              <w:snapToGrid w:val="0"/>
              <w:spacing w:beforeLines="0" w:afterLines="0" w:line="240" w:lineRule="auto"/>
              <w:ind w:left="240" w:hanging="240" w:hangingChars="100"/>
              <w:rPr>
                <w:rFonts w:hint="eastAsia" w:ascii="宋体" w:hAnsi="宋体" w:eastAsia="宋体" w:cs="宋体"/>
                <w:color w:val="auto"/>
                <w:kern w:val="2"/>
                <w:highlight w:val="none"/>
                <w:shd w:val="clear" w:color="auto" w:fill="auto"/>
              </w:rPr>
            </w:pPr>
            <w:r>
              <w:rPr>
                <w:rFonts w:hint="eastAsia" w:ascii="宋体" w:hAnsi="宋体" w:eastAsia="宋体" w:cs="宋体"/>
                <w:color w:val="auto"/>
                <w:kern w:val="2"/>
                <w:highlight w:val="none"/>
                <w:shd w:val="clear" w:color="auto" w:fill="auto"/>
              </w:rPr>
              <w:t>大写：人民币</w:t>
            </w:r>
            <w:r>
              <w:rPr>
                <w:rFonts w:hint="eastAsia" w:ascii="宋体" w:hAnsi="宋体" w:eastAsia="宋体" w:cs="宋体"/>
                <w:color w:val="auto"/>
                <w:kern w:val="2"/>
                <w:highlight w:val="none"/>
                <w:u w:val="single"/>
                <w:shd w:val="clear" w:color="auto" w:fill="auto"/>
                <w:lang w:val="en-US" w:eastAsia="zh-CN"/>
              </w:rPr>
              <w:t xml:space="preserve"> </w:t>
            </w:r>
            <w:r>
              <w:rPr>
                <w:rFonts w:hint="eastAsia" w:ascii="宋体" w:hAnsi="宋体" w:eastAsia="宋体" w:cs="宋体"/>
                <w:color w:val="auto"/>
                <w:kern w:val="2"/>
                <w:highlight w:val="none"/>
                <w:u w:val="single"/>
                <w:shd w:val="clear" w:color="auto" w:fill="auto"/>
              </w:rPr>
              <w:t xml:space="preserve"> </w:t>
            </w:r>
            <w:r>
              <w:rPr>
                <w:rFonts w:hint="eastAsia" w:hAnsi="宋体" w:cs="宋体"/>
                <w:color w:val="auto"/>
                <w:kern w:val="2"/>
                <w:highlight w:val="none"/>
                <w:u w:val="single"/>
                <w:shd w:val="clear" w:color="auto" w:fill="auto"/>
                <w:lang w:val="en-US" w:eastAsia="zh-CN"/>
              </w:rPr>
              <w:t xml:space="preserve">            元</w:t>
            </w:r>
            <w:r>
              <w:rPr>
                <w:rFonts w:hint="eastAsia" w:ascii="宋体" w:hAnsi="宋体" w:eastAsia="宋体" w:cs="宋体"/>
                <w:color w:val="auto"/>
                <w:kern w:val="2"/>
                <w:highlight w:val="none"/>
                <w:shd w:val="clear" w:color="auto" w:fill="auto"/>
              </w:rPr>
              <w:t>整</w:t>
            </w:r>
          </w:p>
          <w:p w14:paraId="68F88088">
            <w:pPr>
              <w:pStyle w:val="29"/>
              <w:snapToGrid w:val="0"/>
              <w:spacing w:beforeLines="0" w:afterLines="0" w:line="240" w:lineRule="auto"/>
              <w:rPr>
                <w:rFonts w:hint="eastAsia" w:ascii="宋体" w:hAnsi="宋体" w:eastAsia="宋体" w:cs="宋体"/>
                <w:color w:val="auto"/>
                <w:kern w:val="2"/>
                <w:highlight w:val="none"/>
                <w:shd w:val="clear" w:color="auto" w:fill="auto"/>
              </w:rPr>
            </w:pPr>
          </w:p>
          <w:p w14:paraId="02C611D2">
            <w:pPr>
              <w:pStyle w:val="29"/>
              <w:snapToGrid w:val="0"/>
              <w:spacing w:beforeLines="0" w:afterLines="0" w:line="240" w:lineRule="auto"/>
              <w:rPr>
                <w:rFonts w:hint="eastAsia" w:ascii="宋体" w:hAnsi="宋体" w:eastAsia="宋体" w:cs="宋体"/>
                <w:color w:val="auto"/>
                <w:kern w:val="2"/>
                <w:highlight w:val="none"/>
                <w:shd w:val="clear" w:color="auto" w:fill="auto"/>
              </w:rPr>
            </w:pPr>
            <w:r>
              <w:rPr>
                <w:rFonts w:hint="eastAsia" w:ascii="宋体" w:hAnsi="宋体" w:eastAsia="宋体" w:cs="宋体"/>
                <w:color w:val="auto"/>
                <w:kern w:val="2"/>
                <w:highlight w:val="none"/>
                <w:shd w:val="clear" w:color="auto" w:fill="auto"/>
              </w:rPr>
              <w:t>小写：</w:t>
            </w:r>
            <w:r>
              <w:rPr>
                <w:rFonts w:hint="eastAsia" w:ascii="宋体" w:hAnsi="宋体" w:eastAsia="宋体" w:cs="宋体"/>
                <w:color w:val="auto"/>
                <w:kern w:val="2"/>
                <w:highlight w:val="none"/>
                <w:u w:val="none"/>
                <w:shd w:val="clear" w:color="auto" w:fill="auto"/>
              </w:rPr>
              <w:t>￥_________________</w:t>
            </w:r>
            <w:r>
              <w:rPr>
                <w:rFonts w:hint="eastAsia" w:ascii="宋体" w:hAnsi="宋体" w:eastAsia="宋体" w:cs="宋体"/>
                <w:color w:val="auto"/>
                <w:kern w:val="2"/>
                <w:highlight w:val="none"/>
                <w:shd w:val="clear" w:color="auto" w:fill="auto"/>
              </w:rPr>
              <w:t>元整</w:t>
            </w:r>
          </w:p>
          <w:p w14:paraId="7E00B1F7">
            <w:pPr>
              <w:rPr>
                <w:rFonts w:hint="eastAsia" w:ascii="宋体" w:hAnsi="宋体" w:eastAsia="宋体" w:cs="宋体"/>
                <w:color w:val="auto"/>
                <w:highlight w:val="none"/>
                <w:shd w:val="clear" w:color="auto" w:fill="auto"/>
              </w:rPr>
            </w:pPr>
          </w:p>
          <w:p w14:paraId="0F876F15">
            <w:pPr>
              <w:pStyle w:val="29"/>
              <w:snapToGrid w:val="0"/>
              <w:spacing w:before="120" w:after="120" w:line="240" w:lineRule="auto"/>
              <w:rPr>
                <w:rFonts w:hint="eastAsia" w:ascii="宋体" w:hAnsi="宋体" w:eastAsia="宋体" w:cs="宋体"/>
                <w:b/>
                <w:color w:val="auto"/>
                <w:highlight w:val="none"/>
                <w:shd w:val="clear" w:color="auto" w:fill="auto"/>
              </w:rPr>
            </w:pPr>
          </w:p>
        </w:tc>
        <w:tc>
          <w:tcPr>
            <w:tcW w:w="1854" w:type="dxa"/>
            <w:noWrap w:val="0"/>
            <w:vAlign w:val="top"/>
          </w:tcPr>
          <w:p w14:paraId="2FE0E6C0">
            <w:pPr>
              <w:rPr>
                <w:rFonts w:hint="eastAsia" w:ascii="宋体" w:hAnsi="宋体" w:eastAsia="宋体" w:cs="宋体"/>
                <w:color w:val="auto"/>
                <w:highlight w:val="none"/>
                <w:shd w:val="clear" w:color="auto" w:fill="auto"/>
                <w:lang w:val="en-US" w:eastAsia="zh-CN"/>
              </w:rPr>
            </w:pPr>
          </w:p>
        </w:tc>
      </w:tr>
    </w:tbl>
    <w:p w14:paraId="24ACC048">
      <w:pPr>
        <w:pStyle w:val="29"/>
        <w:numPr>
          <w:ilvl w:val="0"/>
          <w:numId w:val="0"/>
        </w:numPr>
        <w:snapToGrid w:val="0"/>
        <w:spacing w:before="120" w:beforeLines="0" w:after="120" w:afterLines="0" w:line="240" w:lineRule="auto"/>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注：投标总报价包括货款、标准附件、备品备件、专用工具、包装、运输、装卸、保险、税金、货到就位以及安装、调试、培训、保修、服务、</w:t>
      </w:r>
      <w:r>
        <w:rPr>
          <w:rFonts w:hint="eastAsia" w:ascii="宋体" w:hAnsi="宋体" w:eastAsia="宋体" w:cs="宋体"/>
          <w:b/>
          <w:color w:val="auto"/>
          <w:highlight w:val="none"/>
          <w:shd w:val="clear" w:color="auto" w:fill="auto"/>
          <w:lang w:val="en-US" w:eastAsia="zh-CN"/>
        </w:rPr>
        <w:t>定期检验费</w:t>
      </w:r>
      <w:r>
        <w:rPr>
          <w:rFonts w:hint="eastAsia" w:hAnsi="宋体" w:cs="宋体"/>
          <w:b/>
          <w:color w:val="auto"/>
          <w:highlight w:val="none"/>
          <w:shd w:val="clear" w:color="auto" w:fill="auto"/>
          <w:lang w:val="en-US" w:eastAsia="zh-CN"/>
        </w:rPr>
        <w:t>、</w:t>
      </w:r>
      <w:r>
        <w:rPr>
          <w:rFonts w:hint="eastAsia" w:ascii="宋体" w:hAnsi="宋体" w:eastAsia="宋体" w:cs="宋体"/>
          <w:b/>
          <w:color w:val="auto"/>
          <w:highlight w:val="none"/>
          <w:shd w:val="clear" w:color="auto" w:fill="auto"/>
        </w:rPr>
        <w:t>合同包含的所有风险责任等各项费用及不可预见费等所需的全部费用。</w:t>
      </w:r>
    </w:p>
    <w:p w14:paraId="75ECAFB9">
      <w:pPr>
        <w:pStyle w:val="29"/>
        <w:snapToGrid w:val="0"/>
        <w:spacing w:beforeLines="0" w:afterLines="0" w:line="240" w:lineRule="auto"/>
        <w:rPr>
          <w:rFonts w:hint="eastAsia" w:ascii="宋体" w:hAnsi="宋体" w:eastAsia="宋体" w:cs="宋体"/>
          <w:color w:val="auto"/>
          <w:spacing w:val="20"/>
          <w:highlight w:val="none"/>
          <w:shd w:val="clear" w:color="auto" w:fill="auto"/>
        </w:rPr>
      </w:pPr>
    </w:p>
    <w:p w14:paraId="5C6FCFF4">
      <w:pPr>
        <w:pStyle w:val="29"/>
        <w:snapToGrid w:val="0"/>
        <w:spacing w:beforeLines="0" w:afterLines="0" w:line="240" w:lineRule="auto"/>
        <w:rPr>
          <w:rFonts w:hint="eastAsia" w:ascii="宋体" w:hAnsi="宋体" w:eastAsia="宋体" w:cs="宋体"/>
          <w:color w:val="auto"/>
          <w:spacing w:val="20"/>
          <w:highlight w:val="none"/>
          <w:shd w:val="clear" w:color="auto" w:fill="auto"/>
        </w:rPr>
      </w:pPr>
    </w:p>
    <w:p w14:paraId="6DD978FB">
      <w:pPr>
        <w:pStyle w:val="29"/>
        <w:snapToGrid w:val="0"/>
        <w:spacing w:beforeLines="0" w:afterLines="0" w:line="240" w:lineRule="auto"/>
        <w:rPr>
          <w:rFonts w:hint="eastAsia" w:ascii="宋体" w:hAnsi="宋体" w:eastAsia="宋体" w:cs="宋体"/>
          <w:b/>
          <w:color w:val="auto"/>
          <w:spacing w:val="20"/>
          <w:highlight w:val="none"/>
          <w:shd w:val="clear" w:color="auto" w:fill="auto"/>
        </w:rPr>
      </w:pPr>
      <w:r>
        <w:rPr>
          <w:rFonts w:hint="eastAsia" w:ascii="宋体" w:hAnsi="宋体" w:eastAsia="宋体" w:cs="宋体"/>
          <w:b/>
          <w:color w:val="auto"/>
          <w:spacing w:val="20"/>
          <w:highlight w:val="none"/>
          <w:shd w:val="clear" w:color="auto" w:fill="auto"/>
        </w:rPr>
        <w:t xml:space="preserve">法定代表人签字（或盖章）：            投标人（盖章）：  </w:t>
      </w:r>
    </w:p>
    <w:p w14:paraId="3A739107">
      <w:pPr>
        <w:pStyle w:val="29"/>
        <w:snapToGrid w:val="0"/>
        <w:spacing w:beforeLines="0" w:afterLines="0" w:line="240" w:lineRule="auto"/>
        <w:rPr>
          <w:rFonts w:hint="eastAsia" w:ascii="宋体" w:hAnsi="宋体" w:eastAsia="宋体" w:cs="宋体"/>
          <w:b/>
          <w:color w:val="auto"/>
          <w:highlight w:val="none"/>
          <w:shd w:val="clear" w:color="auto" w:fill="auto"/>
        </w:rPr>
      </w:pPr>
    </w:p>
    <w:p w14:paraId="4A2A8A74">
      <w:pPr>
        <w:snapToGrid w:val="0"/>
        <w:spacing w:before="50" w:after="120" w:afterLines="50"/>
        <w:jc w:val="left"/>
        <w:rPr>
          <w:rFonts w:hint="eastAsia" w:ascii="宋体" w:hAnsi="宋体" w:eastAsia="宋体" w:cs="宋体"/>
          <w:b/>
          <w:color w:val="auto"/>
          <w:kern w:val="0"/>
          <w:sz w:val="24"/>
          <w:highlight w:val="none"/>
          <w:shd w:val="clear" w:color="auto" w:fill="auto"/>
        </w:rPr>
      </w:pPr>
    </w:p>
    <w:p w14:paraId="1E4E528F">
      <w:pPr>
        <w:snapToGrid w:val="0"/>
        <w:spacing w:before="50" w:after="120" w:afterLines="50"/>
        <w:jc w:val="left"/>
        <w:rPr>
          <w:rFonts w:hint="eastAsia" w:ascii="宋体" w:hAnsi="宋体" w:eastAsia="宋体" w:cs="宋体"/>
          <w:b/>
          <w:color w:val="auto"/>
          <w:sz w:val="24"/>
          <w:szCs w:val="20"/>
          <w:highlight w:val="none"/>
          <w:shd w:val="clear" w:color="auto" w:fill="auto"/>
        </w:rPr>
      </w:pPr>
      <w:r>
        <w:rPr>
          <w:rFonts w:hint="eastAsia" w:ascii="宋体" w:hAnsi="宋体" w:eastAsia="宋体" w:cs="宋体"/>
          <w:b/>
          <w:color w:val="auto"/>
          <w:kern w:val="0"/>
          <w:sz w:val="24"/>
          <w:highlight w:val="none"/>
          <w:shd w:val="clear" w:color="auto" w:fill="auto"/>
        </w:rPr>
        <w:t>日期：  _____年___月___日</w:t>
      </w:r>
    </w:p>
    <w:p w14:paraId="5D6C293E">
      <w:pPr>
        <w:pStyle w:val="29"/>
        <w:snapToGrid w:val="0"/>
        <w:spacing w:beforeLines="0" w:afterLines="0" w:line="240" w:lineRule="auto"/>
        <w:rPr>
          <w:rFonts w:hint="eastAsia" w:ascii="宋体" w:hAnsi="宋体" w:eastAsia="宋体" w:cs="宋体"/>
          <w:color w:val="auto"/>
          <w:highlight w:val="none"/>
          <w:shd w:val="clear" w:color="auto" w:fill="auto"/>
        </w:rPr>
      </w:pPr>
    </w:p>
    <w:p w14:paraId="32B3DAA3">
      <w:pPr>
        <w:pStyle w:val="30"/>
        <w:rPr>
          <w:rFonts w:hint="eastAsia" w:ascii="宋体" w:hAnsi="宋体" w:eastAsia="宋体" w:cs="宋体"/>
          <w:color w:val="auto"/>
          <w:highlight w:val="none"/>
          <w:shd w:val="clear" w:color="auto" w:fill="auto"/>
        </w:rPr>
      </w:pPr>
    </w:p>
    <w:p w14:paraId="1CA9393E">
      <w:pPr>
        <w:rPr>
          <w:rFonts w:hint="eastAsia" w:ascii="宋体" w:hAnsi="宋体" w:eastAsia="宋体" w:cs="宋体"/>
          <w:color w:val="auto"/>
          <w:highlight w:val="none"/>
          <w:shd w:val="clear" w:color="auto" w:fill="auto"/>
        </w:rPr>
      </w:pPr>
    </w:p>
    <w:p w14:paraId="5CA49C30">
      <w:pPr>
        <w:rPr>
          <w:rFonts w:hint="eastAsia" w:ascii="宋体" w:hAnsi="宋体" w:eastAsia="宋体" w:cs="宋体"/>
          <w:color w:val="auto"/>
          <w:highlight w:val="none"/>
          <w:shd w:val="clear" w:color="auto" w:fill="auto"/>
        </w:rPr>
      </w:pPr>
    </w:p>
    <w:p w14:paraId="6085D45E">
      <w:pPr>
        <w:rPr>
          <w:rFonts w:hint="eastAsia" w:ascii="宋体" w:hAnsi="宋体" w:eastAsia="宋体" w:cs="宋体"/>
          <w:color w:val="auto"/>
          <w:highlight w:val="none"/>
          <w:shd w:val="clear" w:color="auto" w:fill="auto"/>
        </w:rPr>
      </w:pPr>
    </w:p>
    <w:p w14:paraId="4E93078E">
      <w:pPr>
        <w:rPr>
          <w:rFonts w:hint="eastAsia" w:ascii="宋体" w:hAnsi="宋体" w:eastAsia="宋体" w:cs="宋体"/>
          <w:color w:val="auto"/>
          <w:highlight w:val="none"/>
          <w:shd w:val="clear" w:color="auto" w:fill="auto"/>
        </w:rPr>
      </w:pPr>
    </w:p>
    <w:p w14:paraId="75F72C62">
      <w:pPr>
        <w:rPr>
          <w:rFonts w:hint="eastAsia" w:ascii="宋体" w:hAnsi="宋体" w:eastAsia="宋体" w:cs="宋体"/>
          <w:color w:val="auto"/>
          <w:highlight w:val="none"/>
          <w:shd w:val="clear" w:color="auto" w:fill="auto"/>
        </w:rPr>
      </w:pPr>
    </w:p>
    <w:p w14:paraId="7E963212">
      <w:pPr>
        <w:rPr>
          <w:rFonts w:hint="eastAsia" w:ascii="宋体" w:hAnsi="宋体" w:eastAsia="宋体" w:cs="宋体"/>
          <w:color w:val="auto"/>
          <w:highlight w:val="none"/>
          <w:shd w:val="clear" w:color="auto" w:fill="auto"/>
        </w:rPr>
      </w:pPr>
    </w:p>
    <w:p w14:paraId="63E8C937">
      <w:pPr>
        <w:rPr>
          <w:rFonts w:hint="eastAsia" w:ascii="宋体" w:hAnsi="宋体" w:eastAsia="宋体" w:cs="宋体"/>
          <w:color w:val="auto"/>
          <w:highlight w:val="none"/>
          <w:shd w:val="clear" w:color="auto" w:fill="auto"/>
        </w:rPr>
      </w:pPr>
    </w:p>
    <w:p w14:paraId="43BC8BB5">
      <w:pPr>
        <w:rPr>
          <w:rFonts w:hint="eastAsia" w:ascii="宋体" w:hAnsi="宋体" w:eastAsia="宋体" w:cs="宋体"/>
          <w:color w:val="auto"/>
          <w:highlight w:val="none"/>
          <w:shd w:val="clear" w:color="auto" w:fill="auto"/>
        </w:rPr>
      </w:pPr>
    </w:p>
    <w:p w14:paraId="5D1908D5">
      <w:pPr>
        <w:rPr>
          <w:rFonts w:hint="eastAsia" w:ascii="宋体" w:hAnsi="宋体" w:eastAsia="宋体" w:cs="宋体"/>
          <w:color w:val="auto"/>
          <w:highlight w:val="none"/>
          <w:shd w:val="clear" w:color="auto" w:fill="auto"/>
        </w:rPr>
      </w:pPr>
    </w:p>
    <w:p w14:paraId="02ED0571">
      <w:pPr>
        <w:rPr>
          <w:rFonts w:hint="eastAsia" w:ascii="宋体" w:hAnsi="宋体" w:eastAsia="宋体" w:cs="宋体"/>
          <w:color w:val="auto"/>
          <w:highlight w:val="none"/>
          <w:shd w:val="clear" w:color="auto" w:fill="auto"/>
        </w:rPr>
      </w:pPr>
    </w:p>
    <w:p w14:paraId="20847930">
      <w:pPr>
        <w:rPr>
          <w:rFonts w:hint="eastAsia" w:ascii="宋体" w:hAnsi="宋体" w:eastAsia="宋体" w:cs="宋体"/>
          <w:color w:val="auto"/>
          <w:highlight w:val="none"/>
          <w:shd w:val="clear" w:color="auto" w:fill="auto"/>
        </w:rPr>
      </w:pPr>
    </w:p>
    <w:p w14:paraId="147AB3D9">
      <w:pPr>
        <w:rPr>
          <w:rFonts w:hint="eastAsia" w:ascii="宋体" w:hAnsi="宋体" w:eastAsia="宋体" w:cs="宋体"/>
          <w:color w:val="auto"/>
          <w:highlight w:val="none"/>
          <w:shd w:val="clear" w:color="auto" w:fill="auto"/>
        </w:rPr>
      </w:pPr>
    </w:p>
    <w:p w14:paraId="2DC1A9D4">
      <w:pPr>
        <w:rPr>
          <w:rFonts w:hint="eastAsia" w:ascii="宋体" w:hAnsi="宋体" w:eastAsia="宋体" w:cs="宋体"/>
          <w:color w:val="auto"/>
          <w:highlight w:val="none"/>
          <w:shd w:val="clear" w:color="auto" w:fill="auto"/>
        </w:rPr>
      </w:pPr>
    </w:p>
    <w:p w14:paraId="1F62FD3E">
      <w:pPr>
        <w:rPr>
          <w:rFonts w:hint="eastAsia" w:ascii="宋体" w:hAnsi="宋体" w:eastAsia="宋体" w:cs="宋体"/>
          <w:color w:val="auto"/>
          <w:highlight w:val="none"/>
          <w:shd w:val="clear" w:color="auto" w:fill="auto"/>
        </w:rPr>
      </w:pPr>
    </w:p>
    <w:p w14:paraId="71B76B14">
      <w:pPr>
        <w:rPr>
          <w:rFonts w:hint="eastAsia" w:ascii="宋体" w:hAnsi="宋体" w:eastAsia="宋体" w:cs="宋体"/>
          <w:color w:val="auto"/>
          <w:highlight w:val="none"/>
          <w:shd w:val="clear" w:color="auto" w:fill="auto"/>
        </w:rPr>
      </w:pPr>
    </w:p>
    <w:p w14:paraId="6FC7FA92">
      <w:pPr>
        <w:rPr>
          <w:rFonts w:hint="eastAsia" w:ascii="宋体" w:hAnsi="宋体" w:eastAsia="宋体" w:cs="宋体"/>
          <w:color w:val="auto"/>
          <w:highlight w:val="none"/>
          <w:shd w:val="clear" w:color="auto" w:fill="auto"/>
        </w:rPr>
      </w:pPr>
    </w:p>
    <w:p w14:paraId="69A76560">
      <w:pPr>
        <w:rPr>
          <w:rFonts w:hint="eastAsia" w:ascii="宋体" w:hAnsi="宋体" w:eastAsia="宋体" w:cs="宋体"/>
          <w:color w:val="auto"/>
          <w:highlight w:val="none"/>
          <w:shd w:val="clear" w:color="auto" w:fill="auto"/>
        </w:rPr>
      </w:pPr>
    </w:p>
    <w:p w14:paraId="1594B119">
      <w:pPr>
        <w:pStyle w:val="29"/>
        <w:snapToGrid w:val="0"/>
        <w:spacing w:beforeLines="0" w:afterLines="0" w:line="240" w:lineRule="auto"/>
        <w:rPr>
          <w:rFonts w:hint="eastAsia"/>
          <w:b/>
          <w:bCs/>
          <w:color w:val="auto"/>
          <w:highlight w:val="none"/>
          <w:u w:val="single"/>
          <w:shd w:val="pct10" w:color="auto" w:fill="FFFFFF"/>
        </w:rPr>
      </w:pPr>
      <w:r>
        <w:rPr>
          <w:rFonts w:hint="eastAsia" w:hAnsi="宋体"/>
          <w:color w:val="auto"/>
          <w:highlight w:val="none"/>
          <w:lang w:val="en-US" w:eastAsia="zh-CN"/>
        </w:rPr>
        <w:t>13、</w:t>
      </w:r>
      <w:r>
        <w:rPr>
          <w:rFonts w:hint="eastAsia" w:hAnsi="宋体"/>
          <w:color w:val="auto"/>
          <w:highlight w:val="none"/>
        </w:rPr>
        <w:t xml:space="preserve">报价明细表格式：       </w:t>
      </w:r>
    </w:p>
    <w:p w14:paraId="09D8E15A">
      <w:pPr>
        <w:pStyle w:val="62"/>
        <w:rPr>
          <w:rFonts w:hint="eastAsia"/>
          <w:b/>
          <w:bCs/>
          <w:color w:val="auto"/>
          <w:highlight w:val="none"/>
          <w:u w:val="single"/>
          <w:shd w:val="pct10" w:color="auto" w:fill="FFFFFF"/>
        </w:rPr>
      </w:pPr>
    </w:p>
    <w:p w14:paraId="04BA6110">
      <w:pPr>
        <w:snapToGrid w:val="0"/>
        <w:spacing w:before="120" w:beforeLines="50" w:after="50" w:line="360" w:lineRule="auto"/>
        <w:jc w:val="center"/>
        <w:rPr>
          <w:rFonts w:hint="eastAsia" w:ascii="宋体" w:hAnsi="宋体"/>
          <w:bCs/>
          <w:color w:val="auto"/>
          <w:sz w:val="24"/>
          <w:szCs w:val="24"/>
          <w:highlight w:val="none"/>
        </w:rPr>
      </w:pPr>
      <w:r>
        <w:rPr>
          <w:rFonts w:hint="eastAsia" w:hAnsi="宋体"/>
          <w:b/>
          <w:color w:val="auto"/>
          <w:sz w:val="24"/>
          <w:szCs w:val="24"/>
          <w:highlight w:val="none"/>
        </w:rPr>
        <w:t>报价明细表</w:t>
      </w:r>
    </w:p>
    <w:p w14:paraId="0D7A7F08">
      <w:pPr>
        <w:snapToGrid w:val="0"/>
        <w:spacing w:before="120" w:beforeLines="50" w:after="50" w:line="360" w:lineRule="auto"/>
        <w:rPr>
          <w:rFonts w:ascii="宋体" w:hAnsi="宋体"/>
          <w:bCs/>
          <w:color w:val="auto"/>
          <w:sz w:val="24"/>
          <w:szCs w:val="24"/>
          <w:highlight w:val="none"/>
        </w:rPr>
      </w:pPr>
      <w:r>
        <w:rPr>
          <w:rFonts w:hint="eastAsia" w:ascii="宋体" w:hAnsi="宋体"/>
          <w:bCs/>
          <w:color w:val="auto"/>
          <w:sz w:val="24"/>
          <w:szCs w:val="24"/>
          <w:highlight w:val="none"/>
        </w:rPr>
        <w:t>项目名称：</w:t>
      </w:r>
    </w:p>
    <w:tbl>
      <w:tblPr>
        <w:tblStyle w:val="52"/>
        <w:tblW w:w="10418" w:type="dxa"/>
        <w:tblInd w:w="-601" w:type="dxa"/>
        <w:tblLayout w:type="fixed"/>
        <w:tblCellMar>
          <w:top w:w="0" w:type="dxa"/>
          <w:left w:w="108" w:type="dxa"/>
          <w:bottom w:w="0" w:type="dxa"/>
          <w:right w:w="108" w:type="dxa"/>
        </w:tblCellMar>
      </w:tblPr>
      <w:tblGrid>
        <w:gridCol w:w="1021"/>
        <w:gridCol w:w="1635"/>
        <w:gridCol w:w="1528"/>
        <w:gridCol w:w="1536"/>
        <w:gridCol w:w="2044"/>
        <w:gridCol w:w="1429"/>
        <w:gridCol w:w="1225"/>
      </w:tblGrid>
      <w:tr w14:paraId="7B759B2F">
        <w:tblPrEx>
          <w:tblCellMar>
            <w:top w:w="0" w:type="dxa"/>
            <w:left w:w="108" w:type="dxa"/>
            <w:bottom w:w="0" w:type="dxa"/>
            <w:right w:w="108" w:type="dxa"/>
          </w:tblCellMar>
        </w:tblPrEx>
        <w:trPr>
          <w:trHeight w:val="786" w:hRule="atLeast"/>
        </w:trPr>
        <w:tc>
          <w:tcPr>
            <w:tcW w:w="1021" w:type="dxa"/>
            <w:tcBorders>
              <w:top w:val="single" w:color="auto" w:sz="4" w:space="0"/>
              <w:left w:val="single" w:color="auto" w:sz="4" w:space="0"/>
              <w:bottom w:val="single" w:color="auto" w:sz="4" w:space="0"/>
              <w:right w:val="single" w:color="auto" w:sz="4" w:space="0"/>
            </w:tcBorders>
            <w:noWrap w:val="0"/>
            <w:vAlign w:val="center"/>
          </w:tcPr>
          <w:p w14:paraId="10824275">
            <w:pPr>
              <w:tabs>
                <w:tab w:val="left" w:pos="584"/>
              </w:tabs>
              <w:jc w:val="center"/>
              <w:rPr>
                <w:rFonts w:hint="eastAsia" w:ascii="Calibri" w:hAnsi="宋体"/>
                <w:b/>
                <w:bCs/>
                <w:color w:val="auto"/>
                <w:sz w:val="24"/>
                <w:szCs w:val="24"/>
                <w:highlight w:val="none"/>
                <w:lang w:bidi="en-US"/>
              </w:rPr>
            </w:pPr>
            <w:r>
              <w:rPr>
                <w:rFonts w:hint="eastAsia" w:ascii="Calibri" w:hAnsi="宋体"/>
                <w:b/>
                <w:bCs/>
                <w:color w:val="auto"/>
                <w:sz w:val="24"/>
                <w:szCs w:val="24"/>
                <w:highlight w:val="none"/>
                <w:lang w:bidi="en-US"/>
              </w:rPr>
              <w:t>序号</w:t>
            </w:r>
          </w:p>
        </w:tc>
        <w:tc>
          <w:tcPr>
            <w:tcW w:w="1635" w:type="dxa"/>
            <w:tcBorders>
              <w:top w:val="single" w:color="auto" w:sz="4" w:space="0"/>
              <w:left w:val="single" w:color="auto" w:sz="4" w:space="0"/>
              <w:bottom w:val="single" w:color="auto" w:sz="4" w:space="0"/>
              <w:right w:val="single" w:color="auto" w:sz="4" w:space="0"/>
            </w:tcBorders>
            <w:noWrap w:val="0"/>
            <w:vAlign w:val="center"/>
          </w:tcPr>
          <w:p w14:paraId="6F00DA71">
            <w:pPr>
              <w:jc w:val="center"/>
              <w:rPr>
                <w:rFonts w:hint="eastAsia" w:ascii="宋体" w:hAnsi="宋体" w:eastAsia="宋体"/>
                <w:b/>
                <w:bCs/>
                <w:color w:val="auto"/>
                <w:sz w:val="24"/>
                <w:szCs w:val="24"/>
                <w:highlight w:val="none"/>
                <w:lang w:eastAsia="zh-CN" w:bidi="en-US"/>
              </w:rPr>
            </w:pPr>
            <w:r>
              <w:rPr>
                <w:rFonts w:hint="eastAsia" w:ascii="Calibri" w:hAnsi="宋体"/>
                <w:b/>
                <w:bCs/>
                <w:color w:val="auto"/>
                <w:sz w:val="24"/>
                <w:szCs w:val="24"/>
                <w:highlight w:val="none"/>
                <w:lang w:val="en-US" w:eastAsia="zh-CN" w:bidi="en-US"/>
              </w:rPr>
              <w:t>楼号</w:t>
            </w:r>
          </w:p>
        </w:tc>
        <w:tc>
          <w:tcPr>
            <w:tcW w:w="1528" w:type="dxa"/>
            <w:tcBorders>
              <w:top w:val="single" w:color="auto" w:sz="4" w:space="0"/>
              <w:left w:val="nil"/>
              <w:bottom w:val="single" w:color="auto" w:sz="4" w:space="0"/>
              <w:right w:val="single" w:color="auto" w:sz="4" w:space="0"/>
            </w:tcBorders>
            <w:noWrap w:val="0"/>
            <w:vAlign w:val="center"/>
          </w:tcPr>
          <w:p w14:paraId="0B16DBBB">
            <w:pPr>
              <w:jc w:val="center"/>
              <w:rPr>
                <w:rFonts w:ascii="宋体" w:hAnsi="宋体"/>
                <w:b/>
                <w:bCs/>
                <w:color w:val="auto"/>
                <w:sz w:val="24"/>
                <w:szCs w:val="24"/>
                <w:highlight w:val="none"/>
                <w:lang w:eastAsia="en-US" w:bidi="en-US"/>
              </w:rPr>
            </w:pPr>
            <w:r>
              <w:rPr>
                <w:rFonts w:hint="eastAsia" w:ascii="Calibri" w:hAnsi="宋体"/>
                <w:b/>
                <w:bCs/>
                <w:color w:val="auto"/>
                <w:sz w:val="24"/>
                <w:szCs w:val="24"/>
                <w:highlight w:val="none"/>
                <w:lang w:eastAsia="en-US" w:bidi="en-US"/>
              </w:rPr>
              <w:t>数量(台)</w:t>
            </w:r>
          </w:p>
        </w:tc>
        <w:tc>
          <w:tcPr>
            <w:tcW w:w="1536" w:type="dxa"/>
            <w:tcBorders>
              <w:top w:val="single" w:color="auto" w:sz="4" w:space="0"/>
              <w:left w:val="nil"/>
              <w:bottom w:val="single" w:color="auto" w:sz="4" w:space="0"/>
              <w:right w:val="single" w:color="auto" w:sz="4" w:space="0"/>
            </w:tcBorders>
            <w:noWrap w:val="0"/>
            <w:vAlign w:val="center"/>
          </w:tcPr>
          <w:p w14:paraId="61104924">
            <w:pPr>
              <w:jc w:val="center"/>
              <w:rPr>
                <w:rFonts w:hint="eastAsia" w:ascii="宋体" w:hAnsi="宋体"/>
                <w:b/>
                <w:bCs/>
                <w:color w:val="auto"/>
                <w:sz w:val="24"/>
                <w:szCs w:val="24"/>
                <w:highlight w:val="none"/>
                <w:lang w:bidi="en-US"/>
              </w:rPr>
            </w:pPr>
            <w:r>
              <w:rPr>
                <w:rFonts w:hint="eastAsia" w:ascii="Calibri" w:hAnsi="宋体"/>
                <w:b/>
                <w:bCs/>
                <w:color w:val="auto"/>
                <w:sz w:val="24"/>
                <w:szCs w:val="24"/>
                <w:highlight w:val="none"/>
                <w:lang w:bidi="en-US"/>
              </w:rPr>
              <w:t>品牌型号</w:t>
            </w:r>
          </w:p>
        </w:tc>
        <w:tc>
          <w:tcPr>
            <w:tcW w:w="2044" w:type="dxa"/>
            <w:tcBorders>
              <w:top w:val="single" w:color="auto" w:sz="4" w:space="0"/>
              <w:left w:val="nil"/>
              <w:bottom w:val="single" w:color="auto" w:sz="4" w:space="0"/>
              <w:right w:val="single" w:color="auto" w:sz="4" w:space="0"/>
            </w:tcBorders>
            <w:noWrap w:val="0"/>
            <w:vAlign w:val="center"/>
          </w:tcPr>
          <w:p w14:paraId="194F791D">
            <w:pPr>
              <w:jc w:val="center"/>
              <w:rPr>
                <w:rFonts w:hint="eastAsia" w:ascii="宋体" w:hAnsi="宋体"/>
                <w:b/>
                <w:bCs/>
                <w:color w:val="auto"/>
                <w:sz w:val="24"/>
                <w:szCs w:val="24"/>
                <w:highlight w:val="none"/>
                <w:lang w:bidi="en-US"/>
              </w:rPr>
            </w:pPr>
            <w:r>
              <w:rPr>
                <w:rFonts w:hint="eastAsia" w:ascii="Calibri" w:hAnsi="Calibri"/>
                <w:b/>
                <w:bCs/>
                <w:color w:val="auto"/>
                <w:sz w:val="24"/>
                <w:szCs w:val="24"/>
                <w:highlight w:val="none"/>
              </w:rPr>
              <w:t>制造商名称</w:t>
            </w:r>
          </w:p>
        </w:tc>
        <w:tc>
          <w:tcPr>
            <w:tcW w:w="1429" w:type="dxa"/>
            <w:tcBorders>
              <w:top w:val="single" w:color="auto" w:sz="4" w:space="0"/>
              <w:left w:val="nil"/>
              <w:bottom w:val="single" w:color="auto" w:sz="4" w:space="0"/>
              <w:right w:val="single" w:color="auto" w:sz="4" w:space="0"/>
            </w:tcBorders>
            <w:noWrap w:val="0"/>
            <w:vAlign w:val="center"/>
          </w:tcPr>
          <w:p w14:paraId="6443A909">
            <w:pPr>
              <w:jc w:val="center"/>
              <w:rPr>
                <w:rFonts w:hint="eastAsia" w:ascii="Calibri" w:hAnsi="宋体" w:eastAsia="宋体"/>
                <w:b/>
                <w:bCs/>
                <w:color w:val="auto"/>
                <w:sz w:val="24"/>
                <w:szCs w:val="24"/>
                <w:highlight w:val="none"/>
                <w:lang w:val="en-US" w:eastAsia="zh-CN" w:bidi="en-US"/>
              </w:rPr>
            </w:pPr>
            <w:r>
              <w:rPr>
                <w:rFonts w:hint="eastAsia" w:ascii="Calibri" w:hAnsi="宋体"/>
                <w:b/>
                <w:bCs/>
                <w:color w:val="auto"/>
                <w:sz w:val="24"/>
                <w:szCs w:val="24"/>
                <w:highlight w:val="none"/>
                <w:lang w:val="en-US" w:eastAsia="zh-CN" w:bidi="en-US"/>
              </w:rPr>
              <w:t>单价</w:t>
            </w:r>
          </w:p>
        </w:tc>
        <w:tc>
          <w:tcPr>
            <w:tcW w:w="1225" w:type="dxa"/>
            <w:tcBorders>
              <w:top w:val="single" w:color="auto" w:sz="4" w:space="0"/>
              <w:left w:val="nil"/>
              <w:bottom w:val="single" w:color="auto" w:sz="4" w:space="0"/>
              <w:right w:val="single" w:color="auto" w:sz="4" w:space="0"/>
            </w:tcBorders>
            <w:noWrap w:val="0"/>
            <w:vAlign w:val="center"/>
          </w:tcPr>
          <w:p w14:paraId="18A37885">
            <w:pPr>
              <w:jc w:val="center"/>
              <w:rPr>
                <w:rFonts w:hint="eastAsia" w:ascii="Calibri" w:hAnsi="宋体"/>
                <w:b/>
                <w:bCs/>
                <w:color w:val="auto"/>
                <w:sz w:val="24"/>
                <w:szCs w:val="24"/>
                <w:highlight w:val="none"/>
                <w:lang w:bidi="en-US"/>
              </w:rPr>
            </w:pPr>
            <w:r>
              <w:rPr>
                <w:rFonts w:hint="eastAsia" w:ascii="Calibri" w:hAnsi="宋体"/>
                <w:b/>
                <w:bCs/>
                <w:color w:val="auto"/>
                <w:sz w:val="24"/>
                <w:szCs w:val="24"/>
                <w:highlight w:val="none"/>
                <w:lang w:bidi="en-US"/>
              </w:rPr>
              <w:t>小计（元）</w:t>
            </w:r>
          </w:p>
        </w:tc>
      </w:tr>
      <w:tr w14:paraId="762149D3">
        <w:tblPrEx>
          <w:tblCellMar>
            <w:top w:w="0" w:type="dxa"/>
            <w:left w:w="108" w:type="dxa"/>
            <w:bottom w:w="0" w:type="dxa"/>
            <w:right w:w="108" w:type="dxa"/>
          </w:tblCellMar>
        </w:tblPrEx>
        <w:trPr>
          <w:trHeight w:val="515" w:hRule="atLeast"/>
        </w:trPr>
        <w:tc>
          <w:tcPr>
            <w:tcW w:w="1021" w:type="dxa"/>
            <w:tcBorders>
              <w:top w:val="nil"/>
              <w:left w:val="single" w:color="auto" w:sz="4" w:space="0"/>
              <w:bottom w:val="single" w:color="auto" w:sz="4" w:space="0"/>
              <w:right w:val="single" w:color="auto" w:sz="4" w:space="0"/>
            </w:tcBorders>
            <w:noWrap w:val="0"/>
            <w:vAlign w:val="center"/>
          </w:tcPr>
          <w:p w14:paraId="698B0239">
            <w:pPr>
              <w:widowControl/>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szCs w:val="24"/>
                <w:highlight w:val="none"/>
                <w:lang w:val="en-US" w:eastAsia="zh-CN" w:bidi="ar"/>
              </w:rPr>
              <w:t>1</w:t>
            </w:r>
          </w:p>
        </w:tc>
        <w:tc>
          <w:tcPr>
            <w:tcW w:w="1635" w:type="dxa"/>
            <w:tcBorders>
              <w:top w:val="nil"/>
              <w:left w:val="single" w:color="auto" w:sz="4" w:space="0"/>
              <w:bottom w:val="single" w:color="auto" w:sz="4" w:space="0"/>
              <w:right w:val="single" w:color="auto" w:sz="4" w:space="0"/>
            </w:tcBorders>
            <w:noWrap w:val="0"/>
            <w:vAlign w:val="center"/>
          </w:tcPr>
          <w:p w14:paraId="4D9B086B">
            <w:pPr>
              <w:widowControl/>
              <w:jc w:val="center"/>
              <w:textAlignment w:val="center"/>
              <w:rPr>
                <w:rFonts w:hint="default" w:ascii="宋体" w:hAnsi="宋体" w:eastAsia="宋体"/>
                <w:color w:val="auto"/>
                <w:sz w:val="24"/>
                <w:szCs w:val="24"/>
                <w:highlight w:val="none"/>
                <w:lang w:val="en-US" w:eastAsia="zh-CN" w:bidi="en-US"/>
              </w:rPr>
            </w:pPr>
            <w:r>
              <w:rPr>
                <w:rFonts w:hint="eastAsia"/>
                <w:color w:val="auto"/>
                <w:highlight w:val="none"/>
              </w:rPr>
              <w:t>区块一-2#</w:t>
            </w:r>
            <w:r>
              <w:rPr>
                <w:rFonts w:hint="eastAsia" w:ascii="宋体" w:hAnsi="宋体" w:cs="宋体"/>
                <w:b w:val="0"/>
                <w:bCs w:val="0"/>
                <w:color w:val="auto"/>
                <w:kern w:val="0"/>
                <w:sz w:val="24"/>
                <w:szCs w:val="24"/>
                <w:highlight w:val="none"/>
                <w:lang w:val="en-US" w:eastAsia="zh-CN" w:bidi="en-US"/>
              </w:rPr>
              <w:t>提升机</w:t>
            </w:r>
          </w:p>
        </w:tc>
        <w:tc>
          <w:tcPr>
            <w:tcW w:w="1528" w:type="dxa"/>
            <w:tcBorders>
              <w:top w:val="single" w:color="auto" w:sz="4" w:space="0"/>
              <w:left w:val="nil"/>
              <w:bottom w:val="single" w:color="auto" w:sz="4" w:space="0"/>
              <w:right w:val="single" w:color="auto" w:sz="4" w:space="0"/>
            </w:tcBorders>
            <w:noWrap w:val="0"/>
            <w:vAlign w:val="center"/>
          </w:tcPr>
          <w:p w14:paraId="7CB50A20">
            <w:pPr>
              <w:widowControl/>
              <w:jc w:val="center"/>
              <w:textAlignment w:val="center"/>
              <w:rPr>
                <w:rFonts w:hint="eastAsia" w:ascii="宋体" w:hAnsi="宋体" w:eastAsia="宋体"/>
                <w:color w:val="auto"/>
                <w:sz w:val="24"/>
                <w:szCs w:val="24"/>
                <w:highlight w:val="none"/>
                <w:lang w:val="en-US" w:eastAsia="zh-CN" w:bidi="en-US"/>
              </w:rPr>
            </w:pPr>
            <w:r>
              <w:rPr>
                <w:rFonts w:hint="eastAsia" w:ascii="宋体" w:hAnsi="宋体"/>
                <w:color w:val="auto"/>
                <w:sz w:val="24"/>
                <w:szCs w:val="24"/>
                <w:highlight w:val="none"/>
                <w:lang w:val="en-US" w:eastAsia="zh-CN" w:bidi="en-US"/>
              </w:rPr>
              <w:t>1</w:t>
            </w:r>
          </w:p>
        </w:tc>
        <w:tc>
          <w:tcPr>
            <w:tcW w:w="1536" w:type="dxa"/>
            <w:tcBorders>
              <w:top w:val="single" w:color="auto" w:sz="4" w:space="0"/>
              <w:left w:val="nil"/>
              <w:bottom w:val="single" w:color="auto" w:sz="4" w:space="0"/>
              <w:right w:val="single" w:color="auto" w:sz="4" w:space="0"/>
            </w:tcBorders>
            <w:noWrap w:val="0"/>
            <w:vAlign w:val="center"/>
          </w:tcPr>
          <w:p w14:paraId="4B7EBB28">
            <w:pPr>
              <w:widowControl/>
              <w:jc w:val="center"/>
              <w:textAlignment w:val="center"/>
              <w:rPr>
                <w:rFonts w:ascii="宋体" w:hAnsi="宋体"/>
                <w:color w:val="auto"/>
                <w:sz w:val="24"/>
                <w:szCs w:val="24"/>
                <w:highlight w:val="none"/>
                <w:lang w:bidi="en-US"/>
              </w:rPr>
            </w:pPr>
          </w:p>
        </w:tc>
        <w:tc>
          <w:tcPr>
            <w:tcW w:w="2044" w:type="dxa"/>
            <w:tcBorders>
              <w:top w:val="single" w:color="auto" w:sz="4" w:space="0"/>
              <w:left w:val="nil"/>
              <w:bottom w:val="single" w:color="auto" w:sz="4" w:space="0"/>
              <w:right w:val="single" w:color="auto" w:sz="4" w:space="0"/>
            </w:tcBorders>
            <w:noWrap w:val="0"/>
            <w:vAlign w:val="center"/>
          </w:tcPr>
          <w:p w14:paraId="18DC5C26">
            <w:pPr>
              <w:widowControl/>
              <w:jc w:val="center"/>
              <w:textAlignment w:val="center"/>
              <w:rPr>
                <w:rFonts w:hint="eastAsia" w:ascii="宋体" w:hAnsi="宋体"/>
                <w:color w:val="auto"/>
                <w:sz w:val="24"/>
                <w:szCs w:val="24"/>
                <w:highlight w:val="none"/>
                <w:lang w:bidi="en-US"/>
              </w:rPr>
            </w:pPr>
          </w:p>
        </w:tc>
        <w:tc>
          <w:tcPr>
            <w:tcW w:w="1429" w:type="dxa"/>
            <w:tcBorders>
              <w:top w:val="single" w:color="auto" w:sz="4" w:space="0"/>
              <w:left w:val="nil"/>
              <w:bottom w:val="single" w:color="auto" w:sz="4" w:space="0"/>
              <w:right w:val="single" w:color="auto" w:sz="4" w:space="0"/>
            </w:tcBorders>
            <w:noWrap w:val="0"/>
            <w:vAlign w:val="center"/>
          </w:tcPr>
          <w:p w14:paraId="6CE001F7">
            <w:pPr>
              <w:jc w:val="center"/>
              <w:rPr>
                <w:rFonts w:hint="eastAsia" w:ascii="Calibri" w:hAnsi="宋体"/>
                <w:color w:val="auto"/>
                <w:sz w:val="24"/>
                <w:szCs w:val="24"/>
                <w:highlight w:val="none"/>
                <w:lang w:eastAsia="en-US" w:bidi="en-US"/>
              </w:rPr>
            </w:pPr>
          </w:p>
        </w:tc>
        <w:tc>
          <w:tcPr>
            <w:tcW w:w="1225" w:type="dxa"/>
            <w:tcBorders>
              <w:top w:val="single" w:color="auto" w:sz="4" w:space="0"/>
              <w:left w:val="nil"/>
              <w:bottom w:val="single" w:color="auto" w:sz="4" w:space="0"/>
              <w:right w:val="single" w:color="auto" w:sz="4" w:space="0"/>
            </w:tcBorders>
            <w:noWrap w:val="0"/>
            <w:vAlign w:val="top"/>
          </w:tcPr>
          <w:p w14:paraId="1E6AEAA1">
            <w:pPr>
              <w:jc w:val="center"/>
              <w:rPr>
                <w:rFonts w:hint="eastAsia" w:ascii="Calibri" w:hAnsi="宋体"/>
                <w:color w:val="auto"/>
                <w:sz w:val="24"/>
                <w:szCs w:val="24"/>
                <w:highlight w:val="none"/>
                <w:lang w:eastAsia="en-US" w:bidi="en-US"/>
              </w:rPr>
            </w:pPr>
          </w:p>
        </w:tc>
      </w:tr>
      <w:tr w14:paraId="74F5EF74">
        <w:tblPrEx>
          <w:tblCellMar>
            <w:top w:w="0" w:type="dxa"/>
            <w:left w:w="108" w:type="dxa"/>
            <w:bottom w:w="0" w:type="dxa"/>
            <w:right w:w="108" w:type="dxa"/>
          </w:tblCellMar>
        </w:tblPrEx>
        <w:trPr>
          <w:trHeight w:val="470" w:hRule="atLeast"/>
        </w:trPr>
        <w:tc>
          <w:tcPr>
            <w:tcW w:w="1021" w:type="dxa"/>
            <w:tcBorders>
              <w:top w:val="single" w:color="auto" w:sz="4" w:space="0"/>
              <w:left w:val="single" w:color="auto" w:sz="4" w:space="0"/>
              <w:bottom w:val="single" w:color="auto" w:sz="4" w:space="0"/>
              <w:right w:val="single" w:color="auto" w:sz="4" w:space="0"/>
            </w:tcBorders>
            <w:noWrap w:val="0"/>
            <w:vAlign w:val="center"/>
          </w:tcPr>
          <w:p w14:paraId="37FF1A94">
            <w:pPr>
              <w:widowControl/>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szCs w:val="24"/>
                <w:highlight w:val="none"/>
                <w:lang w:val="en-US" w:eastAsia="zh-CN" w:bidi="ar"/>
              </w:rPr>
              <w:t>2</w:t>
            </w:r>
          </w:p>
        </w:tc>
        <w:tc>
          <w:tcPr>
            <w:tcW w:w="1635" w:type="dxa"/>
            <w:tcBorders>
              <w:top w:val="single" w:color="auto" w:sz="4" w:space="0"/>
              <w:left w:val="single" w:color="auto" w:sz="4" w:space="0"/>
              <w:bottom w:val="single" w:color="auto" w:sz="4" w:space="0"/>
              <w:right w:val="single" w:color="auto" w:sz="4" w:space="0"/>
            </w:tcBorders>
            <w:noWrap w:val="0"/>
            <w:vAlign w:val="center"/>
          </w:tcPr>
          <w:p w14:paraId="64387B4B">
            <w:pPr>
              <w:widowControl/>
              <w:jc w:val="center"/>
              <w:textAlignment w:val="center"/>
              <w:rPr>
                <w:rFonts w:hint="default" w:ascii="宋体" w:hAnsi="宋体" w:eastAsia="宋体"/>
                <w:color w:val="auto"/>
                <w:sz w:val="24"/>
                <w:szCs w:val="24"/>
                <w:highlight w:val="none"/>
                <w:lang w:val="en-US" w:eastAsia="zh-CN" w:bidi="en-US"/>
              </w:rPr>
            </w:pPr>
            <w:r>
              <w:rPr>
                <w:rFonts w:hint="eastAsia"/>
                <w:color w:val="auto"/>
                <w:highlight w:val="none"/>
              </w:rPr>
              <w:t>区块一-3#</w:t>
            </w:r>
            <w:r>
              <w:rPr>
                <w:rFonts w:hint="eastAsia" w:ascii="宋体" w:hAnsi="宋体" w:cs="宋体"/>
                <w:b w:val="0"/>
                <w:bCs w:val="0"/>
                <w:color w:val="auto"/>
                <w:kern w:val="0"/>
                <w:sz w:val="24"/>
                <w:szCs w:val="24"/>
                <w:highlight w:val="none"/>
                <w:lang w:val="en-US" w:eastAsia="zh-CN" w:bidi="en-US"/>
              </w:rPr>
              <w:t>提升机</w:t>
            </w:r>
          </w:p>
        </w:tc>
        <w:tc>
          <w:tcPr>
            <w:tcW w:w="1528" w:type="dxa"/>
            <w:tcBorders>
              <w:top w:val="single" w:color="auto" w:sz="4" w:space="0"/>
              <w:left w:val="nil"/>
              <w:bottom w:val="single" w:color="auto" w:sz="4" w:space="0"/>
              <w:right w:val="single" w:color="auto" w:sz="4" w:space="0"/>
            </w:tcBorders>
            <w:noWrap w:val="0"/>
            <w:vAlign w:val="center"/>
          </w:tcPr>
          <w:p w14:paraId="743CB5DD">
            <w:pPr>
              <w:widowControl/>
              <w:jc w:val="center"/>
              <w:textAlignment w:val="center"/>
              <w:rPr>
                <w:rFonts w:hint="eastAsia" w:ascii="Calibri" w:hAnsi="宋体" w:eastAsia="宋体"/>
                <w:color w:val="auto"/>
                <w:sz w:val="24"/>
                <w:szCs w:val="24"/>
                <w:highlight w:val="none"/>
                <w:lang w:val="en-US" w:eastAsia="zh-CN" w:bidi="en-US"/>
              </w:rPr>
            </w:pPr>
            <w:r>
              <w:rPr>
                <w:rFonts w:hint="eastAsia" w:ascii="Calibri" w:hAnsi="宋体"/>
                <w:color w:val="auto"/>
                <w:sz w:val="24"/>
                <w:szCs w:val="24"/>
                <w:highlight w:val="none"/>
                <w:lang w:val="en-US" w:eastAsia="zh-CN" w:bidi="en-US"/>
              </w:rPr>
              <w:t>4</w:t>
            </w:r>
          </w:p>
        </w:tc>
        <w:tc>
          <w:tcPr>
            <w:tcW w:w="1536" w:type="dxa"/>
            <w:tcBorders>
              <w:top w:val="single" w:color="auto" w:sz="4" w:space="0"/>
              <w:left w:val="nil"/>
              <w:bottom w:val="single" w:color="auto" w:sz="4" w:space="0"/>
              <w:right w:val="single" w:color="auto" w:sz="4" w:space="0"/>
            </w:tcBorders>
            <w:noWrap w:val="0"/>
            <w:vAlign w:val="center"/>
          </w:tcPr>
          <w:p w14:paraId="6571AB31">
            <w:pPr>
              <w:widowControl/>
              <w:jc w:val="center"/>
              <w:textAlignment w:val="center"/>
              <w:rPr>
                <w:rFonts w:hint="eastAsia" w:ascii="Calibri" w:hAnsi="宋体"/>
                <w:color w:val="auto"/>
                <w:sz w:val="24"/>
                <w:szCs w:val="24"/>
                <w:highlight w:val="none"/>
                <w:lang w:bidi="en-US"/>
              </w:rPr>
            </w:pPr>
          </w:p>
        </w:tc>
        <w:tc>
          <w:tcPr>
            <w:tcW w:w="2044" w:type="dxa"/>
            <w:tcBorders>
              <w:top w:val="single" w:color="auto" w:sz="4" w:space="0"/>
              <w:left w:val="nil"/>
              <w:bottom w:val="single" w:color="auto" w:sz="4" w:space="0"/>
              <w:right w:val="single" w:color="auto" w:sz="4" w:space="0"/>
            </w:tcBorders>
            <w:noWrap w:val="0"/>
            <w:vAlign w:val="center"/>
          </w:tcPr>
          <w:p w14:paraId="2C806D6D">
            <w:pPr>
              <w:widowControl/>
              <w:jc w:val="center"/>
              <w:textAlignment w:val="center"/>
              <w:rPr>
                <w:rFonts w:hint="eastAsia" w:ascii="Calibri" w:hAnsi="宋体"/>
                <w:color w:val="auto"/>
                <w:sz w:val="24"/>
                <w:szCs w:val="24"/>
                <w:highlight w:val="none"/>
                <w:lang w:bidi="en-US"/>
              </w:rPr>
            </w:pPr>
          </w:p>
        </w:tc>
        <w:tc>
          <w:tcPr>
            <w:tcW w:w="1429" w:type="dxa"/>
            <w:tcBorders>
              <w:top w:val="single" w:color="auto" w:sz="4" w:space="0"/>
              <w:left w:val="nil"/>
              <w:bottom w:val="single" w:color="auto" w:sz="4" w:space="0"/>
              <w:right w:val="single" w:color="auto" w:sz="4" w:space="0"/>
            </w:tcBorders>
            <w:noWrap w:val="0"/>
            <w:vAlign w:val="center"/>
          </w:tcPr>
          <w:p w14:paraId="74B85CF5">
            <w:pPr>
              <w:jc w:val="center"/>
              <w:rPr>
                <w:rFonts w:hint="eastAsia" w:ascii="Calibri" w:hAnsi="宋体"/>
                <w:color w:val="auto"/>
                <w:sz w:val="24"/>
                <w:szCs w:val="24"/>
                <w:highlight w:val="none"/>
                <w:lang w:bidi="en-US"/>
              </w:rPr>
            </w:pPr>
          </w:p>
        </w:tc>
        <w:tc>
          <w:tcPr>
            <w:tcW w:w="1225" w:type="dxa"/>
            <w:tcBorders>
              <w:top w:val="single" w:color="auto" w:sz="4" w:space="0"/>
              <w:left w:val="nil"/>
              <w:bottom w:val="single" w:color="auto" w:sz="4" w:space="0"/>
              <w:right w:val="single" w:color="auto" w:sz="4" w:space="0"/>
            </w:tcBorders>
            <w:noWrap w:val="0"/>
            <w:vAlign w:val="top"/>
          </w:tcPr>
          <w:p w14:paraId="7441C904">
            <w:pPr>
              <w:jc w:val="center"/>
              <w:rPr>
                <w:rFonts w:hint="eastAsia" w:ascii="Calibri" w:hAnsi="宋体"/>
                <w:color w:val="auto"/>
                <w:sz w:val="24"/>
                <w:szCs w:val="24"/>
                <w:highlight w:val="none"/>
                <w:lang w:bidi="en-US"/>
              </w:rPr>
            </w:pPr>
          </w:p>
        </w:tc>
      </w:tr>
      <w:tr w14:paraId="26B44659">
        <w:tblPrEx>
          <w:tblCellMar>
            <w:top w:w="0" w:type="dxa"/>
            <w:left w:w="108" w:type="dxa"/>
            <w:bottom w:w="0" w:type="dxa"/>
            <w:right w:w="108" w:type="dxa"/>
          </w:tblCellMar>
        </w:tblPrEx>
        <w:trPr>
          <w:trHeight w:val="490" w:hRule="atLeast"/>
        </w:trPr>
        <w:tc>
          <w:tcPr>
            <w:tcW w:w="10418" w:type="dxa"/>
            <w:gridSpan w:val="7"/>
            <w:tcBorders>
              <w:top w:val="single" w:color="auto" w:sz="4" w:space="0"/>
              <w:left w:val="single" w:color="auto" w:sz="4" w:space="0"/>
              <w:bottom w:val="single" w:color="auto" w:sz="4" w:space="0"/>
              <w:right w:val="single" w:color="auto" w:sz="4" w:space="0"/>
            </w:tcBorders>
            <w:noWrap w:val="0"/>
            <w:vAlign w:val="center"/>
          </w:tcPr>
          <w:p w14:paraId="7A25F8D8">
            <w:pPr>
              <w:jc w:val="both"/>
              <w:rPr>
                <w:rFonts w:hint="eastAsia" w:ascii="Calibri" w:hAnsi="宋体"/>
                <w:color w:val="auto"/>
                <w:sz w:val="24"/>
                <w:szCs w:val="24"/>
                <w:highlight w:val="none"/>
                <w:lang w:bidi="en-US"/>
              </w:rPr>
            </w:pPr>
            <w:r>
              <w:rPr>
                <w:rFonts w:hint="eastAsia" w:ascii="Calibri" w:hAnsi="宋体"/>
                <w:color w:val="auto"/>
                <w:sz w:val="24"/>
                <w:szCs w:val="24"/>
                <w:highlight w:val="none"/>
                <w:lang w:bidi="en-US"/>
              </w:rPr>
              <w:t>合计（元）：</w:t>
            </w:r>
          </w:p>
        </w:tc>
      </w:tr>
    </w:tbl>
    <w:p w14:paraId="3380C58B">
      <w:pPr>
        <w:snapToGrid w:val="0"/>
        <w:spacing w:before="50" w:after="50" w:line="420" w:lineRule="exact"/>
        <w:jc w:val="left"/>
        <w:rPr>
          <w:rFonts w:ascii="宋体" w:hAnsi="宋体"/>
          <w:b/>
          <w:bCs/>
          <w:color w:val="auto"/>
          <w:sz w:val="24"/>
          <w:szCs w:val="24"/>
          <w:highlight w:val="none"/>
        </w:rPr>
      </w:pPr>
      <w:bookmarkStart w:id="70" w:name="_Hlk78207666"/>
      <w:r>
        <w:rPr>
          <w:rFonts w:hint="eastAsia" w:ascii="宋体" w:hAnsi="宋体"/>
          <w:b/>
          <w:bCs/>
          <w:color w:val="auto"/>
          <w:sz w:val="24"/>
          <w:szCs w:val="24"/>
          <w:highlight w:val="none"/>
        </w:rPr>
        <w:t>说明：</w:t>
      </w:r>
    </w:p>
    <w:p w14:paraId="205FB34E">
      <w:pPr>
        <w:widowControl/>
        <w:spacing w:line="420" w:lineRule="exact"/>
        <w:jc w:val="left"/>
        <w:rPr>
          <w:rFonts w:hint="eastAsia" w:ascii="宋体" w:hAnsi="宋体"/>
          <w:color w:val="auto"/>
          <w:kern w:val="0"/>
          <w:sz w:val="24"/>
          <w:szCs w:val="24"/>
          <w:highlight w:val="none"/>
          <w:lang w:bidi="en-US"/>
        </w:rPr>
      </w:pPr>
      <w:r>
        <w:rPr>
          <w:rFonts w:hint="eastAsia" w:ascii="宋体" w:hAnsi="宋体"/>
          <w:color w:val="auto"/>
          <w:kern w:val="0"/>
          <w:sz w:val="24"/>
          <w:szCs w:val="24"/>
          <w:highlight w:val="none"/>
          <w:lang w:bidi="en-US"/>
        </w:rPr>
        <w:t>1、投标报价是履行合同的最终价格，应包括货款、标准附件、备品备件、专用工具、包装、运输、装卸、保险、税金、货到就位以及安装、调试、保修等一切税金和费用。招标人除提供安装所需的水电接口，（水电费由中标方负责）、协调设备存放场地以外，设备装卸、保管、就位、脚手架、预埋件、井道照明、低坑护栏、爬梯、主机搁梁、导轨安装、安装、调试、验收、成品保护、技术培训、</w:t>
      </w:r>
      <w:r>
        <w:rPr>
          <w:rFonts w:hint="eastAsia" w:ascii="宋体" w:hAnsi="宋体"/>
          <w:color w:val="auto"/>
          <w:kern w:val="0"/>
          <w:sz w:val="24"/>
          <w:szCs w:val="24"/>
          <w:highlight w:val="none"/>
          <w:lang w:val="en-US" w:eastAsia="zh-CN" w:bidi="en-US"/>
        </w:rPr>
        <w:t>定期检验费、</w:t>
      </w:r>
      <w:r>
        <w:rPr>
          <w:rFonts w:hint="eastAsia" w:ascii="宋体" w:hAnsi="宋体"/>
          <w:color w:val="auto"/>
          <w:kern w:val="0"/>
          <w:sz w:val="24"/>
          <w:szCs w:val="24"/>
          <w:highlight w:val="none"/>
          <w:lang w:bidi="en-US"/>
        </w:rPr>
        <w:t>其他所需费用等全部费用包括在投标报价内。</w:t>
      </w:r>
    </w:p>
    <w:p w14:paraId="6D67D1AC">
      <w:pPr>
        <w:snapToGrid w:val="0"/>
        <w:spacing w:before="50" w:after="120" w:afterLines="50" w:line="360" w:lineRule="auto"/>
        <w:jc w:val="left"/>
        <w:rPr>
          <w:rFonts w:ascii="宋体" w:hAnsi="宋体"/>
          <w:b/>
          <w:color w:val="auto"/>
          <w:sz w:val="24"/>
          <w:szCs w:val="24"/>
          <w:highlight w:val="none"/>
        </w:rPr>
      </w:pPr>
      <w:r>
        <w:rPr>
          <w:rFonts w:hint="eastAsia" w:ascii="宋体" w:hAnsi="宋体"/>
          <w:b/>
          <w:color w:val="auto"/>
          <w:sz w:val="24"/>
          <w:szCs w:val="24"/>
          <w:highlight w:val="none"/>
        </w:rPr>
        <w:t>2、本报价明细表投标人请根据招标文件采购清单中的内容进行填写，不得漏项。招标文件中未曾明确或有所遗漏的工作内容，但实际工作中发生的工作量与设施设备等，投标人均需在报价中充分考虑进去，否则视为已综合考虑在总报价内。</w:t>
      </w:r>
    </w:p>
    <w:p w14:paraId="74C46182">
      <w:pPr>
        <w:snapToGrid w:val="0"/>
        <w:spacing w:before="50" w:after="50" w:line="420" w:lineRule="exact"/>
        <w:jc w:val="left"/>
        <w:rPr>
          <w:rFonts w:hint="eastAsia" w:ascii="宋体" w:hAnsi="宋体"/>
          <w:color w:val="auto"/>
          <w:sz w:val="24"/>
          <w:szCs w:val="24"/>
          <w:highlight w:val="none"/>
        </w:rPr>
      </w:pPr>
      <w:r>
        <w:rPr>
          <w:rFonts w:hint="eastAsia" w:ascii="宋体" w:hAnsi="宋体"/>
          <w:color w:val="auto"/>
          <w:sz w:val="24"/>
          <w:szCs w:val="24"/>
          <w:highlight w:val="none"/>
        </w:rPr>
        <w:t>3、报价一经涂改，应在涂改处加盖单位公章或者由法定代表人签字或盖章</w:t>
      </w:r>
      <w:r>
        <w:rPr>
          <w:rFonts w:hint="eastAsia" w:ascii="宋体" w:hAnsi="宋体"/>
          <w:b/>
          <w:color w:val="auto"/>
          <w:sz w:val="24"/>
          <w:szCs w:val="24"/>
          <w:highlight w:val="none"/>
        </w:rPr>
        <w:t>或授权委托人签字或盖章</w:t>
      </w:r>
      <w:r>
        <w:rPr>
          <w:rFonts w:hint="eastAsia" w:ascii="宋体" w:hAnsi="宋体"/>
          <w:color w:val="auto"/>
          <w:sz w:val="24"/>
          <w:szCs w:val="24"/>
          <w:highlight w:val="none"/>
        </w:rPr>
        <w:t>。</w:t>
      </w:r>
      <w:bookmarkEnd w:id="70"/>
    </w:p>
    <w:p w14:paraId="52789D0A">
      <w:pPr>
        <w:snapToGrid w:val="0"/>
        <w:spacing w:before="50" w:after="120" w:afterLines="50" w:line="360" w:lineRule="auto"/>
        <w:jc w:val="left"/>
        <w:rPr>
          <w:rFonts w:hAnsi="宋体"/>
          <w:b/>
          <w:color w:val="auto"/>
          <w:spacing w:val="20"/>
          <w:sz w:val="24"/>
          <w:szCs w:val="24"/>
          <w:highlight w:val="none"/>
        </w:rPr>
      </w:pPr>
      <w:r>
        <w:rPr>
          <w:rFonts w:hint="eastAsia" w:ascii="宋体" w:hAnsi="宋体"/>
          <w:b/>
          <w:color w:val="auto"/>
          <w:spacing w:val="20"/>
          <w:sz w:val="24"/>
          <w:szCs w:val="24"/>
          <w:highlight w:val="none"/>
        </w:rPr>
        <w:t>法定代表人签字（或盖章）：            投标人（盖章）：</w:t>
      </w:r>
      <w:bookmarkStart w:id="71" w:name="_Hlk60823488"/>
      <w:r>
        <w:rPr>
          <w:rFonts w:hint="eastAsia" w:hAnsi="宋体"/>
          <w:b/>
          <w:color w:val="auto"/>
          <w:spacing w:val="20"/>
          <w:sz w:val="24"/>
          <w:szCs w:val="24"/>
          <w:highlight w:val="none"/>
        </w:rPr>
        <w:t xml:space="preserve">  </w:t>
      </w:r>
    </w:p>
    <w:p w14:paraId="14869D0D">
      <w:pPr>
        <w:snapToGrid w:val="0"/>
        <w:spacing w:before="50" w:after="120" w:afterLines="50" w:line="360" w:lineRule="auto"/>
        <w:jc w:val="left"/>
        <w:rPr>
          <w:rFonts w:hAnsi="宋体"/>
          <w:b/>
          <w:color w:val="auto"/>
          <w:spacing w:val="20"/>
          <w:sz w:val="24"/>
          <w:szCs w:val="24"/>
          <w:highlight w:val="none"/>
        </w:rPr>
      </w:pPr>
      <w:r>
        <w:rPr>
          <w:rFonts w:hint="eastAsia" w:hAnsi="宋体"/>
          <w:b/>
          <w:color w:val="auto"/>
          <w:spacing w:val="20"/>
          <w:sz w:val="24"/>
          <w:szCs w:val="24"/>
          <w:highlight w:val="none"/>
        </w:rPr>
        <w:t>日期：</w:t>
      </w:r>
      <w:r>
        <w:rPr>
          <w:rFonts w:hint="eastAsia" w:hAnsi="宋体"/>
          <w:b/>
          <w:color w:val="auto"/>
          <w:spacing w:val="20"/>
          <w:sz w:val="24"/>
          <w:szCs w:val="24"/>
          <w:highlight w:val="none"/>
          <w:u w:val="single"/>
        </w:rPr>
        <w:t xml:space="preserve">     </w:t>
      </w:r>
      <w:r>
        <w:rPr>
          <w:rFonts w:hint="eastAsia" w:hAnsi="宋体"/>
          <w:b/>
          <w:color w:val="auto"/>
          <w:spacing w:val="20"/>
          <w:sz w:val="24"/>
          <w:szCs w:val="24"/>
          <w:highlight w:val="none"/>
        </w:rPr>
        <w:t>年</w:t>
      </w:r>
      <w:r>
        <w:rPr>
          <w:rFonts w:hint="eastAsia" w:hAnsi="宋体"/>
          <w:b/>
          <w:color w:val="auto"/>
          <w:spacing w:val="20"/>
          <w:sz w:val="24"/>
          <w:szCs w:val="24"/>
          <w:highlight w:val="none"/>
          <w:u w:val="single"/>
        </w:rPr>
        <w:t xml:space="preserve">   </w:t>
      </w:r>
      <w:r>
        <w:rPr>
          <w:rFonts w:hint="eastAsia" w:hAnsi="宋体"/>
          <w:b/>
          <w:color w:val="auto"/>
          <w:spacing w:val="20"/>
          <w:sz w:val="24"/>
          <w:szCs w:val="24"/>
          <w:highlight w:val="none"/>
        </w:rPr>
        <w:t>月</w:t>
      </w:r>
      <w:r>
        <w:rPr>
          <w:rFonts w:hint="eastAsia" w:hAnsi="宋体"/>
          <w:b/>
          <w:color w:val="auto"/>
          <w:spacing w:val="20"/>
          <w:sz w:val="24"/>
          <w:szCs w:val="24"/>
          <w:highlight w:val="none"/>
          <w:u w:val="single"/>
        </w:rPr>
        <w:t xml:space="preserve">    </w:t>
      </w:r>
      <w:r>
        <w:rPr>
          <w:rFonts w:hint="eastAsia" w:hAnsi="宋体"/>
          <w:b/>
          <w:color w:val="auto"/>
          <w:spacing w:val="20"/>
          <w:sz w:val="24"/>
          <w:szCs w:val="24"/>
          <w:highlight w:val="none"/>
        </w:rPr>
        <w:t>日</w:t>
      </w:r>
    </w:p>
    <w:bookmarkEnd w:id="71"/>
    <w:p w14:paraId="0809F889">
      <w:pPr>
        <w:pStyle w:val="29"/>
        <w:snapToGrid w:val="0"/>
        <w:spacing w:before="120" w:beforeLines="0" w:after="120" w:afterLines="0"/>
        <w:jc w:val="left"/>
        <w:rPr>
          <w:rFonts w:hint="eastAsia"/>
          <w:b/>
          <w:bCs/>
          <w:color w:val="auto"/>
          <w:highlight w:val="none"/>
          <w:u w:val="single"/>
          <w:shd w:val="pct10" w:color="auto" w:fill="FFFFFF"/>
        </w:rPr>
      </w:pPr>
    </w:p>
    <w:p w14:paraId="022E412B">
      <w:pPr>
        <w:rPr>
          <w:rFonts w:hint="eastAsia" w:ascii="宋体" w:hAnsi="宋体" w:eastAsia="宋体" w:cs="宋体"/>
          <w:b/>
          <w:color w:val="auto"/>
          <w:sz w:val="24"/>
          <w:highlight w:val="none"/>
          <w:shd w:val="clear" w:color="auto" w:fill="auto"/>
        </w:rPr>
      </w:pPr>
    </w:p>
    <w:sectPr>
      <w:footerReference r:id="rId10" w:type="default"/>
      <w:footerReference r:id="rId11" w:type="even"/>
      <w:pgSz w:w="11906" w:h="16838"/>
      <w:pgMar w:top="1020" w:right="1587" w:bottom="850" w:left="1587" w:header="851" w:footer="850" w:gutter="0"/>
      <w:pgNumType w:fmt="decimal"/>
      <w:cols w:space="0" w:num="1"/>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HelveticaNeueLT Std Lt">
    <w:altName w:val="新宋体"/>
    <w:panose1 w:val="00000000000000000000"/>
    <w:charset w:val="86"/>
    <w:family w:val="auto"/>
    <w:pitch w:val="default"/>
    <w:sig w:usb0="00000000" w:usb1="00000000" w:usb2="00000010" w:usb3="00000000" w:csb0="00040000" w:csb1="00000000"/>
  </w:font>
  <w:font w:name="新宋体">
    <w:panose1 w:val="02010609030101010101"/>
    <w:charset w:val="86"/>
    <w:family w:val="auto"/>
    <w:pitch w:val="default"/>
    <w:sig w:usb0="00000203" w:usb1="288F0000" w:usb2="00000006" w:usb3="00000000" w:csb0="00040001" w:csb1="00000000"/>
  </w:font>
  <w:font w:name="Helvetica">
    <w:panose1 w:val="020B0504020202030204"/>
    <w:charset w:val="00"/>
    <w:family w:val="swiss"/>
    <w:pitch w:val="default"/>
    <w:sig w:usb0="00000007" w:usb1="00000000" w:usb2="00000000" w:usb3="00000000" w:csb0="00000093" w:csb1="00000000"/>
  </w:font>
  <w:font w:name="Arial Unicode MS">
    <w:altName w:val="宋体"/>
    <w:panose1 w:val="020B0604020202020204"/>
    <w:charset w:val="86"/>
    <w:family w:val="roman"/>
    <w:pitch w:val="default"/>
    <w:sig w:usb0="00000000" w:usb1="00000000" w:usb2="0000003F" w:usb3="00000000" w:csb0="603F01FF" w:csb1="FFFF0000"/>
  </w:font>
  <w:font w:name="Swis721 Lt BT">
    <w:altName w:val="Malgun Gothic"/>
    <w:panose1 w:val="00000000000000000000"/>
    <w:charset w:val="00"/>
    <w:family w:val="swiss"/>
    <w:pitch w:val="default"/>
    <w:sig w:usb0="00000000" w:usb1="00000000" w:usb2="00000000" w:usb3="00000000" w:csb0="0000001B" w:csb1="00000000"/>
  </w:font>
  <w:font w:name="Malgun Gothic">
    <w:panose1 w:val="020B0503020000020004"/>
    <w:charset w:val="81"/>
    <w:family w:val="auto"/>
    <w:pitch w:val="default"/>
    <w:sig w:usb0="9000002F" w:usb1="29D77CFB" w:usb2="00000012" w:usb3="00000000" w:csb0="00080001" w:csb1="00000000"/>
  </w:font>
  <w:font w:name="Garamond">
    <w:panose1 w:val="02020502050306020203"/>
    <w:charset w:val="00"/>
    <w:family w:val="roman"/>
    <w:pitch w:val="default"/>
    <w:sig w:usb0="00000007" w:usb1="00000000" w:usb2="00000000" w:usb3="00000000" w:csb0="00000093" w:csb1="00000000"/>
  </w:font>
  <w:font w:name="EtGsHeiBold">
    <w:altName w:val="黑体"/>
    <w:panose1 w:val="00000000000000000000"/>
    <w:charset w:val="86"/>
    <w:family w:val="auto"/>
    <w:pitch w:val="default"/>
    <w:sig w:usb0="00000000" w:usb1="00000000" w:usb2="00000010" w:usb3="00000000" w:csb0="00040000" w:csb1="00000000"/>
  </w:font>
  <w:font w:name="Calibri Light">
    <w:panose1 w:val="020F03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长城仿宋">
    <w:altName w:val="黑体"/>
    <w:panose1 w:val="00000000000000000000"/>
    <w:charset w:val="86"/>
    <w:family w:val="modern"/>
    <w:pitch w:val="default"/>
    <w:sig w:usb0="00000000" w:usb1="00000000" w:usb2="00000010" w:usb3="00000000" w:csb0="00040000" w:csb1="00000000"/>
  </w:font>
  <w:font w:name="昆仑仿宋">
    <w:altName w:val="仿宋"/>
    <w:panose1 w:val="00000000000000000000"/>
    <w:charset w:val="86"/>
    <w:family w:val="modern"/>
    <w:pitch w:val="default"/>
    <w:sig w:usb0="00000000" w:usb1="00000000" w:usb2="00000010" w:usb3="00000000" w:csb0="00040000" w:csb1="00000000"/>
  </w:font>
  <w:font w:name="华文楷体">
    <w:altName w:val="宋体"/>
    <w:panose1 w:val="02010600040101010101"/>
    <w:charset w:val="86"/>
    <w:family w:val="auto"/>
    <w:pitch w:val="default"/>
    <w:sig w:usb0="00000000" w:usb1="00000000" w:usb2="00000000" w:usb3="00000000" w:csb0="0004009F" w:csb1="DFD70000"/>
  </w:font>
  <w:font w:name="华文新魏">
    <w:altName w:val="宋体"/>
    <w:panose1 w:val="02010800040101010101"/>
    <w:charset w:val="86"/>
    <w:family w:val="auto"/>
    <w:pitch w:val="default"/>
    <w:sig w:usb0="00000000" w:usb1="0000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C45C32">
    <w:pPr>
      <w:pStyle w:val="34"/>
      <w:framePr w:wrap="around" w:vAnchor="text" w:hAnchor="margin" w:xAlign="right" w:y="1"/>
      <w:rPr>
        <w:rStyle w:val="56"/>
      </w:rPr>
    </w:pPr>
    <w:r>
      <w:fldChar w:fldCharType="begin"/>
    </w:r>
    <w:r>
      <w:rPr>
        <w:rStyle w:val="56"/>
      </w:rPr>
      <w:instrText xml:space="preserve">PAGE  </w:instrText>
    </w:r>
    <w:r>
      <w:fldChar w:fldCharType="end"/>
    </w:r>
  </w:p>
  <w:p w14:paraId="2C5BB3A8">
    <w:pPr>
      <w:pStyle w:val="3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4F84DF">
    <w:pPr>
      <w:pStyle w:val="3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947178">
    <w:pPr>
      <w:pStyle w:val="34"/>
      <w:framePr w:wrap="around" w:vAnchor="text" w:hAnchor="margin" w:xAlign="right" w:y="1"/>
      <w:rPr>
        <w:rStyle w:val="56"/>
      </w:rPr>
    </w:pPr>
    <w:r>
      <w:fldChar w:fldCharType="begin"/>
    </w:r>
    <w:r>
      <w:rPr>
        <w:rStyle w:val="56"/>
      </w:rPr>
      <w:instrText xml:space="preserve">PAGE  </w:instrText>
    </w:r>
    <w:r>
      <w:fldChar w:fldCharType="end"/>
    </w:r>
  </w:p>
  <w:p w14:paraId="65CF659A">
    <w:pPr>
      <w:pStyle w:val="34"/>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C4FFB4">
    <w:pPr>
      <w:pStyle w:val="34"/>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98CF78">
                          <w:pPr>
                            <w:pStyle w:val="34"/>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0298CF78">
                    <w:pPr>
                      <w:pStyle w:val="34"/>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A95A21">
    <w:pPr>
      <w:pStyle w:val="34"/>
      <w:ind w:right="36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2C959B">
                          <w:pPr>
                            <w:pStyle w:val="34"/>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62C959B">
                    <w:pPr>
                      <w:pStyle w:val="34"/>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EBB1F8">
    <w:pPr>
      <w:pStyle w:val="34"/>
      <w:ind w:right="36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F0D56F">
                          <w:pPr>
                            <w:pStyle w:val="34"/>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8F0D56F">
                    <w:pPr>
                      <w:pStyle w:val="34"/>
                    </w:pPr>
                    <w:r>
                      <w:fldChar w:fldCharType="begin"/>
                    </w:r>
                    <w:r>
                      <w:instrText xml:space="preserve"> PAGE  \* MERGEFORMAT </w:instrText>
                    </w:r>
                    <w:r>
                      <w:fldChar w:fldCharType="separate"/>
                    </w:r>
                    <w:r>
                      <w:t>39</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0A0C21">
    <w:pPr>
      <w:pStyle w:val="34"/>
      <w:framePr w:wrap="around" w:vAnchor="text" w:hAnchor="margin" w:xAlign="right" w:y="1"/>
      <w:rPr>
        <w:rStyle w:val="56"/>
      </w:rPr>
    </w:pPr>
    <w:r>
      <w:fldChar w:fldCharType="begin"/>
    </w:r>
    <w:r>
      <w:rPr>
        <w:rStyle w:val="56"/>
      </w:rPr>
      <w:instrText xml:space="preserve">PAGE  </w:instrText>
    </w:r>
    <w:r>
      <w:fldChar w:fldCharType="separate"/>
    </w:r>
    <w:r>
      <w:rPr>
        <w:rStyle w:val="56"/>
      </w:rPr>
      <w:t>53</w:t>
    </w:r>
    <w:r>
      <w:fldChar w:fldCharType="end"/>
    </w:r>
  </w:p>
  <w:p w14:paraId="6DFCE5BF">
    <w:pPr>
      <w:pStyle w:val="34"/>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D1DF7E">
    <w:pPr>
      <w:pStyle w:val="35"/>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3F8749">
    <w:pPr>
      <w:pStyle w:val="3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3EC1055"/>
    <w:multiLevelType w:val="singleLevel"/>
    <w:tmpl w:val="93EC1055"/>
    <w:lvl w:ilvl="0" w:tentative="0">
      <w:start w:val="2"/>
      <w:numFmt w:val="chineseCounting"/>
      <w:suff w:val="space"/>
      <w:lvlText w:val="第%1章"/>
      <w:lvlJc w:val="left"/>
      <w:rPr>
        <w:rFonts w:hint="eastAsia"/>
      </w:rPr>
    </w:lvl>
  </w:abstractNum>
  <w:abstractNum w:abstractNumId="1">
    <w:nsid w:val="FFFFFFFE"/>
    <w:multiLevelType w:val="singleLevel"/>
    <w:tmpl w:val="FFFFFFFE"/>
    <w:lvl w:ilvl="0" w:tentative="0">
      <w:start w:val="0"/>
      <w:numFmt w:val="bullet"/>
      <w:lvlText w:val="*"/>
      <w:lvlJc w:val="left"/>
    </w:lvl>
  </w:abstractNum>
  <w:abstractNum w:abstractNumId="2">
    <w:nsid w:val="00000003"/>
    <w:multiLevelType w:val="multilevel"/>
    <w:tmpl w:val="00000003"/>
    <w:lvl w:ilvl="0" w:tentative="0">
      <w:start w:val="1"/>
      <w:numFmt w:val="bullet"/>
      <w:pStyle w:val="369"/>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3">
    <w:nsid w:val="01D92129"/>
    <w:multiLevelType w:val="multilevel"/>
    <w:tmpl w:val="01D92129"/>
    <w:lvl w:ilvl="0" w:tentative="0">
      <w:start w:val="1"/>
      <w:numFmt w:val="bullet"/>
      <w:pStyle w:val="248"/>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4">
    <w:nsid w:val="08DC24F3"/>
    <w:multiLevelType w:val="singleLevel"/>
    <w:tmpl w:val="08DC24F3"/>
    <w:lvl w:ilvl="0" w:tentative="0">
      <w:start w:val="1"/>
      <w:numFmt w:val="chineseCounting"/>
      <w:suff w:val="nothing"/>
      <w:lvlText w:val="（%1）"/>
      <w:lvlJc w:val="left"/>
      <w:rPr>
        <w:rFonts w:hint="eastAsia"/>
      </w:rPr>
    </w:lvl>
  </w:abstractNum>
  <w:abstractNum w:abstractNumId="5">
    <w:nsid w:val="2A0F73DB"/>
    <w:multiLevelType w:val="singleLevel"/>
    <w:tmpl w:val="2A0F73DB"/>
    <w:lvl w:ilvl="0" w:tentative="0">
      <w:start w:val="1"/>
      <w:numFmt w:val="chineseCounting"/>
      <w:suff w:val="nothing"/>
      <w:lvlText w:val="%1、"/>
      <w:lvlJc w:val="left"/>
      <w:rPr>
        <w:rFonts w:hint="eastAsia"/>
      </w:rPr>
    </w:lvl>
  </w:abstractNum>
  <w:abstractNum w:abstractNumId="6">
    <w:nsid w:val="51CF44FE"/>
    <w:multiLevelType w:val="singleLevel"/>
    <w:tmpl w:val="51CF44FE"/>
    <w:lvl w:ilvl="0" w:tentative="0">
      <w:start w:val="1"/>
      <w:numFmt w:val="decimal"/>
      <w:lvlText w:val="%1)"/>
      <w:lvlJc w:val="left"/>
      <w:pPr>
        <w:ind w:left="425" w:hanging="425"/>
      </w:pPr>
      <w:rPr>
        <w:rFonts w:hint="default"/>
      </w:rPr>
    </w:lvl>
  </w:abstractNum>
  <w:abstractNum w:abstractNumId="7">
    <w:nsid w:val="6188D21A"/>
    <w:multiLevelType w:val="singleLevel"/>
    <w:tmpl w:val="6188D21A"/>
    <w:lvl w:ilvl="0" w:tentative="0">
      <w:start w:val="1"/>
      <w:numFmt w:val="decimal"/>
      <w:suff w:val="nothing"/>
      <w:lvlText w:val="%1、"/>
      <w:lvlJc w:val="left"/>
      <w:pPr>
        <w:ind w:left="0" w:firstLine="0"/>
      </w:pPr>
    </w:lvl>
  </w:abstractNum>
  <w:num w:numId="1">
    <w:abstractNumId w:val="3"/>
  </w:num>
  <w:num w:numId="2">
    <w:abstractNumId w:val="1"/>
    <w:lvlOverride w:ilvl="0">
      <w:lvl w:ilvl="0" w:tentative="1">
        <w:start w:val="0"/>
        <w:numFmt w:val="bullet"/>
        <w:pStyle w:val="333"/>
        <w:lvlText w:val=""/>
        <w:legacy w:legacy="1" w:legacySpace="0" w:legacyIndent="360"/>
        <w:lvlJc w:val="left"/>
        <w:rPr>
          <w:rFonts w:hint="default" w:ascii="Symbol" w:hAnsi="Symbol"/>
        </w:rPr>
      </w:lvl>
    </w:lvlOverride>
  </w:num>
  <w:num w:numId="3">
    <w:abstractNumId w:val="2"/>
  </w:num>
  <w:num w:numId="4">
    <w:abstractNumId w:val="0"/>
  </w:num>
  <w:num w:numId="5">
    <w:abstractNumId w:val="6"/>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Q0OWMzN2Y3YzdmN2Q4OTc4NGE4OTI5ODgxZjZmNTgifQ=="/>
  </w:docVars>
  <w:rsids>
    <w:rsidRoot w:val="000008D7"/>
    <w:rsid w:val="000000D7"/>
    <w:rsid w:val="000008D7"/>
    <w:rsid w:val="00000982"/>
    <w:rsid w:val="00001012"/>
    <w:rsid w:val="00002483"/>
    <w:rsid w:val="00002CF8"/>
    <w:rsid w:val="000033E8"/>
    <w:rsid w:val="00003E16"/>
    <w:rsid w:val="00004E71"/>
    <w:rsid w:val="00005739"/>
    <w:rsid w:val="00005CFF"/>
    <w:rsid w:val="00005DEE"/>
    <w:rsid w:val="00005F91"/>
    <w:rsid w:val="00006B0F"/>
    <w:rsid w:val="00007873"/>
    <w:rsid w:val="00010149"/>
    <w:rsid w:val="0001070D"/>
    <w:rsid w:val="0001174B"/>
    <w:rsid w:val="00011CD2"/>
    <w:rsid w:val="00012736"/>
    <w:rsid w:val="00012854"/>
    <w:rsid w:val="00013773"/>
    <w:rsid w:val="00014C16"/>
    <w:rsid w:val="00014DDC"/>
    <w:rsid w:val="0001630F"/>
    <w:rsid w:val="00017AB6"/>
    <w:rsid w:val="00017E53"/>
    <w:rsid w:val="00020F7C"/>
    <w:rsid w:val="000211DA"/>
    <w:rsid w:val="00021F9D"/>
    <w:rsid w:val="00022148"/>
    <w:rsid w:val="000232A6"/>
    <w:rsid w:val="000238C1"/>
    <w:rsid w:val="000247A9"/>
    <w:rsid w:val="0002495D"/>
    <w:rsid w:val="00024BBF"/>
    <w:rsid w:val="00025397"/>
    <w:rsid w:val="000254C4"/>
    <w:rsid w:val="000260AE"/>
    <w:rsid w:val="00026611"/>
    <w:rsid w:val="000267D1"/>
    <w:rsid w:val="00030C50"/>
    <w:rsid w:val="00030C77"/>
    <w:rsid w:val="00030FFB"/>
    <w:rsid w:val="00031237"/>
    <w:rsid w:val="00031A8C"/>
    <w:rsid w:val="0003234E"/>
    <w:rsid w:val="00032882"/>
    <w:rsid w:val="00033366"/>
    <w:rsid w:val="000349CC"/>
    <w:rsid w:val="00035249"/>
    <w:rsid w:val="00035268"/>
    <w:rsid w:val="00035D5A"/>
    <w:rsid w:val="00035E6B"/>
    <w:rsid w:val="00036CCF"/>
    <w:rsid w:val="00036E4C"/>
    <w:rsid w:val="000376F8"/>
    <w:rsid w:val="000405F2"/>
    <w:rsid w:val="000408BF"/>
    <w:rsid w:val="0004133E"/>
    <w:rsid w:val="00041400"/>
    <w:rsid w:val="00042906"/>
    <w:rsid w:val="00042B0A"/>
    <w:rsid w:val="00042D09"/>
    <w:rsid w:val="0004358C"/>
    <w:rsid w:val="000443E9"/>
    <w:rsid w:val="00046410"/>
    <w:rsid w:val="000506AD"/>
    <w:rsid w:val="00050BC4"/>
    <w:rsid w:val="000564F0"/>
    <w:rsid w:val="000613FD"/>
    <w:rsid w:val="000619E3"/>
    <w:rsid w:val="00062B2D"/>
    <w:rsid w:val="000640C5"/>
    <w:rsid w:val="00064A5C"/>
    <w:rsid w:val="000668FF"/>
    <w:rsid w:val="00066AE1"/>
    <w:rsid w:val="00067CD6"/>
    <w:rsid w:val="00071FDA"/>
    <w:rsid w:val="00072A89"/>
    <w:rsid w:val="00073448"/>
    <w:rsid w:val="0007482A"/>
    <w:rsid w:val="000750CE"/>
    <w:rsid w:val="0007562E"/>
    <w:rsid w:val="0007575E"/>
    <w:rsid w:val="00076D82"/>
    <w:rsid w:val="00077016"/>
    <w:rsid w:val="000772F2"/>
    <w:rsid w:val="00080054"/>
    <w:rsid w:val="000807C6"/>
    <w:rsid w:val="00080FC2"/>
    <w:rsid w:val="00082E88"/>
    <w:rsid w:val="000833F6"/>
    <w:rsid w:val="000854AC"/>
    <w:rsid w:val="00085C05"/>
    <w:rsid w:val="000862C5"/>
    <w:rsid w:val="0008697B"/>
    <w:rsid w:val="00087E16"/>
    <w:rsid w:val="0009006F"/>
    <w:rsid w:val="0009034A"/>
    <w:rsid w:val="0009060C"/>
    <w:rsid w:val="00090750"/>
    <w:rsid w:val="00090AB3"/>
    <w:rsid w:val="00090CF8"/>
    <w:rsid w:val="00090EBE"/>
    <w:rsid w:val="0009159F"/>
    <w:rsid w:val="00091CF5"/>
    <w:rsid w:val="0009253B"/>
    <w:rsid w:val="000926D9"/>
    <w:rsid w:val="000930D4"/>
    <w:rsid w:val="000933E2"/>
    <w:rsid w:val="0009341D"/>
    <w:rsid w:val="00094A6B"/>
    <w:rsid w:val="0009696A"/>
    <w:rsid w:val="00097A26"/>
    <w:rsid w:val="000A0580"/>
    <w:rsid w:val="000A0F94"/>
    <w:rsid w:val="000A4448"/>
    <w:rsid w:val="000A47A9"/>
    <w:rsid w:val="000A6163"/>
    <w:rsid w:val="000A75AC"/>
    <w:rsid w:val="000A7940"/>
    <w:rsid w:val="000B036D"/>
    <w:rsid w:val="000B0C94"/>
    <w:rsid w:val="000B14E8"/>
    <w:rsid w:val="000B24FD"/>
    <w:rsid w:val="000B41B1"/>
    <w:rsid w:val="000B490E"/>
    <w:rsid w:val="000B4C85"/>
    <w:rsid w:val="000B4EAE"/>
    <w:rsid w:val="000B515B"/>
    <w:rsid w:val="000B6D7C"/>
    <w:rsid w:val="000C0C00"/>
    <w:rsid w:val="000C0D42"/>
    <w:rsid w:val="000C2016"/>
    <w:rsid w:val="000C3CA7"/>
    <w:rsid w:val="000C467E"/>
    <w:rsid w:val="000C66EB"/>
    <w:rsid w:val="000C7836"/>
    <w:rsid w:val="000C7ED0"/>
    <w:rsid w:val="000D0AB1"/>
    <w:rsid w:val="000D13FC"/>
    <w:rsid w:val="000D189B"/>
    <w:rsid w:val="000D3740"/>
    <w:rsid w:val="000D39B4"/>
    <w:rsid w:val="000D4749"/>
    <w:rsid w:val="000D4913"/>
    <w:rsid w:val="000D4F44"/>
    <w:rsid w:val="000D5B51"/>
    <w:rsid w:val="000D6143"/>
    <w:rsid w:val="000D6F06"/>
    <w:rsid w:val="000D7912"/>
    <w:rsid w:val="000D7B12"/>
    <w:rsid w:val="000E054C"/>
    <w:rsid w:val="000E3096"/>
    <w:rsid w:val="000E5DA4"/>
    <w:rsid w:val="000E7566"/>
    <w:rsid w:val="000F0E9C"/>
    <w:rsid w:val="000F1697"/>
    <w:rsid w:val="000F1A7E"/>
    <w:rsid w:val="000F1AAD"/>
    <w:rsid w:val="000F27C0"/>
    <w:rsid w:val="000F3CF8"/>
    <w:rsid w:val="000F49E3"/>
    <w:rsid w:val="0010004F"/>
    <w:rsid w:val="00101ECD"/>
    <w:rsid w:val="00103337"/>
    <w:rsid w:val="00104CD7"/>
    <w:rsid w:val="00105F07"/>
    <w:rsid w:val="001061BD"/>
    <w:rsid w:val="001075D4"/>
    <w:rsid w:val="00107922"/>
    <w:rsid w:val="0011436D"/>
    <w:rsid w:val="0011500F"/>
    <w:rsid w:val="00115AB1"/>
    <w:rsid w:val="00115C8D"/>
    <w:rsid w:val="0011633C"/>
    <w:rsid w:val="0011699B"/>
    <w:rsid w:val="00117359"/>
    <w:rsid w:val="0012002A"/>
    <w:rsid w:val="001203B4"/>
    <w:rsid w:val="00120E48"/>
    <w:rsid w:val="00120E93"/>
    <w:rsid w:val="001211AF"/>
    <w:rsid w:val="001211C4"/>
    <w:rsid w:val="00122650"/>
    <w:rsid w:val="00123304"/>
    <w:rsid w:val="00123553"/>
    <w:rsid w:val="00123691"/>
    <w:rsid w:val="00123D79"/>
    <w:rsid w:val="001247D7"/>
    <w:rsid w:val="00124E16"/>
    <w:rsid w:val="00125469"/>
    <w:rsid w:val="001272E8"/>
    <w:rsid w:val="001306A3"/>
    <w:rsid w:val="00130729"/>
    <w:rsid w:val="0013093E"/>
    <w:rsid w:val="00130F26"/>
    <w:rsid w:val="001313B7"/>
    <w:rsid w:val="001323AE"/>
    <w:rsid w:val="00134473"/>
    <w:rsid w:val="0013482F"/>
    <w:rsid w:val="00135014"/>
    <w:rsid w:val="0013571D"/>
    <w:rsid w:val="0013579A"/>
    <w:rsid w:val="00135814"/>
    <w:rsid w:val="00135B82"/>
    <w:rsid w:val="00136381"/>
    <w:rsid w:val="0013719D"/>
    <w:rsid w:val="001376BB"/>
    <w:rsid w:val="001402E8"/>
    <w:rsid w:val="00141CF1"/>
    <w:rsid w:val="00143217"/>
    <w:rsid w:val="00143DD9"/>
    <w:rsid w:val="001442E6"/>
    <w:rsid w:val="00144BC0"/>
    <w:rsid w:val="001450FA"/>
    <w:rsid w:val="001463CF"/>
    <w:rsid w:val="00147343"/>
    <w:rsid w:val="00150565"/>
    <w:rsid w:val="00150B67"/>
    <w:rsid w:val="001540FF"/>
    <w:rsid w:val="00154BD2"/>
    <w:rsid w:val="00154E8A"/>
    <w:rsid w:val="001557F9"/>
    <w:rsid w:val="00155E87"/>
    <w:rsid w:val="001569D5"/>
    <w:rsid w:val="00157756"/>
    <w:rsid w:val="0016005C"/>
    <w:rsid w:val="0016040E"/>
    <w:rsid w:val="00160693"/>
    <w:rsid w:val="00160960"/>
    <w:rsid w:val="00160F67"/>
    <w:rsid w:val="001612A1"/>
    <w:rsid w:val="00161FC4"/>
    <w:rsid w:val="00162534"/>
    <w:rsid w:val="001628F1"/>
    <w:rsid w:val="00162D1F"/>
    <w:rsid w:val="00163000"/>
    <w:rsid w:val="00163DD5"/>
    <w:rsid w:val="00164FE2"/>
    <w:rsid w:val="001655AB"/>
    <w:rsid w:val="00165817"/>
    <w:rsid w:val="00165FBB"/>
    <w:rsid w:val="001662FC"/>
    <w:rsid w:val="001668AF"/>
    <w:rsid w:val="001707C2"/>
    <w:rsid w:val="0017080C"/>
    <w:rsid w:val="001709B8"/>
    <w:rsid w:val="00170A1A"/>
    <w:rsid w:val="00170AF8"/>
    <w:rsid w:val="00171E5A"/>
    <w:rsid w:val="00172A4C"/>
    <w:rsid w:val="00174A28"/>
    <w:rsid w:val="0017669A"/>
    <w:rsid w:val="001770B2"/>
    <w:rsid w:val="0017794D"/>
    <w:rsid w:val="00177E86"/>
    <w:rsid w:val="001803B9"/>
    <w:rsid w:val="00180825"/>
    <w:rsid w:val="00180B2B"/>
    <w:rsid w:val="00180C98"/>
    <w:rsid w:val="00181048"/>
    <w:rsid w:val="00181673"/>
    <w:rsid w:val="001818DD"/>
    <w:rsid w:val="00181E8E"/>
    <w:rsid w:val="00183647"/>
    <w:rsid w:val="0018376B"/>
    <w:rsid w:val="00183D71"/>
    <w:rsid w:val="00183E62"/>
    <w:rsid w:val="001850AE"/>
    <w:rsid w:val="00185E47"/>
    <w:rsid w:val="00186597"/>
    <w:rsid w:val="00186C66"/>
    <w:rsid w:val="001902C2"/>
    <w:rsid w:val="0019157E"/>
    <w:rsid w:val="00191B2D"/>
    <w:rsid w:val="00192082"/>
    <w:rsid w:val="0019257C"/>
    <w:rsid w:val="001927A8"/>
    <w:rsid w:val="00192E47"/>
    <w:rsid w:val="00193193"/>
    <w:rsid w:val="001933CE"/>
    <w:rsid w:val="0019594D"/>
    <w:rsid w:val="00195D15"/>
    <w:rsid w:val="0019772B"/>
    <w:rsid w:val="001A040C"/>
    <w:rsid w:val="001A0CA1"/>
    <w:rsid w:val="001A11A5"/>
    <w:rsid w:val="001A1504"/>
    <w:rsid w:val="001A1FD5"/>
    <w:rsid w:val="001A2169"/>
    <w:rsid w:val="001A2AA0"/>
    <w:rsid w:val="001A2C2D"/>
    <w:rsid w:val="001A3DAC"/>
    <w:rsid w:val="001A5BBC"/>
    <w:rsid w:val="001A6EC5"/>
    <w:rsid w:val="001A6F81"/>
    <w:rsid w:val="001B06CA"/>
    <w:rsid w:val="001B0E28"/>
    <w:rsid w:val="001B161F"/>
    <w:rsid w:val="001B191E"/>
    <w:rsid w:val="001B27CC"/>
    <w:rsid w:val="001B2813"/>
    <w:rsid w:val="001B2AB2"/>
    <w:rsid w:val="001B33A4"/>
    <w:rsid w:val="001B3E84"/>
    <w:rsid w:val="001B4D87"/>
    <w:rsid w:val="001B5416"/>
    <w:rsid w:val="001B5C48"/>
    <w:rsid w:val="001B6656"/>
    <w:rsid w:val="001B6E16"/>
    <w:rsid w:val="001B723B"/>
    <w:rsid w:val="001B7641"/>
    <w:rsid w:val="001C06E9"/>
    <w:rsid w:val="001C28BA"/>
    <w:rsid w:val="001C2997"/>
    <w:rsid w:val="001C2A56"/>
    <w:rsid w:val="001C3298"/>
    <w:rsid w:val="001C5E5D"/>
    <w:rsid w:val="001C5F4F"/>
    <w:rsid w:val="001C710B"/>
    <w:rsid w:val="001D14D8"/>
    <w:rsid w:val="001D1795"/>
    <w:rsid w:val="001D25F4"/>
    <w:rsid w:val="001D27ED"/>
    <w:rsid w:val="001D3780"/>
    <w:rsid w:val="001D4771"/>
    <w:rsid w:val="001D49BC"/>
    <w:rsid w:val="001D4C93"/>
    <w:rsid w:val="001D5237"/>
    <w:rsid w:val="001D5EEC"/>
    <w:rsid w:val="001D5F4B"/>
    <w:rsid w:val="001D79CF"/>
    <w:rsid w:val="001D7C46"/>
    <w:rsid w:val="001E127E"/>
    <w:rsid w:val="001E1758"/>
    <w:rsid w:val="001E1E24"/>
    <w:rsid w:val="001E2D20"/>
    <w:rsid w:val="001E31D0"/>
    <w:rsid w:val="001E5205"/>
    <w:rsid w:val="001E5BEF"/>
    <w:rsid w:val="001E5E95"/>
    <w:rsid w:val="001E5F02"/>
    <w:rsid w:val="001E6332"/>
    <w:rsid w:val="001E69CC"/>
    <w:rsid w:val="001E75D7"/>
    <w:rsid w:val="001E7F3C"/>
    <w:rsid w:val="001F2640"/>
    <w:rsid w:val="001F392B"/>
    <w:rsid w:val="001F3E92"/>
    <w:rsid w:val="001F6544"/>
    <w:rsid w:val="001F666D"/>
    <w:rsid w:val="00200040"/>
    <w:rsid w:val="00200D14"/>
    <w:rsid w:val="0020128B"/>
    <w:rsid w:val="00201789"/>
    <w:rsid w:val="00201F09"/>
    <w:rsid w:val="00202F5D"/>
    <w:rsid w:val="00203374"/>
    <w:rsid w:val="00203987"/>
    <w:rsid w:val="002048B3"/>
    <w:rsid w:val="0020547F"/>
    <w:rsid w:val="002056ED"/>
    <w:rsid w:val="00205E8B"/>
    <w:rsid w:val="00206BD1"/>
    <w:rsid w:val="002073FD"/>
    <w:rsid w:val="0021041B"/>
    <w:rsid w:val="00210F5C"/>
    <w:rsid w:val="002115C9"/>
    <w:rsid w:val="00211E99"/>
    <w:rsid w:val="00212D31"/>
    <w:rsid w:val="00213376"/>
    <w:rsid w:val="002140DF"/>
    <w:rsid w:val="002150EF"/>
    <w:rsid w:val="002158A3"/>
    <w:rsid w:val="0021593D"/>
    <w:rsid w:val="00216145"/>
    <w:rsid w:val="00216B81"/>
    <w:rsid w:val="002201D6"/>
    <w:rsid w:val="00222CC7"/>
    <w:rsid w:val="00224AC6"/>
    <w:rsid w:val="00224F0F"/>
    <w:rsid w:val="00225F3C"/>
    <w:rsid w:val="00226696"/>
    <w:rsid w:val="0022719D"/>
    <w:rsid w:val="00230118"/>
    <w:rsid w:val="00230405"/>
    <w:rsid w:val="00231102"/>
    <w:rsid w:val="00231955"/>
    <w:rsid w:val="00231BE9"/>
    <w:rsid w:val="00232BC3"/>
    <w:rsid w:val="00232D58"/>
    <w:rsid w:val="0023377F"/>
    <w:rsid w:val="00234C51"/>
    <w:rsid w:val="00234CFA"/>
    <w:rsid w:val="00234DBC"/>
    <w:rsid w:val="0023522F"/>
    <w:rsid w:val="00236025"/>
    <w:rsid w:val="00237195"/>
    <w:rsid w:val="00237311"/>
    <w:rsid w:val="002376EA"/>
    <w:rsid w:val="00237F85"/>
    <w:rsid w:val="00240FD9"/>
    <w:rsid w:val="002416B3"/>
    <w:rsid w:val="00241B26"/>
    <w:rsid w:val="002423EE"/>
    <w:rsid w:val="00243F54"/>
    <w:rsid w:val="0024470F"/>
    <w:rsid w:val="002447DE"/>
    <w:rsid w:val="00244A69"/>
    <w:rsid w:val="00245FD3"/>
    <w:rsid w:val="0024795F"/>
    <w:rsid w:val="002502E5"/>
    <w:rsid w:val="00250F86"/>
    <w:rsid w:val="00251532"/>
    <w:rsid w:val="00251E02"/>
    <w:rsid w:val="002523A0"/>
    <w:rsid w:val="00252FA6"/>
    <w:rsid w:val="002540FE"/>
    <w:rsid w:val="0025580C"/>
    <w:rsid w:val="00257DAF"/>
    <w:rsid w:val="00260B8A"/>
    <w:rsid w:val="002610A4"/>
    <w:rsid w:val="002610B7"/>
    <w:rsid w:val="00262746"/>
    <w:rsid w:val="0026279E"/>
    <w:rsid w:val="002629B8"/>
    <w:rsid w:val="002637B7"/>
    <w:rsid w:val="00263953"/>
    <w:rsid w:val="00265BBF"/>
    <w:rsid w:val="00267D56"/>
    <w:rsid w:val="00267E1E"/>
    <w:rsid w:val="00267E9D"/>
    <w:rsid w:val="002703F5"/>
    <w:rsid w:val="002704A0"/>
    <w:rsid w:val="00270AF3"/>
    <w:rsid w:val="00271033"/>
    <w:rsid w:val="00271842"/>
    <w:rsid w:val="0027225B"/>
    <w:rsid w:val="002732F3"/>
    <w:rsid w:val="00273551"/>
    <w:rsid w:val="0027564C"/>
    <w:rsid w:val="00275BEC"/>
    <w:rsid w:val="0027713A"/>
    <w:rsid w:val="00281C26"/>
    <w:rsid w:val="00281D6C"/>
    <w:rsid w:val="0028211A"/>
    <w:rsid w:val="0028245B"/>
    <w:rsid w:val="0028256C"/>
    <w:rsid w:val="00283EEB"/>
    <w:rsid w:val="00283F53"/>
    <w:rsid w:val="00284846"/>
    <w:rsid w:val="0028709A"/>
    <w:rsid w:val="00287A4C"/>
    <w:rsid w:val="00287CB6"/>
    <w:rsid w:val="00290279"/>
    <w:rsid w:val="002904A8"/>
    <w:rsid w:val="00291639"/>
    <w:rsid w:val="002917A2"/>
    <w:rsid w:val="002919BB"/>
    <w:rsid w:val="00292075"/>
    <w:rsid w:val="002931D7"/>
    <w:rsid w:val="00293D18"/>
    <w:rsid w:val="00293E83"/>
    <w:rsid w:val="00294734"/>
    <w:rsid w:val="00294AA6"/>
    <w:rsid w:val="0029727E"/>
    <w:rsid w:val="002974EF"/>
    <w:rsid w:val="002A058A"/>
    <w:rsid w:val="002A0CB4"/>
    <w:rsid w:val="002A13A2"/>
    <w:rsid w:val="002A17B3"/>
    <w:rsid w:val="002A20AE"/>
    <w:rsid w:val="002A3510"/>
    <w:rsid w:val="002A42AF"/>
    <w:rsid w:val="002A49B2"/>
    <w:rsid w:val="002A6BEB"/>
    <w:rsid w:val="002A6CA8"/>
    <w:rsid w:val="002A7012"/>
    <w:rsid w:val="002A73EB"/>
    <w:rsid w:val="002B1021"/>
    <w:rsid w:val="002B1CC8"/>
    <w:rsid w:val="002B28C1"/>
    <w:rsid w:val="002B2A04"/>
    <w:rsid w:val="002B372A"/>
    <w:rsid w:val="002B3C74"/>
    <w:rsid w:val="002B3DEC"/>
    <w:rsid w:val="002B4C13"/>
    <w:rsid w:val="002B4F74"/>
    <w:rsid w:val="002B519C"/>
    <w:rsid w:val="002B51A0"/>
    <w:rsid w:val="002B5512"/>
    <w:rsid w:val="002B5D48"/>
    <w:rsid w:val="002B6A29"/>
    <w:rsid w:val="002B6B73"/>
    <w:rsid w:val="002B771D"/>
    <w:rsid w:val="002B7E49"/>
    <w:rsid w:val="002B7E99"/>
    <w:rsid w:val="002C13D2"/>
    <w:rsid w:val="002C1617"/>
    <w:rsid w:val="002C225E"/>
    <w:rsid w:val="002C22ED"/>
    <w:rsid w:val="002C2458"/>
    <w:rsid w:val="002C3A42"/>
    <w:rsid w:val="002C4831"/>
    <w:rsid w:val="002C60DA"/>
    <w:rsid w:val="002C75C7"/>
    <w:rsid w:val="002C7C32"/>
    <w:rsid w:val="002C7CEB"/>
    <w:rsid w:val="002D00B5"/>
    <w:rsid w:val="002D0460"/>
    <w:rsid w:val="002D0E9E"/>
    <w:rsid w:val="002D0EF1"/>
    <w:rsid w:val="002D30A1"/>
    <w:rsid w:val="002D3B6A"/>
    <w:rsid w:val="002D3E53"/>
    <w:rsid w:val="002D3F3F"/>
    <w:rsid w:val="002D4FD4"/>
    <w:rsid w:val="002D55E7"/>
    <w:rsid w:val="002D5618"/>
    <w:rsid w:val="002D5C8A"/>
    <w:rsid w:val="002D64F0"/>
    <w:rsid w:val="002D7319"/>
    <w:rsid w:val="002D7868"/>
    <w:rsid w:val="002D7A6C"/>
    <w:rsid w:val="002E0457"/>
    <w:rsid w:val="002E248E"/>
    <w:rsid w:val="002E2720"/>
    <w:rsid w:val="002E41B1"/>
    <w:rsid w:val="002E693C"/>
    <w:rsid w:val="002E7726"/>
    <w:rsid w:val="002E778F"/>
    <w:rsid w:val="002E7FB0"/>
    <w:rsid w:val="002F0145"/>
    <w:rsid w:val="002F12EA"/>
    <w:rsid w:val="002F1A1A"/>
    <w:rsid w:val="002F1B2E"/>
    <w:rsid w:val="002F2196"/>
    <w:rsid w:val="002F27FB"/>
    <w:rsid w:val="002F40FD"/>
    <w:rsid w:val="002F4853"/>
    <w:rsid w:val="002F4F9A"/>
    <w:rsid w:val="002F5B07"/>
    <w:rsid w:val="002F6102"/>
    <w:rsid w:val="002F6312"/>
    <w:rsid w:val="002F634E"/>
    <w:rsid w:val="002F675E"/>
    <w:rsid w:val="002F76A9"/>
    <w:rsid w:val="002F7C39"/>
    <w:rsid w:val="00300A2B"/>
    <w:rsid w:val="00301A8E"/>
    <w:rsid w:val="00303917"/>
    <w:rsid w:val="0030519A"/>
    <w:rsid w:val="003053BE"/>
    <w:rsid w:val="00306069"/>
    <w:rsid w:val="003067E9"/>
    <w:rsid w:val="00306B17"/>
    <w:rsid w:val="00306E05"/>
    <w:rsid w:val="00312195"/>
    <w:rsid w:val="0031241C"/>
    <w:rsid w:val="00312670"/>
    <w:rsid w:val="00312D66"/>
    <w:rsid w:val="003133DD"/>
    <w:rsid w:val="00313F64"/>
    <w:rsid w:val="00315F21"/>
    <w:rsid w:val="00316299"/>
    <w:rsid w:val="00316E19"/>
    <w:rsid w:val="00316FEF"/>
    <w:rsid w:val="0031742A"/>
    <w:rsid w:val="00317517"/>
    <w:rsid w:val="00321869"/>
    <w:rsid w:val="003233B1"/>
    <w:rsid w:val="00324DA4"/>
    <w:rsid w:val="00325AE7"/>
    <w:rsid w:val="00327650"/>
    <w:rsid w:val="0032793D"/>
    <w:rsid w:val="0033143D"/>
    <w:rsid w:val="003316EC"/>
    <w:rsid w:val="00331D49"/>
    <w:rsid w:val="00333787"/>
    <w:rsid w:val="00333E4D"/>
    <w:rsid w:val="00333FF2"/>
    <w:rsid w:val="00334654"/>
    <w:rsid w:val="003351C3"/>
    <w:rsid w:val="00336434"/>
    <w:rsid w:val="00337759"/>
    <w:rsid w:val="00341C72"/>
    <w:rsid w:val="0034332B"/>
    <w:rsid w:val="0034357F"/>
    <w:rsid w:val="00346144"/>
    <w:rsid w:val="0034621F"/>
    <w:rsid w:val="00346C75"/>
    <w:rsid w:val="00346CD0"/>
    <w:rsid w:val="003478BD"/>
    <w:rsid w:val="00347F44"/>
    <w:rsid w:val="00350821"/>
    <w:rsid w:val="003508EA"/>
    <w:rsid w:val="00351193"/>
    <w:rsid w:val="00351E50"/>
    <w:rsid w:val="00351F10"/>
    <w:rsid w:val="0035289E"/>
    <w:rsid w:val="00352E16"/>
    <w:rsid w:val="00352EF4"/>
    <w:rsid w:val="003530A6"/>
    <w:rsid w:val="0035438E"/>
    <w:rsid w:val="00354704"/>
    <w:rsid w:val="00357199"/>
    <w:rsid w:val="0036004B"/>
    <w:rsid w:val="00361EE0"/>
    <w:rsid w:val="003625F1"/>
    <w:rsid w:val="00362A23"/>
    <w:rsid w:val="00362BDE"/>
    <w:rsid w:val="0036342C"/>
    <w:rsid w:val="00363A6F"/>
    <w:rsid w:val="0036408B"/>
    <w:rsid w:val="00364BD6"/>
    <w:rsid w:val="00365026"/>
    <w:rsid w:val="00365F00"/>
    <w:rsid w:val="00366E5F"/>
    <w:rsid w:val="00367823"/>
    <w:rsid w:val="003679A6"/>
    <w:rsid w:val="00371097"/>
    <w:rsid w:val="003720F9"/>
    <w:rsid w:val="0037222D"/>
    <w:rsid w:val="0037269D"/>
    <w:rsid w:val="00372AE9"/>
    <w:rsid w:val="003731AB"/>
    <w:rsid w:val="00373C42"/>
    <w:rsid w:val="00374107"/>
    <w:rsid w:val="0037471B"/>
    <w:rsid w:val="00374E81"/>
    <w:rsid w:val="00375C73"/>
    <w:rsid w:val="00375C9C"/>
    <w:rsid w:val="00375E4B"/>
    <w:rsid w:val="0037610E"/>
    <w:rsid w:val="00376A08"/>
    <w:rsid w:val="00377872"/>
    <w:rsid w:val="00377B86"/>
    <w:rsid w:val="00380248"/>
    <w:rsid w:val="00381AEA"/>
    <w:rsid w:val="00382054"/>
    <w:rsid w:val="00382960"/>
    <w:rsid w:val="00382CFD"/>
    <w:rsid w:val="00382E31"/>
    <w:rsid w:val="00383812"/>
    <w:rsid w:val="003844F9"/>
    <w:rsid w:val="00385203"/>
    <w:rsid w:val="00385D19"/>
    <w:rsid w:val="00385E5E"/>
    <w:rsid w:val="00387FE6"/>
    <w:rsid w:val="003907BF"/>
    <w:rsid w:val="00390C00"/>
    <w:rsid w:val="00390F53"/>
    <w:rsid w:val="003A07AE"/>
    <w:rsid w:val="003A0C5F"/>
    <w:rsid w:val="003A0E0F"/>
    <w:rsid w:val="003A16DC"/>
    <w:rsid w:val="003A1DF6"/>
    <w:rsid w:val="003A36F5"/>
    <w:rsid w:val="003A4078"/>
    <w:rsid w:val="003A5A64"/>
    <w:rsid w:val="003A6107"/>
    <w:rsid w:val="003A6363"/>
    <w:rsid w:val="003A6A60"/>
    <w:rsid w:val="003A7FDF"/>
    <w:rsid w:val="003B00AB"/>
    <w:rsid w:val="003B0824"/>
    <w:rsid w:val="003B1627"/>
    <w:rsid w:val="003B5048"/>
    <w:rsid w:val="003B7350"/>
    <w:rsid w:val="003C03BE"/>
    <w:rsid w:val="003C1A76"/>
    <w:rsid w:val="003C2B8C"/>
    <w:rsid w:val="003C3186"/>
    <w:rsid w:val="003C3233"/>
    <w:rsid w:val="003C35DD"/>
    <w:rsid w:val="003C4BD9"/>
    <w:rsid w:val="003C4EF1"/>
    <w:rsid w:val="003D0187"/>
    <w:rsid w:val="003D0193"/>
    <w:rsid w:val="003D03F0"/>
    <w:rsid w:val="003D0640"/>
    <w:rsid w:val="003D0874"/>
    <w:rsid w:val="003D09B1"/>
    <w:rsid w:val="003D0A44"/>
    <w:rsid w:val="003D0C77"/>
    <w:rsid w:val="003D0F62"/>
    <w:rsid w:val="003D3178"/>
    <w:rsid w:val="003D337E"/>
    <w:rsid w:val="003D46BC"/>
    <w:rsid w:val="003D5315"/>
    <w:rsid w:val="003D5AD6"/>
    <w:rsid w:val="003D5F19"/>
    <w:rsid w:val="003D6A6D"/>
    <w:rsid w:val="003D6D48"/>
    <w:rsid w:val="003D7A34"/>
    <w:rsid w:val="003E20B2"/>
    <w:rsid w:val="003E24A2"/>
    <w:rsid w:val="003E32E6"/>
    <w:rsid w:val="003E3D48"/>
    <w:rsid w:val="003E5158"/>
    <w:rsid w:val="003E588C"/>
    <w:rsid w:val="003E5F5C"/>
    <w:rsid w:val="003E787F"/>
    <w:rsid w:val="003F007C"/>
    <w:rsid w:val="003F0C1B"/>
    <w:rsid w:val="003F1D9D"/>
    <w:rsid w:val="003F27B4"/>
    <w:rsid w:val="003F2DD4"/>
    <w:rsid w:val="003F3313"/>
    <w:rsid w:val="003F369B"/>
    <w:rsid w:val="003F6F79"/>
    <w:rsid w:val="003F7193"/>
    <w:rsid w:val="003F78B3"/>
    <w:rsid w:val="004001FA"/>
    <w:rsid w:val="00400842"/>
    <w:rsid w:val="0040165C"/>
    <w:rsid w:val="004017A8"/>
    <w:rsid w:val="00402599"/>
    <w:rsid w:val="00403482"/>
    <w:rsid w:val="00403761"/>
    <w:rsid w:val="0040384F"/>
    <w:rsid w:val="00403AEF"/>
    <w:rsid w:val="00404DAC"/>
    <w:rsid w:val="00406A0F"/>
    <w:rsid w:val="00406AB4"/>
    <w:rsid w:val="00406D8B"/>
    <w:rsid w:val="00407644"/>
    <w:rsid w:val="00407C87"/>
    <w:rsid w:val="00411C92"/>
    <w:rsid w:val="004120B5"/>
    <w:rsid w:val="00412585"/>
    <w:rsid w:val="0041440F"/>
    <w:rsid w:val="00415196"/>
    <w:rsid w:val="004151FB"/>
    <w:rsid w:val="00415670"/>
    <w:rsid w:val="0041683B"/>
    <w:rsid w:val="00417561"/>
    <w:rsid w:val="00420999"/>
    <w:rsid w:val="00420CEE"/>
    <w:rsid w:val="00421C68"/>
    <w:rsid w:val="00421D9C"/>
    <w:rsid w:val="00422546"/>
    <w:rsid w:val="004225FB"/>
    <w:rsid w:val="00422F36"/>
    <w:rsid w:val="004235FB"/>
    <w:rsid w:val="00423C9E"/>
    <w:rsid w:val="00424188"/>
    <w:rsid w:val="0042526A"/>
    <w:rsid w:val="0042569C"/>
    <w:rsid w:val="00425726"/>
    <w:rsid w:val="004258F5"/>
    <w:rsid w:val="00425EFE"/>
    <w:rsid w:val="0042653F"/>
    <w:rsid w:val="00426BAF"/>
    <w:rsid w:val="00426CD5"/>
    <w:rsid w:val="00427253"/>
    <w:rsid w:val="00427DCB"/>
    <w:rsid w:val="00433C0C"/>
    <w:rsid w:val="00433C4B"/>
    <w:rsid w:val="00434468"/>
    <w:rsid w:val="004347A9"/>
    <w:rsid w:val="00434A1C"/>
    <w:rsid w:val="00435140"/>
    <w:rsid w:val="00435234"/>
    <w:rsid w:val="0043590F"/>
    <w:rsid w:val="00436794"/>
    <w:rsid w:val="00436FAE"/>
    <w:rsid w:val="00437DC0"/>
    <w:rsid w:val="00442284"/>
    <w:rsid w:val="00443C56"/>
    <w:rsid w:val="00443EC0"/>
    <w:rsid w:val="004444DD"/>
    <w:rsid w:val="00444F8D"/>
    <w:rsid w:val="00445682"/>
    <w:rsid w:val="004458FB"/>
    <w:rsid w:val="00447856"/>
    <w:rsid w:val="00450403"/>
    <w:rsid w:val="004506DD"/>
    <w:rsid w:val="0045107F"/>
    <w:rsid w:val="004520E8"/>
    <w:rsid w:val="00454065"/>
    <w:rsid w:val="004540C3"/>
    <w:rsid w:val="0045413A"/>
    <w:rsid w:val="00454A07"/>
    <w:rsid w:val="00455AC8"/>
    <w:rsid w:val="00456565"/>
    <w:rsid w:val="00456D92"/>
    <w:rsid w:val="0046082A"/>
    <w:rsid w:val="00461E0C"/>
    <w:rsid w:val="00462163"/>
    <w:rsid w:val="00462530"/>
    <w:rsid w:val="00462AB2"/>
    <w:rsid w:val="00463AF0"/>
    <w:rsid w:val="004644B7"/>
    <w:rsid w:val="00464715"/>
    <w:rsid w:val="00470C7B"/>
    <w:rsid w:val="004710C1"/>
    <w:rsid w:val="0047123A"/>
    <w:rsid w:val="00471EB1"/>
    <w:rsid w:val="00473D2C"/>
    <w:rsid w:val="00473FF5"/>
    <w:rsid w:val="00474A3A"/>
    <w:rsid w:val="00475589"/>
    <w:rsid w:val="00475EB4"/>
    <w:rsid w:val="004762A6"/>
    <w:rsid w:val="00477D1D"/>
    <w:rsid w:val="004805AF"/>
    <w:rsid w:val="004806CA"/>
    <w:rsid w:val="004827BA"/>
    <w:rsid w:val="0048396F"/>
    <w:rsid w:val="00483C67"/>
    <w:rsid w:val="004855F0"/>
    <w:rsid w:val="00486498"/>
    <w:rsid w:val="004864AB"/>
    <w:rsid w:val="004869F7"/>
    <w:rsid w:val="0048709E"/>
    <w:rsid w:val="00490266"/>
    <w:rsid w:val="00490D34"/>
    <w:rsid w:val="00490F0C"/>
    <w:rsid w:val="00490FEB"/>
    <w:rsid w:val="00492EE9"/>
    <w:rsid w:val="004935BD"/>
    <w:rsid w:val="00494067"/>
    <w:rsid w:val="004948B7"/>
    <w:rsid w:val="00495094"/>
    <w:rsid w:val="00495399"/>
    <w:rsid w:val="004968F5"/>
    <w:rsid w:val="00496DB9"/>
    <w:rsid w:val="00497111"/>
    <w:rsid w:val="0049728A"/>
    <w:rsid w:val="00497453"/>
    <w:rsid w:val="00497B0B"/>
    <w:rsid w:val="00497BFB"/>
    <w:rsid w:val="00497EDD"/>
    <w:rsid w:val="004A0B6F"/>
    <w:rsid w:val="004A1D4F"/>
    <w:rsid w:val="004A2107"/>
    <w:rsid w:val="004A276F"/>
    <w:rsid w:val="004A2E19"/>
    <w:rsid w:val="004A496A"/>
    <w:rsid w:val="004A4991"/>
    <w:rsid w:val="004A5A82"/>
    <w:rsid w:val="004A6149"/>
    <w:rsid w:val="004A6419"/>
    <w:rsid w:val="004A7021"/>
    <w:rsid w:val="004A77AC"/>
    <w:rsid w:val="004A77E7"/>
    <w:rsid w:val="004B01BD"/>
    <w:rsid w:val="004B0FAB"/>
    <w:rsid w:val="004B2F9A"/>
    <w:rsid w:val="004B4A62"/>
    <w:rsid w:val="004B5311"/>
    <w:rsid w:val="004B531D"/>
    <w:rsid w:val="004B5671"/>
    <w:rsid w:val="004B5B77"/>
    <w:rsid w:val="004B6D98"/>
    <w:rsid w:val="004B70FF"/>
    <w:rsid w:val="004B724F"/>
    <w:rsid w:val="004B785E"/>
    <w:rsid w:val="004C2271"/>
    <w:rsid w:val="004C30B4"/>
    <w:rsid w:val="004C3515"/>
    <w:rsid w:val="004C4467"/>
    <w:rsid w:val="004C4AD0"/>
    <w:rsid w:val="004C58A2"/>
    <w:rsid w:val="004C71AD"/>
    <w:rsid w:val="004D0667"/>
    <w:rsid w:val="004D0FED"/>
    <w:rsid w:val="004D1268"/>
    <w:rsid w:val="004D12A0"/>
    <w:rsid w:val="004D196B"/>
    <w:rsid w:val="004D24E9"/>
    <w:rsid w:val="004D260F"/>
    <w:rsid w:val="004D2A7E"/>
    <w:rsid w:val="004D3359"/>
    <w:rsid w:val="004D36C9"/>
    <w:rsid w:val="004D4305"/>
    <w:rsid w:val="004D5406"/>
    <w:rsid w:val="004D5425"/>
    <w:rsid w:val="004D6017"/>
    <w:rsid w:val="004D75DE"/>
    <w:rsid w:val="004D78B1"/>
    <w:rsid w:val="004D7B50"/>
    <w:rsid w:val="004D7D94"/>
    <w:rsid w:val="004E0989"/>
    <w:rsid w:val="004E0B76"/>
    <w:rsid w:val="004E13C2"/>
    <w:rsid w:val="004E2595"/>
    <w:rsid w:val="004E269A"/>
    <w:rsid w:val="004E372B"/>
    <w:rsid w:val="004E3A76"/>
    <w:rsid w:val="004E3B99"/>
    <w:rsid w:val="004E421B"/>
    <w:rsid w:val="004E5C31"/>
    <w:rsid w:val="004E64F8"/>
    <w:rsid w:val="004E6F43"/>
    <w:rsid w:val="004F1E85"/>
    <w:rsid w:val="004F3681"/>
    <w:rsid w:val="004F3858"/>
    <w:rsid w:val="004F5653"/>
    <w:rsid w:val="004F5F8A"/>
    <w:rsid w:val="00500364"/>
    <w:rsid w:val="0050047C"/>
    <w:rsid w:val="005004E5"/>
    <w:rsid w:val="00500906"/>
    <w:rsid w:val="005012EC"/>
    <w:rsid w:val="005012F3"/>
    <w:rsid w:val="005013BF"/>
    <w:rsid w:val="0050194A"/>
    <w:rsid w:val="00502075"/>
    <w:rsid w:val="005032B7"/>
    <w:rsid w:val="00503A6E"/>
    <w:rsid w:val="005042E3"/>
    <w:rsid w:val="00504E50"/>
    <w:rsid w:val="00506A4D"/>
    <w:rsid w:val="0051056C"/>
    <w:rsid w:val="005112FE"/>
    <w:rsid w:val="005139EC"/>
    <w:rsid w:val="00513F7B"/>
    <w:rsid w:val="00515A94"/>
    <w:rsid w:val="0051671C"/>
    <w:rsid w:val="00517BEE"/>
    <w:rsid w:val="00521D0E"/>
    <w:rsid w:val="005224B8"/>
    <w:rsid w:val="00522816"/>
    <w:rsid w:val="00522C61"/>
    <w:rsid w:val="005243E7"/>
    <w:rsid w:val="00524AEE"/>
    <w:rsid w:val="00524F8C"/>
    <w:rsid w:val="0052782B"/>
    <w:rsid w:val="005279F2"/>
    <w:rsid w:val="005317F5"/>
    <w:rsid w:val="00531BA8"/>
    <w:rsid w:val="00531C72"/>
    <w:rsid w:val="00532162"/>
    <w:rsid w:val="00532CDA"/>
    <w:rsid w:val="00532F3D"/>
    <w:rsid w:val="00533367"/>
    <w:rsid w:val="00533DE1"/>
    <w:rsid w:val="00536F15"/>
    <w:rsid w:val="00537418"/>
    <w:rsid w:val="005378CE"/>
    <w:rsid w:val="00537C87"/>
    <w:rsid w:val="005408A6"/>
    <w:rsid w:val="00540916"/>
    <w:rsid w:val="00540F44"/>
    <w:rsid w:val="005416BB"/>
    <w:rsid w:val="00541ED5"/>
    <w:rsid w:val="00542554"/>
    <w:rsid w:val="005426D0"/>
    <w:rsid w:val="005432DB"/>
    <w:rsid w:val="0054347C"/>
    <w:rsid w:val="00544489"/>
    <w:rsid w:val="0055223C"/>
    <w:rsid w:val="005524C8"/>
    <w:rsid w:val="0055278D"/>
    <w:rsid w:val="005533F9"/>
    <w:rsid w:val="00553435"/>
    <w:rsid w:val="005544AB"/>
    <w:rsid w:val="0055479C"/>
    <w:rsid w:val="005559C3"/>
    <w:rsid w:val="00556BA3"/>
    <w:rsid w:val="00561489"/>
    <w:rsid w:val="0056240C"/>
    <w:rsid w:val="00563086"/>
    <w:rsid w:val="0056335F"/>
    <w:rsid w:val="005636CB"/>
    <w:rsid w:val="005649AD"/>
    <w:rsid w:val="00567536"/>
    <w:rsid w:val="00567F26"/>
    <w:rsid w:val="005701E5"/>
    <w:rsid w:val="0057032B"/>
    <w:rsid w:val="0057062B"/>
    <w:rsid w:val="0057161D"/>
    <w:rsid w:val="00572753"/>
    <w:rsid w:val="00572F07"/>
    <w:rsid w:val="00574C13"/>
    <w:rsid w:val="0057507C"/>
    <w:rsid w:val="00576152"/>
    <w:rsid w:val="00576C1A"/>
    <w:rsid w:val="005774B7"/>
    <w:rsid w:val="0057797D"/>
    <w:rsid w:val="0058038B"/>
    <w:rsid w:val="00580418"/>
    <w:rsid w:val="00580545"/>
    <w:rsid w:val="00581B81"/>
    <w:rsid w:val="00581F83"/>
    <w:rsid w:val="00582007"/>
    <w:rsid w:val="00582424"/>
    <w:rsid w:val="0058350E"/>
    <w:rsid w:val="00584029"/>
    <w:rsid w:val="005844B0"/>
    <w:rsid w:val="00584E81"/>
    <w:rsid w:val="0058513A"/>
    <w:rsid w:val="005867DA"/>
    <w:rsid w:val="00587090"/>
    <w:rsid w:val="00587E98"/>
    <w:rsid w:val="00590DC6"/>
    <w:rsid w:val="005935DB"/>
    <w:rsid w:val="0059448D"/>
    <w:rsid w:val="00595922"/>
    <w:rsid w:val="00596E6D"/>
    <w:rsid w:val="005A0057"/>
    <w:rsid w:val="005A0344"/>
    <w:rsid w:val="005A0AB9"/>
    <w:rsid w:val="005A1A5E"/>
    <w:rsid w:val="005A237B"/>
    <w:rsid w:val="005A27D8"/>
    <w:rsid w:val="005A2BA2"/>
    <w:rsid w:val="005A3E34"/>
    <w:rsid w:val="005A464E"/>
    <w:rsid w:val="005A4AAF"/>
    <w:rsid w:val="005A540F"/>
    <w:rsid w:val="005A5662"/>
    <w:rsid w:val="005A6BD3"/>
    <w:rsid w:val="005A6D1C"/>
    <w:rsid w:val="005B1032"/>
    <w:rsid w:val="005B117A"/>
    <w:rsid w:val="005B1435"/>
    <w:rsid w:val="005B48BE"/>
    <w:rsid w:val="005B510C"/>
    <w:rsid w:val="005B51A6"/>
    <w:rsid w:val="005B52AE"/>
    <w:rsid w:val="005B53B9"/>
    <w:rsid w:val="005B56B3"/>
    <w:rsid w:val="005B5CF7"/>
    <w:rsid w:val="005B6924"/>
    <w:rsid w:val="005B6B41"/>
    <w:rsid w:val="005B6C02"/>
    <w:rsid w:val="005B6C3A"/>
    <w:rsid w:val="005B710C"/>
    <w:rsid w:val="005B732E"/>
    <w:rsid w:val="005B751D"/>
    <w:rsid w:val="005C0A65"/>
    <w:rsid w:val="005C0A94"/>
    <w:rsid w:val="005C0E1C"/>
    <w:rsid w:val="005C1F88"/>
    <w:rsid w:val="005C2087"/>
    <w:rsid w:val="005C3304"/>
    <w:rsid w:val="005C36BE"/>
    <w:rsid w:val="005C43A7"/>
    <w:rsid w:val="005C4C88"/>
    <w:rsid w:val="005C4F44"/>
    <w:rsid w:val="005C5A7D"/>
    <w:rsid w:val="005C5B0C"/>
    <w:rsid w:val="005C6998"/>
    <w:rsid w:val="005C7347"/>
    <w:rsid w:val="005C73A4"/>
    <w:rsid w:val="005D19D6"/>
    <w:rsid w:val="005D2495"/>
    <w:rsid w:val="005D4E36"/>
    <w:rsid w:val="005D61DB"/>
    <w:rsid w:val="005D70FB"/>
    <w:rsid w:val="005D7C55"/>
    <w:rsid w:val="005E0DE8"/>
    <w:rsid w:val="005E1487"/>
    <w:rsid w:val="005E1852"/>
    <w:rsid w:val="005E1C7F"/>
    <w:rsid w:val="005E21FB"/>
    <w:rsid w:val="005E6403"/>
    <w:rsid w:val="005E720C"/>
    <w:rsid w:val="005E7354"/>
    <w:rsid w:val="005F01EF"/>
    <w:rsid w:val="005F0421"/>
    <w:rsid w:val="005F0D31"/>
    <w:rsid w:val="005F0D3C"/>
    <w:rsid w:val="005F167D"/>
    <w:rsid w:val="005F2B05"/>
    <w:rsid w:val="005F2DB5"/>
    <w:rsid w:val="005F464E"/>
    <w:rsid w:val="005F48A9"/>
    <w:rsid w:val="005F6106"/>
    <w:rsid w:val="006001EE"/>
    <w:rsid w:val="00600200"/>
    <w:rsid w:val="00601D90"/>
    <w:rsid w:val="00602898"/>
    <w:rsid w:val="00602EFE"/>
    <w:rsid w:val="006041D0"/>
    <w:rsid w:val="00604364"/>
    <w:rsid w:val="0060471A"/>
    <w:rsid w:val="00606F0F"/>
    <w:rsid w:val="0060721F"/>
    <w:rsid w:val="00607615"/>
    <w:rsid w:val="006121F0"/>
    <w:rsid w:val="00614220"/>
    <w:rsid w:val="00615758"/>
    <w:rsid w:val="006158A0"/>
    <w:rsid w:val="00615F69"/>
    <w:rsid w:val="00616129"/>
    <w:rsid w:val="00617319"/>
    <w:rsid w:val="00620782"/>
    <w:rsid w:val="00620A01"/>
    <w:rsid w:val="006210FB"/>
    <w:rsid w:val="0062210A"/>
    <w:rsid w:val="006226E7"/>
    <w:rsid w:val="006235AB"/>
    <w:rsid w:val="00624D44"/>
    <w:rsid w:val="0062578B"/>
    <w:rsid w:val="00626806"/>
    <w:rsid w:val="0062692C"/>
    <w:rsid w:val="00626F6B"/>
    <w:rsid w:val="00627CE5"/>
    <w:rsid w:val="00627F93"/>
    <w:rsid w:val="00630666"/>
    <w:rsid w:val="00630711"/>
    <w:rsid w:val="00630D39"/>
    <w:rsid w:val="00631751"/>
    <w:rsid w:val="0063287B"/>
    <w:rsid w:val="00632901"/>
    <w:rsid w:val="00632944"/>
    <w:rsid w:val="00633341"/>
    <w:rsid w:val="006342C2"/>
    <w:rsid w:val="00635113"/>
    <w:rsid w:val="006354F7"/>
    <w:rsid w:val="00636C8F"/>
    <w:rsid w:val="006371D0"/>
    <w:rsid w:val="006375BA"/>
    <w:rsid w:val="00641D07"/>
    <w:rsid w:val="00643660"/>
    <w:rsid w:val="0064443E"/>
    <w:rsid w:val="00644991"/>
    <w:rsid w:val="00645148"/>
    <w:rsid w:val="006452B0"/>
    <w:rsid w:val="00646C90"/>
    <w:rsid w:val="006473A5"/>
    <w:rsid w:val="00647FCD"/>
    <w:rsid w:val="006514C9"/>
    <w:rsid w:val="00652B8D"/>
    <w:rsid w:val="00653F3F"/>
    <w:rsid w:val="0065473B"/>
    <w:rsid w:val="006549EF"/>
    <w:rsid w:val="00654A8A"/>
    <w:rsid w:val="00656071"/>
    <w:rsid w:val="006561AA"/>
    <w:rsid w:val="0065671E"/>
    <w:rsid w:val="00657814"/>
    <w:rsid w:val="0066038A"/>
    <w:rsid w:val="00660D0C"/>
    <w:rsid w:val="00661232"/>
    <w:rsid w:val="00661575"/>
    <w:rsid w:val="0066160E"/>
    <w:rsid w:val="006623D3"/>
    <w:rsid w:val="0066343A"/>
    <w:rsid w:val="00663904"/>
    <w:rsid w:val="0066429D"/>
    <w:rsid w:val="00664962"/>
    <w:rsid w:val="00664B50"/>
    <w:rsid w:val="006658E7"/>
    <w:rsid w:val="00665F27"/>
    <w:rsid w:val="006665BD"/>
    <w:rsid w:val="00667963"/>
    <w:rsid w:val="00670A43"/>
    <w:rsid w:val="00670F40"/>
    <w:rsid w:val="00672E9E"/>
    <w:rsid w:val="00672FCC"/>
    <w:rsid w:val="006744D7"/>
    <w:rsid w:val="006751FC"/>
    <w:rsid w:val="0067544D"/>
    <w:rsid w:val="00675881"/>
    <w:rsid w:val="00675F26"/>
    <w:rsid w:val="00677B41"/>
    <w:rsid w:val="006812EB"/>
    <w:rsid w:val="00682274"/>
    <w:rsid w:val="006823A7"/>
    <w:rsid w:val="00684866"/>
    <w:rsid w:val="00684979"/>
    <w:rsid w:val="00685BA9"/>
    <w:rsid w:val="00685BAB"/>
    <w:rsid w:val="00687381"/>
    <w:rsid w:val="0068759E"/>
    <w:rsid w:val="00687F87"/>
    <w:rsid w:val="00690168"/>
    <w:rsid w:val="0069049A"/>
    <w:rsid w:val="00690CF0"/>
    <w:rsid w:val="00690EA2"/>
    <w:rsid w:val="00690FAD"/>
    <w:rsid w:val="00692C5D"/>
    <w:rsid w:val="00692FEA"/>
    <w:rsid w:val="00693415"/>
    <w:rsid w:val="006947AC"/>
    <w:rsid w:val="00694E4B"/>
    <w:rsid w:val="00695383"/>
    <w:rsid w:val="00696216"/>
    <w:rsid w:val="00696638"/>
    <w:rsid w:val="006967BC"/>
    <w:rsid w:val="00697919"/>
    <w:rsid w:val="00697EBE"/>
    <w:rsid w:val="006A126F"/>
    <w:rsid w:val="006A13B5"/>
    <w:rsid w:val="006A15F4"/>
    <w:rsid w:val="006A1831"/>
    <w:rsid w:val="006A3559"/>
    <w:rsid w:val="006A3AC1"/>
    <w:rsid w:val="006A4382"/>
    <w:rsid w:val="006A49ED"/>
    <w:rsid w:val="006A5996"/>
    <w:rsid w:val="006A61C9"/>
    <w:rsid w:val="006A6694"/>
    <w:rsid w:val="006A719A"/>
    <w:rsid w:val="006A7967"/>
    <w:rsid w:val="006A7B8A"/>
    <w:rsid w:val="006B1323"/>
    <w:rsid w:val="006B177F"/>
    <w:rsid w:val="006B483B"/>
    <w:rsid w:val="006B4F08"/>
    <w:rsid w:val="006B57F6"/>
    <w:rsid w:val="006B59C3"/>
    <w:rsid w:val="006B6600"/>
    <w:rsid w:val="006C0C20"/>
    <w:rsid w:val="006C4690"/>
    <w:rsid w:val="006C46A0"/>
    <w:rsid w:val="006C50FA"/>
    <w:rsid w:val="006C610F"/>
    <w:rsid w:val="006C68A0"/>
    <w:rsid w:val="006C6A67"/>
    <w:rsid w:val="006C70A5"/>
    <w:rsid w:val="006D07CC"/>
    <w:rsid w:val="006D0F4A"/>
    <w:rsid w:val="006D1443"/>
    <w:rsid w:val="006D1734"/>
    <w:rsid w:val="006D198F"/>
    <w:rsid w:val="006D3BB9"/>
    <w:rsid w:val="006D3CD2"/>
    <w:rsid w:val="006D41B1"/>
    <w:rsid w:val="006D4F11"/>
    <w:rsid w:val="006D59F3"/>
    <w:rsid w:val="006D5E60"/>
    <w:rsid w:val="006D7637"/>
    <w:rsid w:val="006E0469"/>
    <w:rsid w:val="006E0C48"/>
    <w:rsid w:val="006E0D69"/>
    <w:rsid w:val="006E193B"/>
    <w:rsid w:val="006E1A0A"/>
    <w:rsid w:val="006E22C7"/>
    <w:rsid w:val="006E3E26"/>
    <w:rsid w:val="006E40D0"/>
    <w:rsid w:val="006E48C8"/>
    <w:rsid w:val="006E77FD"/>
    <w:rsid w:val="006E7B9B"/>
    <w:rsid w:val="006F2A3F"/>
    <w:rsid w:val="006F2C39"/>
    <w:rsid w:val="006F3A07"/>
    <w:rsid w:val="006F456A"/>
    <w:rsid w:val="006F46A2"/>
    <w:rsid w:val="006F472E"/>
    <w:rsid w:val="006F4EAE"/>
    <w:rsid w:val="006F621C"/>
    <w:rsid w:val="006F6602"/>
    <w:rsid w:val="00701CCF"/>
    <w:rsid w:val="00701F11"/>
    <w:rsid w:val="00703865"/>
    <w:rsid w:val="007045B0"/>
    <w:rsid w:val="0070579E"/>
    <w:rsid w:val="007070AE"/>
    <w:rsid w:val="00707799"/>
    <w:rsid w:val="00707CD1"/>
    <w:rsid w:val="0071017B"/>
    <w:rsid w:val="00711528"/>
    <w:rsid w:val="0071300A"/>
    <w:rsid w:val="00713D60"/>
    <w:rsid w:val="00713E80"/>
    <w:rsid w:val="0071412E"/>
    <w:rsid w:val="00714313"/>
    <w:rsid w:val="0071439B"/>
    <w:rsid w:val="00714493"/>
    <w:rsid w:val="0071511B"/>
    <w:rsid w:val="00716CDB"/>
    <w:rsid w:val="0071790B"/>
    <w:rsid w:val="007210E0"/>
    <w:rsid w:val="007227BE"/>
    <w:rsid w:val="0072315A"/>
    <w:rsid w:val="007231B9"/>
    <w:rsid w:val="00723EB9"/>
    <w:rsid w:val="00725572"/>
    <w:rsid w:val="00725F58"/>
    <w:rsid w:val="00727199"/>
    <w:rsid w:val="007271B2"/>
    <w:rsid w:val="0072796F"/>
    <w:rsid w:val="0073127C"/>
    <w:rsid w:val="007328F9"/>
    <w:rsid w:val="007340BD"/>
    <w:rsid w:val="007342DE"/>
    <w:rsid w:val="00735363"/>
    <w:rsid w:val="007361C3"/>
    <w:rsid w:val="00737B27"/>
    <w:rsid w:val="00740FC4"/>
    <w:rsid w:val="00741813"/>
    <w:rsid w:val="00743045"/>
    <w:rsid w:val="007436D9"/>
    <w:rsid w:val="00744767"/>
    <w:rsid w:val="00745231"/>
    <w:rsid w:val="00745B75"/>
    <w:rsid w:val="00747A4A"/>
    <w:rsid w:val="00747E60"/>
    <w:rsid w:val="00750121"/>
    <w:rsid w:val="00751A44"/>
    <w:rsid w:val="00753DD0"/>
    <w:rsid w:val="007546D3"/>
    <w:rsid w:val="007551C4"/>
    <w:rsid w:val="00755FA9"/>
    <w:rsid w:val="0075692C"/>
    <w:rsid w:val="00756FF8"/>
    <w:rsid w:val="00757AE5"/>
    <w:rsid w:val="00757B9F"/>
    <w:rsid w:val="007601CB"/>
    <w:rsid w:val="00760400"/>
    <w:rsid w:val="00761E4C"/>
    <w:rsid w:val="007623B9"/>
    <w:rsid w:val="00762D9E"/>
    <w:rsid w:val="007657C5"/>
    <w:rsid w:val="00766C34"/>
    <w:rsid w:val="007670D7"/>
    <w:rsid w:val="007724B7"/>
    <w:rsid w:val="00773673"/>
    <w:rsid w:val="007743EF"/>
    <w:rsid w:val="007748FD"/>
    <w:rsid w:val="00775DE8"/>
    <w:rsid w:val="0077644A"/>
    <w:rsid w:val="00780A8F"/>
    <w:rsid w:val="00781A77"/>
    <w:rsid w:val="007820B1"/>
    <w:rsid w:val="00782B2E"/>
    <w:rsid w:val="00782B6C"/>
    <w:rsid w:val="007838C2"/>
    <w:rsid w:val="00784AA8"/>
    <w:rsid w:val="007854D4"/>
    <w:rsid w:val="00785689"/>
    <w:rsid w:val="00785AC9"/>
    <w:rsid w:val="0078631F"/>
    <w:rsid w:val="007870B0"/>
    <w:rsid w:val="0078720E"/>
    <w:rsid w:val="007878D5"/>
    <w:rsid w:val="007908AF"/>
    <w:rsid w:val="00791483"/>
    <w:rsid w:val="007915BE"/>
    <w:rsid w:val="00791DF1"/>
    <w:rsid w:val="007926AC"/>
    <w:rsid w:val="007926B9"/>
    <w:rsid w:val="00793744"/>
    <w:rsid w:val="00793D83"/>
    <w:rsid w:val="00794569"/>
    <w:rsid w:val="00794A59"/>
    <w:rsid w:val="00794A79"/>
    <w:rsid w:val="0079506E"/>
    <w:rsid w:val="007954D1"/>
    <w:rsid w:val="00796C11"/>
    <w:rsid w:val="007A0F80"/>
    <w:rsid w:val="007A1608"/>
    <w:rsid w:val="007A207A"/>
    <w:rsid w:val="007A23EF"/>
    <w:rsid w:val="007A3633"/>
    <w:rsid w:val="007A367C"/>
    <w:rsid w:val="007A39C8"/>
    <w:rsid w:val="007A3A4C"/>
    <w:rsid w:val="007A5825"/>
    <w:rsid w:val="007A60F7"/>
    <w:rsid w:val="007A6B44"/>
    <w:rsid w:val="007A715E"/>
    <w:rsid w:val="007B0B97"/>
    <w:rsid w:val="007B0C07"/>
    <w:rsid w:val="007B199B"/>
    <w:rsid w:val="007B1E68"/>
    <w:rsid w:val="007B2989"/>
    <w:rsid w:val="007B2E5E"/>
    <w:rsid w:val="007B3071"/>
    <w:rsid w:val="007B331B"/>
    <w:rsid w:val="007B4400"/>
    <w:rsid w:val="007B4B7A"/>
    <w:rsid w:val="007B51E5"/>
    <w:rsid w:val="007B5287"/>
    <w:rsid w:val="007B5408"/>
    <w:rsid w:val="007B5BBE"/>
    <w:rsid w:val="007B7083"/>
    <w:rsid w:val="007B7ED0"/>
    <w:rsid w:val="007C2509"/>
    <w:rsid w:val="007C2943"/>
    <w:rsid w:val="007C43A1"/>
    <w:rsid w:val="007C4AC6"/>
    <w:rsid w:val="007C5229"/>
    <w:rsid w:val="007C58FB"/>
    <w:rsid w:val="007C6175"/>
    <w:rsid w:val="007C697B"/>
    <w:rsid w:val="007D12F8"/>
    <w:rsid w:val="007D19D1"/>
    <w:rsid w:val="007D1EA4"/>
    <w:rsid w:val="007D2473"/>
    <w:rsid w:val="007D4D4F"/>
    <w:rsid w:val="007D503B"/>
    <w:rsid w:val="007D542C"/>
    <w:rsid w:val="007D71ED"/>
    <w:rsid w:val="007D7CAE"/>
    <w:rsid w:val="007D7E2C"/>
    <w:rsid w:val="007D7F6C"/>
    <w:rsid w:val="007E0810"/>
    <w:rsid w:val="007E144F"/>
    <w:rsid w:val="007E194D"/>
    <w:rsid w:val="007E1E71"/>
    <w:rsid w:val="007E2296"/>
    <w:rsid w:val="007E2E5C"/>
    <w:rsid w:val="007E344D"/>
    <w:rsid w:val="007E38EF"/>
    <w:rsid w:val="007E43BF"/>
    <w:rsid w:val="007E5AC0"/>
    <w:rsid w:val="007F0439"/>
    <w:rsid w:val="007F1B98"/>
    <w:rsid w:val="007F29F7"/>
    <w:rsid w:val="007F2A93"/>
    <w:rsid w:val="007F3045"/>
    <w:rsid w:val="007F37A9"/>
    <w:rsid w:val="007F59E0"/>
    <w:rsid w:val="007F68EE"/>
    <w:rsid w:val="007F7320"/>
    <w:rsid w:val="00802FFC"/>
    <w:rsid w:val="00803231"/>
    <w:rsid w:val="008046D0"/>
    <w:rsid w:val="008049BF"/>
    <w:rsid w:val="0080521F"/>
    <w:rsid w:val="008059B7"/>
    <w:rsid w:val="00805A9E"/>
    <w:rsid w:val="00806541"/>
    <w:rsid w:val="00810171"/>
    <w:rsid w:val="0081067F"/>
    <w:rsid w:val="00810F36"/>
    <w:rsid w:val="00812170"/>
    <w:rsid w:val="00812515"/>
    <w:rsid w:val="00812862"/>
    <w:rsid w:val="00813CB0"/>
    <w:rsid w:val="00814050"/>
    <w:rsid w:val="00814667"/>
    <w:rsid w:val="00814866"/>
    <w:rsid w:val="00814F9E"/>
    <w:rsid w:val="00816D5D"/>
    <w:rsid w:val="008173AC"/>
    <w:rsid w:val="00817809"/>
    <w:rsid w:val="00817F91"/>
    <w:rsid w:val="00821846"/>
    <w:rsid w:val="00821D47"/>
    <w:rsid w:val="00821E23"/>
    <w:rsid w:val="0082213E"/>
    <w:rsid w:val="00824066"/>
    <w:rsid w:val="00824570"/>
    <w:rsid w:val="008246B8"/>
    <w:rsid w:val="008260AE"/>
    <w:rsid w:val="008275C3"/>
    <w:rsid w:val="00827FBC"/>
    <w:rsid w:val="008312D5"/>
    <w:rsid w:val="00832789"/>
    <w:rsid w:val="00833191"/>
    <w:rsid w:val="00834373"/>
    <w:rsid w:val="00834BF2"/>
    <w:rsid w:val="00840E23"/>
    <w:rsid w:val="00841512"/>
    <w:rsid w:val="0084329B"/>
    <w:rsid w:val="008435F2"/>
    <w:rsid w:val="008439CA"/>
    <w:rsid w:val="00843C6C"/>
    <w:rsid w:val="00844647"/>
    <w:rsid w:val="00845A54"/>
    <w:rsid w:val="00845F11"/>
    <w:rsid w:val="0084670F"/>
    <w:rsid w:val="00846EB2"/>
    <w:rsid w:val="00847501"/>
    <w:rsid w:val="008503F9"/>
    <w:rsid w:val="008504A8"/>
    <w:rsid w:val="008519D7"/>
    <w:rsid w:val="00852252"/>
    <w:rsid w:val="00852850"/>
    <w:rsid w:val="00854EC9"/>
    <w:rsid w:val="00855720"/>
    <w:rsid w:val="00855E25"/>
    <w:rsid w:val="00855F46"/>
    <w:rsid w:val="00856092"/>
    <w:rsid w:val="00856548"/>
    <w:rsid w:val="00856673"/>
    <w:rsid w:val="00857617"/>
    <w:rsid w:val="00860135"/>
    <w:rsid w:val="008601A7"/>
    <w:rsid w:val="008605B3"/>
    <w:rsid w:val="008610CE"/>
    <w:rsid w:val="00861461"/>
    <w:rsid w:val="00861B68"/>
    <w:rsid w:val="00861D30"/>
    <w:rsid w:val="00862432"/>
    <w:rsid w:val="00862F66"/>
    <w:rsid w:val="008630D7"/>
    <w:rsid w:val="008646C4"/>
    <w:rsid w:val="00864CC0"/>
    <w:rsid w:val="00865EA0"/>
    <w:rsid w:val="0087021D"/>
    <w:rsid w:val="008702BD"/>
    <w:rsid w:val="00870792"/>
    <w:rsid w:val="00870E39"/>
    <w:rsid w:val="00873C2C"/>
    <w:rsid w:val="00874874"/>
    <w:rsid w:val="00875877"/>
    <w:rsid w:val="0087713D"/>
    <w:rsid w:val="00877580"/>
    <w:rsid w:val="008777ED"/>
    <w:rsid w:val="008778D0"/>
    <w:rsid w:val="00877ADF"/>
    <w:rsid w:val="00877BB9"/>
    <w:rsid w:val="00880CEC"/>
    <w:rsid w:val="00880DA4"/>
    <w:rsid w:val="00880DE5"/>
    <w:rsid w:val="00880FFA"/>
    <w:rsid w:val="00882DC2"/>
    <w:rsid w:val="00882F09"/>
    <w:rsid w:val="00883742"/>
    <w:rsid w:val="00884B37"/>
    <w:rsid w:val="00884F3B"/>
    <w:rsid w:val="00884F96"/>
    <w:rsid w:val="008852C8"/>
    <w:rsid w:val="00885471"/>
    <w:rsid w:val="00885738"/>
    <w:rsid w:val="00886C0F"/>
    <w:rsid w:val="00886D59"/>
    <w:rsid w:val="00887FA2"/>
    <w:rsid w:val="008925C1"/>
    <w:rsid w:val="008931C4"/>
    <w:rsid w:val="008947ED"/>
    <w:rsid w:val="00894AE4"/>
    <w:rsid w:val="00895313"/>
    <w:rsid w:val="00895755"/>
    <w:rsid w:val="008959E2"/>
    <w:rsid w:val="00896D1E"/>
    <w:rsid w:val="008971A4"/>
    <w:rsid w:val="00897C1C"/>
    <w:rsid w:val="00897DFF"/>
    <w:rsid w:val="008A00E1"/>
    <w:rsid w:val="008A1EA0"/>
    <w:rsid w:val="008A40D8"/>
    <w:rsid w:val="008A49B1"/>
    <w:rsid w:val="008A6E6A"/>
    <w:rsid w:val="008A704C"/>
    <w:rsid w:val="008A7E18"/>
    <w:rsid w:val="008B127F"/>
    <w:rsid w:val="008B21E2"/>
    <w:rsid w:val="008B40EA"/>
    <w:rsid w:val="008B41E3"/>
    <w:rsid w:val="008B4684"/>
    <w:rsid w:val="008B4939"/>
    <w:rsid w:val="008B5CBC"/>
    <w:rsid w:val="008B6461"/>
    <w:rsid w:val="008B74A1"/>
    <w:rsid w:val="008B7E22"/>
    <w:rsid w:val="008C0FDA"/>
    <w:rsid w:val="008C1987"/>
    <w:rsid w:val="008C251B"/>
    <w:rsid w:val="008C2D9F"/>
    <w:rsid w:val="008C3109"/>
    <w:rsid w:val="008C3A00"/>
    <w:rsid w:val="008C46EC"/>
    <w:rsid w:val="008C6B14"/>
    <w:rsid w:val="008C6E46"/>
    <w:rsid w:val="008C7762"/>
    <w:rsid w:val="008C7B22"/>
    <w:rsid w:val="008C7FDE"/>
    <w:rsid w:val="008D0443"/>
    <w:rsid w:val="008D11F2"/>
    <w:rsid w:val="008D1960"/>
    <w:rsid w:val="008D27C3"/>
    <w:rsid w:val="008D2925"/>
    <w:rsid w:val="008D2C51"/>
    <w:rsid w:val="008D2F7B"/>
    <w:rsid w:val="008D3142"/>
    <w:rsid w:val="008D459D"/>
    <w:rsid w:val="008D5686"/>
    <w:rsid w:val="008E0497"/>
    <w:rsid w:val="008E0866"/>
    <w:rsid w:val="008E1C7A"/>
    <w:rsid w:val="008E27D5"/>
    <w:rsid w:val="008E2CE5"/>
    <w:rsid w:val="008E4231"/>
    <w:rsid w:val="008E5006"/>
    <w:rsid w:val="008E593E"/>
    <w:rsid w:val="008E647A"/>
    <w:rsid w:val="008E6C72"/>
    <w:rsid w:val="008E70DC"/>
    <w:rsid w:val="008F0063"/>
    <w:rsid w:val="008F017C"/>
    <w:rsid w:val="008F03E1"/>
    <w:rsid w:val="008F0855"/>
    <w:rsid w:val="008F1670"/>
    <w:rsid w:val="008F16F8"/>
    <w:rsid w:val="008F18E9"/>
    <w:rsid w:val="008F22DC"/>
    <w:rsid w:val="008F28CC"/>
    <w:rsid w:val="008F3E1D"/>
    <w:rsid w:val="008F4366"/>
    <w:rsid w:val="008F62A5"/>
    <w:rsid w:val="008F6501"/>
    <w:rsid w:val="008F7302"/>
    <w:rsid w:val="008F783E"/>
    <w:rsid w:val="008F7BC8"/>
    <w:rsid w:val="00900256"/>
    <w:rsid w:val="00900273"/>
    <w:rsid w:val="00900DF9"/>
    <w:rsid w:val="009018F4"/>
    <w:rsid w:val="00902A0E"/>
    <w:rsid w:val="009032CD"/>
    <w:rsid w:val="00903390"/>
    <w:rsid w:val="00905BDA"/>
    <w:rsid w:val="00906893"/>
    <w:rsid w:val="0090701B"/>
    <w:rsid w:val="00907215"/>
    <w:rsid w:val="00907547"/>
    <w:rsid w:val="009077FE"/>
    <w:rsid w:val="00910496"/>
    <w:rsid w:val="009118DD"/>
    <w:rsid w:val="00913C06"/>
    <w:rsid w:val="00915712"/>
    <w:rsid w:val="009162CA"/>
    <w:rsid w:val="00916387"/>
    <w:rsid w:val="00916F76"/>
    <w:rsid w:val="00916FF6"/>
    <w:rsid w:val="009171B2"/>
    <w:rsid w:val="00917F23"/>
    <w:rsid w:val="0092019C"/>
    <w:rsid w:val="00921E59"/>
    <w:rsid w:val="00922605"/>
    <w:rsid w:val="009228EF"/>
    <w:rsid w:val="00923B05"/>
    <w:rsid w:val="00923E4B"/>
    <w:rsid w:val="00925DE9"/>
    <w:rsid w:val="00927270"/>
    <w:rsid w:val="0093007F"/>
    <w:rsid w:val="009304C7"/>
    <w:rsid w:val="00930B3F"/>
    <w:rsid w:val="00930EDB"/>
    <w:rsid w:val="009326C7"/>
    <w:rsid w:val="0093317A"/>
    <w:rsid w:val="009332E3"/>
    <w:rsid w:val="009344EC"/>
    <w:rsid w:val="00935FBF"/>
    <w:rsid w:val="0093756C"/>
    <w:rsid w:val="009375A7"/>
    <w:rsid w:val="0093794B"/>
    <w:rsid w:val="00942695"/>
    <w:rsid w:val="00942EAE"/>
    <w:rsid w:val="00943482"/>
    <w:rsid w:val="00943F43"/>
    <w:rsid w:val="00944B76"/>
    <w:rsid w:val="00944F82"/>
    <w:rsid w:val="00946334"/>
    <w:rsid w:val="00946850"/>
    <w:rsid w:val="00946EE7"/>
    <w:rsid w:val="0094738E"/>
    <w:rsid w:val="00950D3C"/>
    <w:rsid w:val="00950EA3"/>
    <w:rsid w:val="00951AFA"/>
    <w:rsid w:val="00952822"/>
    <w:rsid w:val="0095350E"/>
    <w:rsid w:val="009538B5"/>
    <w:rsid w:val="00953A33"/>
    <w:rsid w:val="00954128"/>
    <w:rsid w:val="00954827"/>
    <w:rsid w:val="00955819"/>
    <w:rsid w:val="0095635E"/>
    <w:rsid w:val="009573F5"/>
    <w:rsid w:val="00957F39"/>
    <w:rsid w:val="00960993"/>
    <w:rsid w:val="0096127B"/>
    <w:rsid w:val="00962264"/>
    <w:rsid w:val="00962555"/>
    <w:rsid w:val="00962AE7"/>
    <w:rsid w:val="00962B4A"/>
    <w:rsid w:val="00964260"/>
    <w:rsid w:val="00964891"/>
    <w:rsid w:val="00964BD2"/>
    <w:rsid w:val="00964E0D"/>
    <w:rsid w:val="00964E95"/>
    <w:rsid w:val="00966543"/>
    <w:rsid w:val="0096665F"/>
    <w:rsid w:val="00966AB7"/>
    <w:rsid w:val="00967024"/>
    <w:rsid w:val="00967561"/>
    <w:rsid w:val="009679BD"/>
    <w:rsid w:val="00967F47"/>
    <w:rsid w:val="00970C87"/>
    <w:rsid w:val="009711AC"/>
    <w:rsid w:val="009713C7"/>
    <w:rsid w:val="009717DF"/>
    <w:rsid w:val="0097218E"/>
    <w:rsid w:val="00972BC6"/>
    <w:rsid w:val="00973A0E"/>
    <w:rsid w:val="00973F54"/>
    <w:rsid w:val="0097692E"/>
    <w:rsid w:val="00977C10"/>
    <w:rsid w:val="00980A45"/>
    <w:rsid w:val="009816E0"/>
    <w:rsid w:val="00981FDA"/>
    <w:rsid w:val="00982289"/>
    <w:rsid w:val="009824C4"/>
    <w:rsid w:val="009827D9"/>
    <w:rsid w:val="00982A7A"/>
    <w:rsid w:val="009833CE"/>
    <w:rsid w:val="00983759"/>
    <w:rsid w:val="009841E5"/>
    <w:rsid w:val="009846B3"/>
    <w:rsid w:val="00984EF9"/>
    <w:rsid w:val="0098573D"/>
    <w:rsid w:val="00985D38"/>
    <w:rsid w:val="00985DA0"/>
    <w:rsid w:val="00986F96"/>
    <w:rsid w:val="009907D6"/>
    <w:rsid w:val="009909D1"/>
    <w:rsid w:val="00991E77"/>
    <w:rsid w:val="00992441"/>
    <w:rsid w:val="00993BCB"/>
    <w:rsid w:val="009943A5"/>
    <w:rsid w:val="00994B29"/>
    <w:rsid w:val="009950E4"/>
    <w:rsid w:val="00995DE8"/>
    <w:rsid w:val="00996A7C"/>
    <w:rsid w:val="00996CD0"/>
    <w:rsid w:val="00997A38"/>
    <w:rsid w:val="00997B54"/>
    <w:rsid w:val="009A01D6"/>
    <w:rsid w:val="009A0C0D"/>
    <w:rsid w:val="009A1997"/>
    <w:rsid w:val="009A1E61"/>
    <w:rsid w:val="009A25BB"/>
    <w:rsid w:val="009A2B42"/>
    <w:rsid w:val="009A47F8"/>
    <w:rsid w:val="009A4AAD"/>
    <w:rsid w:val="009A754A"/>
    <w:rsid w:val="009A7ABF"/>
    <w:rsid w:val="009B11D1"/>
    <w:rsid w:val="009B1619"/>
    <w:rsid w:val="009B1981"/>
    <w:rsid w:val="009B2BDE"/>
    <w:rsid w:val="009B3035"/>
    <w:rsid w:val="009B478C"/>
    <w:rsid w:val="009B47A3"/>
    <w:rsid w:val="009B7BE6"/>
    <w:rsid w:val="009C0C6B"/>
    <w:rsid w:val="009C1156"/>
    <w:rsid w:val="009C13CA"/>
    <w:rsid w:val="009C187C"/>
    <w:rsid w:val="009C22EC"/>
    <w:rsid w:val="009C26FB"/>
    <w:rsid w:val="009C4760"/>
    <w:rsid w:val="009C4AD7"/>
    <w:rsid w:val="009C6681"/>
    <w:rsid w:val="009C6B07"/>
    <w:rsid w:val="009C6D60"/>
    <w:rsid w:val="009C7001"/>
    <w:rsid w:val="009C726D"/>
    <w:rsid w:val="009C7B86"/>
    <w:rsid w:val="009C7F85"/>
    <w:rsid w:val="009D0AE8"/>
    <w:rsid w:val="009D1011"/>
    <w:rsid w:val="009D198E"/>
    <w:rsid w:val="009D4743"/>
    <w:rsid w:val="009D584D"/>
    <w:rsid w:val="009D60B5"/>
    <w:rsid w:val="009D764A"/>
    <w:rsid w:val="009E07C3"/>
    <w:rsid w:val="009E13FA"/>
    <w:rsid w:val="009E2141"/>
    <w:rsid w:val="009E2D19"/>
    <w:rsid w:val="009E35F9"/>
    <w:rsid w:val="009E36D8"/>
    <w:rsid w:val="009E3A4F"/>
    <w:rsid w:val="009E3F0D"/>
    <w:rsid w:val="009E408B"/>
    <w:rsid w:val="009E5402"/>
    <w:rsid w:val="009E639C"/>
    <w:rsid w:val="009F0AEB"/>
    <w:rsid w:val="009F0CC2"/>
    <w:rsid w:val="009F129D"/>
    <w:rsid w:val="009F12A2"/>
    <w:rsid w:val="009F19E1"/>
    <w:rsid w:val="009F1B81"/>
    <w:rsid w:val="009F21DE"/>
    <w:rsid w:val="009F2453"/>
    <w:rsid w:val="009F3983"/>
    <w:rsid w:val="009F3A4D"/>
    <w:rsid w:val="009F4178"/>
    <w:rsid w:val="009F5C64"/>
    <w:rsid w:val="009F725E"/>
    <w:rsid w:val="009F7582"/>
    <w:rsid w:val="00A009D6"/>
    <w:rsid w:val="00A00A97"/>
    <w:rsid w:val="00A00DF6"/>
    <w:rsid w:val="00A01DB4"/>
    <w:rsid w:val="00A01DE9"/>
    <w:rsid w:val="00A03F5B"/>
    <w:rsid w:val="00A0472B"/>
    <w:rsid w:val="00A04BCC"/>
    <w:rsid w:val="00A050A4"/>
    <w:rsid w:val="00A05BF7"/>
    <w:rsid w:val="00A0671B"/>
    <w:rsid w:val="00A06738"/>
    <w:rsid w:val="00A0713D"/>
    <w:rsid w:val="00A10DC6"/>
    <w:rsid w:val="00A11404"/>
    <w:rsid w:val="00A115D9"/>
    <w:rsid w:val="00A12A0C"/>
    <w:rsid w:val="00A13EA9"/>
    <w:rsid w:val="00A143F7"/>
    <w:rsid w:val="00A146EE"/>
    <w:rsid w:val="00A14DC6"/>
    <w:rsid w:val="00A14F96"/>
    <w:rsid w:val="00A152C8"/>
    <w:rsid w:val="00A15503"/>
    <w:rsid w:val="00A157AF"/>
    <w:rsid w:val="00A169C6"/>
    <w:rsid w:val="00A1778D"/>
    <w:rsid w:val="00A17CA6"/>
    <w:rsid w:val="00A2038D"/>
    <w:rsid w:val="00A20EAC"/>
    <w:rsid w:val="00A21F92"/>
    <w:rsid w:val="00A23B90"/>
    <w:rsid w:val="00A24E90"/>
    <w:rsid w:val="00A24F1F"/>
    <w:rsid w:val="00A25013"/>
    <w:rsid w:val="00A26195"/>
    <w:rsid w:val="00A2676E"/>
    <w:rsid w:val="00A26BE8"/>
    <w:rsid w:val="00A27081"/>
    <w:rsid w:val="00A279E0"/>
    <w:rsid w:val="00A27EB6"/>
    <w:rsid w:val="00A27FC6"/>
    <w:rsid w:val="00A32A74"/>
    <w:rsid w:val="00A33226"/>
    <w:rsid w:val="00A33B35"/>
    <w:rsid w:val="00A3624D"/>
    <w:rsid w:val="00A362B4"/>
    <w:rsid w:val="00A367BE"/>
    <w:rsid w:val="00A4029A"/>
    <w:rsid w:val="00A40D39"/>
    <w:rsid w:val="00A442A0"/>
    <w:rsid w:val="00A44926"/>
    <w:rsid w:val="00A44B96"/>
    <w:rsid w:val="00A457B6"/>
    <w:rsid w:val="00A45AAB"/>
    <w:rsid w:val="00A46433"/>
    <w:rsid w:val="00A51199"/>
    <w:rsid w:val="00A5198D"/>
    <w:rsid w:val="00A521C9"/>
    <w:rsid w:val="00A53D56"/>
    <w:rsid w:val="00A541A1"/>
    <w:rsid w:val="00A54AF3"/>
    <w:rsid w:val="00A54FDF"/>
    <w:rsid w:val="00A55CAC"/>
    <w:rsid w:val="00A55FB3"/>
    <w:rsid w:val="00A561B0"/>
    <w:rsid w:val="00A5630D"/>
    <w:rsid w:val="00A56463"/>
    <w:rsid w:val="00A567FC"/>
    <w:rsid w:val="00A56B41"/>
    <w:rsid w:val="00A56D78"/>
    <w:rsid w:val="00A577BE"/>
    <w:rsid w:val="00A57831"/>
    <w:rsid w:val="00A579EB"/>
    <w:rsid w:val="00A57A27"/>
    <w:rsid w:val="00A6166F"/>
    <w:rsid w:val="00A61CA4"/>
    <w:rsid w:val="00A61E2B"/>
    <w:rsid w:val="00A6303B"/>
    <w:rsid w:val="00A63EB6"/>
    <w:rsid w:val="00A640A1"/>
    <w:rsid w:val="00A64565"/>
    <w:rsid w:val="00A64CFC"/>
    <w:rsid w:val="00A65007"/>
    <w:rsid w:val="00A660CC"/>
    <w:rsid w:val="00A6738F"/>
    <w:rsid w:val="00A674CB"/>
    <w:rsid w:val="00A679BB"/>
    <w:rsid w:val="00A703E2"/>
    <w:rsid w:val="00A70D24"/>
    <w:rsid w:val="00A711AE"/>
    <w:rsid w:val="00A71F4D"/>
    <w:rsid w:val="00A73A59"/>
    <w:rsid w:val="00A74EB2"/>
    <w:rsid w:val="00A74F0C"/>
    <w:rsid w:val="00A757CD"/>
    <w:rsid w:val="00A75CCA"/>
    <w:rsid w:val="00A7606B"/>
    <w:rsid w:val="00A7645E"/>
    <w:rsid w:val="00A767BF"/>
    <w:rsid w:val="00A77A50"/>
    <w:rsid w:val="00A818AC"/>
    <w:rsid w:val="00A81CFD"/>
    <w:rsid w:val="00A826E5"/>
    <w:rsid w:val="00A8272E"/>
    <w:rsid w:val="00A82CBD"/>
    <w:rsid w:val="00A838FF"/>
    <w:rsid w:val="00A83BE0"/>
    <w:rsid w:val="00A84DFC"/>
    <w:rsid w:val="00A862FA"/>
    <w:rsid w:val="00A87A07"/>
    <w:rsid w:val="00A9085C"/>
    <w:rsid w:val="00A91762"/>
    <w:rsid w:val="00A918FA"/>
    <w:rsid w:val="00A9227A"/>
    <w:rsid w:val="00A9277C"/>
    <w:rsid w:val="00A9281D"/>
    <w:rsid w:val="00A94028"/>
    <w:rsid w:val="00A9477F"/>
    <w:rsid w:val="00A94B20"/>
    <w:rsid w:val="00A94E89"/>
    <w:rsid w:val="00A95425"/>
    <w:rsid w:val="00A976D4"/>
    <w:rsid w:val="00A979A7"/>
    <w:rsid w:val="00AA03BB"/>
    <w:rsid w:val="00AA0420"/>
    <w:rsid w:val="00AA0679"/>
    <w:rsid w:val="00AA0C41"/>
    <w:rsid w:val="00AA0DC5"/>
    <w:rsid w:val="00AA239C"/>
    <w:rsid w:val="00AA2B04"/>
    <w:rsid w:val="00AA38C8"/>
    <w:rsid w:val="00AA3B1F"/>
    <w:rsid w:val="00AA406A"/>
    <w:rsid w:val="00AA4BFF"/>
    <w:rsid w:val="00AA53A7"/>
    <w:rsid w:val="00AA589B"/>
    <w:rsid w:val="00AA7118"/>
    <w:rsid w:val="00AA75C3"/>
    <w:rsid w:val="00AB0855"/>
    <w:rsid w:val="00AB0CE1"/>
    <w:rsid w:val="00AB34F8"/>
    <w:rsid w:val="00AB44E7"/>
    <w:rsid w:val="00AB49E8"/>
    <w:rsid w:val="00AB4BB8"/>
    <w:rsid w:val="00AB4F22"/>
    <w:rsid w:val="00AB51D1"/>
    <w:rsid w:val="00AB5AB3"/>
    <w:rsid w:val="00AB6396"/>
    <w:rsid w:val="00AB643F"/>
    <w:rsid w:val="00AB6559"/>
    <w:rsid w:val="00AB7244"/>
    <w:rsid w:val="00AB7309"/>
    <w:rsid w:val="00AB7328"/>
    <w:rsid w:val="00AC0ACB"/>
    <w:rsid w:val="00AC2264"/>
    <w:rsid w:val="00AC3432"/>
    <w:rsid w:val="00AC47FB"/>
    <w:rsid w:val="00AC4A07"/>
    <w:rsid w:val="00AC6706"/>
    <w:rsid w:val="00AC6CAE"/>
    <w:rsid w:val="00AC7D30"/>
    <w:rsid w:val="00AD0CAF"/>
    <w:rsid w:val="00AD19E7"/>
    <w:rsid w:val="00AD1F1F"/>
    <w:rsid w:val="00AD308A"/>
    <w:rsid w:val="00AD3394"/>
    <w:rsid w:val="00AD38B4"/>
    <w:rsid w:val="00AD41C8"/>
    <w:rsid w:val="00AD446D"/>
    <w:rsid w:val="00AD455A"/>
    <w:rsid w:val="00AD46FD"/>
    <w:rsid w:val="00AD577C"/>
    <w:rsid w:val="00AD591C"/>
    <w:rsid w:val="00AD5F24"/>
    <w:rsid w:val="00AD61E2"/>
    <w:rsid w:val="00AD6F21"/>
    <w:rsid w:val="00AE0321"/>
    <w:rsid w:val="00AE203C"/>
    <w:rsid w:val="00AE2B91"/>
    <w:rsid w:val="00AE2E7A"/>
    <w:rsid w:val="00AE4294"/>
    <w:rsid w:val="00AE4CCE"/>
    <w:rsid w:val="00AE4DA4"/>
    <w:rsid w:val="00AE5290"/>
    <w:rsid w:val="00AE5864"/>
    <w:rsid w:val="00AE6D1B"/>
    <w:rsid w:val="00AE6E0B"/>
    <w:rsid w:val="00AF09D9"/>
    <w:rsid w:val="00AF0DD2"/>
    <w:rsid w:val="00AF1679"/>
    <w:rsid w:val="00AF2BC0"/>
    <w:rsid w:val="00AF3579"/>
    <w:rsid w:val="00AF3A7C"/>
    <w:rsid w:val="00AF3B8D"/>
    <w:rsid w:val="00AF3BDD"/>
    <w:rsid w:val="00AF478C"/>
    <w:rsid w:val="00AF5511"/>
    <w:rsid w:val="00AF6198"/>
    <w:rsid w:val="00AF6246"/>
    <w:rsid w:val="00B00353"/>
    <w:rsid w:val="00B011E8"/>
    <w:rsid w:val="00B029AC"/>
    <w:rsid w:val="00B03C52"/>
    <w:rsid w:val="00B050DE"/>
    <w:rsid w:val="00B0522C"/>
    <w:rsid w:val="00B0552C"/>
    <w:rsid w:val="00B056EF"/>
    <w:rsid w:val="00B0653E"/>
    <w:rsid w:val="00B069BF"/>
    <w:rsid w:val="00B07748"/>
    <w:rsid w:val="00B07BEF"/>
    <w:rsid w:val="00B10139"/>
    <w:rsid w:val="00B101C2"/>
    <w:rsid w:val="00B11671"/>
    <w:rsid w:val="00B11E6F"/>
    <w:rsid w:val="00B13235"/>
    <w:rsid w:val="00B134BA"/>
    <w:rsid w:val="00B136F5"/>
    <w:rsid w:val="00B1370E"/>
    <w:rsid w:val="00B1457E"/>
    <w:rsid w:val="00B14F1D"/>
    <w:rsid w:val="00B15954"/>
    <w:rsid w:val="00B15B1A"/>
    <w:rsid w:val="00B16DB1"/>
    <w:rsid w:val="00B20719"/>
    <w:rsid w:val="00B21273"/>
    <w:rsid w:val="00B21D75"/>
    <w:rsid w:val="00B22951"/>
    <w:rsid w:val="00B233B6"/>
    <w:rsid w:val="00B23AF6"/>
    <w:rsid w:val="00B2468D"/>
    <w:rsid w:val="00B25961"/>
    <w:rsid w:val="00B259CE"/>
    <w:rsid w:val="00B30946"/>
    <w:rsid w:val="00B30E6F"/>
    <w:rsid w:val="00B3244D"/>
    <w:rsid w:val="00B3285E"/>
    <w:rsid w:val="00B331A7"/>
    <w:rsid w:val="00B338D0"/>
    <w:rsid w:val="00B35628"/>
    <w:rsid w:val="00B361B8"/>
    <w:rsid w:val="00B361D3"/>
    <w:rsid w:val="00B3678D"/>
    <w:rsid w:val="00B36964"/>
    <w:rsid w:val="00B36D9C"/>
    <w:rsid w:val="00B37B3D"/>
    <w:rsid w:val="00B402E7"/>
    <w:rsid w:val="00B4063D"/>
    <w:rsid w:val="00B41749"/>
    <w:rsid w:val="00B41A87"/>
    <w:rsid w:val="00B41D1B"/>
    <w:rsid w:val="00B41E3A"/>
    <w:rsid w:val="00B42386"/>
    <w:rsid w:val="00B43793"/>
    <w:rsid w:val="00B43FF0"/>
    <w:rsid w:val="00B44771"/>
    <w:rsid w:val="00B44BF5"/>
    <w:rsid w:val="00B45D84"/>
    <w:rsid w:val="00B465A5"/>
    <w:rsid w:val="00B46BF6"/>
    <w:rsid w:val="00B46C3D"/>
    <w:rsid w:val="00B474C2"/>
    <w:rsid w:val="00B476D6"/>
    <w:rsid w:val="00B5039A"/>
    <w:rsid w:val="00B51186"/>
    <w:rsid w:val="00B523A1"/>
    <w:rsid w:val="00B5307A"/>
    <w:rsid w:val="00B550F5"/>
    <w:rsid w:val="00B5568C"/>
    <w:rsid w:val="00B56D9F"/>
    <w:rsid w:val="00B570DB"/>
    <w:rsid w:val="00B57274"/>
    <w:rsid w:val="00B57704"/>
    <w:rsid w:val="00B60E6A"/>
    <w:rsid w:val="00B61C47"/>
    <w:rsid w:val="00B61EB5"/>
    <w:rsid w:val="00B61FD3"/>
    <w:rsid w:val="00B635F8"/>
    <w:rsid w:val="00B63AB7"/>
    <w:rsid w:val="00B63C33"/>
    <w:rsid w:val="00B63D48"/>
    <w:rsid w:val="00B64A39"/>
    <w:rsid w:val="00B64AED"/>
    <w:rsid w:val="00B658BD"/>
    <w:rsid w:val="00B65B95"/>
    <w:rsid w:val="00B664BB"/>
    <w:rsid w:val="00B66786"/>
    <w:rsid w:val="00B706D9"/>
    <w:rsid w:val="00B70F05"/>
    <w:rsid w:val="00B71215"/>
    <w:rsid w:val="00B72117"/>
    <w:rsid w:val="00B72308"/>
    <w:rsid w:val="00B72580"/>
    <w:rsid w:val="00B72659"/>
    <w:rsid w:val="00B726A9"/>
    <w:rsid w:val="00B72F74"/>
    <w:rsid w:val="00B72FDC"/>
    <w:rsid w:val="00B742B7"/>
    <w:rsid w:val="00B75C14"/>
    <w:rsid w:val="00B775C6"/>
    <w:rsid w:val="00B77608"/>
    <w:rsid w:val="00B77CAA"/>
    <w:rsid w:val="00B80A17"/>
    <w:rsid w:val="00B80A62"/>
    <w:rsid w:val="00B811E6"/>
    <w:rsid w:val="00B8344E"/>
    <w:rsid w:val="00B8423A"/>
    <w:rsid w:val="00B850D6"/>
    <w:rsid w:val="00B85BC4"/>
    <w:rsid w:val="00B85F69"/>
    <w:rsid w:val="00B864B4"/>
    <w:rsid w:val="00B90521"/>
    <w:rsid w:val="00B907C2"/>
    <w:rsid w:val="00B92497"/>
    <w:rsid w:val="00B92CE1"/>
    <w:rsid w:val="00B9311E"/>
    <w:rsid w:val="00B942DA"/>
    <w:rsid w:val="00BA0203"/>
    <w:rsid w:val="00BA02E0"/>
    <w:rsid w:val="00BA062E"/>
    <w:rsid w:val="00BA0B26"/>
    <w:rsid w:val="00BA1350"/>
    <w:rsid w:val="00BA142F"/>
    <w:rsid w:val="00BA2A4E"/>
    <w:rsid w:val="00BA2EA7"/>
    <w:rsid w:val="00BA301A"/>
    <w:rsid w:val="00BA3385"/>
    <w:rsid w:val="00BA5096"/>
    <w:rsid w:val="00BA564A"/>
    <w:rsid w:val="00BA5CE6"/>
    <w:rsid w:val="00BA6098"/>
    <w:rsid w:val="00BA63DA"/>
    <w:rsid w:val="00BA7123"/>
    <w:rsid w:val="00BA7145"/>
    <w:rsid w:val="00BA7C15"/>
    <w:rsid w:val="00BB11F8"/>
    <w:rsid w:val="00BB1959"/>
    <w:rsid w:val="00BB1F53"/>
    <w:rsid w:val="00BB3284"/>
    <w:rsid w:val="00BB33D6"/>
    <w:rsid w:val="00BB40BB"/>
    <w:rsid w:val="00BB4C45"/>
    <w:rsid w:val="00BB5D6E"/>
    <w:rsid w:val="00BB5D88"/>
    <w:rsid w:val="00BB5DAB"/>
    <w:rsid w:val="00BB7C9C"/>
    <w:rsid w:val="00BB7D68"/>
    <w:rsid w:val="00BC13D7"/>
    <w:rsid w:val="00BC14B5"/>
    <w:rsid w:val="00BC17D8"/>
    <w:rsid w:val="00BC4A1F"/>
    <w:rsid w:val="00BC4C4E"/>
    <w:rsid w:val="00BC4F80"/>
    <w:rsid w:val="00BC66B6"/>
    <w:rsid w:val="00BC69F1"/>
    <w:rsid w:val="00BC6F66"/>
    <w:rsid w:val="00BD0956"/>
    <w:rsid w:val="00BD162E"/>
    <w:rsid w:val="00BD23A2"/>
    <w:rsid w:val="00BD2620"/>
    <w:rsid w:val="00BD29CE"/>
    <w:rsid w:val="00BD59A2"/>
    <w:rsid w:val="00BD63F9"/>
    <w:rsid w:val="00BD6503"/>
    <w:rsid w:val="00BD7989"/>
    <w:rsid w:val="00BD7FB4"/>
    <w:rsid w:val="00BE1276"/>
    <w:rsid w:val="00BE1638"/>
    <w:rsid w:val="00BE1EE3"/>
    <w:rsid w:val="00BE2BCC"/>
    <w:rsid w:val="00BE3AB9"/>
    <w:rsid w:val="00BE4600"/>
    <w:rsid w:val="00BE479C"/>
    <w:rsid w:val="00BE538E"/>
    <w:rsid w:val="00BE59E5"/>
    <w:rsid w:val="00BE616A"/>
    <w:rsid w:val="00BE738B"/>
    <w:rsid w:val="00BE74B9"/>
    <w:rsid w:val="00BE7B8C"/>
    <w:rsid w:val="00BF054B"/>
    <w:rsid w:val="00BF08E1"/>
    <w:rsid w:val="00BF0B01"/>
    <w:rsid w:val="00BF2369"/>
    <w:rsid w:val="00BF3F5C"/>
    <w:rsid w:val="00BF3FC9"/>
    <w:rsid w:val="00BF4803"/>
    <w:rsid w:val="00BF70D9"/>
    <w:rsid w:val="00C01B42"/>
    <w:rsid w:val="00C01DA4"/>
    <w:rsid w:val="00C023B7"/>
    <w:rsid w:val="00C03C15"/>
    <w:rsid w:val="00C03FD9"/>
    <w:rsid w:val="00C066DE"/>
    <w:rsid w:val="00C06E4F"/>
    <w:rsid w:val="00C07E4D"/>
    <w:rsid w:val="00C10C84"/>
    <w:rsid w:val="00C11A42"/>
    <w:rsid w:val="00C125EC"/>
    <w:rsid w:val="00C13BB6"/>
    <w:rsid w:val="00C13E33"/>
    <w:rsid w:val="00C1509D"/>
    <w:rsid w:val="00C150C0"/>
    <w:rsid w:val="00C16464"/>
    <w:rsid w:val="00C16B0C"/>
    <w:rsid w:val="00C175ED"/>
    <w:rsid w:val="00C219A6"/>
    <w:rsid w:val="00C220D7"/>
    <w:rsid w:val="00C22527"/>
    <w:rsid w:val="00C22B15"/>
    <w:rsid w:val="00C23A2B"/>
    <w:rsid w:val="00C24A54"/>
    <w:rsid w:val="00C25183"/>
    <w:rsid w:val="00C25440"/>
    <w:rsid w:val="00C25445"/>
    <w:rsid w:val="00C25FF4"/>
    <w:rsid w:val="00C268A8"/>
    <w:rsid w:val="00C26DEE"/>
    <w:rsid w:val="00C278D1"/>
    <w:rsid w:val="00C30383"/>
    <w:rsid w:val="00C30832"/>
    <w:rsid w:val="00C30A3D"/>
    <w:rsid w:val="00C30E1C"/>
    <w:rsid w:val="00C330CA"/>
    <w:rsid w:val="00C33984"/>
    <w:rsid w:val="00C33E93"/>
    <w:rsid w:val="00C34455"/>
    <w:rsid w:val="00C34679"/>
    <w:rsid w:val="00C35259"/>
    <w:rsid w:val="00C3539C"/>
    <w:rsid w:val="00C3557F"/>
    <w:rsid w:val="00C360D3"/>
    <w:rsid w:val="00C3764D"/>
    <w:rsid w:val="00C37910"/>
    <w:rsid w:val="00C37B43"/>
    <w:rsid w:val="00C37D46"/>
    <w:rsid w:val="00C40B32"/>
    <w:rsid w:val="00C413E8"/>
    <w:rsid w:val="00C4157D"/>
    <w:rsid w:val="00C43005"/>
    <w:rsid w:val="00C4482E"/>
    <w:rsid w:val="00C44AB5"/>
    <w:rsid w:val="00C44E1A"/>
    <w:rsid w:val="00C45453"/>
    <w:rsid w:val="00C45806"/>
    <w:rsid w:val="00C45B12"/>
    <w:rsid w:val="00C46E61"/>
    <w:rsid w:val="00C4701D"/>
    <w:rsid w:val="00C4726D"/>
    <w:rsid w:val="00C4753C"/>
    <w:rsid w:val="00C47F05"/>
    <w:rsid w:val="00C50F78"/>
    <w:rsid w:val="00C51641"/>
    <w:rsid w:val="00C51994"/>
    <w:rsid w:val="00C524A5"/>
    <w:rsid w:val="00C52B6C"/>
    <w:rsid w:val="00C52EA5"/>
    <w:rsid w:val="00C52EF6"/>
    <w:rsid w:val="00C53192"/>
    <w:rsid w:val="00C54555"/>
    <w:rsid w:val="00C5500C"/>
    <w:rsid w:val="00C55D1C"/>
    <w:rsid w:val="00C56D87"/>
    <w:rsid w:val="00C571D0"/>
    <w:rsid w:val="00C57AEF"/>
    <w:rsid w:val="00C57C63"/>
    <w:rsid w:val="00C57CD2"/>
    <w:rsid w:val="00C6061A"/>
    <w:rsid w:val="00C6122F"/>
    <w:rsid w:val="00C62105"/>
    <w:rsid w:val="00C6328D"/>
    <w:rsid w:val="00C633A9"/>
    <w:rsid w:val="00C637A1"/>
    <w:rsid w:val="00C63A8B"/>
    <w:rsid w:val="00C641B5"/>
    <w:rsid w:val="00C65322"/>
    <w:rsid w:val="00C6567A"/>
    <w:rsid w:val="00C65AD8"/>
    <w:rsid w:val="00C660ED"/>
    <w:rsid w:val="00C661EC"/>
    <w:rsid w:val="00C669A4"/>
    <w:rsid w:val="00C70316"/>
    <w:rsid w:val="00C71632"/>
    <w:rsid w:val="00C72A15"/>
    <w:rsid w:val="00C75C00"/>
    <w:rsid w:val="00C76451"/>
    <w:rsid w:val="00C76473"/>
    <w:rsid w:val="00C77B40"/>
    <w:rsid w:val="00C80E68"/>
    <w:rsid w:val="00C80F4B"/>
    <w:rsid w:val="00C817A1"/>
    <w:rsid w:val="00C830DB"/>
    <w:rsid w:val="00C8350D"/>
    <w:rsid w:val="00C8395D"/>
    <w:rsid w:val="00C83A12"/>
    <w:rsid w:val="00C84ABD"/>
    <w:rsid w:val="00C85D97"/>
    <w:rsid w:val="00C8674B"/>
    <w:rsid w:val="00C90443"/>
    <w:rsid w:val="00C916E2"/>
    <w:rsid w:val="00C91A72"/>
    <w:rsid w:val="00C91E51"/>
    <w:rsid w:val="00C94DA7"/>
    <w:rsid w:val="00C94EFC"/>
    <w:rsid w:val="00C96192"/>
    <w:rsid w:val="00C96196"/>
    <w:rsid w:val="00C96476"/>
    <w:rsid w:val="00C9648C"/>
    <w:rsid w:val="00C96AC1"/>
    <w:rsid w:val="00C978C2"/>
    <w:rsid w:val="00C97E63"/>
    <w:rsid w:val="00CA0E97"/>
    <w:rsid w:val="00CA1018"/>
    <w:rsid w:val="00CA1D02"/>
    <w:rsid w:val="00CA1E64"/>
    <w:rsid w:val="00CA204E"/>
    <w:rsid w:val="00CA2596"/>
    <w:rsid w:val="00CA27D2"/>
    <w:rsid w:val="00CA2D95"/>
    <w:rsid w:val="00CA3049"/>
    <w:rsid w:val="00CA5120"/>
    <w:rsid w:val="00CA5770"/>
    <w:rsid w:val="00CA584F"/>
    <w:rsid w:val="00CB03BA"/>
    <w:rsid w:val="00CB19F2"/>
    <w:rsid w:val="00CB2030"/>
    <w:rsid w:val="00CB2A48"/>
    <w:rsid w:val="00CB3FF2"/>
    <w:rsid w:val="00CB4630"/>
    <w:rsid w:val="00CB4EE5"/>
    <w:rsid w:val="00CB574F"/>
    <w:rsid w:val="00CB59D2"/>
    <w:rsid w:val="00CB7382"/>
    <w:rsid w:val="00CB7707"/>
    <w:rsid w:val="00CC2B3E"/>
    <w:rsid w:val="00CC4BA0"/>
    <w:rsid w:val="00CC5A6F"/>
    <w:rsid w:val="00CC639B"/>
    <w:rsid w:val="00CC6A74"/>
    <w:rsid w:val="00CC7295"/>
    <w:rsid w:val="00CC7808"/>
    <w:rsid w:val="00CC7991"/>
    <w:rsid w:val="00CD084C"/>
    <w:rsid w:val="00CD11EF"/>
    <w:rsid w:val="00CD13C6"/>
    <w:rsid w:val="00CD1C5F"/>
    <w:rsid w:val="00CD2543"/>
    <w:rsid w:val="00CD5829"/>
    <w:rsid w:val="00CD59B5"/>
    <w:rsid w:val="00CD7254"/>
    <w:rsid w:val="00CE129F"/>
    <w:rsid w:val="00CE197B"/>
    <w:rsid w:val="00CE2A4C"/>
    <w:rsid w:val="00CE3297"/>
    <w:rsid w:val="00CE33D2"/>
    <w:rsid w:val="00CE3493"/>
    <w:rsid w:val="00CE4358"/>
    <w:rsid w:val="00CE4D63"/>
    <w:rsid w:val="00CE61DD"/>
    <w:rsid w:val="00CE6234"/>
    <w:rsid w:val="00CE68AD"/>
    <w:rsid w:val="00CE69F3"/>
    <w:rsid w:val="00CE78F3"/>
    <w:rsid w:val="00CF07F9"/>
    <w:rsid w:val="00CF0BDE"/>
    <w:rsid w:val="00CF26E0"/>
    <w:rsid w:val="00CF27E9"/>
    <w:rsid w:val="00CF297F"/>
    <w:rsid w:val="00CF364C"/>
    <w:rsid w:val="00CF491E"/>
    <w:rsid w:val="00CF5B1A"/>
    <w:rsid w:val="00CF5EF9"/>
    <w:rsid w:val="00CF6441"/>
    <w:rsid w:val="00CF7073"/>
    <w:rsid w:val="00CF7FCF"/>
    <w:rsid w:val="00D00234"/>
    <w:rsid w:val="00D00A7E"/>
    <w:rsid w:val="00D01277"/>
    <w:rsid w:val="00D01FE5"/>
    <w:rsid w:val="00D03ECD"/>
    <w:rsid w:val="00D05828"/>
    <w:rsid w:val="00D05DAE"/>
    <w:rsid w:val="00D067D2"/>
    <w:rsid w:val="00D06BCF"/>
    <w:rsid w:val="00D125B0"/>
    <w:rsid w:val="00D12646"/>
    <w:rsid w:val="00D13011"/>
    <w:rsid w:val="00D139FD"/>
    <w:rsid w:val="00D13FB5"/>
    <w:rsid w:val="00D15850"/>
    <w:rsid w:val="00D15A5D"/>
    <w:rsid w:val="00D15B63"/>
    <w:rsid w:val="00D15EF9"/>
    <w:rsid w:val="00D16571"/>
    <w:rsid w:val="00D175DF"/>
    <w:rsid w:val="00D1760E"/>
    <w:rsid w:val="00D203D4"/>
    <w:rsid w:val="00D2313B"/>
    <w:rsid w:val="00D2424A"/>
    <w:rsid w:val="00D246DF"/>
    <w:rsid w:val="00D25158"/>
    <w:rsid w:val="00D25C84"/>
    <w:rsid w:val="00D26167"/>
    <w:rsid w:val="00D30848"/>
    <w:rsid w:val="00D3123A"/>
    <w:rsid w:val="00D3138A"/>
    <w:rsid w:val="00D31838"/>
    <w:rsid w:val="00D3253C"/>
    <w:rsid w:val="00D3279B"/>
    <w:rsid w:val="00D35870"/>
    <w:rsid w:val="00D35ABE"/>
    <w:rsid w:val="00D361D7"/>
    <w:rsid w:val="00D36798"/>
    <w:rsid w:val="00D368B6"/>
    <w:rsid w:val="00D40319"/>
    <w:rsid w:val="00D413CD"/>
    <w:rsid w:val="00D414ED"/>
    <w:rsid w:val="00D417B2"/>
    <w:rsid w:val="00D42ECB"/>
    <w:rsid w:val="00D431ED"/>
    <w:rsid w:val="00D43292"/>
    <w:rsid w:val="00D45500"/>
    <w:rsid w:val="00D4665A"/>
    <w:rsid w:val="00D50F12"/>
    <w:rsid w:val="00D51526"/>
    <w:rsid w:val="00D51F7D"/>
    <w:rsid w:val="00D5240D"/>
    <w:rsid w:val="00D52788"/>
    <w:rsid w:val="00D52E51"/>
    <w:rsid w:val="00D537C1"/>
    <w:rsid w:val="00D55F7A"/>
    <w:rsid w:val="00D55FEB"/>
    <w:rsid w:val="00D5624F"/>
    <w:rsid w:val="00D562F3"/>
    <w:rsid w:val="00D56630"/>
    <w:rsid w:val="00D57F48"/>
    <w:rsid w:val="00D6059A"/>
    <w:rsid w:val="00D609BA"/>
    <w:rsid w:val="00D60E72"/>
    <w:rsid w:val="00D610FF"/>
    <w:rsid w:val="00D61311"/>
    <w:rsid w:val="00D61355"/>
    <w:rsid w:val="00D61FD6"/>
    <w:rsid w:val="00D620FD"/>
    <w:rsid w:val="00D62437"/>
    <w:rsid w:val="00D62C58"/>
    <w:rsid w:val="00D65042"/>
    <w:rsid w:val="00D6678E"/>
    <w:rsid w:val="00D670EC"/>
    <w:rsid w:val="00D71491"/>
    <w:rsid w:val="00D73B66"/>
    <w:rsid w:val="00D7463E"/>
    <w:rsid w:val="00D74746"/>
    <w:rsid w:val="00D75015"/>
    <w:rsid w:val="00D75DEE"/>
    <w:rsid w:val="00D7631C"/>
    <w:rsid w:val="00D76640"/>
    <w:rsid w:val="00D771C1"/>
    <w:rsid w:val="00D80264"/>
    <w:rsid w:val="00D80663"/>
    <w:rsid w:val="00D8070E"/>
    <w:rsid w:val="00D80AB5"/>
    <w:rsid w:val="00D82AE8"/>
    <w:rsid w:val="00D85BE9"/>
    <w:rsid w:val="00D85F6A"/>
    <w:rsid w:val="00D86652"/>
    <w:rsid w:val="00D86CFB"/>
    <w:rsid w:val="00D876A4"/>
    <w:rsid w:val="00D90262"/>
    <w:rsid w:val="00D90F59"/>
    <w:rsid w:val="00D914C3"/>
    <w:rsid w:val="00D91698"/>
    <w:rsid w:val="00D91DB4"/>
    <w:rsid w:val="00D9236D"/>
    <w:rsid w:val="00D94C12"/>
    <w:rsid w:val="00D9696C"/>
    <w:rsid w:val="00D97249"/>
    <w:rsid w:val="00D9775F"/>
    <w:rsid w:val="00DA09E5"/>
    <w:rsid w:val="00DA2625"/>
    <w:rsid w:val="00DA32F7"/>
    <w:rsid w:val="00DA44E7"/>
    <w:rsid w:val="00DA5246"/>
    <w:rsid w:val="00DA5904"/>
    <w:rsid w:val="00DA5911"/>
    <w:rsid w:val="00DA6462"/>
    <w:rsid w:val="00DA659F"/>
    <w:rsid w:val="00DA6D8D"/>
    <w:rsid w:val="00DA7E59"/>
    <w:rsid w:val="00DB07EB"/>
    <w:rsid w:val="00DB0AD8"/>
    <w:rsid w:val="00DB1161"/>
    <w:rsid w:val="00DB2062"/>
    <w:rsid w:val="00DB5321"/>
    <w:rsid w:val="00DB5AC0"/>
    <w:rsid w:val="00DB608F"/>
    <w:rsid w:val="00DB7183"/>
    <w:rsid w:val="00DB776B"/>
    <w:rsid w:val="00DC03CD"/>
    <w:rsid w:val="00DC1125"/>
    <w:rsid w:val="00DC1CDA"/>
    <w:rsid w:val="00DC2493"/>
    <w:rsid w:val="00DC2BE1"/>
    <w:rsid w:val="00DC2C88"/>
    <w:rsid w:val="00DC3D91"/>
    <w:rsid w:val="00DC400E"/>
    <w:rsid w:val="00DC4DF9"/>
    <w:rsid w:val="00DC553F"/>
    <w:rsid w:val="00DC65EE"/>
    <w:rsid w:val="00DC750E"/>
    <w:rsid w:val="00DD0D15"/>
    <w:rsid w:val="00DD18CE"/>
    <w:rsid w:val="00DD24EE"/>
    <w:rsid w:val="00DD3779"/>
    <w:rsid w:val="00DD40A0"/>
    <w:rsid w:val="00DD642F"/>
    <w:rsid w:val="00DD6BE7"/>
    <w:rsid w:val="00DD6F90"/>
    <w:rsid w:val="00DD7805"/>
    <w:rsid w:val="00DE0112"/>
    <w:rsid w:val="00DE149B"/>
    <w:rsid w:val="00DE2935"/>
    <w:rsid w:val="00DE2E28"/>
    <w:rsid w:val="00DE407F"/>
    <w:rsid w:val="00DE5238"/>
    <w:rsid w:val="00DE58E8"/>
    <w:rsid w:val="00DE6658"/>
    <w:rsid w:val="00DE6882"/>
    <w:rsid w:val="00DE6F54"/>
    <w:rsid w:val="00DF0D83"/>
    <w:rsid w:val="00DF1164"/>
    <w:rsid w:val="00DF1346"/>
    <w:rsid w:val="00DF1451"/>
    <w:rsid w:val="00DF15CD"/>
    <w:rsid w:val="00DF20F5"/>
    <w:rsid w:val="00DF42B1"/>
    <w:rsid w:val="00DF46AF"/>
    <w:rsid w:val="00DF4F98"/>
    <w:rsid w:val="00DF76D9"/>
    <w:rsid w:val="00E00AB6"/>
    <w:rsid w:val="00E00ADC"/>
    <w:rsid w:val="00E01F3B"/>
    <w:rsid w:val="00E025C6"/>
    <w:rsid w:val="00E03DF2"/>
    <w:rsid w:val="00E05C15"/>
    <w:rsid w:val="00E06ECF"/>
    <w:rsid w:val="00E1197D"/>
    <w:rsid w:val="00E12254"/>
    <w:rsid w:val="00E1241D"/>
    <w:rsid w:val="00E12669"/>
    <w:rsid w:val="00E127EB"/>
    <w:rsid w:val="00E133D4"/>
    <w:rsid w:val="00E13741"/>
    <w:rsid w:val="00E16278"/>
    <w:rsid w:val="00E202CE"/>
    <w:rsid w:val="00E20FFA"/>
    <w:rsid w:val="00E21BE4"/>
    <w:rsid w:val="00E22D89"/>
    <w:rsid w:val="00E22ED8"/>
    <w:rsid w:val="00E234C8"/>
    <w:rsid w:val="00E23C30"/>
    <w:rsid w:val="00E247E1"/>
    <w:rsid w:val="00E24882"/>
    <w:rsid w:val="00E250D5"/>
    <w:rsid w:val="00E254CB"/>
    <w:rsid w:val="00E26121"/>
    <w:rsid w:val="00E269C4"/>
    <w:rsid w:val="00E26BE9"/>
    <w:rsid w:val="00E302BF"/>
    <w:rsid w:val="00E31D7E"/>
    <w:rsid w:val="00E33421"/>
    <w:rsid w:val="00E336BB"/>
    <w:rsid w:val="00E33727"/>
    <w:rsid w:val="00E34AC6"/>
    <w:rsid w:val="00E353AE"/>
    <w:rsid w:val="00E36BFB"/>
    <w:rsid w:val="00E373BD"/>
    <w:rsid w:val="00E40DDA"/>
    <w:rsid w:val="00E42879"/>
    <w:rsid w:val="00E42C5C"/>
    <w:rsid w:val="00E43B81"/>
    <w:rsid w:val="00E4517F"/>
    <w:rsid w:val="00E45C24"/>
    <w:rsid w:val="00E45FFF"/>
    <w:rsid w:val="00E46A0F"/>
    <w:rsid w:val="00E46B41"/>
    <w:rsid w:val="00E46C02"/>
    <w:rsid w:val="00E46DAB"/>
    <w:rsid w:val="00E477F4"/>
    <w:rsid w:val="00E47D4B"/>
    <w:rsid w:val="00E47D56"/>
    <w:rsid w:val="00E500C7"/>
    <w:rsid w:val="00E52B60"/>
    <w:rsid w:val="00E53045"/>
    <w:rsid w:val="00E53664"/>
    <w:rsid w:val="00E56B4F"/>
    <w:rsid w:val="00E56C44"/>
    <w:rsid w:val="00E60141"/>
    <w:rsid w:val="00E6083C"/>
    <w:rsid w:val="00E616E2"/>
    <w:rsid w:val="00E6433C"/>
    <w:rsid w:val="00E65DE8"/>
    <w:rsid w:val="00E67F88"/>
    <w:rsid w:val="00E70873"/>
    <w:rsid w:val="00E70A31"/>
    <w:rsid w:val="00E71214"/>
    <w:rsid w:val="00E71820"/>
    <w:rsid w:val="00E728AC"/>
    <w:rsid w:val="00E72E4B"/>
    <w:rsid w:val="00E73312"/>
    <w:rsid w:val="00E7345D"/>
    <w:rsid w:val="00E7383D"/>
    <w:rsid w:val="00E746EE"/>
    <w:rsid w:val="00E747D1"/>
    <w:rsid w:val="00E76CF9"/>
    <w:rsid w:val="00E77D9E"/>
    <w:rsid w:val="00E8161B"/>
    <w:rsid w:val="00E8179F"/>
    <w:rsid w:val="00E817AA"/>
    <w:rsid w:val="00E821C9"/>
    <w:rsid w:val="00E821F4"/>
    <w:rsid w:val="00E82A05"/>
    <w:rsid w:val="00E82C8C"/>
    <w:rsid w:val="00E8386D"/>
    <w:rsid w:val="00E83FBE"/>
    <w:rsid w:val="00E855F4"/>
    <w:rsid w:val="00E86F6E"/>
    <w:rsid w:val="00E90212"/>
    <w:rsid w:val="00E90699"/>
    <w:rsid w:val="00E906F6"/>
    <w:rsid w:val="00E90B73"/>
    <w:rsid w:val="00E90D95"/>
    <w:rsid w:val="00E90E72"/>
    <w:rsid w:val="00E92173"/>
    <w:rsid w:val="00E9316F"/>
    <w:rsid w:val="00E93724"/>
    <w:rsid w:val="00E94471"/>
    <w:rsid w:val="00E9492F"/>
    <w:rsid w:val="00E949BF"/>
    <w:rsid w:val="00E94FC6"/>
    <w:rsid w:val="00E9529F"/>
    <w:rsid w:val="00E95E4F"/>
    <w:rsid w:val="00E96856"/>
    <w:rsid w:val="00E973E1"/>
    <w:rsid w:val="00E977BA"/>
    <w:rsid w:val="00E97E83"/>
    <w:rsid w:val="00E97EDB"/>
    <w:rsid w:val="00EA0BEC"/>
    <w:rsid w:val="00EA13DA"/>
    <w:rsid w:val="00EA193F"/>
    <w:rsid w:val="00EA1AE9"/>
    <w:rsid w:val="00EA263A"/>
    <w:rsid w:val="00EA3F73"/>
    <w:rsid w:val="00EA3FF0"/>
    <w:rsid w:val="00EA4693"/>
    <w:rsid w:val="00EA46DC"/>
    <w:rsid w:val="00EA47F5"/>
    <w:rsid w:val="00EA484B"/>
    <w:rsid w:val="00EA5C2F"/>
    <w:rsid w:val="00EA7AA7"/>
    <w:rsid w:val="00EB0890"/>
    <w:rsid w:val="00EB0D20"/>
    <w:rsid w:val="00EB20C0"/>
    <w:rsid w:val="00EB2339"/>
    <w:rsid w:val="00EB248A"/>
    <w:rsid w:val="00EB2737"/>
    <w:rsid w:val="00EB2DD0"/>
    <w:rsid w:val="00EB568D"/>
    <w:rsid w:val="00EB5869"/>
    <w:rsid w:val="00EB5B0E"/>
    <w:rsid w:val="00EB67D4"/>
    <w:rsid w:val="00EB7953"/>
    <w:rsid w:val="00EB7B8D"/>
    <w:rsid w:val="00EC0280"/>
    <w:rsid w:val="00EC13EE"/>
    <w:rsid w:val="00EC1974"/>
    <w:rsid w:val="00EC2DAC"/>
    <w:rsid w:val="00EC2DE1"/>
    <w:rsid w:val="00EC3473"/>
    <w:rsid w:val="00EC3805"/>
    <w:rsid w:val="00EC52D2"/>
    <w:rsid w:val="00EC55CD"/>
    <w:rsid w:val="00EC626F"/>
    <w:rsid w:val="00EC6761"/>
    <w:rsid w:val="00EC6762"/>
    <w:rsid w:val="00EC6FF7"/>
    <w:rsid w:val="00ED0494"/>
    <w:rsid w:val="00ED04F8"/>
    <w:rsid w:val="00ED0544"/>
    <w:rsid w:val="00ED0957"/>
    <w:rsid w:val="00ED163C"/>
    <w:rsid w:val="00ED20A9"/>
    <w:rsid w:val="00ED22C2"/>
    <w:rsid w:val="00ED23F4"/>
    <w:rsid w:val="00ED2957"/>
    <w:rsid w:val="00ED4FC5"/>
    <w:rsid w:val="00ED56CB"/>
    <w:rsid w:val="00ED68D6"/>
    <w:rsid w:val="00ED6925"/>
    <w:rsid w:val="00ED6D26"/>
    <w:rsid w:val="00ED7A10"/>
    <w:rsid w:val="00EE0125"/>
    <w:rsid w:val="00EE051F"/>
    <w:rsid w:val="00EE10FD"/>
    <w:rsid w:val="00EE1524"/>
    <w:rsid w:val="00EE3187"/>
    <w:rsid w:val="00EE32ED"/>
    <w:rsid w:val="00EE360F"/>
    <w:rsid w:val="00EE397A"/>
    <w:rsid w:val="00EE65E3"/>
    <w:rsid w:val="00EE6660"/>
    <w:rsid w:val="00EE6DA8"/>
    <w:rsid w:val="00EE7056"/>
    <w:rsid w:val="00EE7690"/>
    <w:rsid w:val="00EE7E39"/>
    <w:rsid w:val="00EF01A6"/>
    <w:rsid w:val="00EF2B62"/>
    <w:rsid w:val="00EF35FC"/>
    <w:rsid w:val="00EF3A95"/>
    <w:rsid w:val="00EF4BC5"/>
    <w:rsid w:val="00EF5D7B"/>
    <w:rsid w:val="00EF6038"/>
    <w:rsid w:val="00EF68E9"/>
    <w:rsid w:val="00EF6A3B"/>
    <w:rsid w:val="00EF78A7"/>
    <w:rsid w:val="00EF7D2C"/>
    <w:rsid w:val="00F002E0"/>
    <w:rsid w:val="00F01865"/>
    <w:rsid w:val="00F02C8F"/>
    <w:rsid w:val="00F02F46"/>
    <w:rsid w:val="00F03C7D"/>
    <w:rsid w:val="00F03E24"/>
    <w:rsid w:val="00F04599"/>
    <w:rsid w:val="00F04A34"/>
    <w:rsid w:val="00F04C7E"/>
    <w:rsid w:val="00F05B35"/>
    <w:rsid w:val="00F0619F"/>
    <w:rsid w:val="00F065E1"/>
    <w:rsid w:val="00F06D3D"/>
    <w:rsid w:val="00F07C54"/>
    <w:rsid w:val="00F10718"/>
    <w:rsid w:val="00F107E5"/>
    <w:rsid w:val="00F109ED"/>
    <w:rsid w:val="00F10E4C"/>
    <w:rsid w:val="00F111FA"/>
    <w:rsid w:val="00F1132F"/>
    <w:rsid w:val="00F120D4"/>
    <w:rsid w:val="00F12C52"/>
    <w:rsid w:val="00F142C7"/>
    <w:rsid w:val="00F14608"/>
    <w:rsid w:val="00F14D35"/>
    <w:rsid w:val="00F1566B"/>
    <w:rsid w:val="00F16151"/>
    <w:rsid w:val="00F164A8"/>
    <w:rsid w:val="00F1699F"/>
    <w:rsid w:val="00F2154B"/>
    <w:rsid w:val="00F21954"/>
    <w:rsid w:val="00F241E6"/>
    <w:rsid w:val="00F257D7"/>
    <w:rsid w:val="00F266ED"/>
    <w:rsid w:val="00F26960"/>
    <w:rsid w:val="00F26AFA"/>
    <w:rsid w:val="00F27C36"/>
    <w:rsid w:val="00F30869"/>
    <w:rsid w:val="00F3298D"/>
    <w:rsid w:val="00F32FAA"/>
    <w:rsid w:val="00F34742"/>
    <w:rsid w:val="00F3512E"/>
    <w:rsid w:val="00F35B78"/>
    <w:rsid w:val="00F36029"/>
    <w:rsid w:val="00F36930"/>
    <w:rsid w:val="00F36D80"/>
    <w:rsid w:val="00F36E5C"/>
    <w:rsid w:val="00F37238"/>
    <w:rsid w:val="00F3731A"/>
    <w:rsid w:val="00F37F36"/>
    <w:rsid w:val="00F404D4"/>
    <w:rsid w:val="00F4141A"/>
    <w:rsid w:val="00F41B71"/>
    <w:rsid w:val="00F42601"/>
    <w:rsid w:val="00F44947"/>
    <w:rsid w:val="00F44ED5"/>
    <w:rsid w:val="00F4618A"/>
    <w:rsid w:val="00F46F96"/>
    <w:rsid w:val="00F50644"/>
    <w:rsid w:val="00F508A6"/>
    <w:rsid w:val="00F50945"/>
    <w:rsid w:val="00F50AC4"/>
    <w:rsid w:val="00F52125"/>
    <w:rsid w:val="00F53CF1"/>
    <w:rsid w:val="00F53E33"/>
    <w:rsid w:val="00F547EF"/>
    <w:rsid w:val="00F57071"/>
    <w:rsid w:val="00F573E6"/>
    <w:rsid w:val="00F60903"/>
    <w:rsid w:val="00F60F99"/>
    <w:rsid w:val="00F621B1"/>
    <w:rsid w:val="00F62400"/>
    <w:rsid w:val="00F62FFF"/>
    <w:rsid w:val="00F63218"/>
    <w:rsid w:val="00F63F39"/>
    <w:rsid w:val="00F642BF"/>
    <w:rsid w:val="00F64887"/>
    <w:rsid w:val="00F66E3B"/>
    <w:rsid w:val="00F67762"/>
    <w:rsid w:val="00F7156A"/>
    <w:rsid w:val="00F71AF7"/>
    <w:rsid w:val="00F7394A"/>
    <w:rsid w:val="00F73ED6"/>
    <w:rsid w:val="00F741FD"/>
    <w:rsid w:val="00F74EF8"/>
    <w:rsid w:val="00F756EF"/>
    <w:rsid w:val="00F75C9C"/>
    <w:rsid w:val="00F75D24"/>
    <w:rsid w:val="00F766DC"/>
    <w:rsid w:val="00F775DA"/>
    <w:rsid w:val="00F8162A"/>
    <w:rsid w:val="00F81D2D"/>
    <w:rsid w:val="00F8231E"/>
    <w:rsid w:val="00F82468"/>
    <w:rsid w:val="00F83779"/>
    <w:rsid w:val="00F83936"/>
    <w:rsid w:val="00F85950"/>
    <w:rsid w:val="00F862E9"/>
    <w:rsid w:val="00F8687D"/>
    <w:rsid w:val="00F87006"/>
    <w:rsid w:val="00F90370"/>
    <w:rsid w:val="00F94687"/>
    <w:rsid w:val="00F94818"/>
    <w:rsid w:val="00F94D8C"/>
    <w:rsid w:val="00F95507"/>
    <w:rsid w:val="00F95C35"/>
    <w:rsid w:val="00F95CFE"/>
    <w:rsid w:val="00F96D81"/>
    <w:rsid w:val="00F9735B"/>
    <w:rsid w:val="00F978C1"/>
    <w:rsid w:val="00FA02BD"/>
    <w:rsid w:val="00FA07A5"/>
    <w:rsid w:val="00FA1119"/>
    <w:rsid w:val="00FA15F5"/>
    <w:rsid w:val="00FA211D"/>
    <w:rsid w:val="00FA291D"/>
    <w:rsid w:val="00FA3217"/>
    <w:rsid w:val="00FA33DD"/>
    <w:rsid w:val="00FA3A1D"/>
    <w:rsid w:val="00FA4110"/>
    <w:rsid w:val="00FA6096"/>
    <w:rsid w:val="00FA7E56"/>
    <w:rsid w:val="00FB168B"/>
    <w:rsid w:val="00FB419E"/>
    <w:rsid w:val="00FB4AB6"/>
    <w:rsid w:val="00FB5891"/>
    <w:rsid w:val="00FB5D60"/>
    <w:rsid w:val="00FB5E0A"/>
    <w:rsid w:val="00FB611D"/>
    <w:rsid w:val="00FB7BEB"/>
    <w:rsid w:val="00FC00BE"/>
    <w:rsid w:val="00FC0A44"/>
    <w:rsid w:val="00FC13E5"/>
    <w:rsid w:val="00FC1C68"/>
    <w:rsid w:val="00FC1D60"/>
    <w:rsid w:val="00FC253B"/>
    <w:rsid w:val="00FC3048"/>
    <w:rsid w:val="00FC3243"/>
    <w:rsid w:val="00FC3425"/>
    <w:rsid w:val="00FC4155"/>
    <w:rsid w:val="00FC4C23"/>
    <w:rsid w:val="00FC4E96"/>
    <w:rsid w:val="00FC6F4F"/>
    <w:rsid w:val="00FC796F"/>
    <w:rsid w:val="00FC7DF8"/>
    <w:rsid w:val="00FD058A"/>
    <w:rsid w:val="00FD0FC1"/>
    <w:rsid w:val="00FD1744"/>
    <w:rsid w:val="00FD202B"/>
    <w:rsid w:val="00FD2061"/>
    <w:rsid w:val="00FD2157"/>
    <w:rsid w:val="00FD557D"/>
    <w:rsid w:val="00FD5699"/>
    <w:rsid w:val="00FD580B"/>
    <w:rsid w:val="00FD60F7"/>
    <w:rsid w:val="00FD6542"/>
    <w:rsid w:val="00FD70CD"/>
    <w:rsid w:val="00FD751D"/>
    <w:rsid w:val="00FE1109"/>
    <w:rsid w:val="00FE256A"/>
    <w:rsid w:val="00FE3DA6"/>
    <w:rsid w:val="00FE4209"/>
    <w:rsid w:val="00FE4298"/>
    <w:rsid w:val="00FE5994"/>
    <w:rsid w:val="00FE5D6B"/>
    <w:rsid w:val="00FE61AD"/>
    <w:rsid w:val="00FE65F5"/>
    <w:rsid w:val="00FE7086"/>
    <w:rsid w:val="00FE74A7"/>
    <w:rsid w:val="00FF1458"/>
    <w:rsid w:val="00FF14B0"/>
    <w:rsid w:val="00FF251D"/>
    <w:rsid w:val="00FF39B0"/>
    <w:rsid w:val="00FF3ABA"/>
    <w:rsid w:val="00FF44EB"/>
    <w:rsid w:val="00FF46A9"/>
    <w:rsid w:val="00FF54FF"/>
    <w:rsid w:val="00FF6EF2"/>
    <w:rsid w:val="00FF76CF"/>
    <w:rsid w:val="00FF78FC"/>
    <w:rsid w:val="01237EC1"/>
    <w:rsid w:val="01800ECB"/>
    <w:rsid w:val="01A819DB"/>
    <w:rsid w:val="01B0769C"/>
    <w:rsid w:val="01E32CC3"/>
    <w:rsid w:val="02D52EEC"/>
    <w:rsid w:val="037554BB"/>
    <w:rsid w:val="03E80DE6"/>
    <w:rsid w:val="03FF6272"/>
    <w:rsid w:val="05A94843"/>
    <w:rsid w:val="05F132AE"/>
    <w:rsid w:val="06272969"/>
    <w:rsid w:val="08DB6A0C"/>
    <w:rsid w:val="09041F23"/>
    <w:rsid w:val="099537FB"/>
    <w:rsid w:val="0AF92FFD"/>
    <w:rsid w:val="0B1219E8"/>
    <w:rsid w:val="0B3C301C"/>
    <w:rsid w:val="0B5B1581"/>
    <w:rsid w:val="0B73122A"/>
    <w:rsid w:val="0BF32E7C"/>
    <w:rsid w:val="0BF51621"/>
    <w:rsid w:val="0C095733"/>
    <w:rsid w:val="0C2C32DA"/>
    <w:rsid w:val="0C4E2658"/>
    <w:rsid w:val="0CAD13F9"/>
    <w:rsid w:val="0CBB34BE"/>
    <w:rsid w:val="0CFE2CC9"/>
    <w:rsid w:val="0D077942"/>
    <w:rsid w:val="0D975D53"/>
    <w:rsid w:val="0E78797F"/>
    <w:rsid w:val="0EAB3CCD"/>
    <w:rsid w:val="0FB155D7"/>
    <w:rsid w:val="101E5B5C"/>
    <w:rsid w:val="11264206"/>
    <w:rsid w:val="11716160"/>
    <w:rsid w:val="119B239A"/>
    <w:rsid w:val="11E5626B"/>
    <w:rsid w:val="122279C7"/>
    <w:rsid w:val="12FF0BAD"/>
    <w:rsid w:val="139E738B"/>
    <w:rsid w:val="13D47BC7"/>
    <w:rsid w:val="13E16B2F"/>
    <w:rsid w:val="143C0CA7"/>
    <w:rsid w:val="14945E29"/>
    <w:rsid w:val="151760CA"/>
    <w:rsid w:val="152564B7"/>
    <w:rsid w:val="162C517E"/>
    <w:rsid w:val="17AE3C6A"/>
    <w:rsid w:val="18062C2E"/>
    <w:rsid w:val="19B77A83"/>
    <w:rsid w:val="19F426B6"/>
    <w:rsid w:val="1A5B308A"/>
    <w:rsid w:val="1AFF2A2E"/>
    <w:rsid w:val="1B1A176B"/>
    <w:rsid w:val="1BC1164B"/>
    <w:rsid w:val="1C3C1772"/>
    <w:rsid w:val="1C551074"/>
    <w:rsid w:val="1CEB6DC6"/>
    <w:rsid w:val="1D1C313C"/>
    <w:rsid w:val="1D497F91"/>
    <w:rsid w:val="1D935D50"/>
    <w:rsid w:val="1DDC0675"/>
    <w:rsid w:val="1E264301"/>
    <w:rsid w:val="1E4E4B81"/>
    <w:rsid w:val="1E5F6569"/>
    <w:rsid w:val="1EC9504A"/>
    <w:rsid w:val="1F446E0A"/>
    <w:rsid w:val="1F5E479D"/>
    <w:rsid w:val="1FB301B8"/>
    <w:rsid w:val="1FEB076F"/>
    <w:rsid w:val="20D21CE6"/>
    <w:rsid w:val="224550FF"/>
    <w:rsid w:val="22AB790B"/>
    <w:rsid w:val="22F4274D"/>
    <w:rsid w:val="233D1122"/>
    <w:rsid w:val="238C5C8C"/>
    <w:rsid w:val="23D71787"/>
    <w:rsid w:val="24612AB0"/>
    <w:rsid w:val="26970113"/>
    <w:rsid w:val="27AC3FAB"/>
    <w:rsid w:val="27AE3812"/>
    <w:rsid w:val="27FA0D7D"/>
    <w:rsid w:val="283F41D5"/>
    <w:rsid w:val="28802BED"/>
    <w:rsid w:val="29E503DA"/>
    <w:rsid w:val="2A033781"/>
    <w:rsid w:val="2A777809"/>
    <w:rsid w:val="2A7D7F8A"/>
    <w:rsid w:val="2A81520E"/>
    <w:rsid w:val="2A937A84"/>
    <w:rsid w:val="2ADE7F6A"/>
    <w:rsid w:val="2B0A28DD"/>
    <w:rsid w:val="2B376D5B"/>
    <w:rsid w:val="2BAB3B6A"/>
    <w:rsid w:val="2C182496"/>
    <w:rsid w:val="2C4712B1"/>
    <w:rsid w:val="2C801C81"/>
    <w:rsid w:val="2CAE377A"/>
    <w:rsid w:val="2CE54D5A"/>
    <w:rsid w:val="2E2C36E3"/>
    <w:rsid w:val="2E4E092E"/>
    <w:rsid w:val="2E6E4C98"/>
    <w:rsid w:val="2F2725CA"/>
    <w:rsid w:val="2F33417F"/>
    <w:rsid w:val="2F3407C1"/>
    <w:rsid w:val="2FE34275"/>
    <w:rsid w:val="3074418C"/>
    <w:rsid w:val="307F0D4E"/>
    <w:rsid w:val="30870142"/>
    <w:rsid w:val="31157BC8"/>
    <w:rsid w:val="31D10829"/>
    <w:rsid w:val="32700B80"/>
    <w:rsid w:val="32701ECF"/>
    <w:rsid w:val="327F2033"/>
    <w:rsid w:val="32D43FFF"/>
    <w:rsid w:val="33A52EB7"/>
    <w:rsid w:val="33EB2DC4"/>
    <w:rsid w:val="347A0278"/>
    <w:rsid w:val="35605EF6"/>
    <w:rsid w:val="360C07A2"/>
    <w:rsid w:val="360C62D3"/>
    <w:rsid w:val="3659502B"/>
    <w:rsid w:val="36E80182"/>
    <w:rsid w:val="378D4986"/>
    <w:rsid w:val="37B502A5"/>
    <w:rsid w:val="37B704C1"/>
    <w:rsid w:val="384C1ED9"/>
    <w:rsid w:val="38A6278C"/>
    <w:rsid w:val="38A83998"/>
    <w:rsid w:val="38FD0D43"/>
    <w:rsid w:val="390B2A3D"/>
    <w:rsid w:val="39AC0688"/>
    <w:rsid w:val="39EB75D1"/>
    <w:rsid w:val="3A67294A"/>
    <w:rsid w:val="3B940786"/>
    <w:rsid w:val="3C203934"/>
    <w:rsid w:val="3D103A6D"/>
    <w:rsid w:val="3DF97243"/>
    <w:rsid w:val="3E060BAA"/>
    <w:rsid w:val="3E296A78"/>
    <w:rsid w:val="3E854E75"/>
    <w:rsid w:val="3F3E02C8"/>
    <w:rsid w:val="3FA052A1"/>
    <w:rsid w:val="40961988"/>
    <w:rsid w:val="41321954"/>
    <w:rsid w:val="420B07D3"/>
    <w:rsid w:val="423D06E4"/>
    <w:rsid w:val="42CD3359"/>
    <w:rsid w:val="42F535F3"/>
    <w:rsid w:val="42FD6B7E"/>
    <w:rsid w:val="433429C6"/>
    <w:rsid w:val="43693E4C"/>
    <w:rsid w:val="443169CB"/>
    <w:rsid w:val="449C06BC"/>
    <w:rsid w:val="44A26055"/>
    <w:rsid w:val="45752CFC"/>
    <w:rsid w:val="4605689B"/>
    <w:rsid w:val="467779B3"/>
    <w:rsid w:val="468068E4"/>
    <w:rsid w:val="46903A68"/>
    <w:rsid w:val="476E4DA2"/>
    <w:rsid w:val="47F50F89"/>
    <w:rsid w:val="482451BB"/>
    <w:rsid w:val="48A030C8"/>
    <w:rsid w:val="48A961F8"/>
    <w:rsid w:val="49E55D40"/>
    <w:rsid w:val="4B397388"/>
    <w:rsid w:val="4B6B208F"/>
    <w:rsid w:val="4B752D7C"/>
    <w:rsid w:val="4BAF645E"/>
    <w:rsid w:val="4BD442D5"/>
    <w:rsid w:val="4C242D9F"/>
    <w:rsid w:val="4D8409ED"/>
    <w:rsid w:val="4E8A3D71"/>
    <w:rsid w:val="4EBF367E"/>
    <w:rsid w:val="4EFD5288"/>
    <w:rsid w:val="4FED4628"/>
    <w:rsid w:val="50DF0465"/>
    <w:rsid w:val="510F5A92"/>
    <w:rsid w:val="51396D1F"/>
    <w:rsid w:val="5193005B"/>
    <w:rsid w:val="51BE47EA"/>
    <w:rsid w:val="52292F71"/>
    <w:rsid w:val="5358625C"/>
    <w:rsid w:val="537A4AAF"/>
    <w:rsid w:val="5423620A"/>
    <w:rsid w:val="543427E1"/>
    <w:rsid w:val="544F350F"/>
    <w:rsid w:val="548F5A95"/>
    <w:rsid w:val="549A39B4"/>
    <w:rsid w:val="54A75A56"/>
    <w:rsid w:val="54CC580D"/>
    <w:rsid w:val="55346855"/>
    <w:rsid w:val="55502683"/>
    <w:rsid w:val="555B76E5"/>
    <w:rsid w:val="555D0733"/>
    <w:rsid w:val="55812D9D"/>
    <w:rsid w:val="561E64DA"/>
    <w:rsid w:val="562E6617"/>
    <w:rsid w:val="563A1DB1"/>
    <w:rsid w:val="56B04287"/>
    <w:rsid w:val="56E86247"/>
    <w:rsid w:val="57C6377C"/>
    <w:rsid w:val="57D50A48"/>
    <w:rsid w:val="581B4D82"/>
    <w:rsid w:val="59075E18"/>
    <w:rsid w:val="59561AE4"/>
    <w:rsid w:val="59E17BDA"/>
    <w:rsid w:val="59EE50B8"/>
    <w:rsid w:val="5BAD6681"/>
    <w:rsid w:val="5BBD57F6"/>
    <w:rsid w:val="5C8D6B99"/>
    <w:rsid w:val="5C981DBF"/>
    <w:rsid w:val="5D0867B2"/>
    <w:rsid w:val="5D6B6464"/>
    <w:rsid w:val="5E457DCF"/>
    <w:rsid w:val="5E4C10B3"/>
    <w:rsid w:val="5E8B0A0A"/>
    <w:rsid w:val="5F074FDA"/>
    <w:rsid w:val="5F0B36F3"/>
    <w:rsid w:val="6024250D"/>
    <w:rsid w:val="60C874D3"/>
    <w:rsid w:val="615866B4"/>
    <w:rsid w:val="6187432A"/>
    <w:rsid w:val="61EC22BE"/>
    <w:rsid w:val="61ED42AA"/>
    <w:rsid w:val="61F84B2E"/>
    <w:rsid w:val="625E4788"/>
    <w:rsid w:val="62DE4F8D"/>
    <w:rsid w:val="637B4C88"/>
    <w:rsid w:val="63FD6D48"/>
    <w:rsid w:val="640D306A"/>
    <w:rsid w:val="64134AB6"/>
    <w:rsid w:val="647C691A"/>
    <w:rsid w:val="64E536C8"/>
    <w:rsid w:val="64F7641F"/>
    <w:rsid w:val="657B3DDC"/>
    <w:rsid w:val="659F6F01"/>
    <w:rsid w:val="65BF6F8A"/>
    <w:rsid w:val="671D0835"/>
    <w:rsid w:val="674F3B08"/>
    <w:rsid w:val="68002EEF"/>
    <w:rsid w:val="68092A82"/>
    <w:rsid w:val="6821403B"/>
    <w:rsid w:val="68294213"/>
    <w:rsid w:val="685A178B"/>
    <w:rsid w:val="68C83A2C"/>
    <w:rsid w:val="696574CD"/>
    <w:rsid w:val="69C77840"/>
    <w:rsid w:val="6A15661A"/>
    <w:rsid w:val="6A5901AF"/>
    <w:rsid w:val="6BA37E39"/>
    <w:rsid w:val="6BF47849"/>
    <w:rsid w:val="6C1D11C1"/>
    <w:rsid w:val="6C2712F8"/>
    <w:rsid w:val="6C833BE9"/>
    <w:rsid w:val="6D431AA2"/>
    <w:rsid w:val="6D83764B"/>
    <w:rsid w:val="6E831A56"/>
    <w:rsid w:val="6EF77ED5"/>
    <w:rsid w:val="6F125A01"/>
    <w:rsid w:val="6F392F8E"/>
    <w:rsid w:val="703A6FBE"/>
    <w:rsid w:val="70530BB4"/>
    <w:rsid w:val="709D085A"/>
    <w:rsid w:val="70A266F9"/>
    <w:rsid w:val="70EE5569"/>
    <w:rsid w:val="71031416"/>
    <w:rsid w:val="71456753"/>
    <w:rsid w:val="71A31C07"/>
    <w:rsid w:val="72A51148"/>
    <w:rsid w:val="72B630BC"/>
    <w:rsid w:val="73641E2E"/>
    <w:rsid w:val="73770529"/>
    <w:rsid w:val="75311A84"/>
    <w:rsid w:val="75412D70"/>
    <w:rsid w:val="75435361"/>
    <w:rsid w:val="754E2671"/>
    <w:rsid w:val="755060BC"/>
    <w:rsid w:val="75DF2C54"/>
    <w:rsid w:val="76897EF9"/>
    <w:rsid w:val="76AD55FC"/>
    <w:rsid w:val="775961CA"/>
    <w:rsid w:val="77601C0E"/>
    <w:rsid w:val="777059BB"/>
    <w:rsid w:val="787C1C0C"/>
    <w:rsid w:val="78B6677C"/>
    <w:rsid w:val="78C8676E"/>
    <w:rsid w:val="78CC6C21"/>
    <w:rsid w:val="78F341AE"/>
    <w:rsid w:val="79140E10"/>
    <w:rsid w:val="79B02EFD"/>
    <w:rsid w:val="7A3562E4"/>
    <w:rsid w:val="7A392F6C"/>
    <w:rsid w:val="7BD657F1"/>
    <w:rsid w:val="7BD873D2"/>
    <w:rsid w:val="7C6B6667"/>
    <w:rsid w:val="7CA75957"/>
    <w:rsid w:val="7CDB7DC3"/>
    <w:rsid w:val="7D3D3F06"/>
    <w:rsid w:val="7D44147C"/>
    <w:rsid w:val="7D4523AF"/>
    <w:rsid w:val="7D935CBD"/>
    <w:rsid w:val="7DF60F6D"/>
    <w:rsid w:val="7E397AF7"/>
    <w:rsid w:val="7E846B0A"/>
    <w:rsid w:val="7F353B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0" w:semiHidden="0"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qFormat="1" w:unhideWhenUsed="0" w:uiPriority="0" w:semiHidden="0"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22"/>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125"/>
    <w:qFormat/>
    <w:uiPriority w:val="9"/>
    <w:pPr>
      <w:keepNext/>
      <w:keepLines/>
      <w:spacing w:before="260" w:after="260" w:line="415" w:lineRule="auto"/>
      <w:outlineLvl w:val="1"/>
    </w:pPr>
    <w:rPr>
      <w:rFonts w:ascii="Arial" w:hAnsi="Arial" w:eastAsia="黑体"/>
      <w:b/>
      <w:bCs/>
      <w:kern w:val="0"/>
      <w:sz w:val="32"/>
      <w:szCs w:val="32"/>
    </w:rPr>
  </w:style>
  <w:style w:type="paragraph" w:styleId="5">
    <w:name w:val="heading 3"/>
    <w:basedOn w:val="1"/>
    <w:next w:val="1"/>
    <w:link w:val="176"/>
    <w:qFormat/>
    <w:uiPriority w:val="0"/>
    <w:pPr>
      <w:keepNext/>
      <w:keepLines/>
      <w:spacing w:before="260" w:after="260" w:line="416" w:lineRule="auto"/>
      <w:jc w:val="center"/>
      <w:outlineLvl w:val="2"/>
    </w:pPr>
    <w:rPr>
      <w:rFonts w:eastAsia="楷体_GB2312"/>
      <w:b/>
      <w:bCs/>
      <w:kern w:val="0"/>
      <w:sz w:val="32"/>
      <w:szCs w:val="32"/>
    </w:rPr>
  </w:style>
  <w:style w:type="paragraph" w:styleId="6">
    <w:name w:val="heading 4"/>
    <w:basedOn w:val="1"/>
    <w:next w:val="1"/>
    <w:link w:val="103"/>
    <w:qFormat/>
    <w:uiPriority w:val="0"/>
    <w:pPr>
      <w:keepNext/>
      <w:keepLines/>
      <w:spacing w:before="280" w:after="290" w:line="376" w:lineRule="auto"/>
      <w:outlineLvl w:val="3"/>
    </w:pPr>
    <w:rPr>
      <w:rFonts w:ascii="Arial" w:hAnsi="Arial" w:eastAsia="黑体"/>
      <w:b/>
      <w:bCs/>
      <w:kern w:val="0"/>
      <w:sz w:val="28"/>
      <w:szCs w:val="28"/>
    </w:rPr>
  </w:style>
  <w:style w:type="paragraph" w:styleId="7">
    <w:name w:val="heading 5"/>
    <w:basedOn w:val="1"/>
    <w:next w:val="1"/>
    <w:link w:val="153"/>
    <w:qFormat/>
    <w:uiPriority w:val="9"/>
    <w:pPr>
      <w:keepNext/>
      <w:keepLines/>
      <w:spacing w:before="280" w:after="290" w:line="376" w:lineRule="auto"/>
      <w:outlineLvl w:val="4"/>
    </w:pPr>
    <w:rPr>
      <w:b/>
      <w:bCs/>
      <w:kern w:val="0"/>
      <w:sz w:val="28"/>
      <w:szCs w:val="28"/>
    </w:rPr>
  </w:style>
  <w:style w:type="paragraph" w:styleId="8">
    <w:name w:val="heading 6"/>
    <w:basedOn w:val="1"/>
    <w:next w:val="1"/>
    <w:link w:val="214"/>
    <w:qFormat/>
    <w:uiPriority w:val="0"/>
    <w:pPr>
      <w:keepNext/>
      <w:keepLines/>
      <w:spacing w:before="240" w:after="64" w:line="320" w:lineRule="auto"/>
      <w:outlineLvl w:val="5"/>
    </w:pPr>
    <w:rPr>
      <w:rFonts w:ascii="Arial" w:hAnsi="Arial" w:eastAsia="黑体"/>
      <w:b/>
      <w:bCs/>
      <w:kern w:val="0"/>
      <w:sz w:val="24"/>
    </w:rPr>
  </w:style>
  <w:style w:type="paragraph" w:styleId="9">
    <w:name w:val="heading 7"/>
    <w:basedOn w:val="1"/>
    <w:next w:val="1"/>
    <w:link w:val="118"/>
    <w:qFormat/>
    <w:uiPriority w:val="0"/>
    <w:pPr>
      <w:keepNext/>
      <w:keepLines/>
      <w:spacing w:before="240" w:after="64" w:line="320" w:lineRule="auto"/>
      <w:outlineLvl w:val="6"/>
    </w:pPr>
    <w:rPr>
      <w:b/>
      <w:bCs/>
      <w:kern w:val="0"/>
      <w:sz w:val="24"/>
    </w:rPr>
  </w:style>
  <w:style w:type="paragraph" w:styleId="10">
    <w:name w:val="heading 8"/>
    <w:basedOn w:val="1"/>
    <w:next w:val="1"/>
    <w:link w:val="147"/>
    <w:qFormat/>
    <w:uiPriority w:val="0"/>
    <w:pPr>
      <w:keepNext/>
      <w:keepLines/>
      <w:spacing w:before="240" w:after="64" w:line="320" w:lineRule="auto"/>
      <w:outlineLvl w:val="7"/>
    </w:pPr>
    <w:rPr>
      <w:rFonts w:ascii="Arial" w:hAnsi="Arial" w:eastAsia="黑体"/>
      <w:kern w:val="0"/>
      <w:sz w:val="24"/>
    </w:rPr>
  </w:style>
  <w:style w:type="paragraph" w:styleId="11">
    <w:name w:val="heading 9"/>
    <w:basedOn w:val="1"/>
    <w:next w:val="1"/>
    <w:link w:val="194"/>
    <w:qFormat/>
    <w:uiPriority w:val="0"/>
    <w:pPr>
      <w:keepNext/>
      <w:keepLines/>
      <w:spacing w:before="240" w:after="64" w:line="320" w:lineRule="auto"/>
      <w:outlineLvl w:val="8"/>
    </w:pPr>
    <w:rPr>
      <w:rFonts w:ascii="Arial" w:hAnsi="Arial" w:eastAsia="黑体"/>
      <w:kern w:val="0"/>
      <w:sz w:val="20"/>
      <w:szCs w:val="21"/>
    </w:rPr>
  </w:style>
  <w:style w:type="character" w:default="1" w:styleId="54">
    <w:name w:val="Default Paragraph Font"/>
    <w:semiHidden/>
    <w:unhideWhenUsed/>
    <w:qFormat/>
    <w:uiPriority w:val="1"/>
  </w:style>
  <w:style w:type="table" w:default="1" w:styleId="52">
    <w:name w:val="Normal Table"/>
    <w:semiHidden/>
    <w:unhideWhenUsed/>
    <w:qFormat/>
    <w:uiPriority w:val="99"/>
    <w:tblPr>
      <w:tblCellMar>
        <w:top w:w="0" w:type="dxa"/>
        <w:left w:w="108" w:type="dxa"/>
        <w:bottom w:w="0" w:type="dxa"/>
        <w:right w:w="108" w:type="dxa"/>
      </w:tblCellMar>
    </w:tblPr>
  </w:style>
  <w:style w:type="paragraph" w:styleId="2">
    <w:name w:val="Body Text 3"/>
    <w:basedOn w:val="1"/>
    <w:link w:val="112"/>
    <w:qFormat/>
    <w:uiPriority w:val="0"/>
    <w:pPr>
      <w:snapToGrid w:val="0"/>
      <w:spacing w:before="50" w:after="50"/>
    </w:pPr>
    <w:rPr>
      <w:rFonts w:hAnsi="宋体" w:eastAsia="仿宋_GB2312"/>
      <w:b/>
      <w:bCs/>
      <w:kern w:val="0"/>
      <w:sz w:val="24"/>
      <w:szCs w:val="20"/>
    </w:rPr>
  </w:style>
  <w:style w:type="paragraph" w:styleId="12">
    <w:name w:val="toc 7"/>
    <w:basedOn w:val="1"/>
    <w:next w:val="1"/>
    <w:qFormat/>
    <w:uiPriority w:val="39"/>
    <w:pPr>
      <w:ind w:left="2520" w:leftChars="1200"/>
    </w:pPr>
  </w:style>
  <w:style w:type="paragraph" w:styleId="13">
    <w:name w:val="List Number"/>
    <w:basedOn w:val="1"/>
    <w:qFormat/>
    <w:uiPriority w:val="0"/>
    <w:pPr>
      <w:widowControl/>
      <w:tabs>
        <w:tab w:val="left" w:pos="454"/>
        <w:tab w:val="left" w:pos="720"/>
        <w:tab w:val="left" w:pos="900"/>
      </w:tabs>
      <w:spacing w:afterLines="50"/>
      <w:ind w:left="908" w:hanging="284"/>
      <w:jc w:val="left"/>
    </w:pPr>
    <w:rPr>
      <w:kern w:val="0"/>
      <w:sz w:val="24"/>
      <w:szCs w:val="20"/>
    </w:rPr>
  </w:style>
  <w:style w:type="paragraph" w:styleId="14">
    <w:name w:val="Normal Indent"/>
    <w:basedOn w:val="1"/>
    <w:next w:val="1"/>
    <w:link w:val="117"/>
    <w:qFormat/>
    <w:uiPriority w:val="0"/>
    <w:pPr>
      <w:ind w:firstLine="420"/>
    </w:pPr>
    <w:rPr>
      <w:kern w:val="0"/>
      <w:sz w:val="20"/>
      <w:szCs w:val="20"/>
    </w:rPr>
  </w:style>
  <w:style w:type="paragraph" w:styleId="15">
    <w:name w:val="caption"/>
    <w:basedOn w:val="1"/>
    <w:next w:val="1"/>
    <w:qFormat/>
    <w:uiPriority w:val="0"/>
    <w:pPr>
      <w:spacing w:before="152" w:after="160"/>
    </w:pPr>
    <w:rPr>
      <w:rFonts w:ascii="Arial" w:hAnsi="Arial" w:eastAsia="黑体" w:cs="Arial"/>
      <w:sz w:val="20"/>
      <w:szCs w:val="20"/>
    </w:rPr>
  </w:style>
  <w:style w:type="paragraph" w:styleId="16">
    <w:name w:val="List Bullet"/>
    <w:basedOn w:val="1"/>
    <w:qFormat/>
    <w:uiPriority w:val="0"/>
    <w:pPr>
      <w:spacing w:line="360" w:lineRule="auto"/>
      <w:jc w:val="left"/>
    </w:pPr>
    <w:rPr>
      <w:rFonts w:ascii="宋体"/>
      <w:b/>
      <w:sz w:val="24"/>
    </w:rPr>
  </w:style>
  <w:style w:type="paragraph" w:styleId="17">
    <w:name w:val="Document Map"/>
    <w:basedOn w:val="1"/>
    <w:link w:val="142"/>
    <w:qFormat/>
    <w:uiPriority w:val="99"/>
    <w:pPr>
      <w:shd w:val="clear" w:color="auto" w:fill="000080"/>
    </w:pPr>
    <w:rPr>
      <w:kern w:val="0"/>
      <w:sz w:val="20"/>
    </w:rPr>
  </w:style>
  <w:style w:type="paragraph" w:styleId="18">
    <w:name w:val="toa heading"/>
    <w:basedOn w:val="1"/>
    <w:next w:val="1"/>
    <w:link w:val="172"/>
    <w:qFormat/>
    <w:uiPriority w:val="0"/>
    <w:pPr>
      <w:tabs>
        <w:tab w:val="left" w:pos="0"/>
      </w:tabs>
      <w:spacing w:before="120" w:line="360" w:lineRule="auto"/>
    </w:pPr>
    <w:rPr>
      <w:rFonts w:ascii="Arial" w:hAnsi="Arial"/>
      <w:kern w:val="0"/>
      <w:sz w:val="24"/>
      <w:szCs w:val="20"/>
    </w:rPr>
  </w:style>
  <w:style w:type="paragraph" w:styleId="19">
    <w:name w:val="annotation text"/>
    <w:basedOn w:val="1"/>
    <w:link w:val="69"/>
    <w:qFormat/>
    <w:uiPriority w:val="0"/>
    <w:pPr>
      <w:jc w:val="left"/>
    </w:pPr>
    <w:rPr>
      <w:kern w:val="0"/>
      <w:sz w:val="20"/>
    </w:rPr>
  </w:style>
  <w:style w:type="paragraph" w:styleId="20">
    <w:name w:val="Body Text"/>
    <w:basedOn w:val="1"/>
    <w:next w:val="1"/>
    <w:link w:val="120"/>
    <w:qFormat/>
    <w:uiPriority w:val="0"/>
    <w:pPr>
      <w:spacing w:after="120"/>
    </w:pPr>
    <w:rPr>
      <w:kern w:val="0"/>
      <w:sz w:val="28"/>
    </w:rPr>
  </w:style>
  <w:style w:type="paragraph" w:styleId="21">
    <w:name w:val="Body Text Indent"/>
    <w:basedOn w:val="1"/>
    <w:next w:val="1"/>
    <w:link w:val="191"/>
    <w:qFormat/>
    <w:uiPriority w:val="0"/>
    <w:pPr>
      <w:spacing w:line="200" w:lineRule="exact"/>
      <w:ind w:firstLine="301"/>
    </w:pPr>
    <w:rPr>
      <w:rFonts w:ascii="宋体" w:hAnsi="Courier New"/>
      <w:spacing w:val="-4"/>
      <w:kern w:val="0"/>
      <w:sz w:val="18"/>
      <w:szCs w:val="20"/>
    </w:rPr>
  </w:style>
  <w:style w:type="paragraph" w:styleId="22">
    <w:name w:val="List Number 3"/>
    <w:basedOn w:val="1"/>
    <w:qFormat/>
    <w:uiPriority w:val="0"/>
    <w:pPr>
      <w:tabs>
        <w:tab w:val="left" w:pos="1200"/>
      </w:tabs>
      <w:ind w:left="1200" w:hanging="360"/>
    </w:pPr>
  </w:style>
  <w:style w:type="paragraph" w:styleId="23">
    <w:name w:val="List 2"/>
    <w:basedOn w:val="1"/>
    <w:qFormat/>
    <w:uiPriority w:val="0"/>
    <w:pPr>
      <w:ind w:left="100" w:leftChars="200" w:hanging="200" w:hangingChars="200"/>
    </w:pPr>
    <w:rPr>
      <w:sz w:val="28"/>
    </w:rPr>
  </w:style>
  <w:style w:type="paragraph" w:styleId="24">
    <w:name w:val="List Bullet 2"/>
    <w:basedOn w:val="1"/>
    <w:qFormat/>
    <w:uiPriority w:val="0"/>
    <w:pPr>
      <w:tabs>
        <w:tab w:val="left" w:pos="840"/>
      </w:tabs>
      <w:spacing w:line="360" w:lineRule="auto"/>
      <w:ind w:left="989" w:leftChars="471" w:firstLine="2" w:firstLineChars="1"/>
    </w:pPr>
    <w:rPr>
      <w:rFonts w:ascii="宋体"/>
      <w:sz w:val="24"/>
    </w:rPr>
  </w:style>
  <w:style w:type="paragraph" w:styleId="25">
    <w:name w:val="HTML Address"/>
    <w:basedOn w:val="1"/>
    <w:qFormat/>
    <w:uiPriority w:val="0"/>
    <w:pPr>
      <w:widowControl/>
      <w:spacing w:before="100" w:beforeAutospacing="1" w:after="100" w:afterAutospacing="1"/>
      <w:jc w:val="left"/>
    </w:pPr>
    <w:rPr>
      <w:rFonts w:ascii="宋体" w:hAnsi="宋体" w:eastAsia="宋体" w:cs="宋体"/>
      <w:kern w:val="0"/>
      <w:sz w:val="24"/>
    </w:rPr>
  </w:style>
  <w:style w:type="paragraph" w:styleId="26">
    <w:name w:val="index 4"/>
    <w:basedOn w:val="1"/>
    <w:next w:val="1"/>
    <w:semiHidden/>
    <w:qFormat/>
    <w:uiPriority w:val="0"/>
    <w:pPr>
      <w:ind w:left="600" w:leftChars="600"/>
    </w:pPr>
  </w:style>
  <w:style w:type="paragraph" w:styleId="27">
    <w:name w:val="toc 5"/>
    <w:basedOn w:val="1"/>
    <w:next w:val="1"/>
    <w:qFormat/>
    <w:uiPriority w:val="39"/>
    <w:pPr>
      <w:ind w:left="1680" w:leftChars="800"/>
    </w:pPr>
  </w:style>
  <w:style w:type="paragraph" w:styleId="28">
    <w:name w:val="toc 3"/>
    <w:basedOn w:val="1"/>
    <w:next w:val="1"/>
    <w:qFormat/>
    <w:uiPriority w:val="39"/>
    <w:pPr>
      <w:ind w:left="840" w:leftChars="400"/>
    </w:pPr>
  </w:style>
  <w:style w:type="paragraph" w:styleId="29">
    <w:name w:val="Plain Text"/>
    <w:basedOn w:val="1"/>
    <w:next w:val="30"/>
    <w:link w:val="179"/>
    <w:qFormat/>
    <w:uiPriority w:val="0"/>
    <w:pPr>
      <w:spacing w:beforeLines="50" w:afterLines="50" w:line="400" w:lineRule="exact"/>
    </w:pPr>
    <w:rPr>
      <w:rFonts w:ascii="宋体" w:hAnsi="Courier New"/>
      <w:kern w:val="0"/>
      <w:sz w:val="24"/>
    </w:rPr>
  </w:style>
  <w:style w:type="paragraph" w:styleId="30">
    <w:name w:val="Date"/>
    <w:basedOn w:val="1"/>
    <w:next w:val="1"/>
    <w:link w:val="175"/>
    <w:qFormat/>
    <w:uiPriority w:val="0"/>
    <w:pPr>
      <w:ind w:left="2500" w:leftChars="2500"/>
    </w:pPr>
    <w:rPr>
      <w:rFonts w:eastAsia="楷体_GB2312"/>
      <w:kern w:val="0"/>
      <w:sz w:val="32"/>
      <w:szCs w:val="20"/>
    </w:rPr>
  </w:style>
  <w:style w:type="paragraph" w:styleId="31">
    <w:name w:val="toc 8"/>
    <w:basedOn w:val="1"/>
    <w:next w:val="1"/>
    <w:unhideWhenUsed/>
    <w:qFormat/>
    <w:uiPriority w:val="39"/>
    <w:pPr>
      <w:ind w:left="2940" w:leftChars="1400"/>
    </w:pPr>
    <w:rPr>
      <w:rFonts w:ascii="Calibri" w:hAnsi="Calibri"/>
      <w:szCs w:val="22"/>
    </w:rPr>
  </w:style>
  <w:style w:type="paragraph" w:styleId="32">
    <w:name w:val="Body Text Indent 2"/>
    <w:basedOn w:val="1"/>
    <w:link w:val="185"/>
    <w:qFormat/>
    <w:uiPriority w:val="0"/>
    <w:pPr>
      <w:snapToGrid w:val="0"/>
      <w:ind w:firstLine="542" w:firstLineChars="225"/>
    </w:pPr>
    <w:rPr>
      <w:rFonts w:ascii="仿宋_GB2312" w:hAnsi="宋体"/>
      <w:b/>
      <w:bCs/>
      <w:color w:val="000000"/>
      <w:kern w:val="0"/>
      <w:sz w:val="24"/>
    </w:rPr>
  </w:style>
  <w:style w:type="paragraph" w:styleId="33">
    <w:name w:val="Balloon Text"/>
    <w:basedOn w:val="1"/>
    <w:link w:val="137"/>
    <w:qFormat/>
    <w:uiPriority w:val="99"/>
    <w:rPr>
      <w:kern w:val="0"/>
      <w:sz w:val="18"/>
      <w:szCs w:val="18"/>
    </w:rPr>
  </w:style>
  <w:style w:type="paragraph" w:styleId="34">
    <w:name w:val="footer"/>
    <w:basedOn w:val="1"/>
    <w:link w:val="174"/>
    <w:qFormat/>
    <w:uiPriority w:val="99"/>
    <w:pPr>
      <w:tabs>
        <w:tab w:val="center" w:pos="4153"/>
        <w:tab w:val="right" w:pos="8306"/>
      </w:tabs>
      <w:snapToGrid w:val="0"/>
      <w:jc w:val="left"/>
    </w:pPr>
    <w:rPr>
      <w:rFonts w:eastAsia="黑体"/>
      <w:kern w:val="0"/>
      <w:sz w:val="18"/>
      <w:szCs w:val="18"/>
    </w:rPr>
  </w:style>
  <w:style w:type="paragraph" w:styleId="35">
    <w:name w:val="header"/>
    <w:basedOn w:val="1"/>
    <w:link w:val="208"/>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36">
    <w:name w:val="toc 1"/>
    <w:basedOn w:val="1"/>
    <w:next w:val="1"/>
    <w:qFormat/>
    <w:uiPriority w:val="39"/>
  </w:style>
  <w:style w:type="paragraph" w:styleId="37">
    <w:name w:val="toc 4"/>
    <w:basedOn w:val="1"/>
    <w:next w:val="1"/>
    <w:unhideWhenUsed/>
    <w:qFormat/>
    <w:uiPriority w:val="39"/>
    <w:pPr>
      <w:ind w:left="1260" w:leftChars="600"/>
    </w:pPr>
    <w:rPr>
      <w:rFonts w:ascii="Calibri" w:hAnsi="Calibri"/>
      <w:szCs w:val="22"/>
    </w:rPr>
  </w:style>
  <w:style w:type="paragraph" w:styleId="38">
    <w:name w:val="List"/>
    <w:basedOn w:val="1"/>
    <w:qFormat/>
    <w:uiPriority w:val="0"/>
    <w:pPr>
      <w:ind w:left="200" w:hanging="200" w:hangingChars="200"/>
    </w:pPr>
    <w:rPr>
      <w:sz w:val="28"/>
    </w:rPr>
  </w:style>
  <w:style w:type="paragraph" w:styleId="39">
    <w:name w:val="toc 6"/>
    <w:basedOn w:val="1"/>
    <w:next w:val="1"/>
    <w:unhideWhenUsed/>
    <w:qFormat/>
    <w:uiPriority w:val="39"/>
    <w:pPr>
      <w:ind w:left="2100" w:leftChars="1000"/>
    </w:pPr>
    <w:rPr>
      <w:rFonts w:ascii="Calibri" w:hAnsi="Calibri"/>
      <w:szCs w:val="22"/>
    </w:rPr>
  </w:style>
  <w:style w:type="paragraph" w:styleId="40">
    <w:name w:val="Body Text Indent 3"/>
    <w:basedOn w:val="1"/>
    <w:link w:val="94"/>
    <w:qFormat/>
    <w:uiPriority w:val="0"/>
    <w:pPr>
      <w:snapToGrid w:val="0"/>
      <w:ind w:firstLine="480" w:firstLineChars="200"/>
      <w:jc w:val="left"/>
    </w:pPr>
    <w:rPr>
      <w:rFonts w:ascii="仿宋_GB2312" w:hAnsi="宋体" w:eastAsia="仿宋_GB2312"/>
      <w:color w:val="000000"/>
      <w:kern w:val="0"/>
      <w:sz w:val="24"/>
    </w:rPr>
  </w:style>
  <w:style w:type="paragraph" w:styleId="41">
    <w:name w:val="table of figures"/>
    <w:basedOn w:val="1"/>
    <w:next w:val="1"/>
    <w:unhideWhenUsed/>
    <w:qFormat/>
    <w:uiPriority w:val="0"/>
    <w:pPr>
      <w:spacing w:line="360" w:lineRule="auto"/>
      <w:ind w:left="480" w:hanging="480"/>
      <w:jc w:val="left"/>
    </w:pPr>
    <w:rPr>
      <w:rFonts w:ascii="Calibri" w:hAnsi="Calibri" w:cs="Calibri"/>
      <w:smallCaps/>
      <w:sz w:val="20"/>
      <w:szCs w:val="20"/>
    </w:rPr>
  </w:style>
  <w:style w:type="paragraph" w:styleId="42">
    <w:name w:val="toc 2"/>
    <w:basedOn w:val="1"/>
    <w:next w:val="1"/>
    <w:qFormat/>
    <w:uiPriority w:val="39"/>
    <w:pPr>
      <w:ind w:left="420" w:leftChars="200"/>
    </w:pPr>
  </w:style>
  <w:style w:type="paragraph" w:styleId="43">
    <w:name w:val="toc 9"/>
    <w:basedOn w:val="1"/>
    <w:next w:val="1"/>
    <w:unhideWhenUsed/>
    <w:qFormat/>
    <w:uiPriority w:val="39"/>
    <w:pPr>
      <w:ind w:left="3360" w:leftChars="1600"/>
    </w:pPr>
    <w:rPr>
      <w:rFonts w:ascii="Calibri" w:hAnsi="Calibri"/>
      <w:szCs w:val="22"/>
    </w:rPr>
  </w:style>
  <w:style w:type="paragraph" w:styleId="44">
    <w:name w:val="Body Text 2"/>
    <w:basedOn w:val="1"/>
    <w:link w:val="217"/>
    <w:qFormat/>
    <w:uiPriority w:val="99"/>
    <w:pPr>
      <w:widowControl/>
      <w:snapToGrid w:val="0"/>
      <w:spacing w:before="50" w:afterLines="50" w:line="400" w:lineRule="exact"/>
      <w:jc w:val="left"/>
    </w:pPr>
    <w:rPr>
      <w:rFonts w:ascii="宋体" w:hAnsi="宋体"/>
      <w:color w:val="000000"/>
      <w:kern w:val="0"/>
      <w:sz w:val="24"/>
    </w:rPr>
  </w:style>
  <w:style w:type="paragraph" w:styleId="45">
    <w:name w:val="Normal (Web)"/>
    <w:basedOn w:val="1"/>
    <w:link w:val="77"/>
    <w:qFormat/>
    <w:uiPriority w:val="0"/>
    <w:pPr>
      <w:widowControl/>
      <w:spacing w:before="100" w:beforeAutospacing="1" w:after="100" w:afterAutospacing="1"/>
      <w:jc w:val="left"/>
    </w:pPr>
    <w:rPr>
      <w:rFonts w:ascii="宋体" w:hAnsi="宋体"/>
      <w:kern w:val="0"/>
      <w:sz w:val="24"/>
    </w:rPr>
  </w:style>
  <w:style w:type="paragraph" w:styleId="46">
    <w:name w:val="index 1"/>
    <w:basedOn w:val="1"/>
    <w:next w:val="1"/>
    <w:qFormat/>
    <w:uiPriority w:val="0"/>
    <w:pPr>
      <w:spacing w:line="360" w:lineRule="auto"/>
      <w:jc w:val="center"/>
    </w:pPr>
    <w:rPr>
      <w:rFonts w:ascii="宋体" w:hAnsi="宋体"/>
      <w:bCs/>
    </w:rPr>
  </w:style>
  <w:style w:type="paragraph" w:styleId="47">
    <w:name w:val="Title"/>
    <w:basedOn w:val="1"/>
    <w:next w:val="1"/>
    <w:link w:val="136"/>
    <w:qFormat/>
    <w:uiPriority w:val="0"/>
    <w:pPr>
      <w:spacing w:before="240" w:after="60"/>
      <w:jc w:val="center"/>
      <w:outlineLvl w:val="0"/>
    </w:pPr>
    <w:rPr>
      <w:rFonts w:ascii="Cambria" w:hAnsi="Cambria"/>
      <w:b/>
      <w:bCs/>
      <w:kern w:val="0"/>
      <w:sz w:val="32"/>
      <w:szCs w:val="32"/>
    </w:rPr>
  </w:style>
  <w:style w:type="paragraph" w:styleId="48">
    <w:name w:val="annotation subject"/>
    <w:basedOn w:val="19"/>
    <w:next w:val="19"/>
    <w:link w:val="238"/>
    <w:qFormat/>
    <w:uiPriority w:val="99"/>
    <w:rPr>
      <w:b/>
      <w:bCs/>
    </w:rPr>
  </w:style>
  <w:style w:type="paragraph" w:styleId="49">
    <w:name w:val="Body Text First Indent"/>
    <w:basedOn w:val="20"/>
    <w:next w:val="39"/>
    <w:link w:val="164"/>
    <w:qFormat/>
    <w:uiPriority w:val="0"/>
    <w:pPr>
      <w:spacing w:beforeLines="50" w:afterLines="50" w:line="360" w:lineRule="auto"/>
      <w:ind w:firstLine="480" w:firstLineChars="200"/>
    </w:pPr>
    <w:rPr>
      <w:sz w:val="24"/>
    </w:rPr>
  </w:style>
  <w:style w:type="paragraph" w:styleId="50">
    <w:name w:val="Body Text First Indent 2"/>
    <w:basedOn w:val="21"/>
    <w:next w:val="51"/>
    <w:unhideWhenUsed/>
    <w:qFormat/>
    <w:uiPriority w:val="99"/>
    <w:pPr>
      <w:ind w:firstLine="420"/>
      <w:jc w:val="left"/>
    </w:pPr>
    <w:rPr>
      <w:rFonts w:ascii="Times New Roman" w:hAnsi="Times New Roman"/>
      <w:sz w:val="24"/>
    </w:rPr>
  </w:style>
  <w:style w:type="paragraph" w:customStyle="1" w:styleId="51">
    <w:name w:val="xl53"/>
    <w:basedOn w:val="1"/>
    <w:next w:val="1"/>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ascii="宋体" w:hAnsi="宋体"/>
      <w:b/>
      <w:bCs/>
      <w:kern w:val="0"/>
      <w:sz w:val="20"/>
      <w:szCs w:val="20"/>
    </w:rPr>
  </w:style>
  <w:style w:type="table" w:styleId="53">
    <w:name w:val="Table Grid"/>
    <w:basedOn w:val="5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5">
    <w:name w:val="Strong"/>
    <w:qFormat/>
    <w:uiPriority w:val="0"/>
    <w:rPr>
      <w:b/>
      <w:bCs/>
      <w:color w:val="000000"/>
    </w:rPr>
  </w:style>
  <w:style w:type="character" w:styleId="56">
    <w:name w:val="page number"/>
    <w:qFormat/>
    <w:uiPriority w:val="0"/>
  </w:style>
  <w:style w:type="character" w:styleId="57">
    <w:name w:val="FollowedHyperlink"/>
    <w:qFormat/>
    <w:uiPriority w:val="99"/>
    <w:rPr>
      <w:color w:val="800080"/>
      <w:u w:val="single"/>
    </w:rPr>
  </w:style>
  <w:style w:type="character" w:styleId="58">
    <w:name w:val="Emphasis"/>
    <w:qFormat/>
    <w:uiPriority w:val="0"/>
  </w:style>
  <w:style w:type="character" w:styleId="59">
    <w:name w:val="Hyperlink"/>
    <w:qFormat/>
    <w:uiPriority w:val="99"/>
    <w:rPr>
      <w:color w:val="0000FF"/>
      <w:u w:val="single"/>
    </w:rPr>
  </w:style>
  <w:style w:type="character" w:styleId="60">
    <w:name w:val="annotation reference"/>
    <w:qFormat/>
    <w:uiPriority w:val="0"/>
    <w:rPr>
      <w:sz w:val="21"/>
      <w:szCs w:val="21"/>
    </w:rPr>
  </w:style>
  <w:style w:type="paragraph" w:customStyle="1" w:styleId="61">
    <w:name w:val="正文 "/>
    <w:basedOn w:val="1"/>
    <w:autoRedefine/>
    <w:qFormat/>
    <w:uiPriority w:val="0"/>
    <w:pPr>
      <w:adjustRightInd w:val="0"/>
      <w:spacing w:line="318" w:lineRule="atLeast"/>
      <w:ind w:left="369" w:firstLine="369"/>
      <w:textAlignment w:val="baseline"/>
    </w:pPr>
    <w:rPr>
      <w:rFonts w:hint="eastAsia" w:ascii="宋体" w:hAnsi="Times New Roman"/>
    </w:rPr>
  </w:style>
  <w:style w:type="paragraph" w:customStyle="1" w:styleId="6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3">
    <w:name w:val="[Normal]"/>
    <w:qFormat/>
    <w:uiPriority w:val="0"/>
    <w:rPr>
      <w:rFonts w:ascii="宋体" w:hAnsi="宋体" w:eastAsia="宋体" w:cs="Times New Roman"/>
      <w:sz w:val="24"/>
      <w:szCs w:val="22"/>
      <w:lang w:val="zh-CN" w:eastAsia="zh-CN" w:bidi="ar-SA"/>
    </w:rPr>
  </w:style>
  <w:style w:type="character" w:customStyle="1" w:styleId="64">
    <w:name w:val="标题 1 字符"/>
    <w:qFormat/>
    <w:uiPriority w:val="9"/>
    <w:rPr>
      <w:b/>
      <w:bCs/>
      <w:kern w:val="44"/>
      <w:sz w:val="30"/>
      <w:szCs w:val="44"/>
    </w:rPr>
  </w:style>
  <w:style w:type="character" w:customStyle="1" w:styleId="65">
    <w:name w:val="页眉 Char1"/>
    <w:semiHidden/>
    <w:qFormat/>
    <w:uiPriority w:val="99"/>
    <w:rPr>
      <w:rFonts w:ascii="Times New Roman" w:hAnsi="Times New Roman" w:eastAsia="宋体" w:cs="Times New Roman"/>
      <w:sz w:val="18"/>
      <w:szCs w:val="18"/>
    </w:rPr>
  </w:style>
  <w:style w:type="character" w:customStyle="1" w:styleId="66">
    <w:name w:val="H2 Char"/>
    <w:qFormat/>
    <w:uiPriority w:val="0"/>
    <w:rPr>
      <w:rFonts w:ascii="Cambria" w:hAnsi="Cambria" w:eastAsia="宋体" w:cs="Times New Roman"/>
      <w:b/>
      <w:bCs/>
      <w:sz w:val="32"/>
      <w:szCs w:val="32"/>
    </w:rPr>
  </w:style>
  <w:style w:type="character" w:customStyle="1" w:styleId="67">
    <w:name w:val="* table text Char"/>
    <w:link w:val="68"/>
    <w:qFormat/>
    <w:locked/>
    <w:uiPriority w:val="0"/>
    <w:rPr>
      <w:rFonts w:ascii="Arial" w:hAnsi="Arial" w:eastAsia="宋体"/>
      <w:color w:val="333333"/>
      <w:sz w:val="18"/>
      <w:szCs w:val="18"/>
      <w:lang w:bidi="ar-SA"/>
    </w:rPr>
  </w:style>
  <w:style w:type="paragraph" w:customStyle="1" w:styleId="68">
    <w:name w:val="* table text"/>
    <w:basedOn w:val="1"/>
    <w:link w:val="67"/>
    <w:qFormat/>
    <w:uiPriority w:val="0"/>
    <w:pPr>
      <w:widowControl/>
    </w:pPr>
    <w:rPr>
      <w:rFonts w:ascii="Arial" w:hAnsi="Arial"/>
      <w:color w:val="333333"/>
      <w:kern w:val="0"/>
      <w:sz w:val="18"/>
      <w:szCs w:val="18"/>
    </w:rPr>
  </w:style>
  <w:style w:type="character" w:customStyle="1" w:styleId="69">
    <w:name w:val="批注文字 字符"/>
    <w:link w:val="19"/>
    <w:qFormat/>
    <w:uiPriority w:val="0"/>
    <w:rPr>
      <w:szCs w:val="24"/>
    </w:rPr>
  </w:style>
  <w:style w:type="character" w:customStyle="1" w:styleId="70">
    <w:name w:val="Char Char12"/>
    <w:qFormat/>
    <w:uiPriority w:val="0"/>
    <w:rPr>
      <w:rFonts w:ascii="仿宋_GB2312" w:hAnsi="宋体" w:eastAsia="仿宋_GB2312"/>
      <w:color w:val="000000"/>
      <w:kern w:val="2"/>
      <w:sz w:val="24"/>
      <w:szCs w:val="24"/>
    </w:rPr>
  </w:style>
  <w:style w:type="character" w:customStyle="1" w:styleId="71">
    <w:name w:val="Char Char23"/>
    <w:qFormat/>
    <w:uiPriority w:val="0"/>
    <w:rPr>
      <w:b/>
      <w:bCs/>
      <w:kern w:val="2"/>
      <w:sz w:val="28"/>
      <w:szCs w:val="28"/>
    </w:rPr>
  </w:style>
  <w:style w:type="character" w:customStyle="1" w:styleId="72">
    <w:name w:val="Char Char27"/>
    <w:qFormat/>
    <w:uiPriority w:val="0"/>
    <w:rPr>
      <w:b/>
      <w:bCs/>
      <w:kern w:val="44"/>
      <w:sz w:val="44"/>
      <w:szCs w:val="44"/>
    </w:rPr>
  </w:style>
  <w:style w:type="character" w:customStyle="1" w:styleId="73">
    <w:name w:val="Char Char1111"/>
    <w:qFormat/>
    <w:uiPriority w:val="0"/>
    <w:rPr>
      <w:kern w:val="2"/>
      <w:sz w:val="28"/>
      <w:szCs w:val="24"/>
    </w:rPr>
  </w:style>
  <w:style w:type="character" w:customStyle="1" w:styleId="74">
    <w:name w:val="正文文本 字符"/>
    <w:qFormat/>
    <w:uiPriority w:val="0"/>
    <w:rPr>
      <w:rFonts w:ascii="Times New Roman" w:hAnsi="Times New Roman" w:eastAsia="宋体" w:cs="Times New Roman"/>
      <w:kern w:val="0"/>
      <w:sz w:val="28"/>
      <w:szCs w:val="24"/>
    </w:rPr>
  </w:style>
  <w:style w:type="character" w:customStyle="1" w:styleId="75">
    <w:name w:val="无格式标题 Char"/>
    <w:link w:val="76"/>
    <w:qFormat/>
    <w:uiPriority w:val="0"/>
    <w:rPr>
      <w:rFonts w:ascii="微软雅黑" w:hAnsi="微软雅黑" w:eastAsia="微软雅黑"/>
      <w:b/>
      <w:szCs w:val="24"/>
      <w:lang w:bidi="ar-SA"/>
    </w:rPr>
  </w:style>
  <w:style w:type="paragraph" w:customStyle="1" w:styleId="76">
    <w:name w:val="无格式标题"/>
    <w:basedOn w:val="1"/>
    <w:link w:val="75"/>
    <w:qFormat/>
    <w:uiPriority w:val="0"/>
    <w:pPr>
      <w:spacing w:line="360" w:lineRule="auto"/>
    </w:pPr>
    <w:rPr>
      <w:rFonts w:ascii="微软雅黑" w:hAnsi="微软雅黑" w:eastAsia="微软雅黑"/>
      <w:b/>
      <w:kern w:val="0"/>
      <w:sz w:val="20"/>
    </w:rPr>
  </w:style>
  <w:style w:type="character" w:customStyle="1" w:styleId="77">
    <w:name w:val="普通(网站) 字符"/>
    <w:link w:val="45"/>
    <w:qFormat/>
    <w:uiPriority w:val="0"/>
    <w:rPr>
      <w:rFonts w:ascii="宋体" w:hAnsi="宋体"/>
      <w:sz w:val="24"/>
      <w:szCs w:val="24"/>
    </w:rPr>
  </w:style>
  <w:style w:type="character" w:customStyle="1" w:styleId="78">
    <w:name w:val="标题 3 Char1"/>
    <w:qFormat/>
    <w:uiPriority w:val="0"/>
    <w:rPr>
      <w:rFonts w:ascii="Times New Roman" w:hAnsi="Times New Roman" w:eastAsia="宋体" w:cs="Times New Roman"/>
      <w:b/>
      <w:bCs/>
      <w:sz w:val="32"/>
      <w:szCs w:val="32"/>
    </w:rPr>
  </w:style>
  <w:style w:type="character" w:customStyle="1" w:styleId="79">
    <w:name w:val="Heading 9 Char"/>
    <w:semiHidden/>
    <w:qFormat/>
    <w:locked/>
    <w:uiPriority w:val="0"/>
    <w:rPr>
      <w:rFonts w:ascii="Cambria" w:hAnsi="Cambria" w:eastAsia="宋体" w:cs="Times New Roman"/>
      <w:kern w:val="0"/>
      <w:sz w:val="21"/>
      <w:szCs w:val="21"/>
    </w:rPr>
  </w:style>
  <w:style w:type="character" w:customStyle="1" w:styleId="80">
    <w:name w:val="中等深浅网格 2 字符"/>
    <w:link w:val="81"/>
    <w:qFormat/>
    <w:uiPriority w:val="1"/>
    <w:rPr>
      <w:kern w:val="2"/>
      <w:sz w:val="21"/>
      <w:szCs w:val="24"/>
      <w:lang w:val="en-US" w:eastAsia="zh-CN" w:bidi="ar-SA"/>
    </w:rPr>
  </w:style>
  <w:style w:type="paragraph" w:customStyle="1" w:styleId="81">
    <w:name w:val="中等深浅网格 21"/>
    <w:link w:val="80"/>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82">
    <w:name w:val="段落文本 Char"/>
    <w:link w:val="83"/>
    <w:qFormat/>
    <w:uiPriority w:val="0"/>
    <w:rPr>
      <w:rFonts w:eastAsia="宋体"/>
      <w:szCs w:val="21"/>
      <w:lang w:bidi="ar-SA"/>
    </w:rPr>
  </w:style>
  <w:style w:type="paragraph" w:customStyle="1" w:styleId="83">
    <w:name w:val="段落文本"/>
    <w:basedOn w:val="1"/>
    <w:link w:val="82"/>
    <w:qFormat/>
    <w:uiPriority w:val="0"/>
    <w:pPr>
      <w:spacing w:line="360" w:lineRule="auto"/>
      <w:ind w:firstLine="420"/>
    </w:pPr>
    <w:rPr>
      <w:kern w:val="0"/>
      <w:sz w:val="20"/>
      <w:szCs w:val="21"/>
    </w:rPr>
  </w:style>
  <w:style w:type="character" w:customStyle="1" w:styleId="84">
    <w:name w:val="批注文字 Char1"/>
    <w:semiHidden/>
    <w:qFormat/>
    <w:uiPriority w:val="99"/>
    <w:rPr>
      <w:rFonts w:ascii="Times New Roman" w:hAnsi="Times New Roman" w:eastAsia="宋体" w:cs="Times New Roman"/>
      <w:szCs w:val="24"/>
    </w:rPr>
  </w:style>
  <w:style w:type="character" w:customStyle="1" w:styleId="85">
    <w:name w:val="￥正文 Char Char"/>
    <w:qFormat/>
    <w:uiPriority w:val="0"/>
    <w:rPr>
      <w:rFonts w:ascii="Calibri" w:hAnsi="Calibri"/>
      <w:sz w:val="24"/>
    </w:rPr>
  </w:style>
  <w:style w:type="character" w:customStyle="1" w:styleId="86">
    <w:name w:val="Char Char5"/>
    <w:qFormat/>
    <w:uiPriority w:val="0"/>
    <w:rPr>
      <w:rFonts w:ascii="宋体" w:hAnsi="宋体"/>
      <w:sz w:val="24"/>
      <w:szCs w:val="24"/>
    </w:rPr>
  </w:style>
  <w:style w:type="character" w:customStyle="1" w:styleId="87">
    <w:name w:val="Heading 3 Char"/>
    <w:semiHidden/>
    <w:qFormat/>
    <w:locked/>
    <w:uiPriority w:val="0"/>
    <w:rPr>
      <w:rFonts w:cs="Times New Roman"/>
      <w:b/>
      <w:bCs/>
      <w:kern w:val="0"/>
      <w:sz w:val="32"/>
      <w:szCs w:val="32"/>
    </w:rPr>
  </w:style>
  <w:style w:type="character" w:customStyle="1" w:styleId="88">
    <w:name w:val="Char Char21"/>
    <w:qFormat/>
    <w:uiPriority w:val="0"/>
    <w:rPr>
      <w:b/>
      <w:bCs/>
      <w:kern w:val="2"/>
      <w:sz w:val="24"/>
      <w:szCs w:val="24"/>
    </w:rPr>
  </w:style>
  <w:style w:type="character" w:customStyle="1" w:styleId="89">
    <w:name w:val="正文样式 Char"/>
    <w:link w:val="90"/>
    <w:qFormat/>
    <w:uiPriority w:val="0"/>
    <w:rPr>
      <w:rFonts w:ascii="宋体" w:hAnsi="Calibri" w:eastAsia="宋体" w:cs="宋体"/>
      <w:sz w:val="24"/>
      <w:szCs w:val="24"/>
      <w:lang w:val="zh-CN" w:eastAsia="en-US" w:bidi="he-IL"/>
    </w:rPr>
  </w:style>
  <w:style w:type="paragraph" w:customStyle="1" w:styleId="90">
    <w:name w:val="正文样式"/>
    <w:basedOn w:val="1"/>
    <w:link w:val="89"/>
    <w:qFormat/>
    <w:uiPriority w:val="0"/>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91">
    <w:name w:val="Heading 8 Char"/>
    <w:semiHidden/>
    <w:qFormat/>
    <w:locked/>
    <w:uiPriority w:val="0"/>
    <w:rPr>
      <w:rFonts w:ascii="Cambria" w:hAnsi="Cambria" w:eastAsia="宋体" w:cs="Times New Roman"/>
      <w:kern w:val="0"/>
      <w:sz w:val="24"/>
      <w:szCs w:val="24"/>
    </w:rPr>
  </w:style>
  <w:style w:type="character" w:customStyle="1" w:styleId="92">
    <w:name w:val="内容文本 Char"/>
    <w:link w:val="93"/>
    <w:qFormat/>
    <w:uiPriority w:val="0"/>
    <w:rPr>
      <w:rFonts w:ascii="宋体" w:hAnsi="宋体" w:eastAsia="宋体"/>
      <w:kern w:val="2"/>
      <w:sz w:val="24"/>
      <w:szCs w:val="24"/>
      <w:lang w:bidi="ar-SA"/>
    </w:rPr>
  </w:style>
  <w:style w:type="paragraph" w:customStyle="1" w:styleId="93">
    <w:name w:val="内容文本"/>
    <w:basedOn w:val="1"/>
    <w:link w:val="92"/>
    <w:qFormat/>
    <w:uiPriority w:val="0"/>
    <w:pPr>
      <w:spacing w:line="360" w:lineRule="auto"/>
      <w:ind w:firstLine="480" w:firstLineChars="200"/>
    </w:pPr>
    <w:rPr>
      <w:rFonts w:ascii="宋体" w:hAnsi="宋体"/>
      <w:sz w:val="24"/>
    </w:rPr>
  </w:style>
  <w:style w:type="character" w:customStyle="1" w:styleId="94">
    <w:name w:val="正文文本缩进 3 字符"/>
    <w:link w:val="40"/>
    <w:qFormat/>
    <w:uiPriority w:val="0"/>
    <w:rPr>
      <w:rFonts w:ascii="仿宋_GB2312" w:hAnsi="宋体" w:eastAsia="仿宋_GB2312"/>
      <w:color w:val="000000"/>
      <w:sz w:val="24"/>
      <w:szCs w:val="24"/>
    </w:rPr>
  </w:style>
  <w:style w:type="character" w:customStyle="1" w:styleId="95">
    <w:name w:val="Char Char3"/>
    <w:qFormat/>
    <w:uiPriority w:val="0"/>
    <w:rPr>
      <w:kern w:val="2"/>
      <w:sz w:val="24"/>
      <w:szCs w:val="24"/>
    </w:rPr>
  </w:style>
  <w:style w:type="character" w:customStyle="1" w:styleId="96">
    <w:name w:val="Char Char8"/>
    <w:qFormat/>
    <w:uiPriority w:val="0"/>
    <w:rPr>
      <w:rFonts w:eastAsia="楷体_GB2312"/>
      <w:kern w:val="2"/>
      <w:sz w:val="32"/>
    </w:rPr>
  </w:style>
  <w:style w:type="character" w:customStyle="1" w:styleId="97">
    <w:name w:val="Char Char18"/>
    <w:qFormat/>
    <w:uiPriority w:val="0"/>
    <w:rPr>
      <w:rFonts w:eastAsia="黑体"/>
      <w:sz w:val="18"/>
      <w:szCs w:val="18"/>
    </w:rPr>
  </w:style>
  <w:style w:type="character" w:customStyle="1" w:styleId="98">
    <w:name w:val="h Char"/>
    <w:qFormat/>
    <w:uiPriority w:val="0"/>
    <w:rPr>
      <w:rFonts w:ascii="Times New Roman" w:hAnsi="Times New Roman" w:eastAsia="宋体" w:cs="Times New Roman"/>
      <w:sz w:val="18"/>
      <w:szCs w:val="18"/>
    </w:rPr>
  </w:style>
  <w:style w:type="character" w:customStyle="1" w:styleId="99">
    <w:name w:val="Heading 4 Char"/>
    <w:qFormat/>
    <w:locked/>
    <w:uiPriority w:val="0"/>
    <w:rPr>
      <w:rFonts w:cs="Times New Roman"/>
      <w:b/>
      <w:sz w:val="21"/>
    </w:rPr>
  </w:style>
  <w:style w:type="character" w:customStyle="1" w:styleId="100">
    <w:name w:val="zhenwen14"/>
    <w:qFormat/>
    <w:uiPriority w:val="0"/>
    <w:rPr>
      <w:color w:val="085994"/>
      <w:sz w:val="18"/>
      <w:szCs w:val="18"/>
    </w:rPr>
  </w:style>
  <w:style w:type="character" w:customStyle="1" w:styleId="101">
    <w:name w:val="中等深浅网格 1 - 强调文字颜色 2 Char"/>
    <w:link w:val="102"/>
    <w:qFormat/>
    <w:uiPriority w:val="0"/>
    <w:rPr>
      <w:rFonts w:ascii="Calibri" w:hAnsi="Calibri" w:eastAsia="宋体"/>
      <w:sz w:val="24"/>
      <w:lang w:bidi="ar-SA"/>
    </w:rPr>
  </w:style>
  <w:style w:type="paragraph" w:customStyle="1" w:styleId="102">
    <w:name w:val="中等深浅网格 1 - 强调文字颜色 21"/>
    <w:basedOn w:val="1"/>
    <w:link w:val="101"/>
    <w:qFormat/>
    <w:uiPriority w:val="0"/>
    <w:pPr>
      <w:spacing w:line="360" w:lineRule="auto"/>
      <w:ind w:firstLine="420" w:firstLineChars="200"/>
    </w:pPr>
    <w:rPr>
      <w:rFonts w:ascii="Calibri" w:hAnsi="Calibri"/>
      <w:kern w:val="0"/>
      <w:sz w:val="24"/>
      <w:szCs w:val="20"/>
    </w:rPr>
  </w:style>
  <w:style w:type="character" w:customStyle="1" w:styleId="103">
    <w:name w:val="标题 4 字符"/>
    <w:link w:val="6"/>
    <w:qFormat/>
    <w:uiPriority w:val="0"/>
    <w:rPr>
      <w:rFonts w:ascii="Arial" w:hAnsi="Arial" w:eastAsia="黑体" w:cs="Times New Roman"/>
      <w:b/>
      <w:bCs/>
      <w:kern w:val="0"/>
      <w:sz w:val="28"/>
      <w:szCs w:val="28"/>
    </w:rPr>
  </w:style>
  <w:style w:type="character" w:customStyle="1" w:styleId="104">
    <w:name w:val="Char Char2"/>
    <w:qFormat/>
    <w:uiPriority w:val="0"/>
    <w:rPr>
      <w:rFonts w:ascii="宋体" w:hAnsi="宋体"/>
      <w:color w:val="000000"/>
      <w:kern w:val="2"/>
      <w:sz w:val="24"/>
      <w:szCs w:val="24"/>
    </w:rPr>
  </w:style>
  <w:style w:type="character" w:customStyle="1" w:styleId="105">
    <w:name w:val="Char Char24"/>
    <w:qFormat/>
    <w:uiPriority w:val="0"/>
    <w:rPr>
      <w:rFonts w:ascii="Arial" w:hAnsi="Arial" w:eastAsia="黑体"/>
      <w:b/>
      <w:bCs/>
      <w:kern w:val="2"/>
      <w:sz w:val="28"/>
      <w:szCs w:val="28"/>
    </w:rPr>
  </w:style>
  <w:style w:type="character" w:customStyle="1" w:styleId="106">
    <w:name w:val="样式 (中文) 放宋 小四号"/>
    <w:qFormat/>
    <w:uiPriority w:val="0"/>
    <w:rPr>
      <w:rFonts w:eastAsia="仿宋_GB2312"/>
      <w:sz w:val="24"/>
    </w:rPr>
  </w:style>
  <w:style w:type="character" w:customStyle="1" w:styleId="107">
    <w:name w:val="日期 Char1"/>
    <w:semiHidden/>
    <w:qFormat/>
    <w:uiPriority w:val="99"/>
    <w:rPr>
      <w:rFonts w:ascii="Times New Roman" w:hAnsi="Times New Roman" w:eastAsia="宋体" w:cs="Times New Roman"/>
      <w:szCs w:val="24"/>
    </w:rPr>
  </w:style>
  <w:style w:type="character" w:customStyle="1" w:styleId="108">
    <w:name w:val="font31"/>
    <w:qFormat/>
    <w:uiPriority w:val="0"/>
    <w:rPr>
      <w:rFonts w:hint="default" w:ascii="Times New Roman" w:hAnsi="Times New Roman" w:cs="Times New Roman"/>
      <w:color w:val="000000"/>
      <w:sz w:val="20"/>
      <w:szCs w:val="20"/>
      <w:u w:val="none"/>
    </w:rPr>
  </w:style>
  <w:style w:type="character" w:customStyle="1" w:styleId="109">
    <w:name w:val="样式 加粗"/>
    <w:qFormat/>
    <w:uiPriority w:val="0"/>
    <w:rPr>
      <w:rFonts w:eastAsia="仿宋_GB2312"/>
      <w:b/>
      <w:bCs/>
      <w:sz w:val="24"/>
    </w:rPr>
  </w:style>
  <w:style w:type="character" w:customStyle="1" w:styleId="110">
    <w:name w:val="常规 Char"/>
    <w:link w:val="111"/>
    <w:qFormat/>
    <w:uiPriority w:val="0"/>
    <w:rPr>
      <w:rFonts w:eastAsia="宋体"/>
      <w:szCs w:val="21"/>
      <w:lang w:bidi="ar-SA"/>
    </w:rPr>
  </w:style>
  <w:style w:type="paragraph" w:customStyle="1" w:styleId="111">
    <w:name w:val="常规"/>
    <w:basedOn w:val="1"/>
    <w:link w:val="110"/>
    <w:qFormat/>
    <w:uiPriority w:val="0"/>
    <w:pPr>
      <w:spacing w:beforeLines="100" w:afterLines="100"/>
      <w:ind w:left="1134"/>
    </w:pPr>
    <w:rPr>
      <w:kern w:val="0"/>
      <w:sz w:val="20"/>
      <w:szCs w:val="21"/>
    </w:rPr>
  </w:style>
  <w:style w:type="character" w:customStyle="1" w:styleId="112">
    <w:name w:val="正文文本 3 字符"/>
    <w:link w:val="2"/>
    <w:qFormat/>
    <w:uiPriority w:val="0"/>
    <w:rPr>
      <w:rFonts w:hAnsi="宋体" w:eastAsia="仿宋_GB2312"/>
      <w:b/>
      <w:bCs/>
      <w:sz w:val="24"/>
    </w:rPr>
  </w:style>
  <w:style w:type="character" w:customStyle="1" w:styleId="113">
    <w:name w:val="普通 (Web) Char1"/>
    <w:qFormat/>
    <w:locked/>
    <w:uiPriority w:val="0"/>
    <w:rPr>
      <w:rFonts w:ascii="宋体" w:hAnsi="宋体" w:eastAsia="宋体"/>
      <w:sz w:val="24"/>
      <w:szCs w:val="24"/>
      <w:lang w:val="en-US" w:eastAsia="zh-CN" w:bidi="ar-SA"/>
    </w:rPr>
  </w:style>
  <w:style w:type="character" w:customStyle="1" w:styleId="114">
    <w:name w:val="Heading 2 Char"/>
    <w:semiHidden/>
    <w:qFormat/>
    <w:locked/>
    <w:uiPriority w:val="0"/>
    <w:rPr>
      <w:rFonts w:ascii="Cambria" w:hAnsi="Cambria" w:eastAsia="宋体" w:cs="Times New Roman"/>
      <w:b/>
      <w:bCs/>
      <w:kern w:val="0"/>
      <w:sz w:val="32"/>
      <w:szCs w:val="32"/>
    </w:rPr>
  </w:style>
  <w:style w:type="character" w:customStyle="1" w:styleId="115">
    <w:name w:val="Body Text Char"/>
    <w:semiHidden/>
    <w:qFormat/>
    <w:locked/>
    <w:uiPriority w:val="0"/>
    <w:rPr>
      <w:rFonts w:cs="Times New Roman"/>
      <w:kern w:val="0"/>
      <w:sz w:val="21"/>
      <w:szCs w:val="21"/>
    </w:rPr>
  </w:style>
  <w:style w:type="character" w:customStyle="1" w:styleId="116">
    <w:name w:val="正文首行缩进1 Char"/>
    <w:qFormat/>
    <w:uiPriority w:val="0"/>
    <w:rPr>
      <w:rFonts w:ascii="Arial" w:hAnsi="Arial" w:eastAsia="宋体"/>
      <w:sz w:val="24"/>
      <w:szCs w:val="21"/>
      <w:lang w:bidi="ar-SA"/>
    </w:rPr>
  </w:style>
  <w:style w:type="character" w:customStyle="1" w:styleId="117">
    <w:name w:val="正文缩进 字符1"/>
    <w:link w:val="14"/>
    <w:qFormat/>
    <w:uiPriority w:val="0"/>
    <w:rPr>
      <w:rFonts w:eastAsia="宋体"/>
    </w:rPr>
  </w:style>
  <w:style w:type="character" w:customStyle="1" w:styleId="118">
    <w:name w:val="标题 7 字符"/>
    <w:link w:val="9"/>
    <w:qFormat/>
    <w:uiPriority w:val="0"/>
    <w:rPr>
      <w:rFonts w:ascii="Times New Roman" w:hAnsi="Times New Roman" w:eastAsia="宋体" w:cs="Times New Roman"/>
      <w:b/>
      <w:bCs/>
      <w:kern w:val="0"/>
      <w:sz w:val="24"/>
      <w:szCs w:val="24"/>
    </w:rPr>
  </w:style>
  <w:style w:type="character" w:customStyle="1" w:styleId="119">
    <w:name w:val="Char Char6"/>
    <w:qFormat/>
    <w:uiPriority w:val="0"/>
    <w:rPr>
      <w:rFonts w:ascii="Cambria" w:hAnsi="Cambria"/>
      <w:b/>
      <w:bCs/>
      <w:kern w:val="2"/>
      <w:sz w:val="32"/>
      <w:szCs w:val="32"/>
    </w:rPr>
  </w:style>
  <w:style w:type="character" w:customStyle="1" w:styleId="120">
    <w:name w:val="正文文本 字符1"/>
    <w:link w:val="20"/>
    <w:qFormat/>
    <w:uiPriority w:val="0"/>
    <w:rPr>
      <w:rFonts w:ascii="Times New Roman" w:hAnsi="Times New Roman" w:eastAsia="宋体" w:cs="Times New Roman"/>
      <w:kern w:val="0"/>
      <w:sz w:val="28"/>
      <w:szCs w:val="24"/>
    </w:rPr>
  </w:style>
  <w:style w:type="character" w:customStyle="1" w:styleId="121">
    <w:name w:val="style171"/>
    <w:qFormat/>
    <w:uiPriority w:val="0"/>
    <w:rPr>
      <w:sz w:val="20"/>
      <w:szCs w:val="20"/>
    </w:rPr>
  </w:style>
  <w:style w:type="character" w:customStyle="1" w:styleId="122">
    <w:name w:val="标题 1 字符1"/>
    <w:link w:val="3"/>
    <w:qFormat/>
    <w:uiPriority w:val="9"/>
    <w:rPr>
      <w:rFonts w:ascii="Times New Roman" w:hAnsi="Times New Roman" w:eastAsia="宋体" w:cs="Times New Roman"/>
      <w:b/>
      <w:bCs/>
      <w:kern w:val="44"/>
      <w:sz w:val="44"/>
      <w:szCs w:val="44"/>
    </w:rPr>
  </w:style>
  <w:style w:type="character" w:customStyle="1" w:styleId="123">
    <w:name w:val="newscontent1"/>
    <w:qFormat/>
    <w:uiPriority w:val="0"/>
    <w:rPr>
      <w:rFonts w:hint="default" w:ascii="Verdana" w:hAnsi="Verdana"/>
      <w:color w:val="333333"/>
      <w:sz w:val="18"/>
      <w:szCs w:val="18"/>
    </w:rPr>
  </w:style>
  <w:style w:type="character" w:customStyle="1" w:styleId="124">
    <w:name w:val="H1 Char"/>
    <w:qFormat/>
    <w:uiPriority w:val="0"/>
    <w:rPr>
      <w:rFonts w:ascii="Times New Roman" w:hAnsi="Times New Roman" w:eastAsia="宋体" w:cs="Times New Roman"/>
      <w:b/>
      <w:bCs/>
      <w:kern w:val="44"/>
      <w:sz w:val="44"/>
      <w:szCs w:val="44"/>
    </w:rPr>
  </w:style>
  <w:style w:type="character" w:customStyle="1" w:styleId="125">
    <w:name w:val="标题 2 字符"/>
    <w:link w:val="4"/>
    <w:qFormat/>
    <w:uiPriority w:val="9"/>
    <w:rPr>
      <w:rFonts w:ascii="Arial" w:hAnsi="Arial" w:eastAsia="黑体" w:cs="Times New Roman"/>
      <w:b/>
      <w:bCs/>
      <w:kern w:val="0"/>
      <w:sz w:val="32"/>
      <w:szCs w:val="32"/>
    </w:rPr>
  </w:style>
  <w:style w:type="character" w:customStyle="1" w:styleId="126">
    <w:name w:val="style211"/>
    <w:qFormat/>
    <w:uiPriority w:val="0"/>
    <w:rPr>
      <w:color w:val="0000FF"/>
    </w:rPr>
  </w:style>
  <w:style w:type="character" w:customStyle="1" w:styleId="127">
    <w:name w:val="con-all2"/>
    <w:qFormat/>
    <w:uiPriority w:val="0"/>
  </w:style>
  <w:style w:type="character" w:customStyle="1" w:styleId="128">
    <w:name w:val="!标题3 Ctrl+3 Char"/>
    <w:link w:val="129"/>
    <w:qFormat/>
    <w:locked/>
    <w:uiPriority w:val="0"/>
    <w:rPr>
      <w:rFonts w:ascii="Arial" w:hAnsi="Arial" w:eastAsia="黑体"/>
      <w:b/>
      <w:kern w:val="2"/>
      <w:sz w:val="32"/>
      <w:szCs w:val="32"/>
    </w:rPr>
  </w:style>
  <w:style w:type="paragraph" w:customStyle="1" w:styleId="129">
    <w:name w:val="!标题3 Ctrl+3"/>
    <w:basedOn w:val="5"/>
    <w:next w:val="1"/>
    <w:link w:val="128"/>
    <w:qFormat/>
    <w:uiPriority w:val="0"/>
    <w:pPr>
      <w:keepNext w:val="0"/>
      <w:keepLines w:val="0"/>
      <w:tabs>
        <w:tab w:val="left" w:pos="709"/>
      </w:tabs>
      <w:adjustRightInd w:val="0"/>
      <w:snapToGrid w:val="0"/>
      <w:spacing w:beforeLines="75" w:afterLines="25" w:line="360" w:lineRule="auto"/>
      <w:ind w:left="709" w:hanging="709"/>
      <w:jc w:val="both"/>
    </w:pPr>
    <w:rPr>
      <w:rFonts w:ascii="Arial" w:hAnsi="Arial" w:eastAsia="黑体"/>
      <w:bCs w:val="0"/>
      <w:kern w:val="2"/>
    </w:rPr>
  </w:style>
  <w:style w:type="character" w:customStyle="1" w:styleId="130">
    <w:name w:val="font61"/>
    <w:qFormat/>
    <w:uiPriority w:val="0"/>
    <w:rPr>
      <w:rFonts w:hint="eastAsia" w:ascii="宋体" w:hAnsi="宋体" w:eastAsia="宋体" w:cs="宋体"/>
      <w:color w:val="000000"/>
      <w:sz w:val="24"/>
      <w:szCs w:val="24"/>
      <w:u w:val="none"/>
    </w:rPr>
  </w:style>
  <w:style w:type="character" w:customStyle="1" w:styleId="131">
    <w:name w:val="正文文本缩进 Char1"/>
    <w:semiHidden/>
    <w:qFormat/>
    <w:uiPriority w:val="99"/>
    <w:rPr>
      <w:rFonts w:ascii="Times New Roman" w:hAnsi="Times New Roman" w:eastAsia="宋体" w:cs="Times New Roman"/>
      <w:szCs w:val="24"/>
    </w:rPr>
  </w:style>
  <w:style w:type="character" w:customStyle="1" w:styleId="132">
    <w:name w:val="Char Char25"/>
    <w:qFormat/>
    <w:uiPriority w:val="0"/>
    <w:rPr>
      <w:rFonts w:eastAsia="楷体_GB2312"/>
      <w:b/>
      <w:bCs/>
      <w:kern w:val="2"/>
      <w:sz w:val="32"/>
      <w:szCs w:val="32"/>
    </w:rPr>
  </w:style>
  <w:style w:type="character" w:customStyle="1" w:styleId="133">
    <w:name w:val="Char Char14"/>
    <w:qFormat/>
    <w:uiPriority w:val="0"/>
    <w:rPr>
      <w:kern w:val="2"/>
      <w:sz w:val="18"/>
      <w:szCs w:val="18"/>
    </w:rPr>
  </w:style>
  <w:style w:type="character" w:customStyle="1" w:styleId="134">
    <w:name w:val="unnamed21"/>
    <w:qFormat/>
    <w:uiPriority w:val="0"/>
    <w:rPr>
      <w:b/>
      <w:bCs/>
      <w:spacing w:val="330"/>
      <w:sz w:val="21"/>
      <w:szCs w:val="21"/>
    </w:rPr>
  </w:style>
  <w:style w:type="character" w:customStyle="1" w:styleId="135">
    <w:name w:val="body1"/>
    <w:qFormat/>
    <w:uiPriority w:val="0"/>
    <w:rPr>
      <w:rFonts w:hint="default"/>
      <w:sz w:val="18"/>
    </w:rPr>
  </w:style>
  <w:style w:type="character" w:customStyle="1" w:styleId="136">
    <w:name w:val="标题 字符"/>
    <w:link w:val="47"/>
    <w:qFormat/>
    <w:uiPriority w:val="0"/>
    <w:rPr>
      <w:rFonts w:ascii="Cambria" w:hAnsi="Cambria"/>
      <w:b/>
      <w:bCs/>
      <w:sz w:val="32"/>
      <w:szCs w:val="32"/>
    </w:rPr>
  </w:style>
  <w:style w:type="character" w:customStyle="1" w:styleId="137">
    <w:name w:val="批注框文本 字符"/>
    <w:link w:val="33"/>
    <w:qFormat/>
    <w:uiPriority w:val="99"/>
    <w:rPr>
      <w:sz w:val="18"/>
      <w:szCs w:val="18"/>
    </w:rPr>
  </w:style>
  <w:style w:type="character" w:customStyle="1" w:styleId="138">
    <w:name w:val="表格文本 Char Char"/>
    <w:link w:val="139"/>
    <w:qFormat/>
    <w:uiPriority w:val="0"/>
    <w:rPr>
      <w:rFonts w:ascii="Arial" w:hAnsi="Arial"/>
      <w:kern w:val="2"/>
      <w:sz w:val="21"/>
      <w:szCs w:val="21"/>
      <w:lang w:val="en-US" w:eastAsia="zh-CN" w:bidi="ar-SA"/>
    </w:rPr>
  </w:style>
  <w:style w:type="paragraph" w:customStyle="1" w:styleId="139">
    <w:name w:val="表格文本 Char"/>
    <w:link w:val="138"/>
    <w:qFormat/>
    <w:uiPriority w:val="0"/>
    <w:pPr>
      <w:tabs>
        <w:tab w:val="decimal" w:pos="0"/>
      </w:tabs>
    </w:pPr>
    <w:rPr>
      <w:rFonts w:ascii="Arial" w:hAnsi="Arial" w:eastAsia="宋体" w:cs="Times New Roman"/>
      <w:kern w:val="2"/>
      <w:sz w:val="21"/>
      <w:szCs w:val="21"/>
      <w:lang w:val="en-US" w:eastAsia="zh-CN" w:bidi="ar-SA"/>
    </w:rPr>
  </w:style>
  <w:style w:type="character" w:customStyle="1" w:styleId="140">
    <w:name w:val="批注主题 Char1"/>
    <w:semiHidden/>
    <w:qFormat/>
    <w:uiPriority w:val="99"/>
    <w:rPr>
      <w:rFonts w:ascii="Times New Roman" w:hAnsi="Times New Roman" w:eastAsia="宋体" w:cs="Times New Roman"/>
      <w:b/>
      <w:bCs/>
      <w:szCs w:val="24"/>
    </w:rPr>
  </w:style>
  <w:style w:type="character" w:customStyle="1" w:styleId="141">
    <w:name w:val="页脚 Char1"/>
    <w:semiHidden/>
    <w:qFormat/>
    <w:uiPriority w:val="99"/>
    <w:rPr>
      <w:rFonts w:ascii="Times New Roman" w:hAnsi="Times New Roman" w:eastAsia="宋体" w:cs="Times New Roman"/>
      <w:sz w:val="18"/>
      <w:szCs w:val="18"/>
    </w:rPr>
  </w:style>
  <w:style w:type="character" w:customStyle="1" w:styleId="142">
    <w:name w:val="文档结构图 字符"/>
    <w:link w:val="17"/>
    <w:qFormat/>
    <w:uiPriority w:val="99"/>
    <w:rPr>
      <w:szCs w:val="24"/>
      <w:shd w:val="clear" w:color="auto" w:fill="000080"/>
    </w:rPr>
  </w:style>
  <w:style w:type="character" w:customStyle="1" w:styleId="143">
    <w:name w:val="Heading 5 Char"/>
    <w:semiHidden/>
    <w:qFormat/>
    <w:locked/>
    <w:uiPriority w:val="0"/>
    <w:rPr>
      <w:rFonts w:cs="Times New Roman"/>
      <w:b/>
      <w:bCs/>
      <w:kern w:val="0"/>
      <w:sz w:val="28"/>
      <w:szCs w:val="28"/>
    </w:rPr>
  </w:style>
  <w:style w:type="character" w:customStyle="1" w:styleId="144">
    <w:name w:val="Char Char26"/>
    <w:qFormat/>
    <w:uiPriority w:val="0"/>
    <w:rPr>
      <w:rFonts w:ascii="Arial" w:hAnsi="Arial" w:eastAsia="黑体"/>
      <w:b/>
      <w:bCs/>
      <w:kern w:val="2"/>
      <w:sz w:val="32"/>
      <w:szCs w:val="32"/>
    </w:rPr>
  </w:style>
  <w:style w:type="character" w:customStyle="1" w:styleId="145">
    <w:name w:val="正文文本 2 Char1"/>
    <w:semiHidden/>
    <w:qFormat/>
    <w:uiPriority w:val="99"/>
    <w:rPr>
      <w:rFonts w:ascii="Times New Roman" w:hAnsi="Times New Roman" w:eastAsia="宋体" w:cs="Times New Roman"/>
      <w:szCs w:val="24"/>
    </w:rPr>
  </w:style>
  <w:style w:type="character" w:customStyle="1" w:styleId="146">
    <w:name w:val="font41"/>
    <w:basedOn w:val="54"/>
    <w:qFormat/>
    <w:uiPriority w:val="0"/>
    <w:rPr>
      <w:rFonts w:hint="eastAsia" w:ascii="宋体" w:hAnsi="宋体" w:eastAsia="宋体" w:cs="宋体"/>
      <w:color w:val="000000"/>
      <w:sz w:val="20"/>
      <w:szCs w:val="20"/>
      <w:u w:val="none"/>
    </w:rPr>
  </w:style>
  <w:style w:type="character" w:customStyle="1" w:styleId="147">
    <w:name w:val="标题 8 字符"/>
    <w:link w:val="10"/>
    <w:qFormat/>
    <w:uiPriority w:val="0"/>
    <w:rPr>
      <w:rFonts w:ascii="Arial" w:hAnsi="Arial" w:eastAsia="黑体" w:cs="Times New Roman"/>
      <w:kern w:val="0"/>
      <w:sz w:val="24"/>
      <w:szCs w:val="24"/>
    </w:rPr>
  </w:style>
  <w:style w:type="character" w:customStyle="1" w:styleId="148">
    <w:name w:val="BOD 4 Char Char"/>
    <w:qFormat/>
    <w:uiPriority w:val="0"/>
    <w:rPr>
      <w:rFonts w:ascii="Arial" w:hAnsi="Arial" w:eastAsia="黑体" w:cs="Times New Roman"/>
      <w:b/>
      <w:bCs/>
      <w:sz w:val="24"/>
      <w:szCs w:val="24"/>
    </w:rPr>
  </w:style>
  <w:style w:type="character" w:customStyle="1" w:styleId="149">
    <w:name w:val="Heading 1 Char"/>
    <w:qFormat/>
    <w:locked/>
    <w:uiPriority w:val="0"/>
    <w:rPr>
      <w:rFonts w:cs="Times New Roman"/>
      <w:b/>
      <w:bCs/>
      <w:kern w:val="44"/>
      <w:sz w:val="44"/>
      <w:szCs w:val="44"/>
    </w:rPr>
  </w:style>
  <w:style w:type="character" w:customStyle="1" w:styleId="150">
    <w:name w:val="txt1"/>
    <w:qFormat/>
    <w:uiPriority w:val="0"/>
    <w:rPr>
      <w:rFonts w:hint="default" w:ascii="ˎ̥" w:hAnsi="ˎ̥"/>
      <w:sz w:val="18"/>
      <w:szCs w:val="18"/>
    </w:rPr>
  </w:style>
  <w:style w:type="character" w:customStyle="1" w:styleId="151">
    <w:name w:val="Plain Text Char"/>
    <w:semiHidden/>
    <w:qFormat/>
    <w:locked/>
    <w:uiPriority w:val="0"/>
    <w:rPr>
      <w:rFonts w:ascii="宋体" w:hAnsi="Courier New" w:cs="Courier New"/>
      <w:kern w:val="0"/>
      <w:sz w:val="21"/>
      <w:szCs w:val="21"/>
    </w:rPr>
  </w:style>
  <w:style w:type="character" w:customStyle="1" w:styleId="152">
    <w:name w:val="Char Char1"/>
    <w:qFormat/>
    <w:uiPriority w:val="0"/>
    <w:rPr>
      <w:kern w:val="2"/>
      <w:sz w:val="21"/>
      <w:szCs w:val="24"/>
    </w:rPr>
  </w:style>
  <w:style w:type="character" w:customStyle="1" w:styleId="153">
    <w:name w:val="标题 5 字符"/>
    <w:link w:val="7"/>
    <w:qFormat/>
    <w:uiPriority w:val="9"/>
    <w:rPr>
      <w:rFonts w:ascii="Times New Roman" w:hAnsi="Times New Roman" w:eastAsia="宋体" w:cs="Times New Roman"/>
      <w:b/>
      <w:bCs/>
      <w:kern w:val="0"/>
      <w:sz w:val="28"/>
      <w:szCs w:val="28"/>
    </w:rPr>
  </w:style>
  <w:style w:type="character" w:customStyle="1" w:styleId="154">
    <w:name w:val="￥正文 Char"/>
    <w:link w:val="155"/>
    <w:qFormat/>
    <w:uiPriority w:val="0"/>
    <w:rPr>
      <w:rFonts w:ascii="Calibri" w:hAnsi="Calibri" w:eastAsia="宋体"/>
      <w:sz w:val="24"/>
      <w:lang w:bidi="ar-SA"/>
    </w:rPr>
  </w:style>
  <w:style w:type="paragraph" w:customStyle="1" w:styleId="155">
    <w:name w:val="￥正文"/>
    <w:basedOn w:val="1"/>
    <w:link w:val="154"/>
    <w:qFormat/>
    <w:uiPriority w:val="0"/>
    <w:pPr>
      <w:spacing w:line="360" w:lineRule="auto"/>
      <w:ind w:firstLine="200" w:firstLineChars="200"/>
    </w:pPr>
    <w:rPr>
      <w:rFonts w:ascii="Calibri" w:hAnsi="Calibri"/>
      <w:kern w:val="0"/>
      <w:sz w:val="24"/>
      <w:szCs w:val="20"/>
    </w:rPr>
  </w:style>
  <w:style w:type="character" w:customStyle="1" w:styleId="156">
    <w:name w:val="Char Char22"/>
    <w:qFormat/>
    <w:uiPriority w:val="0"/>
    <w:rPr>
      <w:rFonts w:ascii="Arial" w:hAnsi="Arial" w:eastAsia="黑体"/>
      <w:b/>
      <w:bCs/>
      <w:kern w:val="2"/>
      <w:sz w:val="24"/>
      <w:szCs w:val="24"/>
    </w:rPr>
  </w:style>
  <w:style w:type="character" w:customStyle="1" w:styleId="157">
    <w:name w:val="标题 1 Char Char"/>
    <w:qFormat/>
    <w:uiPriority w:val="0"/>
    <w:rPr>
      <w:rFonts w:eastAsia="宋体"/>
      <w:b/>
      <w:spacing w:val="-2"/>
      <w:sz w:val="24"/>
      <w:lang w:val="en-US" w:eastAsia="zh-CN" w:bidi="ar-SA"/>
    </w:rPr>
  </w:style>
  <w:style w:type="character" w:customStyle="1" w:styleId="158">
    <w:name w:val="Char Char20"/>
    <w:qFormat/>
    <w:uiPriority w:val="0"/>
    <w:rPr>
      <w:rFonts w:ascii="Arial" w:hAnsi="Arial" w:eastAsia="黑体"/>
      <w:kern w:val="2"/>
      <w:sz w:val="24"/>
      <w:szCs w:val="24"/>
    </w:rPr>
  </w:style>
  <w:style w:type="character" w:customStyle="1" w:styleId="159">
    <w:name w:val="wj1"/>
    <w:qFormat/>
    <w:uiPriority w:val="0"/>
    <w:rPr>
      <w:color w:val="000000"/>
      <w:sz w:val="18"/>
      <w:szCs w:val="18"/>
      <w:u w:val="none"/>
    </w:rPr>
  </w:style>
  <w:style w:type="character" w:customStyle="1" w:styleId="160">
    <w:name w:val="font91"/>
    <w:qFormat/>
    <w:uiPriority w:val="0"/>
    <w:rPr>
      <w:rFonts w:hint="default" w:ascii="Arial" w:hAnsi="Arial" w:cs="Arial"/>
      <w:b/>
      <w:color w:val="auto"/>
      <w:sz w:val="20"/>
      <w:szCs w:val="20"/>
      <w:u w:val="none"/>
    </w:rPr>
  </w:style>
  <w:style w:type="character" w:customStyle="1" w:styleId="161">
    <w:name w:val="Char Char17"/>
    <w:qFormat/>
    <w:uiPriority w:val="0"/>
    <w:rPr>
      <w:rFonts w:ascii="仿宋_GB2312" w:hAnsi="宋体" w:cs="Arial"/>
      <w:b/>
      <w:bCs/>
      <w:color w:val="000000"/>
      <w:kern w:val="2"/>
      <w:sz w:val="24"/>
      <w:szCs w:val="24"/>
    </w:rPr>
  </w:style>
  <w:style w:type="character" w:customStyle="1" w:styleId="162">
    <w:name w:val="font11"/>
    <w:basedOn w:val="54"/>
    <w:qFormat/>
    <w:uiPriority w:val="0"/>
    <w:rPr>
      <w:rFonts w:hint="default" w:ascii="Times New Roman" w:hAnsi="Times New Roman" w:cs="Times New Roman"/>
      <w:color w:val="000000"/>
      <w:sz w:val="20"/>
      <w:szCs w:val="20"/>
      <w:u w:val="none"/>
    </w:rPr>
  </w:style>
  <w:style w:type="character" w:customStyle="1" w:styleId="163">
    <w:name w:val="Normal Indent Char"/>
    <w:qFormat/>
    <w:locked/>
    <w:uiPriority w:val="0"/>
    <w:rPr>
      <w:sz w:val="20"/>
    </w:rPr>
  </w:style>
  <w:style w:type="character" w:customStyle="1" w:styleId="164">
    <w:name w:val="正文首行缩进 字符"/>
    <w:link w:val="49"/>
    <w:qFormat/>
    <w:uiPriority w:val="0"/>
    <w:rPr>
      <w:sz w:val="24"/>
      <w:szCs w:val="24"/>
    </w:rPr>
  </w:style>
  <w:style w:type="character" w:customStyle="1" w:styleId="165">
    <w:name w:val="正文文本 3 Char1"/>
    <w:semiHidden/>
    <w:qFormat/>
    <w:uiPriority w:val="99"/>
    <w:rPr>
      <w:rFonts w:ascii="Times New Roman" w:hAnsi="Times New Roman" w:eastAsia="宋体" w:cs="Times New Roman"/>
      <w:sz w:val="16"/>
      <w:szCs w:val="16"/>
    </w:rPr>
  </w:style>
  <w:style w:type="character" w:customStyle="1" w:styleId="166">
    <w:name w:val="表正文 Char"/>
    <w:qFormat/>
    <w:uiPriority w:val="0"/>
    <w:rPr>
      <w:rFonts w:ascii="Times New Roman" w:hAnsi="Times New Roman" w:eastAsia="宋体" w:cs="Times New Roman"/>
      <w:szCs w:val="24"/>
    </w:rPr>
  </w:style>
  <w:style w:type="character" w:customStyle="1" w:styleId="167">
    <w:name w:val="Header Char"/>
    <w:qFormat/>
    <w:locked/>
    <w:uiPriority w:val="0"/>
    <w:rPr>
      <w:rFonts w:ascii="Calibri" w:hAnsi="Calibri" w:eastAsia="宋体" w:cs="Times New Roman"/>
      <w:sz w:val="18"/>
      <w:szCs w:val="18"/>
    </w:rPr>
  </w:style>
  <w:style w:type="character" w:customStyle="1" w:styleId="168">
    <w:name w:val="cn1"/>
    <w:qFormat/>
    <w:uiPriority w:val="0"/>
  </w:style>
  <w:style w:type="character" w:customStyle="1" w:styleId="169">
    <w:name w:val="样式7 Char"/>
    <w:qFormat/>
    <w:uiPriority w:val="0"/>
    <w:rPr>
      <w:rFonts w:eastAsia="宋体" w:cs="宋体"/>
      <w:kern w:val="2"/>
      <w:sz w:val="24"/>
      <w:szCs w:val="24"/>
      <w:lang w:val="en-US" w:eastAsia="zh-CN" w:bidi="ar-SA"/>
    </w:rPr>
  </w:style>
  <w:style w:type="character" w:customStyle="1" w:styleId="170">
    <w:name w:val="彩色列表 - 强调文字颜色 1 Char"/>
    <w:link w:val="171"/>
    <w:qFormat/>
    <w:uiPriority w:val="0"/>
    <w:rPr>
      <w:rFonts w:ascii="微软雅黑" w:hAnsi="微软雅黑" w:eastAsia="微软雅黑" w:cs="宋体"/>
      <w:kern w:val="2"/>
      <w:sz w:val="24"/>
      <w:szCs w:val="21"/>
      <w:lang w:val="en-US" w:eastAsia="zh-CN" w:bidi="ar-SA"/>
    </w:rPr>
  </w:style>
  <w:style w:type="paragraph" w:customStyle="1" w:styleId="171">
    <w:name w:val="列出段落2"/>
    <w:basedOn w:val="1"/>
    <w:link w:val="170"/>
    <w:qFormat/>
    <w:uiPriority w:val="0"/>
    <w:pPr>
      <w:widowControl/>
      <w:adjustRightInd w:val="0"/>
      <w:snapToGrid w:val="0"/>
      <w:spacing w:line="360" w:lineRule="auto"/>
      <w:ind w:firstLine="420" w:firstLineChars="200"/>
      <w:jc w:val="left"/>
    </w:pPr>
    <w:rPr>
      <w:rFonts w:ascii="微软雅黑" w:hAnsi="微软雅黑" w:eastAsia="微软雅黑" w:cs="宋体"/>
      <w:sz w:val="24"/>
      <w:szCs w:val="21"/>
    </w:rPr>
  </w:style>
  <w:style w:type="character" w:customStyle="1" w:styleId="172">
    <w:name w:val="引文目录标题 字符"/>
    <w:link w:val="18"/>
    <w:qFormat/>
    <w:uiPriority w:val="0"/>
    <w:rPr>
      <w:rFonts w:ascii="Arial" w:hAnsi="Arial" w:eastAsia="宋体" w:cs="Times New Roman"/>
      <w:kern w:val="0"/>
      <w:sz w:val="24"/>
      <w:szCs w:val="20"/>
    </w:rPr>
  </w:style>
  <w:style w:type="character" w:customStyle="1" w:styleId="173">
    <w:name w:val="Char Char13"/>
    <w:qFormat/>
    <w:uiPriority w:val="0"/>
    <w:rPr>
      <w:b/>
      <w:bCs/>
      <w:kern w:val="2"/>
      <w:sz w:val="21"/>
      <w:szCs w:val="24"/>
    </w:rPr>
  </w:style>
  <w:style w:type="character" w:customStyle="1" w:styleId="174">
    <w:name w:val="页脚 字符"/>
    <w:link w:val="34"/>
    <w:qFormat/>
    <w:uiPriority w:val="99"/>
    <w:rPr>
      <w:rFonts w:eastAsia="黑体"/>
      <w:sz w:val="18"/>
      <w:szCs w:val="18"/>
    </w:rPr>
  </w:style>
  <w:style w:type="character" w:customStyle="1" w:styleId="175">
    <w:name w:val="日期 字符"/>
    <w:link w:val="30"/>
    <w:qFormat/>
    <w:uiPriority w:val="0"/>
    <w:rPr>
      <w:rFonts w:eastAsia="楷体_GB2312"/>
      <w:sz w:val="32"/>
    </w:rPr>
  </w:style>
  <w:style w:type="character" w:customStyle="1" w:styleId="176">
    <w:name w:val="标题 3 字符"/>
    <w:link w:val="5"/>
    <w:qFormat/>
    <w:uiPriority w:val="0"/>
    <w:rPr>
      <w:rFonts w:ascii="Times New Roman" w:hAnsi="Times New Roman" w:eastAsia="楷体_GB2312" w:cs="Times New Roman"/>
      <w:b/>
      <w:bCs/>
      <w:kern w:val="0"/>
      <w:sz w:val="32"/>
      <w:szCs w:val="32"/>
    </w:rPr>
  </w:style>
  <w:style w:type="character" w:customStyle="1" w:styleId="177">
    <w:name w:val="纯文本 Char2"/>
    <w:semiHidden/>
    <w:qFormat/>
    <w:uiPriority w:val="99"/>
    <w:rPr>
      <w:rFonts w:ascii="宋体" w:hAnsi="Courier New" w:eastAsia="宋体" w:cs="Courier New"/>
      <w:szCs w:val="21"/>
    </w:rPr>
  </w:style>
  <w:style w:type="character" w:customStyle="1" w:styleId="178">
    <w:name w:val="Char Char10"/>
    <w:qFormat/>
    <w:uiPriority w:val="0"/>
    <w:rPr>
      <w:kern w:val="2"/>
      <w:sz w:val="21"/>
      <w:szCs w:val="24"/>
      <w:shd w:val="clear" w:color="auto" w:fill="000080"/>
    </w:rPr>
  </w:style>
  <w:style w:type="character" w:customStyle="1" w:styleId="179">
    <w:name w:val="纯文本 字符2"/>
    <w:link w:val="29"/>
    <w:qFormat/>
    <w:uiPriority w:val="0"/>
    <w:rPr>
      <w:rFonts w:ascii="宋体" w:hAnsi="Courier New" w:eastAsia="宋体"/>
      <w:sz w:val="24"/>
      <w:szCs w:val="24"/>
    </w:rPr>
  </w:style>
  <w:style w:type="character" w:customStyle="1" w:styleId="180">
    <w:name w:val="未处理的提及"/>
    <w:unhideWhenUsed/>
    <w:qFormat/>
    <w:uiPriority w:val="99"/>
    <w:rPr>
      <w:color w:val="605E5C"/>
      <w:shd w:val="clear" w:color="auto" w:fill="E1DFDD"/>
    </w:rPr>
  </w:style>
  <w:style w:type="character" w:customStyle="1" w:styleId="181">
    <w:name w:val="普通段落 Char"/>
    <w:link w:val="182"/>
    <w:qFormat/>
    <w:uiPriority w:val="0"/>
    <w:rPr>
      <w:rFonts w:ascii="Arial" w:hAnsi="Arial" w:eastAsia="宋体"/>
      <w:lang w:bidi="ar-SA"/>
    </w:rPr>
  </w:style>
  <w:style w:type="paragraph" w:customStyle="1" w:styleId="182">
    <w:name w:val="普通段落"/>
    <w:basedOn w:val="1"/>
    <w:link w:val="181"/>
    <w:qFormat/>
    <w:uiPriority w:val="0"/>
    <w:pPr>
      <w:spacing w:after="240" w:line="276" w:lineRule="auto"/>
    </w:pPr>
    <w:rPr>
      <w:rFonts w:ascii="Arial" w:hAnsi="Arial"/>
      <w:kern w:val="0"/>
      <w:sz w:val="20"/>
      <w:szCs w:val="20"/>
    </w:rPr>
  </w:style>
  <w:style w:type="character" w:customStyle="1" w:styleId="183">
    <w:name w:val="纯文本 Char1"/>
    <w:qFormat/>
    <w:uiPriority w:val="0"/>
    <w:rPr>
      <w:rFonts w:ascii="宋体" w:hAnsi="Courier New" w:eastAsia="宋体"/>
      <w:kern w:val="2"/>
      <w:sz w:val="24"/>
      <w:szCs w:val="24"/>
      <w:lang w:val="en-US" w:eastAsia="zh-CN" w:bidi="ar-SA"/>
    </w:rPr>
  </w:style>
  <w:style w:type="character" w:customStyle="1" w:styleId="184">
    <w:name w:val="页脚 Char"/>
    <w:qFormat/>
    <w:uiPriority w:val="99"/>
    <w:rPr>
      <w:rFonts w:eastAsia="Calibri"/>
      <w:sz w:val="21"/>
    </w:rPr>
  </w:style>
  <w:style w:type="character" w:customStyle="1" w:styleId="185">
    <w:name w:val="正文文本缩进 2 字符"/>
    <w:link w:val="32"/>
    <w:qFormat/>
    <w:uiPriority w:val="0"/>
    <w:rPr>
      <w:rFonts w:ascii="仿宋_GB2312" w:hAnsi="宋体" w:cs="Arial"/>
      <w:b/>
      <w:bCs/>
      <w:color w:val="000000"/>
      <w:sz w:val="24"/>
      <w:szCs w:val="24"/>
    </w:rPr>
  </w:style>
  <w:style w:type="character" w:customStyle="1" w:styleId="186">
    <w:name w:val="正文文字缩进4字符 Char"/>
    <w:qFormat/>
    <w:uiPriority w:val="0"/>
    <w:rPr>
      <w:rFonts w:ascii="Times New Roman" w:hAnsi="Times New Roman" w:eastAsia="宋体" w:cs="Times New Roman"/>
      <w:sz w:val="24"/>
      <w:szCs w:val="24"/>
    </w:rPr>
  </w:style>
  <w:style w:type="character" w:customStyle="1" w:styleId="187">
    <w:name w:val="正文文本缩进 字符"/>
    <w:qFormat/>
    <w:uiPriority w:val="0"/>
    <w:rPr>
      <w:rFonts w:ascii="宋体" w:hAnsi="Courier New"/>
      <w:spacing w:val="-4"/>
      <w:sz w:val="18"/>
    </w:rPr>
  </w:style>
  <w:style w:type="character" w:customStyle="1" w:styleId="188">
    <w:name w:val="Heading 3 - old Char"/>
    <w:qFormat/>
    <w:uiPriority w:val="0"/>
    <w:rPr>
      <w:rFonts w:ascii="Times New Roman" w:hAnsi="Times New Roman" w:eastAsia="宋体" w:cs="Times New Roman"/>
      <w:b/>
      <w:bCs/>
      <w:sz w:val="32"/>
      <w:szCs w:val="32"/>
    </w:rPr>
  </w:style>
  <w:style w:type="character" w:customStyle="1" w:styleId="189">
    <w:name w:val="H4 Char"/>
    <w:qFormat/>
    <w:uiPriority w:val="0"/>
    <w:rPr>
      <w:rFonts w:ascii="Arial" w:hAnsi="Arial" w:eastAsia="黑体" w:cs="Times New Roman"/>
      <w:b/>
      <w:bCs/>
      <w:sz w:val="28"/>
      <w:szCs w:val="28"/>
    </w:rPr>
  </w:style>
  <w:style w:type="character" w:customStyle="1" w:styleId="190">
    <w:name w:val="纯文本 字符"/>
    <w:qFormat/>
    <w:uiPriority w:val="0"/>
    <w:rPr>
      <w:rFonts w:ascii="宋体" w:hAnsi="Courier New"/>
      <w:sz w:val="24"/>
      <w:szCs w:val="24"/>
    </w:rPr>
  </w:style>
  <w:style w:type="character" w:customStyle="1" w:styleId="191">
    <w:name w:val="正文文本缩进 字符1"/>
    <w:link w:val="21"/>
    <w:qFormat/>
    <w:uiPriority w:val="0"/>
    <w:rPr>
      <w:rFonts w:ascii="宋体" w:hAnsi="Courier New"/>
      <w:spacing w:val="-4"/>
      <w:sz w:val="18"/>
    </w:rPr>
  </w:style>
  <w:style w:type="character" w:customStyle="1" w:styleId="192">
    <w:name w:val="Char Char15"/>
    <w:qFormat/>
    <w:uiPriority w:val="0"/>
    <w:rPr>
      <w:rFonts w:hAnsi="宋体" w:eastAsia="仿宋_GB2312"/>
      <w:b/>
      <w:bCs/>
      <w:kern w:val="2"/>
      <w:sz w:val="24"/>
    </w:rPr>
  </w:style>
  <w:style w:type="character" w:customStyle="1" w:styleId="193">
    <w:name w:val="Footer Char"/>
    <w:qFormat/>
    <w:locked/>
    <w:uiPriority w:val="0"/>
    <w:rPr>
      <w:rFonts w:ascii="Calibri" w:hAnsi="Calibri" w:eastAsia="宋体" w:cs="Times New Roman"/>
      <w:sz w:val="18"/>
      <w:szCs w:val="18"/>
    </w:rPr>
  </w:style>
  <w:style w:type="character" w:customStyle="1" w:styleId="194">
    <w:name w:val="标题 9 字符"/>
    <w:link w:val="11"/>
    <w:qFormat/>
    <w:uiPriority w:val="0"/>
    <w:rPr>
      <w:rFonts w:ascii="Arial" w:hAnsi="Arial" w:eastAsia="黑体" w:cs="Times New Roman"/>
      <w:kern w:val="0"/>
      <w:sz w:val="20"/>
      <w:szCs w:val="21"/>
    </w:rPr>
  </w:style>
  <w:style w:type="character" w:customStyle="1" w:styleId="195">
    <w:name w:val="def正文 Char Char"/>
    <w:link w:val="196"/>
    <w:qFormat/>
    <w:uiPriority w:val="0"/>
    <w:rPr>
      <w:sz w:val="24"/>
      <w:szCs w:val="24"/>
    </w:rPr>
  </w:style>
  <w:style w:type="paragraph" w:customStyle="1" w:styleId="196">
    <w:name w:val="def正文"/>
    <w:basedOn w:val="20"/>
    <w:link w:val="195"/>
    <w:qFormat/>
    <w:uiPriority w:val="0"/>
    <w:pPr>
      <w:widowControl/>
      <w:spacing w:after="0" w:line="360" w:lineRule="auto"/>
      <w:ind w:firstLine="510"/>
      <w:jc w:val="left"/>
    </w:pPr>
    <w:rPr>
      <w:sz w:val="24"/>
    </w:rPr>
  </w:style>
  <w:style w:type="character" w:customStyle="1" w:styleId="197">
    <w:name w:val="font51"/>
    <w:qFormat/>
    <w:uiPriority w:val="0"/>
    <w:rPr>
      <w:rFonts w:hint="eastAsia" w:ascii="宋体" w:hAnsi="宋体" w:eastAsia="宋体" w:cs="宋体"/>
      <w:color w:val="auto"/>
      <w:sz w:val="18"/>
      <w:szCs w:val="18"/>
      <w:u w:val="none"/>
    </w:rPr>
  </w:style>
  <w:style w:type="character" w:customStyle="1" w:styleId="198">
    <w:name w:val="普通文字 Char Char"/>
    <w:qFormat/>
    <w:uiPriority w:val="0"/>
    <w:rPr>
      <w:rFonts w:ascii="宋体" w:hAnsi="Courier New" w:eastAsia="宋体" w:cs="Times New Roman"/>
      <w:szCs w:val="20"/>
    </w:rPr>
  </w:style>
  <w:style w:type="character" w:customStyle="1" w:styleId="199">
    <w:name w:val="正文文本 Char"/>
    <w:qFormat/>
    <w:uiPriority w:val="0"/>
    <w:rPr>
      <w:rFonts w:ascii="Times New Roman" w:hAnsi="Times New Roman" w:eastAsia="宋体" w:cs="Times New Roman"/>
      <w:szCs w:val="24"/>
    </w:rPr>
  </w:style>
  <w:style w:type="character" w:customStyle="1" w:styleId="200">
    <w:name w:val="3zw"/>
    <w:qFormat/>
    <w:uiPriority w:val="0"/>
  </w:style>
  <w:style w:type="character" w:customStyle="1" w:styleId="201">
    <w:name w:val="font71"/>
    <w:qFormat/>
    <w:uiPriority w:val="0"/>
    <w:rPr>
      <w:rFonts w:hint="default" w:ascii="Arial" w:hAnsi="Arial" w:cs="Arial"/>
      <w:color w:val="auto"/>
      <w:sz w:val="20"/>
      <w:szCs w:val="20"/>
      <w:u w:val="none"/>
    </w:rPr>
  </w:style>
  <w:style w:type="character" w:customStyle="1" w:styleId="202">
    <w:name w:val="标题 Char1"/>
    <w:qFormat/>
    <w:uiPriority w:val="10"/>
    <w:rPr>
      <w:rFonts w:ascii="Cambria" w:hAnsi="Cambria" w:eastAsia="宋体" w:cs="Times New Roman"/>
      <w:b/>
      <w:bCs/>
      <w:sz w:val="32"/>
      <w:szCs w:val="32"/>
    </w:rPr>
  </w:style>
  <w:style w:type="character" w:customStyle="1" w:styleId="203">
    <w:name w:val="标书正文格式 Char"/>
    <w:link w:val="204"/>
    <w:qFormat/>
    <w:uiPriority w:val="0"/>
    <w:rPr>
      <w:rFonts w:eastAsia="楷体_GB2312"/>
      <w:kern w:val="2"/>
      <w:sz w:val="24"/>
      <w:szCs w:val="24"/>
      <w:lang w:val="en-US" w:eastAsia="zh-CN" w:bidi="ar-SA"/>
    </w:rPr>
  </w:style>
  <w:style w:type="paragraph" w:customStyle="1" w:styleId="204">
    <w:name w:val="标书正文格式"/>
    <w:link w:val="203"/>
    <w:qFormat/>
    <w:uiPriority w:val="0"/>
    <w:pPr>
      <w:spacing w:line="360" w:lineRule="auto"/>
      <w:ind w:firstLine="200" w:firstLineChars="200"/>
      <w:jc w:val="both"/>
    </w:pPr>
    <w:rPr>
      <w:rFonts w:ascii="Times New Roman" w:hAnsi="Times New Roman" w:eastAsia="楷体_GB2312" w:cs="Times New Roman"/>
      <w:kern w:val="2"/>
      <w:sz w:val="24"/>
      <w:szCs w:val="24"/>
      <w:lang w:val="en-US" w:eastAsia="zh-CN" w:bidi="ar-SA"/>
    </w:rPr>
  </w:style>
  <w:style w:type="character" w:customStyle="1" w:styleId="205">
    <w:name w:val="正文缩进 字符"/>
    <w:qFormat/>
    <w:uiPriority w:val="0"/>
    <w:rPr>
      <w:rFonts w:eastAsia="宋体"/>
    </w:rPr>
  </w:style>
  <w:style w:type="character" w:customStyle="1" w:styleId="206">
    <w:name w:val="A7"/>
    <w:qFormat/>
    <w:uiPriority w:val="0"/>
    <w:rPr>
      <w:rFonts w:ascii="HelveticaNeueLT Std Lt" w:eastAsia="HelveticaNeueLT Std Lt" w:cs="HelveticaNeueLT Std Lt"/>
      <w:color w:val="000000"/>
      <w:sz w:val="20"/>
      <w:szCs w:val="20"/>
    </w:rPr>
  </w:style>
  <w:style w:type="character" w:customStyle="1" w:styleId="207">
    <w:name w:val="Balloon Text Char"/>
    <w:qFormat/>
    <w:locked/>
    <w:uiPriority w:val="0"/>
    <w:rPr>
      <w:rFonts w:cs="Times New Roman"/>
      <w:sz w:val="18"/>
      <w:szCs w:val="18"/>
    </w:rPr>
  </w:style>
  <w:style w:type="character" w:customStyle="1" w:styleId="208">
    <w:name w:val="页眉 字符"/>
    <w:link w:val="35"/>
    <w:qFormat/>
    <w:uiPriority w:val="99"/>
    <w:rPr>
      <w:rFonts w:eastAsia="仿宋_GB2312"/>
      <w:sz w:val="18"/>
    </w:rPr>
  </w:style>
  <w:style w:type="character" w:customStyle="1" w:styleId="209">
    <w:name w:val="批注框文本 Char1"/>
    <w:semiHidden/>
    <w:qFormat/>
    <w:uiPriority w:val="99"/>
    <w:rPr>
      <w:rFonts w:ascii="Times New Roman" w:hAnsi="Times New Roman" w:eastAsia="宋体" w:cs="Times New Roman"/>
      <w:sz w:val="18"/>
      <w:szCs w:val="18"/>
    </w:rPr>
  </w:style>
  <w:style w:type="character" w:customStyle="1" w:styleId="210">
    <w:name w:val="彩色列表 - 着色 1 字符"/>
    <w:link w:val="211"/>
    <w:qFormat/>
    <w:locked/>
    <w:uiPriority w:val="34"/>
    <w:rPr>
      <w:rFonts w:ascii="Times New Roman" w:hAnsi="Times New Roman"/>
      <w:kern w:val="2"/>
      <w:sz w:val="21"/>
      <w:szCs w:val="24"/>
    </w:rPr>
  </w:style>
  <w:style w:type="paragraph" w:customStyle="1" w:styleId="211">
    <w:name w:val="彩色列表 - 着色 11"/>
    <w:basedOn w:val="1"/>
    <w:link w:val="210"/>
    <w:qFormat/>
    <w:uiPriority w:val="34"/>
    <w:pPr>
      <w:ind w:firstLine="420" w:firstLineChars="200"/>
    </w:pPr>
  </w:style>
  <w:style w:type="character" w:customStyle="1" w:styleId="212">
    <w:name w:val="正文文本缩进 2 Char1"/>
    <w:semiHidden/>
    <w:qFormat/>
    <w:uiPriority w:val="99"/>
    <w:rPr>
      <w:rFonts w:ascii="Times New Roman" w:hAnsi="Times New Roman" w:eastAsia="宋体" w:cs="Times New Roman"/>
      <w:szCs w:val="24"/>
    </w:rPr>
  </w:style>
  <w:style w:type="character" w:customStyle="1" w:styleId="213">
    <w:name w:val="普通 (Web) Char"/>
    <w:qFormat/>
    <w:uiPriority w:val="0"/>
    <w:rPr>
      <w:rFonts w:ascii="宋体" w:hAnsi="宋体" w:eastAsia="宋体" w:cs="Times New Roman"/>
      <w:kern w:val="0"/>
      <w:sz w:val="24"/>
      <w:szCs w:val="24"/>
    </w:rPr>
  </w:style>
  <w:style w:type="character" w:customStyle="1" w:styleId="214">
    <w:name w:val="标题 6 字符"/>
    <w:link w:val="8"/>
    <w:qFormat/>
    <w:uiPriority w:val="0"/>
    <w:rPr>
      <w:rFonts w:ascii="Arial" w:hAnsi="Arial" w:eastAsia="黑体" w:cs="Times New Roman"/>
      <w:b/>
      <w:bCs/>
      <w:kern w:val="0"/>
      <w:sz w:val="24"/>
      <w:szCs w:val="24"/>
    </w:rPr>
  </w:style>
  <w:style w:type="character" w:customStyle="1" w:styleId="215">
    <w:name w:val="纯文本 Char3"/>
    <w:qFormat/>
    <w:uiPriority w:val="0"/>
    <w:rPr>
      <w:rFonts w:ascii="宋体" w:hAnsi="Courier New" w:eastAsia="宋体"/>
      <w:sz w:val="24"/>
      <w:szCs w:val="24"/>
    </w:rPr>
  </w:style>
  <w:style w:type="character" w:customStyle="1" w:styleId="216">
    <w:name w:val="正文首行缩进 Char1"/>
    <w:semiHidden/>
    <w:qFormat/>
    <w:uiPriority w:val="99"/>
    <w:rPr>
      <w:rFonts w:ascii="Times New Roman" w:hAnsi="Times New Roman" w:eastAsia="宋体" w:cs="Times New Roman"/>
      <w:szCs w:val="24"/>
    </w:rPr>
  </w:style>
  <w:style w:type="character" w:customStyle="1" w:styleId="217">
    <w:name w:val="正文文本 2 字符"/>
    <w:link w:val="44"/>
    <w:qFormat/>
    <w:uiPriority w:val="99"/>
    <w:rPr>
      <w:rFonts w:ascii="宋体" w:hAnsi="宋体"/>
      <w:color w:val="000000"/>
      <w:sz w:val="24"/>
      <w:szCs w:val="24"/>
    </w:rPr>
  </w:style>
  <w:style w:type="character" w:customStyle="1" w:styleId="218">
    <w:name w:val="style551"/>
    <w:qFormat/>
    <w:uiPriority w:val="0"/>
    <w:rPr>
      <w:rFonts w:hint="default" w:ascii="Arial" w:hAnsi="Arial" w:cs="Arial"/>
      <w:color w:val="333333"/>
      <w:sz w:val="18"/>
      <w:szCs w:val="18"/>
    </w:rPr>
  </w:style>
  <w:style w:type="character" w:customStyle="1" w:styleId="219">
    <w:name w:val="文章正文 Char Char"/>
    <w:link w:val="220"/>
    <w:qFormat/>
    <w:uiPriority w:val="0"/>
    <w:rPr>
      <w:rFonts w:ascii="宋体" w:hAnsi="宋体"/>
      <w:sz w:val="24"/>
      <w:szCs w:val="24"/>
    </w:rPr>
  </w:style>
  <w:style w:type="paragraph" w:customStyle="1" w:styleId="220">
    <w:name w:val="文章正文"/>
    <w:basedOn w:val="1"/>
    <w:link w:val="219"/>
    <w:qFormat/>
    <w:uiPriority w:val="0"/>
    <w:pPr>
      <w:spacing w:line="360" w:lineRule="auto"/>
      <w:ind w:firstLine="200" w:firstLineChars="200"/>
      <w:jc w:val="left"/>
    </w:pPr>
    <w:rPr>
      <w:rFonts w:ascii="宋体" w:hAnsi="宋体"/>
      <w:kern w:val="0"/>
      <w:sz w:val="24"/>
    </w:rPr>
  </w:style>
  <w:style w:type="character" w:customStyle="1" w:styleId="221">
    <w:name w:val="font81"/>
    <w:qFormat/>
    <w:uiPriority w:val="0"/>
    <w:rPr>
      <w:rFonts w:hint="eastAsia" w:ascii="宋体" w:hAnsi="宋体" w:eastAsia="宋体" w:cs="宋体"/>
      <w:color w:val="000000"/>
      <w:sz w:val="20"/>
      <w:szCs w:val="20"/>
      <w:u w:val="none"/>
      <w:vertAlign w:val="superscript"/>
    </w:rPr>
  </w:style>
  <w:style w:type="character" w:customStyle="1" w:styleId="222">
    <w:name w:val="Body Text Indent 3 Char"/>
    <w:qFormat/>
    <w:locked/>
    <w:uiPriority w:val="0"/>
    <w:rPr>
      <w:rFonts w:cs="Times New Roman"/>
      <w:kern w:val="2"/>
      <w:sz w:val="16"/>
      <w:szCs w:val="16"/>
    </w:rPr>
  </w:style>
  <w:style w:type="character" w:customStyle="1" w:styleId="223">
    <w:name w:val="Char Char16"/>
    <w:qFormat/>
    <w:uiPriority w:val="0"/>
    <w:rPr>
      <w:rFonts w:ascii="宋体" w:hAnsi="Courier New"/>
      <w:spacing w:val="-4"/>
      <w:kern w:val="2"/>
      <w:sz w:val="18"/>
    </w:rPr>
  </w:style>
  <w:style w:type="character" w:customStyle="1" w:styleId="224">
    <w:name w:val="Char Char4"/>
    <w:qFormat/>
    <w:uiPriority w:val="0"/>
    <w:rPr>
      <w:rFonts w:ascii="宋体" w:hAnsi="Courier New" w:eastAsia="宋体"/>
      <w:kern w:val="2"/>
      <w:sz w:val="24"/>
      <w:szCs w:val="24"/>
      <w:lang w:val="en-US" w:eastAsia="zh-CN" w:bidi="ar-SA"/>
    </w:rPr>
  </w:style>
  <w:style w:type="character" w:customStyle="1" w:styleId="225">
    <w:name w:val="正文文本缩进 3 Char1"/>
    <w:semiHidden/>
    <w:qFormat/>
    <w:uiPriority w:val="99"/>
    <w:rPr>
      <w:rFonts w:ascii="Times New Roman" w:hAnsi="Times New Roman" w:eastAsia="宋体" w:cs="Times New Roman"/>
      <w:sz w:val="16"/>
      <w:szCs w:val="16"/>
    </w:rPr>
  </w:style>
  <w:style w:type="character" w:customStyle="1" w:styleId="226">
    <w:name w:val="Char Char7"/>
    <w:qFormat/>
    <w:uiPriority w:val="0"/>
    <w:rPr>
      <w:rFonts w:eastAsia="宋体"/>
      <w:kern w:val="2"/>
      <w:sz w:val="21"/>
      <w:lang w:val="en-US" w:eastAsia="zh-CN" w:bidi="ar-SA"/>
    </w:rPr>
  </w:style>
  <w:style w:type="character" w:customStyle="1" w:styleId="227">
    <w:name w:val="A正文 Char"/>
    <w:link w:val="228"/>
    <w:qFormat/>
    <w:uiPriority w:val="0"/>
    <w:rPr>
      <w:szCs w:val="24"/>
    </w:rPr>
  </w:style>
  <w:style w:type="paragraph" w:customStyle="1" w:styleId="228">
    <w:name w:val="A正文"/>
    <w:basedOn w:val="1"/>
    <w:link w:val="227"/>
    <w:qFormat/>
    <w:uiPriority w:val="0"/>
    <w:pPr>
      <w:spacing w:line="360" w:lineRule="auto"/>
      <w:ind w:firstLine="200" w:firstLineChars="200"/>
    </w:pPr>
    <w:rPr>
      <w:kern w:val="0"/>
      <w:sz w:val="20"/>
    </w:rPr>
  </w:style>
  <w:style w:type="character" w:customStyle="1" w:styleId="229">
    <w:name w:val="正文1 Char Char"/>
    <w:link w:val="230"/>
    <w:qFormat/>
    <w:uiPriority w:val="0"/>
    <w:rPr>
      <w:rFonts w:ascii="宋体" w:hAnsi="宋体" w:eastAsia="宋体"/>
      <w:color w:val="000000"/>
      <w:sz w:val="24"/>
    </w:rPr>
  </w:style>
  <w:style w:type="paragraph" w:customStyle="1" w:styleId="230">
    <w:name w:val="正文1"/>
    <w:basedOn w:val="1"/>
    <w:link w:val="229"/>
    <w:qFormat/>
    <w:uiPriority w:val="0"/>
    <w:pPr>
      <w:spacing w:line="360" w:lineRule="auto"/>
      <w:ind w:firstLine="200" w:firstLineChars="200"/>
      <w:jc w:val="left"/>
    </w:pPr>
    <w:rPr>
      <w:rFonts w:ascii="宋体" w:hAnsi="宋体"/>
      <w:color w:val="000000"/>
      <w:kern w:val="0"/>
      <w:sz w:val="24"/>
      <w:szCs w:val="20"/>
    </w:rPr>
  </w:style>
  <w:style w:type="character" w:customStyle="1" w:styleId="231">
    <w:name w:val="Char Char111"/>
    <w:qFormat/>
    <w:uiPriority w:val="0"/>
    <w:rPr>
      <w:kern w:val="2"/>
      <w:sz w:val="28"/>
      <w:szCs w:val="24"/>
    </w:rPr>
  </w:style>
  <w:style w:type="character" w:customStyle="1" w:styleId="232">
    <w:name w:val="粘贴正文 Char"/>
    <w:link w:val="233"/>
    <w:qFormat/>
    <w:uiPriority w:val="0"/>
    <w:rPr>
      <w:kern w:val="2"/>
      <w:sz w:val="24"/>
      <w:szCs w:val="21"/>
      <w:lang w:val="en-US" w:eastAsia="zh-CN" w:bidi="ar-SA"/>
    </w:rPr>
  </w:style>
  <w:style w:type="paragraph" w:customStyle="1" w:styleId="233">
    <w:name w:val="粘贴正文"/>
    <w:link w:val="232"/>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character" w:customStyle="1" w:styleId="234">
    <w:name w:val="缺省文本 Char"/>
    <w:link w:val="235"/>
    <w:qFormat/>
    <w:uiPriority w:val="0"/>
    <w:rPr>
      <w:rFonts w:ascii="Arial" w:hAnsi="Arial"/>
      <w:szCs w:val="21"/>
    </w:rPr>
  </w:style>
  <w:style w:type="paragraph" w:customStyle="1" w:styleId="235">
    <w:name w:val="缺省文本"/>
    <w:basedOn w:val="1"/>
    <w:link w:val="234"/>
    <w:qFormat/>
    <w:uiPriority w:val="0"/>
    <w:pPr>
      <w:autoSpaceDE w:val="0"/>
      <w:autoSpaceDN w:val="0"/>
      <w:adjustRightInd w:val="0"/>
      <w:spacing w:line="360" w:lineRule="auto"/>
      <w:jc w:val="left"/>
    </w:pPr>
    <w:rPr>
      <w:rFonts w:ascii="Arial" w:hAnsi="Arial"/>
      <w:kern w:val="0"/>
      <w:sz w:val="20"/>
      <w:szCs w:val="21"/>
    </w:rPr>
  </w:style>
  <w:style w:type="character" w:customStyle="1" w:styleId="236">
    <w:name w:val="Heading 7 Char"/>
    <w:semiHidden/>
    <w:qFormat/>
    <w:locked/>
    <w:uiPriority w:val="0"/>
    <w:rPr>
      <w:rFonts w:cs="Times New Roman"/>
      <w:b/>
      <w:bCs/>
      <w:kern w:val="0"/>
      <w:sz w:val="24"/>
      <w:szCs w:val="24"/>
    </w:rPr>
  </w:style>
  <w:style w:type="character" w:customStyle="1" w:styleId="237">
    <w:name w:val="font21"/>
    <w:qFormat/>
    <w:uiPriority w:val="0"/>
    <w:rPr>
      <w:rFonts w:hint="eastAsia" w:ascii="宋体" w:hAnsi="宋体" w:eastAsia="宋体" w:cs="宋体"/>
      <w:color w:val="000000"/>
      <w:sz w:val="20"/>
      <w:szCs w:val="20"/>
      <w:u w:val="none"/>
    </w:rPr>
  </w:style>
  <w:style w:type="character" w:customStyle="1" w:styleId="238">
    <w:name w:val="批注主题 字符"/>
    <w:link w:val="48"/>
    <w:qFormat/>
    <w:uiPriority w:val="99"/>
    <w:rPr>
      <w:b/>
      <w:bCs/>
      <w:szCs w:val="24"/>
    </w:rPr>
  </w:style>
  <w:style w:type="character" w:customStyle="1" w:styleId="239">
    <w:name w:val="文档结构图 Char1"/>
    <w:semiHidden/>
    <w:qFormat/>
    <w:uiPriority w:val="99"/>
    <w:rPr>
      <w:rFonts w:ascii="宋体" w:hAnsi="Times New Roman" w:eastAsia="宋体" w:cs="Times New Roman"/>
      <w:sz w:val="18"/>
      <w:szCs w:val="18"/>
    </w:rPr>
  </w:style>
  <w:style w:type="character" w:customStyle="1" w:styleId="240">
    <w:name w:val="纯文本 字符1"/>
    <w:semiHidden/>
    <w:qFormat/>
    <w:locked/>
    <w:uiPriority w:val="0"/>
    <w:rPr>
      <w:rFonts w:ascii="宋体" w:hAnsi="Courier New"/>
      <w:sz w:val="24"/>
      <w:szCs w:val="24"/>
    </w:rPr>
  </w:style>
  <w:style w:type="character" w:customStyle="1" w:styleId="241">
    <w:name w:val="Char Char19"/>
    <w:qFormat/>
    <w:uiPriority w:val="0"/>
    <w:rPr>
      <w:rFonts w:ascii="Arial" w:hAnsi="Arial" w:eastAsia="黑体"/>
      <w:kern w:val="2"/>
      <w:sz w:val="21"/>
      <w:szCs w:val="21"/>
    </w:rPr>
  </w:style>
  <w:style w:type="character" w:customStyle="1" w:styleId="242">
    <w:name w:val="Item List Char"/>
    <w:link w:val="243"/>
    <w:qFormat/>
    <w:uiPriority w:val="0"/>
    <w:rPr>
      <w:rFonts w:cs="Arial"/>
      <w:kern w:val="2"/>
      <w:sz w:val="21"/>
      <w:szCs w:val="21"/>
      <w:lang w:val="en-US" w:eastAsia="zh-CN" w:bidi="ar-SA"/>
    </w:rPr>
  </w:style>
  <w:style w:type="paragraph" w:customStyle="1" w:styleId="243">
    <w:name w:val="Item List"/>
    <w:link w:val="242"/>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44">
    <w:name w:val="Char Char9"/>
    <w:qFormat/>
    <w:uiPriority w:val="0"/>
    <w:rPr>
      <w:rFonts w:eastAsia="仿宋_GB2312"/>
      <w:kern w:val="2"/>
      <w:sz w:val="18"/>
    </w:rPr>
  </w:style>
  <w:style w:type="character" w:customStyle="1" w:styleId="245">
    <w:name w:val="Heading 6 Char"/>
    <w:semiHidden/>
    <w:qFormat/>
    <w:locked/>
    <w:uiPriority w:val="0"/>
    <w:rPr>
      <w:rFonts w:ascii="Cambria" w:hAnsi="Cambria" w:eastAsia="宋体" w:cs="Times New Roman"/>
      <w:b/>
      <w:bCs/>
      <w:kern w:val="0"/>
      <w:sz w:val="24"/>
      <w:szCs w:val="24"/>
    </w:rPr>
  </w:style>
  <w:style w:type="paragraph" w:customStyle="1" w:styleId="246">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47">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48">
    <w:name w:val="Item Step"/>
    <w:basedOn w:val="1"/>
    <w:qFormat/>
    <w:uiPriority w:val="0"/>
    <w:pPr>
      <w:widowControl/>
      <w:numPr>
        <w:ilvl w:val="0"/>
        <w:numId w:val="1"/>
      </w:numPr>
      <w:spacing w:afterLines="50"/>
      <w:jc w:val="left"/>
    </w:pPr>
  </w:style>
  <w:style w:type="paragraph" w:customStyle="1" w:styleId="249">
    <w:name w:val="Char11"/>
    <w:basedOn w:val="1"/>
    <w:qFormat/>
    <w:uiPriority w:val="0"/>
    <w:rPr>
      <w:rFonts w:ascii="仿宋_GB2312" w:hAnsi="宋体" w:eastAsia="仿宋_GB2312" w:cs="宋体"/>
      <w:b/>
      <w:sz w:val="32"/>
      <w:szCs w:val="32"/>
    </w:rPr>
  </w:style>
  <w:style w:type="paragraph" w:customStyle="1" w:styleId="250">
    <w:name w:val="f1"/>
    <w:basedOn w:val="1"/>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51">
    <w:name w:val="样式1"/>
    <w:basedOn w:val="1"/>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52">
    <w:name w:val="正文文本1"/>
    <w:basedOn w:val="1"/>
    <w:qFormat/>
    <w:uiPriority w:val="0"/>
    <w:pPr>
      <w:snapToGrid w:val="0"/>
      <w:spacing w:before="120" w:line="440" w:lineRule="atLeast"/>
      <w:ind w:firstLine="1680" w:firstLineChars="200"/>
      <w:textAlignment w:val="baseline"/>
    </w:pPr>
    <w:rPr>
      <w:rFonts w:hint="eastAsia" w:ascii="宋体" w:hAnsi="宋体"/>
      <w:spacing w:val="2"/>
      <w:sz w:val="28"/>
      <w:szCs w:val="20"/>
    </w:rPr>
  </w:style>
  <w:style w:type="paragraph" w:customStyle="1" w:styleId="253">
    <w:name w:val="正文文本缩进 21"/>
    <w:basedOn w:val="1"/>
    <w:qFormat/>
    <w:uiPriority w:val="0"/>
    <w:pPr>
      <w:autoSpaceDE w:val="0"/>
      <w:autoSpaceDN w:val="0"/>
      <w:adjustRightInd w:val="0"/>
      <w:spacing w:line="360" w:lineRule="auto"/>
      <w:ind w:firstLine="540" w:firstLineChars="200"/>
      <w:textAlignment w:val="baseline"/>
    </w:pPr>
    <w:rPr>
      <w:sz w:val="24"/>
      <w:szCs w:val="20"/>
    </w:rPr>
  </w:style>
  <w:style w:type="paragraph" w:customStyle="1" w:styleId="254">
    <w:name w:val="Block"/>
    <w:basedOn w:val="1"/>
    <w:next w:val="111"/>
    <w:qFormat/>
    <w:uiPriority w:val="0"/>
    <w:pPr>
      <w:tabs>
        <w:tab w:val="left" w:pos="0"/>
      </w:tabs>
    </w:pPr>
    <w:rPr>
      <w:rFonts w:ascii="Arial" w:hAnsi="Arial" w:eastAsia="楷体_GB2312"/>
      <w:color w:val="000080"/>
      <w:sz w:val="28"/>
      <w:szCs w:val="28"/>
    </w:rPr>
  </w:style>
  <w:style w:type="paragraph" w:customStyle="1" w:styleId="255">
    <w:name w:val="Char Char1 Char1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56">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57">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258">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59">
    <w:name w:val="xl79"/>
    <w:basedOn w:val="1"/>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60">
    <w:name w:val="样式 标题 2H2子系统子系统1子系统2子系统3子系统4子系统11子系统21子系统31子系统5子系统12...1"/>
    <w:basedOn w:val="4"/>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61">
    <w:name w:val="样式 Swis721 Lt BT 左 行距: 固定值 12.5 磅"/>
    <w:basedOn w:val="1"/>
    <w:qFormat/>
    <w:uiPriority w:val="0"/>
    <w:pPr>
      <w:kinsoku w:val="0"/>
      <w:overflowPunct w:val="0"/>
      <w:snapToGrid w:val="0"/>
      <w:spacing w:line="250" w:lineRule="exact"/>
      <w:ind w:firstLine="420" w:firstLineChars="200"/>
      <w:jc w:val="left"/>
    </w:pPr>
    <w:rPr>
      <w:rFonts w:ascii="Swis721 Lt BT" w:hAnsi="Swis721 Lt BT" w:cs="宋体"/>
      <w:kern w:val="0"/>
      <w:szCs w:val="21"/>
    </w:rPr>
  </w:style>
  <w:style w:type="paragraph" w:customStyle="1" w:styleId="262">
    <w:name w:val="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63">
    <w:name w:val="样式 宋体 小四 段前: 7.8 磅 段后: 7.8 磅 行距: 1.5 倍行距"/>
    <w:basedOn w:val="1"/>
    <w:qFormat/>
    <w:uiPriority w:val="0"/>
    <w:pPr>
      <w:kinsoku w:val="0"/>
      <w:overflowPunct w:val="0"/>
      <w:snapToGrid w:val="0"/>
      <w:spacing w:beforeLines="50" w:afterLines="50" w:line="360" w:lineRule="auto"/>
      <w:ind w:firstLine="200" w:firstLineChars="200"/>
      <w:jc w:val="left"/>
    </w:pPr>
    <w:rPr>
      <w:rFonts w:ascii="宋体"/>
      <w:kern w:val="0"/>
      <w:sz w:val="24"/>
      <w:szCs w:val="20"/>
      <w:lang w:val="zh-CN"/>
    </w:rPr>
  </w:style>
  <w:style w:type="paragraph" w:customStyle="1" w:styleId="264">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65">
    <w:name w:val="正文首行缩进2字"/>
    <w:basedOn w:val="1"/>
    <w:qFormat/>
    <w:uiPriority w:val="0"/>
    <w:pPr>
      <w:spacing w:line="360" w:lineRule="auto"/>
      <w:ind w:firstLine="412" w:firstLineChars="196"/>
    </w:pPr>
    <w:rPr>
      <w:rFonts w:ascii="宋体" w:hAnsi="宋体"/>
      <w:kern w:val="0"/>
      <w:szCs w:val="21"/>
    </w:rPr>
  </w:style>
  <w:style w:type="paragraph" w:customStyle="1" w:styleId="266">
    <w:name w:val="列出段落1"/>
    <w:basedOn w:val="1"/>
    <w:qFormat/>
    <w:uiPriority w:val="34"/>
    <w:pPr>
      <w:ind w:firstLine="420" w:firstLineChars="200"/>
    </w:pPr>
  </w:style>
  <w:style w:type="paragraph" w:customStyle="1" w:styleId="267">
    <w:name w:val="列出段落11"/>
    <w:basedOn w:val="1"/>
    <w:qFormat/>
    <w:uiPriority w:val="0"/>
    <w:pPr>
      <w:spacing w:line="360" w:lineRule="auto"/>
      <w:ind w:firstLine="420" w:firstLineChars="200"/>
    </w:pPr>
    <w:rPr>
      <w:rFonts w:ascii="宋体" w:hAnsi="宋体"/>
      <w:sz w:val="24"/>
    </w:rPr>
  </w:style>
  <w:style w:type="paragraph" w:customStyle="1" w:styleId="268">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69">
    <w:name w:val="Ê×ÐÐËõ½ø"/>
    <w:basedOn w:val="1"/>
    <w:qFormat/>
    <w:uiPriority w:val="0"/>
    <w:pPr>
      <w:widowControl/>
      <w:overflowPunct w:val="0"/>
      <w:autoSpaceDE w:val="0"/>
      <w:autoSpaceDN w:val="0"/>
      <w:adjustRightInd w:val="0"/>
      <w:textAlignment w:val="baseline"/>
    </w:pPr>
    <w:rPr>
      <w:kern w:val="0"/>
      <w:sz w:val="28"/>
      <w:szCs w:val="20"/>
    </w:rPr>
  </w:style>
  <w:style w:type="paragraph" w:customStyle="1" w:styleId="270">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71">
    <w:name w:val="简单回函地址"/>
    <w:basedOn w:val="1"/>
    <w:qFormat/>
    <w:uiPriority w:val="0"/>
    <w:rPr>
      <w:szCs w:val="20"/>
    </w:rPr>
  </w:style>
  <w:style w:type="paragraph" w:customStyle="1" w:styleId="272">
    <w:name w:val="样式23"/>
    <w:basedOn w:val="273"/>
    <w:qFormat/>
    <w:uiPriority w:val="0"/>
    <w:pPr>
      <w:tabs>
        <w:tab w:val="left" w:pos="420"/>
      </w:tabs>
      <w:adjustRightInd w:val="0"/>
      <w:snapToGrid w:val="0"/>
      <w:spacing w:after="0" w:line="240" w:lineRule="auto"/>
    </w:pPr>
    <w:rPr>
      <w:szCs w:val="20"/>
    </w:rPr>
  </w:style>
  <w:style w:type="paragraph" w:customStyle="1" w:styleId="273">
    <w:name w:val="小点说明"/>
    <w:basedOn w:val="1"/>
    <w:qFormat/>
    <w:uiPriority w:val="0"/>
    <w:pPr>
      <w:tabs>
        <w:tab w:val="left" w:pos="420"/>
      </w:tabs>
      <w:spacing w:after="80" w:line="360" w:lineRule="auto"/>
      <w:ind w:left="420" w:hanging="420"/>
    </w:pPr>
    <w:rPr>
      <w:sz w:val="24"/>
    </w:rPr>
  </w:style>
  <w:style w:type="paragraph" w:customStyle="1" w:styleId="274">
    <w:name w:val="样式 正文文本正文文字 + 首行缩进:  2 字符"/>
    <w:basedOn w:val="20"/>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75">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6">
    <w:name w:val="font9"/>
    <w:basedOn w:val="1"/>
    <w:qFormat/>
    <w:uiPriority w:val="0"/>
    <w:pPr>
      <w:widowControl/>
      <w:spacing w:before="100" w:beforeAutospacing="1" w:after="100" w:afterAutospacing="1"/>
      <w:jc w:val="left"/>
    </w:pPr>
    <w:rPr>
      <w:color w:val="000000"/>
      <w:kern w:val="0"/>
      <w:sz w:val="20"/>
      <w:szCs w:val="20"/>
    </w:rPr>
  </w:style>
  <w:style w:type="paragraph" w:customStyle="1" w:styleId="277">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78">
    <w:name w:val="Pa5"/>
    <w:basedOn w:val="1"/>
    <w:next w:val="1"/>
    <w:qFormat/>
    <w:uiPriority w:val="0"/>
    <w:pPr>
      <w:spacing w:line="241" w:lineRule="auto"/>
      <w:ind w:firstLine="1680" w:firstLineChars="200"/>
    </w:pPr>
    <w:rPr>
      <w:rFonts w:ascii="EtGsHeiBold" w:eastAsia="EtGsHeiBold"/>
      <w:sz w:val="24"/>
    </w:rPr>
  </w:style>
  <w:style w:type="paragraph" w:customStyle="1" w:styleId="279">
    <w:name w:val="首行缩进"/>
    <w:basedOn w:val="1"/>
    <w:qFormat/>
    <w:uiPriority w:val="0"/>
    <w:pPr>
      <w:spacing w:line="360" w:lineRule="auto"/>
      <w:ind w:firstLine="720"/>
    </w:pPr>
    <w:rPr>
      <w:szCs w:val="21"/>
    </w:rPr>
  </w:style>
  <w:style w:type="paragraph" w:customStyle="1" w:styleId="280">
    <w:name w:val="正文段"/>
    <w:basedOn w:val="1"/>
    <w:qFormat/>
    <w:uiPriority w:val="0"/>
    <w:pPr>
      <w:widowControl/>
      <w:snapToGrid w:val="0"/>
      <w:spacing w:afterLines="50"/>
      <w:ind w:firstLine="200" w:firstLineChars="200"/>
    </w:pPr>
    <w:rPr>
      <w:kern w:val="0"/>
      <w:sz w:val="24"/>
      <w:szCs w:val="20"/>
    </w:rPr>
  </w:style>
  <w:style w:type="paragraph" w:customStyle="1" w:styleId="281">
    <w:name w:val="样式 A正文 + 首行缩进:  0 字符"/>
    <w:basedOn w:val="228"/>
    <w:qFormat/>
    <w:uiPriority w:val="0"/>
    <w:pPr>
      <w:spacing w:line="240" w:lineRule="auto"/>
      <w:ind w:firstLine="0" w:firstLineChars="0"/>
    </w:pPr>
    <w:rPr>
      <w:rFonts w:cs="宋体"/>
      <w:szCs w:val="20"/>
    </w:rPr>
  </w:style>
  <w:style w:type="paragraph" w:customStyle="1" w:styleId="282">
    <w:name w:val="TOC 标题1"/>
    <w:basedOn w:val="3"/>
    <w:next w:val="1"/>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83">
    <w:name w:val="xl78"/>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84">
    <w:name w:val="首行缩进:  2 字符"/>
    <w:basedOn w:val="1"/>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85">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6">
    <w:name w:val="Char Char1 Char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87">
    <w:name w:val="È±Ê¡ÎÄ±¾:1"/>
    <w:basedOn w:val="1"/>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88">
    <w:name w:val="网格表 31"/>
    <w:basedOn w:val="3"/>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89">
    <w:name w:val="二级编号"/>
    <w:basedOn w:val="1"/>
    <w:qFormat/>
    <w:uiPriority w:val="0"/>
    <w:pPr>
      <w:tabs>
        <w:tab w:val="left" w:pos="851"/>
      </w:tabs>
      <w:spacing w:line="360" w:lineRule="auto"/>
      <w:jc w:val="left"/>
    </w:pPr>
    <w:rPr>
      <w:rFonts w:cs="宋体"/>
      <w:sz w:val="24"/>
      <w:szCs w:val="20"/>
    </w:rPr>
  </w:style>
  <w:style w:type="paragraph" w:customStyle="1" w:styleId="290">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1">
    <w:name w:val="彩色底纹 - 着色 11"/>
    <w:semiHidden/>
    <w:qFormat/>
    <w:uiPriority w:val="99"/>
    <w:rPr>
      <w:rFonts w:ascii="Times New Roman" w:hAnsi="Times New Roman" w:eastAsia="宋体" w:cs="Times New Roman"/>
      <w:kern w:val="2"/>
      <w:sz w:val="21"/>
      <w:szCs w:val="24"/>
      <w:lang w:val="en-US" w:eastAsia="zh-CN" w:bidi="ar-SA"/>
    </w:rPr>
  </w:style>
  <w:style w:type="paragraph" w:customStyle="1" w:styleId="292">
    <w:name w:val="font5"/>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293">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4">
    <w:name w:val="p0"/>
    <w:basedOn w:val="1"/>
    <w:qFormat/>
    <w:uiPriority w:val="0"/>
    <w:pPr>
      <w:widowControl/>
      <w:jc w:val="left"/>
    </w:pPr>
    <w:rPr>
      <w:rFonts w:ascii="宋体" w:hAnsi="宋体"/>
      <w:kern w:val="0"/>
      <w:sz w:val="20"/>
      <w:szCs w:val="20"/>
    </w:rPr>
  </w:style>
  <w:style w:type="paragraph" w:customStyle="1" w:styleId="295">
    <w:name w:val="Char Char"/>
    <w:basedOn w:val="1"/>
    <w:qFormat/>
    <w:uiPriority w:val="0"/>
    <w:pPr>
      <w:jc w:val="center"/>
    </w:pPr>
    <w:rPr>
      <w:rFonts w:ascii="仿宋_GB2312" w:eastAsia="仿宋_GB2312"/>
      <w:b/>
      <w:kern w:val="0"/>
      <w:sz w:val="32"/>
      <w:szCs w:val="32"/>
      <w:lang w:val="en-GB"/>
    </w:rPr>
  </w:style>
  <w:style w:type="paragraph" w:customStyle="1" w:styleId="296">
    <w:name w:val="contentnoteheader"/>
    <w:basedOn w:val="1"/>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297">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98">
    <w:name w:val="正文首行缩进11"/>
    <w:basedOn w:val="20"/>
    <w:qFormat/>
    <w:uiPriority w:val="0"/>
    <w:pPr>
      <w:spacing w:line="360" w:lineRule="auto"/>
      <w:ind w:firstLine="420" w:firstLineChars="100"/>
    </w:pPr>
    <w:rPr>
      <w:rFonts w:ascii="Courier New" w:hAnsi="Courier New" w:eastAsia="仿宋_GB2312"/>
      <w:szCs w:val="22"/>
    </w:rPr>
  </w:style>
  <w:style w:type="paragraph" w:customStyle="1" w:styleId="299">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00">
    <w:name w:val="p16"/>
    <w:basedOn w:val="1"/>
    <w:qFormat/>
    <w:uiPriority w:val="0"/>
    <w:pPr>
      <w:widowControl/>
    </w:pPr>
    <w:rPr>
      <w:rFonts w:ascii="Arial" w:hAnsi="Arial" w:cs="Arial"/>
      <w:color w:val="333333"/>
      <w:kern w:val="0"/>
      <w:sz w:val="18"/>
      <w:szCs w:val="18"/>
    </w:rPr>
  </w:style>
  <w:style w:type="paragraph" w:customStyle="1" w:styleId="301">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2">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03">
    <w:name w:val="默认段落字体 Para Char Char Char Char Char Char Char Char Char1 Char Char Char Char"/>
    <w:basedOn w:val="1"/>
    <w:qFormat/>
    <w:uiPriority w:val="0"/>
    <w:rPr>
      <w:rFonts w:ascii="Tahoma" w:hAnsi="Tahoma"/>
      <w:sz w:val="24"/>
      <w:szCs w:val="20"/>
    </w:rPr>
  </w:style>
  <w:style w:type="paragraph" w:customStyle="1" w:styleId="304">
    <w:name w:val="样式26"/>
    <w:basedOn w:val="305"/>
    <w:qFormat/>
    <w:uiPriority w:val="0"/>
    <w:pPr>
      <w:tabs>
        <w:tab w:val="left" w:pos="180"/>
        <w:tab w:val="left" w:pos="1580"/>
      </w:tabs>
      <w:ind w:left="1603" w:hanging="363"/>
    </w:pPr>
  </w:style>
  <w:style w:type="paragraph" w:customStyle="1" w:styleId="305">
    <w:name w:val="样式25"/>
    <w:basedOn w:val="1"/>
    <w:qFormat/>
    <w:uiPriority w:val="0"/>
    <w:pPr>
      <w:tabs>
        <w:tab w:val="left" w:pos="180"/>
      </w:tabs>
      <w:ind w:left="1260" w:hanging="720"/>
    </w:pPr>
    <w:rPr>
      <w:sz w:val="24"/>
      <w:szCs w:val="20"/>
    </w:rPr>
  </w:style>
  <w:style w:type="paragraph" w:customStyle="1" w:styleId="306">
    <w:name w:val="Char Char Char Char Char Char11"/>
    <w:basedOn w:val="1"/>
    <w:qFormat/>
    <w:uiPriority w:val="0"/>
    <w:pPr>
      <w:spacing w:line="360" w:lineRule="auto"/>
      <w:ind w:firstLine="200" w:firstLineChars="200"/>
    </w:pPr>
    <w:rPr>
      <w:rFonts w:ascii="Tahoma" w:hAnsi="Tahoma" w:cs="Tahoma"/>
      <w:sz w:val="24"/>
    </w:rPr>
  </w:style>
  <w:style w:type="paragraph" w:customStyle="1" w:styleId="307">
    <w:name w:val="列出段落21"/>
    <w:basedOn w:val="1"/>
    <w:qFormat/>
    <w:uiPriority w:val="0"/>
    <w:pPr>
      <w:kinsoku w:val="0"/>
      <w:overflowPunct w:val="0"/>
      <w:snapToGrid w:val="0"/>
      <w:spacing w:line="360" w:lineRule="auto"/>
      <w:ind w:firstLine="420" w:firstLineChars="200"/>
      <w:jc w:val="left"/>
    </w:pPr>
    <w:rPr>
      <w:kern w:val="0"/>
      <w:szCs w:val="21"/>
    </w:rPr>
  </w:style>
  <w:style w:type="paragraph" w:customStyle="1" w:styleId="308">
    <w:name w:val="style1"/>
    <w:basedOn w:val="1"/>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309">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0">
    <w:name w:val="Char Char Char Char Char Char"/>
    <w:basedOn w:val="1"/>
    <w:qFormat/>
    <w:uiPriority w:val="0"/>
    <w:pPr>
      <w:ind w:firstLine="200" w:firstLineChars="200"/>
    </w:pPr>
    <w:rPr>
      <w:szCs w:val="20"/>
    </w:rPr>
  </w:style>
  <w:style w:type="paragraph" w:customStyle="1" w:styleId="311">
    <w:name w:val="样式 标题 3列表编号3h33rd level + 段前: 1 行"/>
    <w:basedOn w:val="5"/>
    <w:qFormat/>
    <w:uiPriority w:val="0"/>
    <w:pPr>
      <w:keepNext w:val="0"/>
      <w:keepLines w:val="0"/>
      <w:adjustRightInd w:val="0"/>
      <w:spacing w:before="312" w:afterLines="50" w:line="360" w:lineRule="auto"/>
      <w:jc w:val="both"/>
    </w:pPr>
    <w:rPr>
      <w:rFonts w:ascii="宋体" w:eastAsia="宋体"/>
      <w:bCs w:val="0"/>
      <w:sz w:val="21"/>
      <w:szCs w:val="20"/>
    </w:rPr>
  </w:style>
  <w:style w:type="paragraph" w:customStyle="1" w:styleId="312">
    <w:name w:val="表内文字"/>
    <w:basedOn w:val="1"/>
    <w:qFormat/>
    <w:uiPriority w:val="0"/>
    <w:pPr>
      <w:tabs>
        <w:tab w:val="left" w:pos="1418"/>
      </w:tabs>
      <w:spacing w:line="360" w:lineRule="auto"/>
      <w:jc w:val="center"/>
    </w:pPr>
    <w:rPr>
      <w:rFonts w:ascii="仿宋_GB2312" w:eastAsia="仿宋_GB2312"/>
      <w:spacing w:val="-20"/>
      <w:kern w:val="0"/>
      <w:sz w:val="24"/>
    </w:rPr>
  </w:style>
  <w:style w:type="paragraph" w:customStyle="1" w:styleId="313">
    <w:name w:val="正文首行缩进1"/>
    <w:qFormat/>
    <w:uiPriority w:val="0"/>
    <w:pPr>
      <w:spacing w:after="120"/>
      <w:ind w:firstLine="420" w:firstLineChars="100"/>
    </w:pPr>
    <w:rPr>
      <w:rFonts w:ascii="Times New Roman" w:hAnsi="Times New Roman" w:eastAsia="宋体" w:cs="Times New Roman"/>
      <w:lang w:val="en-US" w:eastAsia="zh-CN" w:bidi="ar-SA"/>
    </w:rPr>
  </w:style>
  <w:style w:type="paragraph" w:customStyle="1" w:styleId="314">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5">
    <w:name w:val="Char Char1 Char"/>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316">
    <w:name w:val="样式 正文缩进 + 首行缩进:  2 字符"/>
    <w:basedOn w:val="14"/>
    <w:qFormat/>
    <w:uiPriority w:val="0"/>
    <w:pPr>
      <w:spacing w:after="80" w:line="360" w:lineRule="auto"/>
      <w:ind w:firstLine="480" w:firstLineChars="200"/>
    </w:pPr>
    <w:rPr>
      <w:sz w:val="24"/>
    </w:rPr>
  </w:style>
  <w:style w:type="paragraph" w:customStyle="1" w:styleId="317">
    <w:name w:val="标题4"/>
    <w:basedOn w:val="1"/>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318">
    <w:name w:val="样式22"/>
    <w:basedOn w:val="5"/>
    <w:qFormat/>
    <w:uiPriority w:val="0"/>
    <w:pPr>
      <w:tabs>
        <w:tab w:val="left" w:pos="1080"/>
      </w:tabs>
      <w:spacing w:before="0" w:after="0" w:line="240" w:lineRule="auto"/>
      <w:ind w:left="1260" w:hanging="420"/>
      <w:jc w:val="both"/>
    </w:pPr>
    <w:rPr>
      <w:rFonts w:eastAsia="宋体"/>
      <w:sz w:val="28"/>
    </w:rPr>
  </w:style>
  <w:style w:type="paragraph" w:customStyle="1" w:styleId="319">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0">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1">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2">
    <w:name w:val="样式7"/>
    <w:basedOn w:val="1"/>
    <w:qFormat/>
    <w:uiPriority w:val="0"/>
    <w:pPr>
      <w:spacing w:beforeLines="30" w:afterLines="30" w:line="480" w:lineRule="exact"/>
      <w:ind w:left="840" w:leftChars="400" w:firstLine="480" w:firstLineChars="200"/>
    </w:pPr>
    <w:rPr>
      <w:rFonts w:cs="宋体"/>
      <w:sz w:val="24"/>
    </w:rPr>
  </w:style>
  <w:style w:type="paragraph" w:customStyle="1" w:styleId="323">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4">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5">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6">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7">
    <w:name w:val="xl26"/>
    <w:basedOn w:val="1"/>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328">
    <w:name w:val="列出段落211"/>
    <w:basedOn w:val="1"/>
    <w:qFormat/>
    <w:uiPriority w:val="0"/>
    <w:pPr>
      <w:kinsoku w:val="0"/>
      <w:overflowPunct w:val="0"/>
      <w:snapToGrid w:val="0"/>
      <w:spacing w:line="360" w:lineRule="auto"/>
      <w:ind w:firstLine="420" w:firstLineChars="200"/>
      <w:jc w:val="left"/>
    </w:pPr>
    <w:rPr>
      <w:kern w:val="0"/>
      <w:szCs w:val="21"/>
    </w:rPr>
  </w:style>
  <w:style w:type="paragraph" w:customStyle="1" w:styleId="329">
    <w:name w:val="xl77"/>
    <w:basedOn w:val="1"/>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330">
    <w:name w:val="Char"/>
    <w:basedOn w:val="1"/>
    <w:qFormat/>
    <w:uiPriority w:val="0"/>
    <w:rPr>
      <w:rFonts w:ascii="仿宋_GB2312" w:eastAsia="仿宋_GB2312"/>
      <w:b/>
      <w:sz w:val="32"/>
      <w:szCs w:val="32"/>
    </w:rPr>
  </w:style>
  <w:style w:type="paragraph" w:customStyle="1" w:styleId="331">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32">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333">
    <w:name w:val="标题1"/>
    <w:basedOn w:val="3"/>
    <w:next w:val="1"/>
    <w:qFormat/>
    <w:uiPriority w:val="0"/>
    <w:pPr>
      <w:numPr>
        <w:ilvl w:val="0"/>
        <w:numId w:val="2"/>
      </w:numPr>
      <w:spacing w:before="0" w:after="0" w:line="360" w:lineRule="auto"/>
      <w:jc w:val="left"/>
    </w:pPr>
    <w:rPr>
      <w:rFonts w:ascii="华文中宋" w:hAnsi="华文中宋" w:eastAsia="华文中宋"/>
      <w:szCs w:val="36"/>
    </w:rPr>
  </w:style>
  <w:style w:type="paragraph" w:customStyle="1" w:styleId="334">
    <w:name w:val="Char Char Char Char Char Char1"/>
    <w:basedOn w:val="1"/>
    <w:qFormat/>
    <w:uiPriority w:val="0"/>
    <w:pPr>
      <w:spacing w:line="360" w:lineRule="auto"/>
      <w:ind w:firstLine="200" w:firstLineChars="200"/>
    </w:pPr>
    <w:rPr>
      <w:rFonts w:ascii="Tahoma" w:hAnsi="Tahoma" w:cs="Tahoma"/>
      <w:sz w:val="24"/>
    </w:rPr>
  </w:style>
  <w:style w:type="paragraph" w:customStyle="1" w:styleId="335">
    <w:name w:val="ÕýÎÄ 1"/>
    <w:basedOn w:val="1"/>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336">
    <w:name w:val="Figure"/>
    <w:basedOn w:val="1"/>
    <w:next w:val="337"/>
    <w:qFormat/>
    <w:uiPriority w:val="0"/>
    <w:pPr>
      <w:keepNext/>
      <w:keepLines/>
      <w:ind w:left="1134"/>
      <w:jc w:val="center"/>
    </w:pPr>
  </w:style>
  <w:style w:type="paragraph" w:customStyle="1" w:styleId="337">
    <w:name w:val="Figure Description"/>
    <w:basedOn w:val="336"/>
    <w:next w:val="111"/>
    <w:qFormat/>
    <w:uiPriority w:val="0"/>
    <w:pPr>
      <w:tabs>
        <w:tab w:val="left" w:pos="680"/>
      </w:tabs>
      <w:spacing w:afterLines="100"/>
    </w:pPr>
    <w:rPr>
      <w:sz w:val="18"/>
    </w:rPr>
  </w:style>
  <w:style w:type="paragraph" w:customStyle="1" w:styleId="338">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39">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40">
    <w:name w:val="样式 楷体_GB2312 小四 Char Char Char Char Char Char Char Char Char Char Char Char"/>
    <w:basedOn w:val="1"/>
    <w:next w:val="1"/>
    <w:qFormat/>
    <w:uiPriority w:val="0"/>
    <w:pPr>
      <w:spacing w:line="360" w:lineRule="auto"/>
    </w:pPr>
    <w:rPr>
      <w:rFonts w:ascii="楷体_GB2312" w:eastAsia="楷体_GB2312"/>
      <w:sz w:val="24"/>
    </w:rPr>
  </w:style>
  <w:style w:type="paragraph" w:customStyle="1" w:styleId="341">
    <w:name w:val="p19"/>
    <w:basedOn w:val="1"/>
    <w:qFormat/>
    <w:uiPriority w:val="0"/>
    <w:pPr>
      <w:widowControl/>
      <w:spacing w:beforeLines="100" w:afterLines="100"/>
      <w:ind w:left="1134"/>
    </w:pPr>
    <w:rPr>
      <w:kern w:val="0"/>
      <w:szCs w:val="21"/>
    </w:rPr>
  </w:style>
  <w:style w:type="paragraph" w:customStyle="1" w:styleId="342">
    <w:name w:val="正文文本2"/>
    <w:basedOn w:val="1"/>
    <w:qFormat/>
    <w:uiPriority w:val="0"/>
    <w:pPr>
      <w:autoSpaceDE w:val="0"/>
      <w:autoSpaceDN w:val="0"/>
      <w:adjustRightInd w:val="0"/>
      <w:spacing w:before="60" w:after="60" w:line="360" w:lineRule="auto"/>
      <w:ind w:firstLine="425" w:firstLineChars="200"/>
      <w:textAlignment w:val="baseline"/>
    </w:pPr>
    <w:rPr>
      <w:rFonts w:ascii="宋体" w:hAnsi="Tms Rmn"/>
      <w:kern w:val="0"/>
      <w:sz w:val="24"/>
      <w:szCs w:val="20"/>
    </w:rPr>
  </w:style>
  <w:style w:type="paragraph" w:customStyle="1" w:styleId="343">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4">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5">
    <w:name w:val="±íÏî"/>
    <w:basedOn w:val="1"/>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46">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7">
    <w:name w:val="Char Char11"/>
    <w:basedOn w:val="1"/>
    <w:qFormat/>
    <w:uiPriority w:val="0"/>
    <w:pPr>
      <w:widowControl/>
      <w:jc w:val="left"/>
    </w:pPr>
    <w:rPr>
      <w:sz w:val="36"/>
    </w:rPr>
  </w:style>
  <w:style w:type="paragraph" w:customStyle="1" w:styleId="348">
    <w:name w:val="xl80"/>
    <w:basedOn w:val="1"/>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49">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50">
    <w:name w:val="正文符号1"/>
    <w:basedOn w:val="265"/>
    <w:qFormat/>
    <w:uiPriority w:val="0"/>
    <w:pPr>
      <w:tabs>
        <w:tab w:val="left" w:pos="1080"/>
      </w:tabs>
      <w:ind w:left="1134" w:firstLine="0" w:firstLineChars="0"/>
    </w:pPr>
  </w:style>
  <w:style w:type="paragraph" w:customStyle="1" w:styleId="351">
    <w:name w:val="列项——"/>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352">
    <w:name w:val="itemlistintable"/>
    <w:basedOn w:val="1"/>
    <w:qFormat/>
    <w:uiPriority w:val="0"/>
    <w:pPr>
      <w:widowControl/>
      <w:spacing w:before="100" w:beforeAutospacing="1" w:after="100" w:afterAutospacing="1"/>
      <w:jc w:val="left"/>
    </w:pPr>
    <w:rPr>
      <w:rFonts w:ascii="宋体" w:hAnsi="宋体" w:cs="宋体"/>
      <w:kern w:val="0"/>
      <w:sz w:val="24"/>
    </w:rPr>
  </w:style>
  <w:style w:type="paragraph" w:customStyle="1" w:styleId="353">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4">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55">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56">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57">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358">
    <w:name w:val="È±Ê¡ÎÄ±¾"/>
    <w:basedOn w:val="1"/>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59">
    <w:name w:val="图片"/>
    <w:basedOn w:val="1"/>
    <w:next w:val="1"/>
    <w:qFormat/>
    <w:uiPriority w:val="0"/>
    <w:pPr>
      <w:jc w:val="center"/>
    </w:pPr>
  </w:style>
  <w:style w:type="paragraph" w:customStyle="1" w:styleId="360">
    <w:name w:val="Item Step in Table"/>
    <w:basedOn w:val="1"/>
    <w:qFormat/>
    <w:uiPriority w:val="0"/>
    <w:pPr>
      <w:tabs>
        <w:tab w:val="left" w:pos="420"/>
      </w:tabs>
      <w:ind w:left="420" w:hanging="420"/>
      <w:jc w:val="left"/>
    </w:pPr>
  </w:style>
  <w:style w:type="paragraph" w:customStyle="1" w:styleId="361">
    <w:name w:val="默认段落字体 Para Char"/>
    <w:basedOn w:val="1"/>
    <w:qFormat/>
    <w:uiPriority w:val="0"/>
    <w:rPr>
      <w:szCs w:val="20"/>
    </w:rPr>
  </w:style>
  <w:style w:type="paragraph" w:customStyle="1" w:styleId="362">
    <w:name w:val="文档正文"/>
    <w:basedOn w:val="1"/>
    <w:qFormat/>
    <w:uiPriority w:val="0"/>
    <w:pPr>
      <w:adjustRightInd w:val="0"/>
      <w:spacing w:line="312" w:lineRule="atLeast"/>
      <w:ind w:firstLine="567"/>
      <w:textAlignment w:val="baseline"/>
    </w:pPr>
    <w:rPr>
      <w:rFonts w:ascii="长城仿宋" w:eastAsia="长城仿宋"/>
      <w:kern w:val="0"/>
      <w:sz w:val="28"/>
    </w:rPr>
  </w:style>
  <w:style w:type="paragraph" w:customStyle="1" w:styleId="363">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64">
    <w:name w:val="5"/>
    <w:qFormat/>
    <w:uiPriority w:val="0"/>
    <w:rPr>
      <w:rFonts w:ascii="Times New Roman" w:hAnsi="Times New Roman" w:eastAsia="宋体" w:cs="Times New Roman"/>
      <w:kern w:val="2"/>
      <w:sz w:val="21"/>
      <w:szCs w:val="22"/>
      <w:lang w:val="en-US" w:eastAsia="zh-CN" w:bidi="ar-SA"/>
    </w:rPr>
  </w:style>
  <w:style w:type="paragraph" w:customStyle="1" w:styleId="365">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66">
    <w:name w:val="方案正文"/>
    <w:basedOn w:val="1"/>
    <w:qFormat/>
    <w:uiPriority w:val="0"/>
    <w:pPr>
      <w:adjustRightInd w:val="0"/>
      <w:snapToGrid w:val="0"/>
      <w:spacing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67">
    <w:name w:val="Char111"/>
    <w:basedOn w:val="1"/>
    <w:qFormat/>
    <w:uiPriority w:val="0"/>
    <w:rPr>
      <w:rFonts w:ascii="仿宋_GB2312" w:hAnsi="宋体" w:eastAsia="仿宋_GB2312" w:cs="宋体"/>
      <w:b/>
      <w:sz w:val="32"/>
      <w:szCs w:val="32"/>
    </w:rPr>
  </w:style>
  <w:style w:type="paragraph" w:customStyle="1" w:styleId="368">
    <w:name w:val="正文缩进2"/>
    <w:basedOn w:val="1"/>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69">
    <w:name w:val="Item List in Table"/>
    <w:basedOn w:val="1"/>
    <w:qFormat/>
    <w:uiPriority w:val="0"/>
    <w:pPr>
      <w:numPr>
        <w:ilvl w:val="0"/>
        <w:numId w:val="3"/>
      </w:numPr>
      <w:jc w:val="left"/>
    </w:pPr>
  </w:style>
  <w:style w:type="paragraph" w:customStyle="1" w:styleId="370">
    <w:name w:val="Table Heading"/>
    <w:basedOn w:val="1"/>
    <w:qFormat/>
    <w:uiPriority w:val="0"/>
    <w:pPr>
      <w:jc w:val="center"/>
    </w:pPr>
    <w:rPr>
      <w:rFonts w:ascii="Arial" w:hAnsi="Arial" w:eastAsia="黑体"/>
      <w:b/>
    </w:rPr>
  </w:style>
  <w:style w:type="paragraph" w:customStyle="1" w:styleId="371">
    <w:name w:val="默认段落字体 Para Char Char Char Char"/>
    <w:basedOn w:val="1"/>
    <w:qFormat/>
    <w:uiPriority w:val="0"/>
    <w:pPr>
      <w:adjustRightInd w:val="0"/>
      <w:spacing w:line="360" w:lineRule="auto"/>
      <w:ind w:firstLine="1680" w:firstLineChars="200"/>
    </w:pPr>
    <w:rPr>
      <w:kern w:val="0"/>
      <w:sz w:val="24"/>
      <w:szCs w:val="20"/>
    </w:rPr>
  </w:style>
  <w:style w:type="paragraph" w:customStyle="1" w:styleId="372">
    <w:name w:val="font8"/>
    <w:basedOn w:val="1"/>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73">
    <w:name w:val="_Style 3"/>
    <w:basedOn w:val="1"/>
    <w:qFormat/>
    <w:uiPriority w:val="34"/>
    <w:pPr>
      <w:spacing w:line="360" w:lineRule="auto"/>
      <w:ind w:firstLine="420" w:firstLineChars="200"/>
    </w:pPr>
    <w:rPr>
      <w:rFonts w:ascii="Calibri" w:hAnsi="Calibri"/>
      <w:szCs w:val="22"/>
    </w:rPr>
  </w:style>
  <w:style w:type="paragraph" w:customStyle="1" w:styleId="374">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75">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76">
    <w:name w:val="Table Text"/>
    <w:basedOn w:val="1"/>
    <w:qFormat/>
    <w:uiPriority w:val="0"/>
    <w:rPr>
      <w:sz w:val="18"/>
    </w:rPr>
  </w:style>
  <w:style w:type="paragraph" w:customStyle="1" w:styleId="377">
    <w:name w:val="次小点说明"/>
    <w:basedOn w:val="14"/>
    <w:qFormat/>
    <w:uiPriority w:val="0"/>
    <w:pPr>
      <w:tabs>
        <w:tab w:val="left" w:pos="720"/>
      </w:tabs>
      <w:spacing w:line="360" w:lineRule="auto"/>
      <w:ind w:left="777" w:hanging="417"/>
    </w:pPr>
    <w:rPr>
      <w:sz w:val="24"/>
    </w:rPr>
  </w:style>
  <w:style w:type="paragraph" w:customStyle="1" w:styleId="378">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79">
    <w:name w:val="此正文"/>
    <w:basedOn w:val="1"/>
    <w:qFormat/>
    <w:uiPriority w:val="0"/>
    <w:pPr>
      <w:spacing w:line="360" w:lineRule="auto"/>
      <w:ind w:firstLine="200" w:firstLineChars="200"/>
    </w:pPr>
    <w:rPr>
      <w:sz w:val="24"/>
    </w:rPr>
  </w:style>
  <w:style w:type="paragraph" w:customStyle="1" w:styleId="380">
    <w:name w:val="方案标题4"/>
    <w:basedOn w:val="6"/>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81">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2">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3">
    <w:name w:val="列表1"/>
    <w:basedOn w:val="1"/>
    <w:qFormat/>
    <w:uiPriority w:val="0"/>
    <w:pPr>
      <w:adjustRightInd w:val="0"/>
      <w:spacing w:line="360" w:lineRule="auto"/>
      <w:ind w:left="902" w:hanging="482"/>
      <w:textAlignment w:val="baseline"/>
    </w:pPr>
    <w:rPr>
      <w:rFonts w:ascii="昆仑仿宋" w:eastAsia="昆仑仿宋"/>
      <w:kern w:val="0"/>
      <w:szCs w:val="20"/>
    </w:rPr>
  </w:style>
  <w:style w:type="paragraph" w:customStyle="1" w:styleId="384">
    <w:name w:val="项目正文"/>
    <w:basedOn w:val="1"/>
    <w:qFormat/>
    <w:uiPriority w:val="0"/>
    <w:pPr>
      <w:ind w:left="420" w:hanging="420"/>
    </w:pPr>
    <w:rPr>
      <w:sz w:val="28"/>
      <w:szCs w:val="20"/>
    </w:rPr>
  </w:style>
  <w:style w:type="paragraph" w:customStyle="1" w:styleId="385">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86">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7">
    <w:name w:val="正文2 Char Char Char Char Char Char Char Char Char Char Char Char1 Char Char Char Char Char Char Char 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388">
    <w:name w:val="段落正文 Char Char"/>
    <w:basedOn w:val="1"/>
    <w:qFormat/>
    <w:uiPriority w:val="0"/>
    <w:pPr>
      <w:spacing w:line="360" w:lineRule="auto"/>
      <w:ind w:firstLine="461" w:firstLineChars="192"/>
    </w:pPr>
    <w:rPr>
      <w:rFonts w:ascii="宋体" w:hAnsi="宋体"/>
      <w:sz w:val="24"/>
    </w:rPr>
  </w:style>
  <w:style w:type="paragraph" w:customStyle="1" w:styleId="389">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90">
    <w:name w:val="p18"/>
    <w:basedOn w:val="1"/>
    <w:qFormat/>
    <w:uiPriority w:val="0"/>
    <w:pPr>
      <w:widowControl/>
      <w:spacing w:afterLines="100"/>
      <w:ind w:left="1134"/>
      <w:jc w:val="center"/>
    </w:pPr>
    <w:rPr>
      <w:kern w:val="0"/>
      <w:sz w:val="18"/>
      <w:szCs w:val="18"/>
    </w:rPr>
  </w:style>
  <w:style w:type="paragraph" w:customStyle="1" w:styleId="391">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92">
    <w:name w:val="xl76"/>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93">
    <w:name w:val="±íÌâ"/>
    <w:basedOn w:val="1"/>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94">
    <w:name w:val="Char2"/>
    <w:basedOn w:val="1"/>
    <w:qFormat/>
    <w:uiPriority w:val="0"/>
    <w:pPr>
      <w:spacing w:line="240" w:lineRule="atLeast"/>
      <w:ind w:left="420" w:firstLine="420"/>
    </w:pPr>
  </w:style>
  <w:style w:type="paragraph" w:customStyle="1" w:styleId="395">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396">
    <w:name w:val="网格型1"/>
    <w:basedOn w:val="52"/>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97">
    <w:name w:val="NormalCharacter"/>
    <w:semiHidden/>
    <w:qFormat/>
    <w:uiPriority w:val="0"/>
    <w:rPr>
      <w:kern w:val="2"/>
      <w:sz w:val="21"/>
      <w:szCs w:val="24"/>
      <w:lang w:val="en-US" w:eastAsia="zh-CN" w:bidi="ar-SA"/>
    </w:rPr>
  </w:style>
  <w:style w:type="character" w:customStyle="1" w:styleId="398">
    <w:name w:val="font121"/>
    <w:basedOn w:val="54"/>
    <w:qFormat/>
    <w:uiPriority w:val="0"/>
    <w:rPr>
      <w:rFonts w:hint="eastAsia" w:ascii="微软雅黑" w:hAnsi="微软雅黑" w:eastAsia="微软雅黑" w:cs="微软雅黑"/>
      <w:color w:val="000000"/>
      <w:sz w:val="20"/>
      <w:szCs w:val="20"/>
      <w:u w:val="none"/>
    </w:rPr>
  </w:style>
  <w:style w:type="paragraph" w:customStyle="1" w:styleId="399">
    <w:name w:val="表格文字"/>
    <w:basedOn w:val="1"/>
    <w:next w:val="20"/>
    <w:qFormat/>
    <w:uiPriority w:val="0"/>
    <w:pPr>
      <w:autoSpaceDE w:val="0"/>
      <w:autoSpaceDN w:val="0"/>
      <w:adjustRightInd w:val="0"/>
      <w:spacing w:line="420" w:lineRule="atLeast"/>
      <w:textAlignment w:val="baseline"/>
    </w:pPr>
    <w:rPr>
      <w:color w:val="000000"/>
      <w:kern w:val="0"/>
    </w:rPr>
  </w:style>
  <w:style w:type="paragraph" w:customStyle="1" w:styleId="400">
    <w:name w:val="List Paragraph"/>
    <w:basedOn w:val="1"/>
    <w:qFormat/>
    <w:uiPriority w:val="34"/>
    <w:pPr>
      <w:ind w:firstLine="420" w:firstLineChars="200"/>
    </w:pPr>
  </w:style>
  <w:style w:type="table" w:customStyle="1" w:styleId="401">
    <w:name w:val="Table Normal"/>
    <w:semiHidden/>
    <w:unhideWhenUsed/>
    <w:qFormat/>
    <w:uiPriority w:val="0"/>
    <w:tblPr>
      <w:tblCellMar>
        <w:top w:w="0" w:type="dxa"/>
        <w:left w:w="0" w:type="dxa"/>
        <w:bottom w:w="0" w:type="dxa"/>
        <w:right w:w="0" w:type="dxa"/>
      </w:tblCellMar>
    </w:tblPr>
  </w:style>
  <w:style w:type="paragraph" w:customStyle="1" w:styleId="402">
    <w:name w:val="_Style 1"/>
    <w:qFormat/>
    <w:uiPriority w:val="99"/>
    <w:rPr>
      <w:rFonts w:ascii="Times New Roman" w:hAnsi="Times New Roman" w:eastAsia="宋体" w:cs="Times New Roman"/>
      <w:kern w:val="2"/>
      <w:sz w:val="28"/>
      <w:szCs w:val="22"/>
      <w:lang w:val="en-US" w:eastAsia="zh-CN" w:bidi="ar-SA"/>
    </w:rPr>
  </w:style>
  <w:style w:type="paragraph" w:customStyle="1" w:styleId="403">
    <w:name w:val="_Style 2"/>
    <w:basedOn w:val="1"/>
    <w:qFormat/>
    <w:uiPriority w:val="99"/>
    <w:pPr>
      <w:spacing w:line="360" w:lineRule="auto"/>
      <w:ind w:firstLine="420" w:firstLineChars="200"/>
    </w:pPr>
  </w:style>
  <w:style w:type="paragraph" w:customStyle="1" w:styleId="404">
    <w:name w:val="章正文"/>
    <w:basedOn w:val="1"/>
    <w:qFormat/>
    <w:uiPriority w:val="0"/>
    <w:pPr>
      <w:spacing w:beforeLines="50" w:after="120" w:line="300" w:lineRule="auto"/>
      <w:ind w:firstLine="480"/>
    </w:pPr>
    <w:rPr>
      <w:rFonts w:ascii="Helvetica" w:hAnsi="Helvetica"/>
    </w:rPr>
  </w:style>
  <w:style w:type="paragraph" w:customStyle="1" w:styleId="405">
    <w:name w:val="正文+首行缩进"/>
    <w:basedOn w:val="1"/>
    <w:qFormat/>
    <w:uiPriority w:val="0"/>
    <w:pPr>
      <w:spacing w:line="360" w:lineRule="auto"/>
      <w:ind w:firstLine="200" w:firstLineChars="200"/>
    </w:pPr>
    <w:rPr>
      <w:rFonts w:ascii="宋体" w:hAnsi="宋体"/>
      <w:szCs w:val="28"/>
    </w:rPr>
  </w:style>
  <w:style w:type="paragraph" w:customStyle="1" w:styleId="406">
    <w:name w:val="正文_4"/>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07">
    <w:name w:val="AONormal"/>
    <w:qFormat/>
    <w:uiPriority w:val="0"/>
    <w:pPr>
      <w:autoSpaceDE w:val="0"/>
      <w:autoSpaceDN w:val="0"/>
      <w:adjustRightInd w:val="0"/>
      <w:spacing w:line="400" w:lineRule="exact"/>
      <w:ind w:firstLine="200" w:firstLineChars="200"/>
    </w:pPr>
    <w:rPr>
      <w:rFonts w:ascii="华文楷体" w:hAnsi="华文楷体" w:eastAsia="华文楷体" w:cs="华文楷体"/>
      <w:sz w:val="22"/>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49</Pages>
  <Words>3699</Words>
  <Characters>4188</Characters>
  <Lines>265</Lines>
  <Paragraphs>74</Paragraphs>
  <TotalTime>0</TotalTime>
  <ScaleCrop>false</ScaleCrop>
  <LinksUpToDate>false</LinksUpToDate>
  <CharactersWithSpaces>4293</CharactersWithSpaces>
  <Application>WPS Office_12.1.0.25860_F1E327BC-269C-435d-A152-05C5408002CA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2020-10-07T05:12:00Z</dcterms:created>
  <dc:creator>Sky123.Org</dc:creator>
  <cp:lastModifiedBy>Administrator</cp:lastModifiedBy>
  <cp:lastPrinted>2024-10-14T06:51:00Z</cp:lastPrinted>
  <dcterms:modified xsi:type="dcterms:W3CDTF">2026-04-28T08:34:00Z</dcterms:modified>
  <dc:title>临海市政府采购</dc:title>
  <cp:revision>879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2052-12.1.0.25860</vt:lpwstr>
  </property>
  <property fmtid="{D5CDD505-2E9C-101B-9397-08002B2CF9AE}" pid="3" name="ICV">
    <vt:lpwstr>C785518F1F8B4B00852900FEB16F0205_13</vt:lpwstr>
  </property>
  <property fmtid="{D5CDD505-2E9C-101B-9397-08002B2CF9AE}" pid="4" name="KSOTemplateDocerSaveRecord">
    <vt:lpwstr>eyJoZGlkIjoiYzg4OWRkMmVkYmI1ZWJjYTczMDE5Zjk4NjQ0NDIwZjIiLCJ1c2VySWQiOiIyMzIxMzEwNDAifQ==</vt:lpwstr>
  </property>
</Properties>
</file>