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E0F49E">
      <w:pPr>
        <w:pStyle w:val="20"/>
        <w:rPr>
          <w:rFonts w:ascii="宋体" w:hAnsi="宋体" w:cs="宋体"/>
          <w:b/>
          <w:sz w:val="40"/>
          <w:szCs w:val="36"/>
        </w:rPr>
      </w:pPr>
    </w:p>
    <w:p w14:paraId="6EE41972">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1B17F8ED">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1E1F682C">
      <w:pPr>
        <w:adjustRightInd w:val="0"/>
        <w:snapToGrid w:val="0"/>
        <w:rPr>
          <w:rFonts w:ascii="宋体" w:hAnsi="宋体"/>
          <w:b/>
          <w:bCs/>
          <w:color w:val="auto"/>
          <w:sz w:val="32"/>
          <w:szCs w:val="32"/>
          <w:highlight w:val="none"/>
        </w:rPr>
      </w:pPr>
    </w:p>
    <w:p w14:paraId="23A264C6">
      <w:pPr>
        <w:adjustRightInd w:val="0"/>
        <w:snapToGrid w:val="0"/>
        <w:spacing w:line="360" w:lineRule="auto"/>
        <w:ind w:left="1955" w:hanging="1955" w:hangingChars="541"/>
        <w:jc w:val="center"/>
        <w:rPr>
          <w:rFonts w:ascii="宋体" w:hAnsi="宋体" w:cs="宋体"/>
          <w:b/>
          <w:color w:val="auto"/>
          <w:sz w:val="36"/>
          <w:szCs w:val="32"/>
          <w:highlight w:val="none"/>
        </w:rPr>
      </w:pPr>
      <w:r>
        <w:rPr>
          <w:rFonts w:hint="eastAsia" w:ascii="宋体" w:hAnsi="宋体"/>
          <w:b/>
          <w:bCs/>
          <w:color w:val="auto"/>
          <w:sz w:val="36"/>
          <w:szCs w:val="36"/>
          <w:highlight w:val="none"/>
        </w:rPr>
        <w:t>（电子投标、不见面开标方式）</w:t>
      </w:r>
    </w:p>
    <w:p w14:paraId="39548E0E">
      <w:pPr>
        <w:adjustRightInd w:val="0"/>
        <w:snapToGrid w:val="0"/>
        <w:spacing w:line="360" w:lineRule="auto"/>
        <w:ind w:firstLine="281" w:firstLineChars="100"/>
        <w:rPr>
          <w:rFonts w:hint="eastAsia" w:ascii="宋体" w:hAnsi="宋体"/>
          <w:b/>
          <w:bCs/>
          <w:color w:val="auto"/>
          <w:sz w:val="28"/>
          <w:szCs w:val="28"/>
          <w:highlight w:val="none"/>
        </w:rPr>
      </w:pPr>
    </w:p>
    <w:p w14:paraId="13713365">
      <w:pPr>
        <w:adjustRightInd w:val="0"/>
        <w:snapToGrid w:val="0"/>
        <w:spacing w:line="360" w:lineRule="auto"/>
        <w:ind w:firstLine="281" w:firstLineChars="100"/>
        <w:rPr>
          <w:rFonts w:hint="eastAsia" w:ascii="宋体" w:hAnsi="宋体"/>
          <w:b/>
          <w:bCs/>
          <w:color w:val="auto"/>
          <w:sz w:val="28"/>
          <w:szCs w:val="28"/>
          <w:highlight w:val="none"/>
        </w:rPr>
      </w:pPr>
    </w:p>
    <w:p w14:paraId="7D823520">
      <w:pPr>
        <w:adjustRightInd w:val="0"/>
        <w:snapToGrid w:val="0"/>
        <w:spacing w:line="360" w:lineRule="auto"/>
        <w:ind w:firstLine="281" w:firstLineChars="100"/>
        <w:rPr>
          <w:rFonts w:ascii="宋体" w:hAnsi="宋体"/>
          <w:b/>
          <w:bCs/>
          <w:color w:val="auto"/>
          <w:sz w:val="28"/>
          <w:szCs w:val="28"/>
          <w:highlight w:val="none"/>
        </w:rPr>
      </w:pPr>
      <w:r>
        <w:rPr>
          <w:rFonts w:hint="eastAsia" w:ascii="宋体" w:hAnsi="宋体"/>
          <w:b/>
          <w:bCs/>
          <w:color w:val="auto"/>
          <w:sz w:val="28"/>
          <w:szCs w:val="28"/>
          <w:highlight w:val="none"/>
        </w:rPr>
        <w:t>项目名称</w:t>
      </w:r>
      <w:r>
        <w:rPr>
          <w:rFonts w:hint="eastAsia" w:ascii="宋体" w:hAnsi="宋体" w:eastAsia="宋体" w:cs="Times New Roman"/>
          <w:b/>
          <w:bCs/>
          <w:color w:val="000000"/>
          <w:sz w:val="28"/>
          <w:szCs w:val="28"/>
        </w:rPr>
        <w:t>：</w:t>
      </w:r>
      <w:r>
        <w:rPr>
          <w:rFonts w:hint="eastAsia" w:ascii="宋体" w:hAnsi="宋体"/>
          <w:b/>
          <w:bCs/>
          <w:color w:val="auto"/>
          <w:sz w:val="28"/>
          <w:szCs w:val="28"/>
          <w:highlight w:val="none"/>
          <w:lang w:eastAsia="zh-CN"/>
        </w:rPr>
        <w:t>临海市佩弦湖新时代教育综合学校建设工程智能化项目</w:t>
      </w:r>
    </w:p>
    <w:p w14:paraId="33909B9C">
      <w:pPr>
        <w:pStyle w:val="65"/>
        <w:jc w:val="center"/>
        <w:rPr>
          <w:rFonts w:hint="eastAsia" w:ascii="宋体" w:hAnsi="宋体" w:eastAsia="宋体" w:cs="宋体"/>
          <w:b/>
          <w:sz w:val="40"/>
          <w:szCs w:val="36"/>
          <w:lang w:eastAsia="zh-CN"/>
        </w:rPr>
      </w:pPr>
    </w:p>
    <w:p w14:paraId="27AFCD41">
      <w:pPr>
        <w:spacing w:line="480" w:lineRule="auto"/>
        <w:ind w:firstLine="281" w:firstLineChars="100"/>
        <w:rPr>
          <w:rFonts w:hint="eastAsia" w:ascii="宋体" w:hAnsi="宋体" w:eastAsia="宋体" w:cs="Times New Roman"/>
          <w:b/>
          <w:bCs/>
          <w:color w:val="000000"/>
          <w:sz w:val="28"/>
          <w:szCs w:val="28"/>
        </w:rPr>
      </w:pPr>
    </w:p>
    <w:p w14:paraId="0E9FF6DC">
      <w:pPr>
        <w:pStyle w:val="28"/>
        <w:rPr>
          <w:rFonts w:hint="eastAsia"/>
        </w:rPr>
      </w:pPr>
    </w:p>
    <w:p w14:paraId="2C039E54">
      <w:pPr>
        <w:spacing w:line="480" w:lineRule="auto"/>
        <w:ind w:firstLine="281" w:firstLineChars="100"/>
        <w:rPr>
          <w:rFonts w:hint="eastAsia" w:ascii="宋体" w:hAnsi="宋体" w:eastAsia="宋体" w:cs="Times New Roman"/>
          <w:b/>
          <w:bCs/>
          <w:color w:val="000000"/>
          <w:sz w:val="28"/>
          <w:szCs w:val="28"/>
        </w:rPr>
      </w:pPr>
      <w:r>
        <w:rPr>
          <w:rFonts w:hint="eastAsia" w:ascii="宋体" w:hAnsi="宋体" w:eastAsia="宋体" w:cs="Times New Roman"/>
          <w:b/>
          <w:bCs/>
          <w:color w:val="000000"/>
          <w:sz w:val="28"/>
          <w:szCs w:val="28"/>
        </w:rPr>
        <w:t>招标人：临海市大洋建设投资有限公司</w:t>
      </w:r>
      <w:r>
        <w:rPr>
          <w:rFonts w:hint="eastAsia" w:ascii="宋体" w:hAnsi="宋体" w:eastAsia="宋体" w:cs="Times New Roman"/>
          <w:b/>
          <w:bCs/>
          <w:color w:val="000000"/>
          <w:sz w:val="28"/>
          <w:szCs w:val="28"/>
          <w:lang w:eastAsia="zh-CN"/>
        </w:rPr>
        <w:t>（</w:t>
      </w:r>
      <w:r>
        <w:rPr>
          <w:rFonts w:hint="eastAsia" w:ascii="宋体" w:hAnsi="宋体" w:eastAsia="宋体" w:cs="Times New Roman"/>
          <w:b/>
          <w:bCs/>
          <w:color w:val="000000"/>
          <w:sz w:val="28"/>
          <w:szCs w:val="28"/>
        </w:rPr>
        <w:t>盖章）</w:t>
      </w:r>
    </w:p>
    <w:p w14:paraId="67E66F22">
      <w:pPr>
        <w:spacing w:line="480" w:lineRule="auto"/>
        <w:ind w:firstLine="281" w:firstLineChars="100"/>
        <w:rPr>
          <w:rFonts w:hint="default" w:ascii="宋体" w:hAnsi="宋体" w:eastAsia="宋体" w:cs="宋体"/>
          <w:b/>
          <w:sz w:val="28"/>
          <w:lang w:val="en-US" w:eastAsia="zh-CN"/>
        </w:rPr>
      </w:pPr>
      <w:r>
        <w:rPr>
          <w:rFonts w:hint="eastAsia" w:ascii="宋体" w:hAnsi="宋体" w:eastAsia="宋体" w:cs="Times New Roman"/>
          <w:b/>
          <w:bCs/>
          <w:sz w:val="28"/>
          <w:szCs w:val="28"/>
        </w:rPr>
        <w:t>联 系 人：</w:t>
      </w:r>
      <w:r>
        <w:rPr>
          <w:rFonts w:hint="eastAsia" w:ascii="宋体" w:hAnsi="宋体" w:eastAsia="宋体" w:cs="Times New Roman"/>
          <w:b/>
          <w:bCs/>
          <w:sz w:val="28"/>
          <w:szCs w:val="28"/>
          <w:lang w:val="en-US" w:eastAsia="zh-CN"/>
        </w:rPr>
        <w:t>娄先生</w:t>
      </w:r>
      <w:r>
        <w:rPr>
          <w:rFonts w:hint="eastAsia" w:ascii="宋体" w:hAnsi="宋体" w:eastAsia="宋体" w:cs="Times New Roman"/>
          <w:b/>
          <w:bCs/>
          <w:sz w:val="28"/>
          <w:szCs w:val="28"/>
        </w:rPr>
        <w:t xml:space="preserve">      </w:t>
      </w:r>
      <w:r>
        <w:rPr>
          <w:rFonts w:hint="eastAsia" w:ascii="宋体" w:hAnsi="宋体" w:eastAsia="宋体" w:cs="宋体"/>
          <w:b/>
          <w:color w:val="FF0000"/>
          <w:sz w:val="28"/>
        </w:rPr>
        <w:t xml:space="preserve"> </w:t>
      </w:r>
      <w:r>
        <w:rPr>
          <w:rFonts w:hint="eastAsia" w:ascii="宋体" w:hAnsi="宋体" w:eastAsia="宋体" w:cs="宋体"/>
          <w:b/>
          <w:color w:val="FF0000"/>
          <w:sz w:val="28"/>
          <w:lang w:val="en-US" w:eastAsia="zh-CN"/>
        </w:rPr>
        <w:t xml:space="preserve">    </w:t>
      </w:r>
      <w:r>
        <w:rPr>
          <w:rFonts w:hint="eastAsia" w:ascii="宋体" w:hAnsi="宋体" w:eastAsia="宋体" w:cs="宋体"/>
          <w:b/>
          <w:sz w:val="28"/>
        </w:rPr>
        <w:t>联系电话:</w:t>
      </w:r>
      <w:r>
        <w:rPr>
          <w:rFonts w:hint="eastAsia" w:ascii="宋体" w:hAnsi="宋体" w:eastAsia="宋体" w:cs="宋体"/>
          <w:b/>
          <w:sz w:val="28"/>
          <w:lang w:val="en-US" w:eastAsia="zh-CN"/>
        </w:rPr>
        <w:t>0576-85385880</w:t>
      </w:r>
    </w:p>
    <w:p w14:paraId="1887FB4C">
      <w:pPr>
        <w:widowControl w:val="0"/>
        <w:ind w:firstLine="562" w:firstLineChars="200"/>
        <w:jc w:val="both"/>
        <w:rPr>
          <w:rFonts w:ascii="宋体" w:hAnsi="宋体" w:eastAsia="宋体" w:cs="宋体"/>
          <w:b/>
          <w:kern w:val="2"/>
          <w:sz w:val="28"/>
          <w:szCs w:val="24"/>
          <w:lang w:val="en-US" w:eastAsia="zh-CN" w:bidi="ar-SA"/>
        </w:rPr>
      </w:pPr>
    </w:p>
    <w:p w14:paraId="31A0ADAA">
      <w:pPr>
        <w:widowControl w:val="0"/>
        <w:ind w:firstLine="562" w:firstLineChars="200"/>
        <w:jc w:val="both"/>
        <w:rPr>
          <w:rFonts w:ascii="宋体" w:hAnsi="宋体" w:eastAsia="宋体" w:cs="宋体"/>
          <w:b/>
          <w:kern w:val="2"/>
          <w:sz w:val="28"/>
          <w:szCs w:val="24"/>
          <w:lang w:val="en-US" w:eastAsia="zh-CN" w:bidi="ar-SA"/>
        </w:rPr>
      </w:pPr>
    </w:p>
    <w:p w14:paraId="7A2FF104">
      <w:pPr>
        <w:widowControl w:val="0"/>
        <w:ind w:firstLine="562" w:firstLineChars="200"/>
        <w:jc w:val="both"/>
        <w:rPr>
          <w:rFonts w:ascii="宋体" w:hAnsi="宋体" w:eastAsia="宋体" w:cs="宋体"/>
          <w:b/>
          <w:kern w:val="2"/>
          <w:sz w:val="28"/>
          <w:szCs w:val="24"/>
          <w:lang w:val="en-US" w:eastAsia="zh-CN" w:bidi="ar-SA"/>
        </w:rPr>
      </w:pPr>
    </w:p>
    <w:p w14:paraId="1BB5C4F6">
      <w:pPr>
        <w:widowControl w:val="0"/>
        <w:ind w:firstLine="562" w:firstLineChars="200"/>
        <w:jc w:val="both"/>
        <w:rPr>
          <w:rFonts w:ascii="宋体" w:hAnsi="宋体" w:eastAsia="宋体" w:cs="宋体"/>
          <w:b/>
          <w:kern w:val="2"/>
          <w:sz w:val="28"/>
          <w:szCs w:val="24"/>
          <w:lang w:val="en-US" w:eastAsia="zh-CN" w:bidi="ar-SA"/>
        </w:rPr>
      </w:pPr>
    </w:p>
    <w:p w14:paraId="2DE73700">
      <w:pPr>
        <w:spacing w:line="480" w:lineRule="auto"/>
        <w:ind w:firstLine="281" w:firstLineChars="100"/>
        <w:rPr>
          <w:rFonts w:hint="eastAsia" w:ascii="宋体" w:hAnsi="宋体" w:eastAsia="宋体" w:cs="宋体"/>
          <w:b/>
          <w:sz w:val="28"/>
          <w:lang w:eastAsia="zh-CN"/>
        </w:rPr>
      </w:pPr>
      <w:r>
        <w:rPr>
          <w:rFonts w:hint="eastAsia" w:ascii="宋体" w:hAnsi="宋体" w:eastAsia="宋体" w:cs="宋体"/>
          <w:b/>
          <w:sz w:val="28"/>
        </w:rPr>
        <w:t>招标代理机构：</w:t>
      </w:r>
      <w:r>
        <w:rPr>
          <w:rFonts w:hint="eastAsia" w:ascii="宋体" w:hAnsi="宋体" w:eastAsia="宋体" w:cs="Times New Roman"/>
          <w:b/>
          <w:bCs/>
          <w:color w:val="000000"/>
          <w:sz w:val="28"/>
          <w:szCs w:val="28"/>
          <w:lang w:eastAsia="zh-CN"/>
        </w:rPr>
        <w:t>隆耀（浙江）工程咨询有限公司（盖章）</w:t>
      </w:r>
    </w:p>
    <w:p w14:paraId="291A0D86">
      <w:pPr>
        <w:spacing w:line="480" w:lineRule="auto"/>
        <w:ind w:firstLine="281" w:firstLineChars="100"/>
        <w:rPr>
          <w:rFonts w:hint="eastAsia" w:ascii="宋体" w:hAnsi="宋体" w:eastAsia="宋体" w:cs="宋体"/>
          <w:b/>
          <w:color w:val="000000"/>
          <w:sz w:val="28"/>
          <w:lang w:eastAsia="zh-CN"/>
        </w:rPr>
      </w:pPr>
      <w:r>
        <w:rPr>
          <w:rFonts w:hint="eastAsia" w:ascii="宋体" w:hAnsi="宋体" w:eastAsia="宋体" w:cs="宋体"/>
          <w:b/>
          <w:color w:val="000000"/>
          <w:sz w:val="28"/>
        </w:rPr>
        <w:t>联 系 人：</w:t>
      </w:r>
      <w:r>
        <w:rPr>
          <w:rFonts w:hint="eastAsia" w:ascii="宋体" w:hAnsi="宋体" w:eastAsia="宋体" w:cs="宋体"/>
          <w:b/>
          <w:color w:val="000000"/>
          <w:sz w:val="28"/>
          <w:lang w:eastAsia="zh-CN"/>
        </w:rPr>
        <w:t>李女士</w:t>
      </w:r>
      <w:r>
        <w:rPr>
          <w:rFonts w:hint="eastAsia" w:ascii="宋体" w:hAnsi="宋体" w:eastAsia="宋体" w:cs="宋体"/>
          <w:b/>
          <w:color w:val="000000"/>
          <w:sz w:val="28"/>
        </w:rPr>
        <w:t xml:space="preserve">           联系电话：</w:t>
      </w:r>
      <w:r>
        <w:rPr>
          <w:rFonts w:hint="eastAsia" w:ascii="宋体" w:hAnsi="宋体" w:eastAsia="宋体" w:cs="宋体"/>
          <w:b/>
          <w:color w:val="000000"/>
          <w:sz w:val="28"/>
          <w:lang w:eastAsia="zh-CN"/>
        </w:rPr>
        <w:t xml:space="preserve">0576-85318992 </w:t>
      </w:r>
    </w:p>
    <w:p w14:paraId="1FD7441F">
      <w:pPr>
        <w:spacing w:line="500" w:lineRule="atLeast"/>
        <w:jc w:val="center"/>
        <w:rPr>
          <w:rFonts w:ascii="宋体" w:hAnsi="宋体" w:eastAsia="宋体" w:cs="Times New Roman"/>
          <w:b/>
          <w:bCs/>
          <w:color w:val="000000"/>
          <w:sz w:val="30"/>
        </w:rPr>
      </w:pPr>
    </w:p>
    <w:p w14:paraId="02700B31">
      <w:pPr>
        <w:spacing w:line="500" w:lineRule="atLeast"/>
        <w:rPr>
          <w:rFonts w:ascii="宋体" w:hAnsi="宋体" w:eastAsia="宋体" w:cs="Times New Roman"/>
          <w:b/>
          <w:bCs/>
          <w:color w:val="000000"/>
          <w:sz w:val="30"/>
        </w:rPr>
      </w:pPr>
    </w:p>
    <w:p w14:paraId="18B5C840">
      <w:pPr>
        <w:spacing w:line="500" w:lineRule="atLeast"/>
        <w:ind w:firstLine="3204" w:firstLineChars="1140"/>
        <w:rPr>
          <w:rFonts w:ascii="宋体" w:hAnsi="宋体" w:eastAsia="宋体" w:cs="Times New Roman"/>
          <w:color w:val="000000"/>
          <w:sz w:val="28"/>
          <w:szCs w:val="28"/>
        </w:rPr>
      </w:pPr>
      <w:r>
        <w:rPr>
          <w:rFonts w:hint="eastAsia" w:ascii="宋体" w:hAnsi="宋体" w:eastAsia="宋体" w:cs="Times New Roman"/>
          <w:b/>
          <w:bCs/>
          <w:color w:val="000000"/>
          <w:sz w:val="28"/>
          <w:szCs w:val="28"/>
        </w:rPr>
        <w:t>二0二</w:t>
      </w:r>
      <w:r>
        <w:rPr>
          <w:rFonts w:hint="eastAsia" w:ascii="宋体" w:hAnsi="宋体" w:eastAsia="宋体" w:cs="Times New Roman"/>
          <w:b/>
          <w:bCs/>
          <w:color w:val="000000"/>
          <w:sz w:val="28"/>
          <w:szCs w:val="28"/>
          <w:lang w:val="en-US" w:eastAsia="zh-CN"/>
        </w:rPr>
        <w:t>六</w:t>
      </w:r>
      <w:r>
        <w:rPr>
          <w:rFonts w:hint="eastAsia" w:ascii="宋体" w:hAnsi="宋体" w:eastAsia="宋体" w:cs="Times New Roman"/>
          <w:b/>
          <w:bCs/>
          <w:color w:val="000000"/>
          <w:sz w:val="28"/>
          <w:szCs w:val="28"/>
        </w:rPr>
        <w:t>年</w:t>
      </w:r>
      <w:r>
        <w:rPr>
          <w:rFonts w:hint="eastAsia" w:ascii="宋体" w:hAnsi="宋体" w:cs="Times New Roman"/>
          <w:b/>
          <w:bCs/>
          <w:color w:val="000000"/>
          <w:sz w:val="28"/>
          <w:szCs w:val="28"/>
          <w:lang w:val="en-US" w:eastAsia="zh-CN"/>
        </w:rPr>
        <w:t>四</w:t>
      </w:r>
      <w:r>
        <w:rPr>
          <w:rFonts w:hint="eastAsia" w:ascii="宋体" w:hAnsi="宋体" w:eastAsia="宋体" w:cs="Times New Roman"/>
          <w:b/>
          <w:bCs/>
          <w:color w:val="000000"/>
          <w:sz w:val="28"/>
          <w:szCs w:val="28"/>
        </w:rPr>
        <w:t xml:space="preserve">月 </w:t>
      </w:r>
    </w:p>
    <w:p w14:paraId="6E7A83AF">
      <w:pPr>
        <w:pStyle w:val="31"/>
        <w:pageBreakBefore/>
        <w:spacing w:beforeLines="0" w:afterLines="0" w:line="360" w:lineRule="auto"/>
        <w:jc w:val="center"/>
        <w:rPr>
          <w:rFonts w:hAnsi="宋体" w:cs="宋体"/>
          <w:sz w:val="44"/>
          <w:szCs w:val="44"/>
        </w:rPr>
      </w:pPr>
      <w:r>
        <w:rPr>
          <w:rFonts w:hint="eastAsia" w:hAnsi="宋体" w:cs="宋体"/>
          <w:sz w:val="44"/>
          <w:szCs w:val="44"/>
        </w:rPr>
        <w:t>目    录</w:t>
      </w:r>
    </w:p>
    <w:p w14:paraId="5D5642DF">
      <w:pPr>
        <w:pStyle w:val="38"/>
        <w:tabs>
          <w:tab w:val="left" w:pos="6120"/>
        </w:tabs>
        <w:spacing w:line="480" w:lineRule="auto"/>
        <w:rPr>
          <w:rFonts w:ascii="宋体" w:hAnsi="宋体" w:cs="宋体"/>
          <w:b/>
          <w:sz w:val="28"/>
          <w:szCs w:val="28"/>
        </w:rPr>
      </w:pPr>
    </w:p>
    <w:p w14:paraId="3B5794FE">
      <w:pPr>
        <w:pStyle w:val="38"/>
        <w:tabs>
          <w:tab w:val="left" w:pos="6120"/>
        </w:tabs>
        <w:spacing w:line="480" w:lineRule="auto"/>
        <w:rPr>
          <w:rFonts w:ascii="宋体" w:hAnsi="宋体" w:cs="宋体"/>
          <w:b/>
          <w:sz w:val="28"/>
          <w:szCs w:val="28"/>
        </w:rPr>
      </w:pPr>
      <w:r>
        <w:rPr>
          <w:rFonts w:hint="eastAsia" w:ascii="宋体" w:hAnsi="宋体" w:cs="宋体"/>
          <w:b/>
          <w:sz w:val="28"/>
          <w:szCs w:val="28"/>
        </w:rPr>
        <w:tab/>
      </w:r>
    </w:p>
    <w:p w14:paraId="00EB5C7C">
      <w:pPr>
        <w:pStyle w:val="38"/>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CE5CF9E">
      <w:pPr>
        <w:pStyle w:val="38"/>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A8CA14B">
      <w:pPr>
        <w:pStyle w:val="38"/>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6A9F1ED7">
      <w:pPr>
        <w:pStyle w:val="38"/>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191</w:t>
      </w:r>
      <w:r>
        <w:rPr>
          <w:rFonts w:hint="eastAsia" w:ascii="宋体" w:hAnsi="宋体" w:cs="宋体"/>
          <w:sz w:val="24"/>
        </w:rPr>
        <w:fldChar w:fldCharType="end"/>
      </w:r>
      <w:r>
        <w:rPr>
          <w:rFonts w:hint="eastAsia" w:ascii="宋体" w:hAnsi="宋体" w:cs="宋体"/>
          <w:sz w:val="24"/>
        </w:rPr>
        <w:fldChar w:fldCharType="end"/>
      </w:r>
    </w:p>
    <w:p w14:paraId="1E82E078">
      <w:pPr>
        <w:pStyle w:val="38"/>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195</w:t>
      </w:r>
      <w:r>
        <w:rPr>
          <w:rFonts w:hint="eastAsia" w:ascii="宋体" w:hAnsi="宋体" w:cs="宋体"/>
          <w:sz w:val="24"/>
        </w:rPr>
        <w:fldChar w:fldCharType="end"/>
      </w:r>
      <w:r>
        <w:rPr>
          <w:rFonts w:hint="eastAsia" w:ascii="宋体" w:hAnsi="宋体" w:cs="宋体"/>
          <w:sz w:val="24"/>
        </w:rPr>
        <w:fldChar w:fldCharType="end"/>
      </w:r>
    </w:p>
    <w:p w14:paraId="71FBE54F">
      <w:pPr>
        <w:pStyle w:val="38"/>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195</w:t>
      </w:r>
      <w:r>
        <w:rPr>
          <w:rFonts w:hint="eastAsia" w:ascii="宋体" w:hAnsi="宋体" w:cs="宋体"/>
          <w:sz w:val="24"/>
        </w:rPr>
        <w:fldChar w:fldCharType="end"/>
      </w:r>
      <w:r>
        <w:rPr>
          <w:rFonts w:hint="eastAsia" w:ascii="宋体" w:hAnsi="宋体" w:cs="宋体"/>
          <w:sz w:val="24"/>
        </w:rPr>
        <w:fldChar w:fldCharType="end"/>
      </w:r>
    </w:p>
    <w:p w14:paraId="354CF4D9">
      <w:pPr>
        <w:pStyle w:val="43"/>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201</w:t>
      </w:r>
      <w:r>
        <w:rPr>
          <w:rFonts w:hint="eastAsia" w:ascii="宋体" w:hAnsi="宋体" w:cs="宋体"/>
          <w:sz w:val="24"/>
        </w:rPr>
        <w:fldChar w:fldCharType="end"/>
      </w:r>
      <w:r>
        <w:rPr>
          <w:rFonts w:hint="eastAsia" w:ascii="宋体" w:hAnsi="宋体" w:cs="宋体"/>
          <w:sz w:val="24"/>
        </w:rPr>
        <w:fldChar w:fldCharType="end"/>
      </w:r>
    </w:p>
    <w:p w14:paraId="01959863">
      <w:pPr>
        <w:pStyle w:val="43"/>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204</w:t>
      </w:r>
      <w:r>
        <w:rPr>
          <w:rFonts w:hint="eastAsia" w:ascii="宋体" w:hAnsi="宋体" w:cs="宋体"/>
          <w:sz w:val="24"/>
        </w:rPr>
        <w:fldChar w:fldCharType="end"/>
      </w:r>
      <w:r>
        <w:rPr>
          <w:rFonts w:hint="eastAsia" w:ascii="宋体" w:hAnsi="宋体" w:cs="宋体"/>
          <w:sz w:val="24"/>
        </w:rPr>
        <w:fldChar w:fldCharType="end"/>
      </w:r>
    </w:p>
    <w:p w14:paraId="71F2BD49">
      <w:pPr>
        <w:pStyle w:val="43"/>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214</w:t>
      </w:r>
      <w:r>
        <w:rPr>
          <w:rFonts w:hint="eastAsia" w:ascii="宋体" w:hAnsi="宋体" w:cs="宋体"/>
          <w:sz w:val="24"/>
        </w:rPr>
        <w:fldChar w:fldCharType="end"/>
      </w:r>
      <w:r>
        <w:rPr>
          <w:rFonts w:hint="eastAsia" w:ascii="宋体" w:hAnsi="宋体" w:cs="宋体"/>
          <w:sz w:val="24"/>
        </w:rPr>
        <w:fldChar w:fldCharType="end"/>
      </w:r>
    </w:p>
    <w:p w14:paraId="759C6D7B">
      <w:pPr>
        <w:pStyle w:val="38"/>
        <w:spacing w:line="480" w:lineRule="auto"/>
        <w:rPr>
          <w:rFonts w:ascii="宋体" w:hAnsi="宋体" w:cs="宋体"/>
          <w:b/>
          <w:sz w:val="28"/>
          <w:szCs w:val="28"/>
        </w:rPr>
      </w:pPr>
      <w:r>
        <w:rPr>
          <w:rFonts w:hint="eastAsia" w:ascii="宋体" w:hAnsi="宋体" w:cs="宋体"/>
          <w:sz w:val="24"/>
        </w:rPr>
        <w:fldChar w:fldCharType="end"/>
      </w:r>
    </w:p>
    <w:p w14:paraId="69AD0F93">
      <w:pPr>
        <w:pStyle w:val="31"/>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474" w:bottom="851" w:left="1474"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0C014249">
      <w:pPr>
        <w:pStyle w:val="31"/>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0814AA30">
      <w:pPr>
        <w:spacing w:line="400" w:lineRule="exact"/>
        <w:ind w:firstLine="496" w:firstLineChars="200"/>
        <w:rPr>
          <w:rFonts w:ascii="宋体" w:hAnsi="宋体" w:cs="宋体"/>
          <w:color w:val="auto"/>
          <w:sz w:val="24"/>
          <w:highlight w:val="none"/>
        </w:rPr>
      </w:pPr>
      <w:r>
        <w:rPr>
          <w:rFonts w:hint="eastAsia" w:ascii="宋体" w:hAnsi="宋体" w:cs="宋体"/>
          <w:color w:val="auto"/>
          <w:spacing w:val="4"/>
          <w:sz w:val="24"/>
          <w:highlight w:val="none"/>
        </w:rPr>
        <w:t>本项目为非政府采购项目，根据招标投标有关法律法规及招标人单位内控制度等规定</w:t>
      </w:r>
      <w:r>
        <w:rPr>
          <w:rFonts w:hint="eastAsia" w:ascii="宋体" w:hAnsi="宋体" w:cs="宋体"/>
          <w:color w:val="auto"/>
          <w:sz w:val="24"/>
          <w:highlight w:val="none"/>
        </w:rPr>
        <w:t>，受</w:t>
      </w:r>
      <w:r>
        <w:rPr>
          <w:rFonts w:hint="eastAsia" w:ascii="宋体" w:hAnsi="宋体" w:cs="宋体"/>
          <w:color w:val="auto"/>
          <w:sz w:val="24"/>
          <w:highlight w:val="none"/>
          <w:u w:val="single"/>
        </w:rPr>
        <w:t>临海市大洋建设投资有限公司</w:t>
      </w:r>
      <w:r>
        <w:rPr>
          <w:rFonts w:hint="eastAsia" w:ascii="宋体" w:hAnsi="宋体" w:cs="宋体"/>
          <w:color w:val="auto"/>
          <w:sz w:val="24"/>
          <w:highlight w:val="none"/>
        </w:rPr>
        <w:t>委托，参照采购有关流程，现就</w:t>
      </w:r>
      <w:r>
        <w:rPr>
          <w:rFonts w:hint="eastAsia" w:ascii="宋体" w:hAnsi="宋体" w:cs="宋体"/>
          <w:color w:val="auto"/>
          <w:sz w:val="24"/>
          <w:highlight w:val="none"/>
          <w:u w:val="single"/>
          <w:lang w:eastAsia="zh-CN"/>
        </w:rPr>
        <w:t>临海市佩弦湖新时代教育综合学校建设工程智能化项目</w:t>
      </w:r>
      <w:r>
        <w:rPr>
          <w:rFonts w:hint="eastAsia" w:ascii="宋体" w:hAnsi="宋体" w:cs="宋体"/>
          <w:color w:val="auto"/>
          <w:sz w:val="24"/>
          <w:highlight w:val="none"/>
        </w:rPr>
        <w:t>进行公开招标，</w:t>
      </w:r>
      <w:r>
        <w:rPr>
          <w:rFonts w:hint="eastAsia" w:ascii="宋体" w:hAnsi="宋体" w:cs="宋体"/>
          <w:color w:val="auto"/>
          <w:kern w:val="0"/>
          <w:sz w:val="24"/>
          <w:highlight w:val="none"/>
        </w:rPr>
        <w:t>欢迎具备本项目投标人的资格要求且能够及时提供相关货物及服务的投标人前来投标。</w:t>
      </w:r>
    </w:p>
    <w:p w14:paraId="770469D4">
      <w:pPr>
        <w:pStyle w:val="46"/>
        <w:spacing w:before="0" w:beforeAutospacing="0" w:after="0" w:afterAutospacing="0" w:line="400" w:lineRule="exact"/>
        <w:rPr>
          <w:rFonts w:cs="宋体"/>
          <w:color w:val="auto"/>
          <w:highlight w:val="none"/>
        </w:rPr>
      </w:pPr>
      <w:r>
        <w:rPr>
          <w:rFonts w:hint="eastAsia" w:cs="宋体"/>
          <w:b/>
          <w:bCs/>
          <w:color w:val="auto"/>
          <w:highlight w:val="none"/>
        </w:rPr>
        <w:t>1</w:t>
      </w:r>
      <w:r>
        <w:rPr>
          <w:rFonts w:hint="eastAsia" w:cs="宋体"/>
          <w:color w:val="auto"/>
          <w:highlight w:val="none"/>
        </w:rPr>
        <w:t>.</w:t>
      </w:r>
      <w:r>
        <w:rPr>
          <w:rFonts w:hint="eastAsia" w:cs="宋体"/>
          <w:b/>
          <w:bCs/>
          <w:color w:val="auto"/>
          <w:highlight w:val="none"/>
        </w:rPr>
        <w:t>项目概况</w:t>
      </w:r>
    </w:p>
    <w:p w14:paraId="3CEE580B">
      <w:pPr>
        <w:pStyle w:val="46"/>
        <w:spacing w:before="0" w:beforeAutospacing="0" w:after="0" w:afterAutospacing="0" w:line="400" w:lineRule="exact"/>
        <w:rPr>
          <w:rFonts w:hint="eastAsia" w:eastAsia="宋体" w:cs="宋体"/>
          <w:color w:val="auto"/>
          <w:highlight w:val="none"/>
          <w:lang w:val="en-US" w:eastAsia="zh-CN"/>
        </w:rPr>
      </w:pPr>
      <w:r>
        <w:rPr>
          <w:rFonts w:hint="eastAsia" w:cs="宋体"/>
          <w:color w:val="auto"/>
          <w:highlight w:val="none"/>
        </w:rPr>
        <w:t>项目名称：</w:t>
      </w:r>
      <w:r>
        <w:rPr>
          <w:rFonts w:hint="eastAsia" w:cs="宋体"/>
          <w:color w:val="auto"/>
          <w:highlight w:val="none"/>
          <w:lang w:eastAsia="zh-CN"/>
        </w:rPr>
        <w:t>临海市佩弦湖新时代教育综合学校建设工程智能化项目</w:t>
      </w:r>
    </w:p>
    <w:p w14:paraId="10258EA1">
      <w:pPr>
        <w:pStyle w:val="46"/>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招标人：临海市大洋建设投资有限公司</w:t>
      </w:r>
    </w:p>
    <w:p w14:paraId="0B089A11">
      <w:pPr>
        <w:pStyle w:val="46"/>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监管单位：临海市社会事业发展集团有限公司</w:t>
      </w:r>
    </w:p>
    <w:p w14:paraId="7FA6AACA">
      <w:pPr>
        <w:pStyle w:val="46"/>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采购规模及内容概述：智能化项目采购</w:t>
      </w:r>
      <w:r>
        <w:rPr>
          <w:rFonts w:hint="eastAsia" w:cs="宋体"/>
          <w:color w:val="auto"/>
          <w:highlight w:val="none"/>
          <w:lang w:val="en-US" w:eastAsia="zh-CN"/>
        </w:rPr>
        <w:t>及</w:t>
      </w:r>
      <w:r>
        <w:rPr>
          <w:rFonts w:hint="eastAsia" w:cs="宋体"/>
          <w:color w:val="auto"/>
          <w:highlight w:val="none"/>
        </w:rPr>
        <w:t>安装</w:t>
      </w:r>
      <w:r>
        <w:rPr>
          <w:rFonts w:hint="eastAsia" w:cs="宋体"/>
          <w:color w:val="auto"/>
          <w:highlight w:val="none"/>
          <w:lang w:eastAsia="zh-CN"/>
        </w:rPr>
        <w:t>。</w:t>
      </w:r>
      <w:r>
        <w:rPr>
          <w:rFonts w:hint="eastAsia" w:cs="宋体"/>
          <w:color w:val="auto"/>
          <w:highlight w:val="none"/>
          <w:lang w:val="zh-CN"/>
        </w:rPr>
        <w:t>(具体内容详见招标文件第二章招标需求)。</w:t>
      </w:r>
    </w:p>
    <w:p w14:paraId="2E3A8743">
      <w:pPr>
        <w:spacing w:line="400" w:lineRule="exact"/>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采购预算：78946</w:t>
      </w:r>
      <w:r>
        <w:rPr>
          <w:rFonts w:hint="eastAsia" w:ascii="宋体" w:hAnsi="宋体" w:cs="宋体"/>
          <w:b/>
          <w:bCs/>
          <w:color w:val="auto"/>
          <w:kern w:val="0"/>
          <w:sz w:val="24"/>
          <w:highlight w:val="none"/>
          <w:lang w:val="en-US" w:eastAsia="zh-CN"/>
        </w:rPr>
        <w:t>13</w:t>
      </w:r>
      <w:r>
        <w:rPr>
          <w:rFonts w:hint="eastAsia" w:ascii="宋体" w:hAnsi="宋体" w:cs="宋体"/>
          <w:b/>
          <w:bCs/>
          <w:color w:val="auto"/>
          <w:kern w:val="0"/>
          <w:sz w:val="24"/>
          <w:highlight w:val="none"/>
        </w:rPr>
        <w:t>元</w:t>
      </w:r>
    </w:p>
    <w:p w14:paraId="6E0C239A">
      <w:pPr>
        <w:pStyle w:val="46"/>
        <w:spacing w:before="0" w:beforeAutospacing="0" w:after="0" w:afterAutospacing="0" w:line="400" w:lineRule="exact"/>
        <w:rPr>
          <w:rFonts w:cs="宋体"/>
          <w:color w:val="auto"/>
          <w:highlight w:val="none"/>
        </w:rPr>
      </w:pPr>
      <w:r>
        <w:rPr>
          <w:rFonts w:hint="eastAsia" w:cs="宋体"/>
          <w:color w:val="auto"/>
          <w:highlight w:val="none"/>
        </w:rPr>
        <w:t>采购标段数：1</w:t>
      </w:r>
    </w:p>
    <w:p w14:paraId="037F8C41">
      <w:pPr>
        <w:pStyle w:val="46"/>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F79DAF7">
      <w:pPr>
        <w:pStyle w:val="46"/>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：根据工程进度，配合总承包单位及装修单位整体进度同步完成全部工作内容。</w:t>
      </w:r>
    </w:p>
    <w:p w14:paraId="7CDE5819">
      <w:pPr>
        <w:pStyle w:val="46"/>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433CB921">
      <w:pPr>
        <w:pStyle w:val="46"/>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161432DA">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2.投标人资格要求及项目负责人资格要求</w:t>
      </w:r>
    </w:p>
    <w:p w14:paraId="2EC22A39">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3D5B57B0">
      <w:pPr>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（2）具有与本采购项目相适应的商品经营或服务能力的投标人；</w:t>
      </w:r>
    </w:p>
    <w:p w14:paraId="4571863B">
      <w:pPr>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）具有电子与智能化工程专业承包贰级及以上资质</w:t>
      </w:r>
    </w:p>
    <w:p w14:paraId="45FBB9BA">
      <w:pPr>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本项目不接受联合体投标。</w:t>
      </w:r>
    </w:p>
    <w:p w14:paraId="0C44211F">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3.报名</w:t>
      </w:r>
    </w:p>
    <w:p w14:paraId="24358CBF">
      <w:pPr>
        <w:spacing w:line="400" w:lineRule="exact"/>
        <w:rPr>
          <w:rFonts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本项目无需报名，</w:t>
      </w:r>
      <w:bookmarkStart w:id="3" w:name="_Hlk59307647"/>
      <w:r>
        <w:rPr>
          <w:rFonts w:hint="eastAsia" w:ascii="宋体" w:hAnsi="宋体" w:cs="宋体"/>
          <w:b/>
          <w:bCs/>
          <w:color w:val="auto"/>
          <w:kern w:val="0"/>
          <w:sz w:val="24"/>
          <w:highlight w:val="none"/>
          <w:u w:val="single"/>
        </w:rPr>
        <w:t>投标人须到临海市限额以下公共资源交易区域平台</w:t>
      </w:r>
    </w:p>
    <w:p w14:paraId="66C95A32">
      <w:pPr>
        <w:spacing w:line="400" w:lineRule="exact"/>
        <w:rPr>
          <w:rFonts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（https://www.lhcqjy.com.cn/home）注册</w:t>
      </w:r>
      <w:bookmarkEnd w:id="3"/>
      <w:r>
        <w:rPr>
          <w:rFonts w:hint="eastAsia" w:ascii="宋体" w:hAnsi="宋体" w:cs="宋体"/>
          <w:b/>
          <w:bCs/>
          <w:color w:val="auto"/>
          <w:kern w:val="0"/>
          <w:sz w:val="24"/>
          <w:highlight w:val="none"/>
          <w:u w:val="single"/>
        </w:rPr>
        <w:t>、提交审核通过后可参加投标，注册咨询联系人：梁工，联系电话：0576-85407095；</w:t>
      </w:r>
    </w:p>
    <w:p w14:paraId="0D8730CB">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4.招标文件的获取</w:t>
      </w:r>
    </w:p>
    <w:p w14:paraId="7AF0D9BA">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采购文件售价：免费</w:t>
      </w:r>
    </w:p>
    <w:p w14:paraId="00C46C84">
      <w:pPr>
        <w:spacing w:line="400" w:lineRule="exact"/>
        <w:rPr>
          <w:rFonts w:ascii="宋体" w:hAnsi="宋体" w:cs="宋体"/>
          <w:bCs/>
          <w:color w:val="auto"/>
          <w:sz w:val="24"/>
          <w:highlight w:val="none"/>
        </w:rPr>
      </w:pPr>
      <w:r>
        <w:rPr>
          <w:rFonts w:hint="eastAsia" w:ascii="宋体" w:hAnsi="宋体" w:cs="宋体"/>
          <w:bCs/>
          <w:color w:val="auto"/>
          <w:sz w:val="24"/>
          <w:highlight w:val="none"/>
        </w:rPr>
        <w:t>获取方式：凡有意参加投标者，在</w:t>
      </w:r>
      <w:r>
        <w:rPr>
          <w:rFonts w:hint="eastAsia" w:ascii="宋体" w:hAnsi="宋体" w:cs="宋体"/>
          <w:bCs/>
          <w:color w:val="auto"/>
          <w:sz w:val="24"/>
          <w:highlight w:val="none"/>
          <w:lang w:val="en-US" w:eastAsia="zh-CN"/>
        </w:rPr>
        <w:t>2026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05</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22</w:t>
      </w:r>
      <w:r>
        <w:rPr>
          <w:rFonts w:hint="eastAsia" w:ascii="宋体" w:hAnsi="宋体" w:cs="宋体"/>
          <w:bCs/>
          <w:color w:val="auto"/>
          <w:sz w:val="24"/>
          <w:highlight w:val="none"/>
        </w:rPr>
        <w:t>日</w:t>
      </w:r>
      <w:r>
        <w:rPr>
          <w:rFonts w:hint="eastAsia" w:ascii="宋体" w:hAnsi="宋体" w:cs="宋体"/>
          <w:bCs/>
          <w:color w:val="auto"/>
          <w:sz w:val="24"/>
          <w:highlight w:val="none"/>
          <w:lang w:val="en-US" w:eastAsia="zh-CN"/>
        </w:rPr>
        <w:t>08</w:t>
      </w:r>
      <w:r>
        <w:rPr>
          <w:rFonts w:hint="eastAsia" w:ascii="宋体" w:hAnsi="宋体" w:cs="宋体"/>
          <w:bCs/>
          <w:color w:val="auto"/>
          <w:sz w:val="24"/>
          <w:highlight w:val="none"/>
        </w:rPr>
        <w:t>时</w:t>
      </w:r>
      <w:r>
        <w:rPr>
          <w:rFonts w:hint="eastAsia" w:ascii="宋体" w:hAnsi="宋体" w:cs="宋体"/>
          <w:bCs/>
          <w:color w:val="auto"/>
          <w:sz w:val="24"/>
          <w:highlight w:val="none"/>
          <w:lang w:val="en-US" w:eastAsia="zh-CN"/>
        </w:rPr>
        <w:t>30</w:t>
      </w:r>
      <w:r>
        <w:rPr>
          <w:rFonts w:hint="eastAsia" w:ascii="宋体" w:hAnsi="宋体" w:cs="宋体"/>
          <w:bCs/>
          <w:color w:val="auto"/>
          <w:sz w:val="24"/>
          <w:highlight w:val="none"/>
        </w:rPr>
        <w:t>分00秒前，到临海市限额以下公共资源交易区域平台可自行下载采购文件。</w:t>
      </w:r>
    </w:p>
    <w:p w14:paraId="7C8E32B0">
      <w:pPr>
        <w:pStyle w:val="46"/>
        <w:spacing w:before="0" w:beforeAutospacing="0" w:after="0" w:afterAutospacing="0" w:line="400" w:lineRule="exact"/>
        <w:rPr>
          <w:rFonts w:cs="宋体"/>
          <w:color w:val="auto"/>
          <w:highlight w:val="none"/>
        </w:rPr>
      </w:pPr>
      <w:r>
        <w:rPr>
          <w:rFonts w:hint="eastAsia" w:cs="宋体"/>
          <w:color w:val="auto"/>
          <w:highlight w:val="none"/>
        </w:rPr>
        <w:t>招标文件答疑：</w:t>
      </w:r>
      <w:r>
        <w:rPr>
          <w:rFonts w:hint="eastAsia" w:cs="宋体"/>
          <w:b/>
          <w:color w:val="auto"/>
          <w:highlight w:val="none"/>
        </w:rPr>
        <w:t>投标人对采购文件提出质疑的，应当在获取采购文件或者采购文件公告期限届满之日起</w:t>
      </w:r>
      <w:r>
        <w:rPr>
          <w:rFonts w:hint="eastAsia" w:cs="宋体"/>
          <w:b/>
          <w:color w:val="auto"/>
          <w:highlight w:val="none"/>
          <w:u w:val="single"/>
        </w:rPr>
        <w:t>7</w:t>
      </w:r>
      <w:r>
        <w:rPr>
          <w:rFonts w:hint="eastAsia" w:cs="宋体"/>
          <w:b/>
          <w:color w:val="auto"/>
          <w:highlight w:val="none"/>
        </w:rPr>
        <w:t>个工作日内提出，否则被质疑人可不予接受。</w:t>
      </w:r>
    </w:p>
    <w:p w14:paraId="39F4BA40">
      <w:pPr>
        <w:pStyle w:val="46"/>
        <w:spacing w:before="0" w:beforeAutospacing="0" w:after="0" w:afterAutospacing="0" w:line="400" w:lineRule="exact"/>
        <w:rPr>
          <w:rFonts w:cs="宋体"/>
          <w:color w:val="auto"/>
          <w:highlight w:val="none"/>
        </w:rPr>
      </w:pPr>
      <w:r>
        <w:rPr>
          <w:rFonts w:hint="eastAsia" w:cs="宋体"/>
          <w:b/>
          <w:bCs/>
          <w:color w:val="auto"/>
          <w:highlight w:val="none"/>
        </w:rPr>
        <w:t>5.投标保证金</w:t>
      </w:r>
    </w:p>
    <w:p w14:paraId="5F9E16DE">
      <w:pPr>
        <w:spacing w:line="400" w:lineRule="exact"/>
        <w:rPr>
          <w:rFonts w:ascii="宋体" w:hAnsi="宋体" w:cs="宋体"/>
          <w:b/>
          <w:color w:val="auto"/>
          <w:sz w:val="24"/>
          <w:highlight w:val="none"/>
        </w:rPr>
      </w:pPr>
      <w:r>
        <w:rPr>
          <w:rFonts w:hint="eastAsia" w:ascii="宋体" w:hAnsi="宋体" w:cs="宋体"/>
          <w:b/>
          <w:color w:val="auto"/>
          <w:sz w:val="24"/>
          <w:highlight w:val="none"/>
        </w:rPr>
        <w:t>本项目不收取投标保证金。</w:t>
      </w:r>
    </w:p>
    <w:p w14:paraId="6F6BDC09">
      <w:pPr>
        <w:spacing w:line="400" w:lineRule="exact"/>
        <w:rPr>
          <w:rFonts w:ascii="宋体" w:hAnsi="宋体" w:cs="宋体"/>
          <w:b/>
          <w:bCs/>
          <w:color w:val="auto"/>
          <w:kern w:val="0"/>
          <w:sz w:val="24"/>
          <w:highlight w:val="none"/>
        </w:rPr>
      </w:pPr>
      <w:r>
        <w:rPr>
          <w:rFonts w:hint="eastAsia" w:ascii="宋体" w:hAnsi="宋体" w:cs="宋体"/>
          <w:b/>
          <w:color w:val="auto"/>
          <w:sz w:val="24"/>
          <w:highlight w:val="none"/>
        </w:rPr>
        <w:t>6</w:t>
      </w:r>
      <w:r>
        <w:rPr>
          <w:rFonts w:hint="eastAsia" w:ascii="宋体" w:hAnsi="宋体" w:cs="宋体"/>
          <w:b/>
          <w:bCs/>
          <w:color w:val="auto"/>
          <w:kern w:val="0"/>
          <w:sz w:val="24"/>
          <w:highlight w:val="none"/>
        </w:rPr>
        <w:t>.投标说明</w:t>
      </w:r>
    </w:p>
    <w:p w14:paraId="5420B334">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2C61C1CD">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153A35E">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（3）投标人应在开标前完成CA数字证书办理。（办理流程详见临海市限额以下公共资源交易区域平台-办事指南的操作说明）。</w:t>
      </w:r>
    </w:p>
    <w:p w14:paraId="533E931D">
      <w:pPr>
        <w:spacing w:line="400" w:lineRule="exact"/>
        <w:rPr>
          <w:rFonts w:ascii="宋体" w:hAnsi="宋体" w:cs="宋体"/>
          <w:b/>
          <w:bCs/>
          <w:color w:val="auto"/>
          <w:kern w:val="0"/>
          <w:sz w:val="24"/>
          <w:highlight w:val="none"/>
        </w:rPr>
      </w:pPr>
      <w:r>
        <w:rPr>
          <w:rFonts w:hint="eastAsia" w:ascii="宋体" w:hAnsi="宋体" w:cs="宋体"/>
          <w:color w:val="auto"/>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highlight w:val="none"/>
        </w:rPr>
        <w:t>投标截止时间后传输、递交的投标文件，将被拒收。</w:t>
      </w:r>
    </w:p>
    <w:p w14:paraId="4AA22681">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（5）本招标文件中关于电子招投标内容、流程如与</w:t>
      </w:r>
      <w:r>
        <w:rPr>
          <w:rFonts w:hint="eastAsia" w:ascii="宋体" w:hAnsi="宋体" w:cs="宋体"/>
          <w:color w:val="auto"/>
          <w:kern w:val="0"/>
          <w:sz w:val="24"/>
          <w:highlight w:val="none"/>
        </w:rPr>
        <w:t>临海市限额以下公共资源交易区域平台</w:t>
      </w:r>
      <w:r>
        <w:rPr>
          <w:rFonts w:hint="eastAsia" w:ascii="宋体" w:hAnsi="宋体" w:cs="宋体"/>
          <w:b/>
          <w:bCs/>
          <w:color w:val="auto"/>
          <w:kern w:val="0"/>
          <w:sz w:val="24"/>
          <w:highlight w:val="none"/>
        </w:rPr>
        <w:t>中最新的内容、操作不一致的，以平台中的要求为准。</w:t>
      </w:r>
    </w:p>
    <w:p w14:paraId="4632FF0D">
      <w:pPr>
        <w:spacing w:line="400" w:lineRule="exact"/>
        <w:rPr>
          <w:rFonts w:ascii="宋体" w:hAnsi="宋体" w:cs="宋体"/>
          <w:b/>
          <w:color w:val="auto"/>
          <w:sz w:val="24"/>
          <w:highlight w:val="none"/>
        </w:rPr>
      </w:pPr>
      <w:r>
        <w:rPr>
          <w:rFonts w:hint="eastAsia" w:ascii="宋体" w:hAnsi="宋体" w:cs="宋体"/>
          <w:b/>
          <w:color w:val="auto"/>
          <w:sz w:val="24"/>
          <w:highlight w:val="none"/>
        </w:rPr>
        <w:t>7</w:t>
      </w:r>
      <w:r>
        <w:rPr>
          <w:rFonts w:hint="eastAsia" w:ascii="宋体" w:hAnsi="宋体" w:cs="宋体"/>
          <w:b/>
          <w:color w:val="auto"/>
          <w:kern w:val="0"/>
          <w:sz w:val="24"/>
          <w:highlight w:val="none"/>
        </w:rPr>
        <w:t>.</w:t>
      </w:r>
      <w:r>
        <w:rPr>
          <w:rFonts w:hint="eastAsia" w:ascii="宋体" w:hAnsi="宋体" w:cs="宋体"/>
          <w:b/>
          <w:color w:val="auto"/>
          <w:sz w:val="24"/>
          <w:highlight w:val="none"/>
        </w:rPr>
        <w:t>投标文件的组成、效力</w:t>
      </w:r>
    </w:p>
    <w:p w14:paraId="3E380BD7">
      <w:pPr>
        <w:spacing w:line="400" w:lineRule="exact"/>
        <w:rPr>
          <w:rFonts w:ascii="宋体" w:hAnsi="宋体" w:cs="宋体"/>
          <w:color w:val="auto"/>
          <w:sz w:val="24"/>
          <w:highlight w:val="none"/>
        </w:rPr>
      </w:pPr>
      <w:r>
        <w:rPr>
          <w:rFonts w:hint="eastAsia" w:ascii="宋体" w:hAnsi="宋体" w:cs="宋体"/>
          <w:color w:val="auto"/>
          <w:sz w:val="24"/>
          <w:highlight w:val="none"/>
        </w:rPr>
        <w:t>（1）本项目实行电子投标，投标人应准备电子投标文件，本项目线下无需提供任何备份投标文件。电子投标文件应按本招标文件要求编制。</w:t>
      </w:r>
    </w:p>
    <w:p w14:paraId="4714990B">
      <w:pPr>
        <w:spacing w:line="400" w:lineRule="exact"/>
        <w:rPr>
          <w:rFonts w:ascii="宋体" w:hAnsi="宋体" w:cs="宋体"/>
          <w:color w:val="auto"/>
          <w:sz w:val="24"/>
          <w:highlight w:val="none"/>
        </w:rPr>
      </w:pPr>
      <w:r>
        <w:rPr>
          <w:rFonts w:hint="eastAsia" w:ascii="宋体" w:hAnsi="宋体" w:cs="宋体"/>
          <w:color w:val="auto"/>
          <w:sz w:val="24"/>
          <w:highlight w:val="none"/>
        </w:rPr>
        <w:t>（2）未在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传输递交电子投标文件的，投标无效。</w:t>
      </w:r>
    </w:p>
    <w:p w14:paraId="01CFF2AF">
      <w:pPr>
        <w:spacing w:line="400" w:lineRule="exact"/>
        <w:rPr>
          <w:rFonts w:ascii="宋体" w:hAnsi="宋体" w:cs="宋体"/>
          <w:color w:val="auto"/>
          <w:sz w:val="24"/>
          <w:highlight w:val="none"/>
        </w:rPr>
      </w:pPr>
      <w:r>
        <w:rPr>
          <w:rFonts w:hint="eastAsia" w:ascii="宋体" w:hAnsi="宋体" w:cs="宋体"/>
          <w:b/>
          <w:color w:val="auto"/>
          <w:sz w:val="24"/>
          <w:highlight w:val="none"/>
        </w:rPr>
        <w:t>8.投标截止时间及电子投标文件的递交</w:t>
      </w:r>
    </w:p>
    <w:p w14:paraId="7A471691">
      <w:pPr>
        <w:spacing w:line="400" w:lineRule="exact"/>
        <w:rPr>
          <w:rFonts w:ascii="宋体" w:hAnsi="宋体" w:cs="宋体"/>
          <w:color w:val="auto"/>
          <w:kern w:val="0"/>
          <w:sz w:val="24"/>
          <w:highlight w:val="none"/>
        </w:rPr>
      </w:pPr>
      <w:r>
        <w:rPr>
          <w:rFonts w:hint="eastAsia" w:ascii="宋体" w:hAnsi="宋体" w:cs="宋体"/>
          <w:b/>
          <w:bCs/>
          <w:color w:val="auto"/>
          <w:kern w:val="0"/>
          <w:sz w:val="24"/>
          <w:highlight w:val="none"/>
        </w:rPr>
        <w:t>电子投标文件</w:t>
      </w:r>
      <w:r>
        <w:rPr>
          <w:rFonts w:hint="eastAsia" w:ascii="宋体" w:hAnsi="宋体" w:cs="宋体"/>
          <w:b/>
          <w:color w:val="auto"/>
          <w:sz w:val="24"/>
          <w:highlight w:val="none"/>
        </w:rPr>
        <w:t>投标截止时间：</w:t>
      </w:r>
      <w:r>
        <w:rPr>
          <w:rFonts w:hint="eastAsia" w:ascii="宋体" w:hAnsi="宋体" w:cs="宋体"/>
          <w:bCs/>
          <w:color w:val="auto"/>
          <w:sz w:val="24"/>
          <w:highlight w:val="none"/>
          <w:lang w:val="en-US" w:eastAsia="zh-CN"/>
        </w:rPr>
        <w:t>2026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05</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22</w:t>
      </w:r>
      <w:r>
        <w:rPr>
          <w:rFonts w:hint="eastAsia" w:ascii="宋体" w:hAnsi="宋体" w:cs="宋体"/>
          <w:bCs/>
          <w:color w:val="auto"/>
          <w:sz w:val="24"/>
          <w:highlight w:val="none"/>
        </w:rPr>
        <w:t>日</w:t>
      </w:r>
      <w:r>
        <w:rPr>
          <w:rFonts w:hint="eastAsia" w:ascii="宋体" w:hAnsi="宋体" w:cs="宋体"/>
          <w:bCs/>
          <w:color w:val="auto"/>
          <w:sz w:val="24"/>
          <w:highlight w:val="none"/>
          <w:lang w:val="en-US" w:eastAsia="zh-CN"/>
        </w:rPr>
        <w:t>08</w:t>
      </w:r>
      <w:r>
        <w:rPr>
          <w:rFonts w:hint="eastAsia" w:ascii="宋体" w:hAnsi="宋体" w:cs="宋体"/>
          <w:bCs/>
          <w:color w:val="auto"/>
          <w:sz w:val="24"/>
          <w:highlight w:val="none"/>
        </w:rPr>
        <w:t>时</w:t>
      </w:r>
      <w:r>
        <w:rPr>
          <w:rFonts w:hint="eastAsia" w:ascii="宋体" w:hAnsi="宋体" w:cs="宋体"/>
          <w:bCs/>
          <w:color w:val="auto"/>
          <w:sz w:val="24"/>
          <w:highlight w:val="none"/>
          <w:lang w:val="en-US" w:eastAsia="zh-CN"/>
        </w:rPr>
        <w:t>30</w:t>
      </w:r>
      <w:r>
        <w:rPr>
          <w:rFonts w:hint="eastAsia" w:ascii="宋体" w:hAnsi="宋体" w:cs="宋体"/>
          <w:bCs/>
          <w:color w:val="auto"/>
          <w:sz w:val="24"/>
          <w:highlight w:val="none"/>
        </w:rPr>
        <w:t>分00秒</w:t>
      </w:r>
      <w:r>
        <w:rPr>
          <w:rFonts w:hint="eastAsia" w:ascii="宋体" w:hAnsi="宋体" w:cs="宋体"/>
          <w:b/>
          <w:color w:val="auto"/>
          <w:sz w:val="24"/>
          <w:highlight w:val="none"/>
        </w:rPr>
        <w:t>，</w:t>
      </w:r>
      <w:r>
        <w:rPr>
          <w:rFonts w:hint="eastAsia" w:ascii="宋体" w:hAnsi="宋体" w:cs="宋体"/>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highlight w:val="none"/>
        </w:rPr>
        <w:t>，投标无效。</w:t>
      </w:r>
    </w:p>
    <w:p w14:paraId="66707620">
      <w:pPr>
        <w:spacing w:line="400" w:lineRule="exact"/>
        <w:rPr>
          <w:rFonts w:ascii="宋体" w:hAnsi="宋体" w:cs="宋体"/>
          <w:b/>
          <w:color w:val="auto"/>
          <w:sz w:val="24"/>
          <w:highlight w:val="none"/>
        </w:rPr>
      </w:pPr>
      <w:r>
        <w:rPr>
          <w:rFonts w:hint="eastAsia" w:ascii="宋体" w:hAnsi="宋体" w:cs="宋体"/>
          <w:b/>
          <w:color w:val="auto"/>
          <w:sz w:val="24"/>
          <w:highlight w:val="none"/>
        </w:rPr>
        <w:t>9.</w:t>
      </w:r>
      <w:r>
        <w:rPr>
          <w:rFonts w:hint="eastAsia" w:ascii="宋体" w:hAnsi="宋体" w:cs="宋体"/>
          <w:color w:val="auto"/>
          <w:kern w:val="0"/>
          <w:sz w:val="24"/>
          <w:highlight w:val="none"/>
        </w:rPr>
        <w:t>临海市限额以下公共资源交易区域平台</w:t>
      </w:r>
      <w:r>
        <w:rPr>
          <w:rFonts w:hint="eastAsia" w:ascii="宋体" w:hAnsi="宋体" w:cs="宋体"/>
          <w:b/>
          <w:color w:val="auto"/>
          <w:sz w:val="24"/>
          <w:highlight w:val="none"/>
        </w:rPr>
        <w:t xml:space="preserve">及开评标期间出现网络故障或停电时的应急处理措施：      </w:t>
      </w:r>
    </w:p>
    <w:p w14:paraId="008FAB6B">
      <w:pPr>
        <w:spacing w:line="400" w:lineRule="exact"/>
        <w:rPr>
          <w:rFonts w:ascii="宋体" w:hAnsi="宋体" w:cs="宋体"/>
          <w:bCs/>
          <w:color w:val="auto"/>
          <w:sz w:val="24"/>
          <w:highlight w:val="none"/>
        </w:rPr>
      </w:pPr>
      <w:r>
        <w:rPr>
          <w:rFonts w:hint="eastAsia" w:ascii="宋体" w:hAnsi="宋体" w:cs="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73A6CABE">
      <w:pPr>
        <w:spacing w:line="400" w:lineRule="exact"/>
        <w:rPr>
          <w:rFonts w:ascii="宋体" w:hAnsi="宋体" w:cs="宋体"/>
          <w:bCs/>
          <w:color w:val="auto"/>
          <w:sz w:val="24"/>
          <w:highlight w:val="none"/>
        </w:rPr>
      </w:pPr>
      <w:r>
        <w:rPr>
          <w:rFonts w:hint="eastAsia" w:ascii="宋体" w:hAnsi="宋体" w:cs="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4C62008D">
      <w:pPr>
        <w:spacing w:line="400" w:lineRule="exact"/>
        <w:rPr>
          <w:rFonts w:ascii="宋体" w:hAnsi="宋体" w:cs="宋体"/>
          <w:color w:val="auto"/>
          <w:sz w:val="24"/>
          <w:highlight w:val="none"/>
        </w:rPr>
      </w:pPr>
      <w:r>
        <w:rPr>
          <w:rFonts w:hint="eastAsia" w:ascii="宋体" w:hAnsi="宋体" w:cs="宋体"/>
          <w:b/>
          <w:color w:val="auto"/>
          <w:sz w:val="24"/>
          <w:highlight w:val="none"/>
        </w:rPr>
        <w:t>10.开标</w:t>
      </w:r>
    </w:p>
    <w:p w14:paraId="4F4F20A8">
      <w:pPr>
        <w:spacing w:line="400" w:lineRule="exact"/>
        <w:rPr>
          <w:rFonts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bCs/>
          <w:color w:val="auto"/>
          <w:sz w:val="24"/>
          <w:highlight w:val="none"/>
          <w:lang w:val="en-US" w:eastAsia="zh-CN"/>
        </w:rPr>
        <w:t>2026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05</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22</w:t>
      </w:r>
      <w:r>
        <w:rPr>
          <w:rFonts w:hint="eastAsia" w:ascii="宋体" w:hAnsi="宋体" w:cs="宋体"/>
          <w:bCs/>
          <w:color w:val="auto"/>
          <w:sz w:val="24"/>
          <w:highlight w:val="none"/>
        </w:rPr>
        <w:t>日</w:t>
      </w:r>
      <w:r>
        <w:rPr>
          <w:rFonts w:hint="eastAsia" w:ascii="宋体" w:hAnsi="宋体" w:cs="宋体"/>
          <w:bCs/>
          <w:color w:val="auto"/>
          <w:sz w:val="24"/>
          <w:highlight w:val="none"/>
          <w:lang w:val="en-US" w:eastAsia="zh-CN"/>
        </w:rPr>
        <w:t>08</w:t>
      </w:r>
      <w:r>
        <w:rPr>
          <w:rFonts w:hint="eastAsia" w:ascii="宋体" w:hAnsi="宋体" w:cs="宋体"/>
          <w:bCs/>
          <w:color w:val="auto"/>
          <w:sz w:val="24"/>
          <w:highlight w:val="none"/>
        </w:rPr>
        <w:t>时</w:t>
      </w:r>
      <w:r>
        <w:rPr>
          <w:rFonts w:hint="eastAsia" w:ascii="宋体" w:hAnsi="宋体" w:cs="宋体"/>
          <w:bCs/>
          <w:color w:val="auto"/>
          <w:sz w:val="24"/>
          <w:highlight w:val="none"/>
          <w:lang w:val="en-US" w:eastAsia="zh-CN"/>
        </w:rPr>
        <w:t>30</w:t>
      </w:r>
      <w:r>
        <w:rPr>
          <w:rFonts w:hint="eastAsia" w:ascii="宋体" w:hAnsi="宋体" w:cs="宋体"/>
          <w:bCs/>
          <w:color w:val="auto"/>
          <w:sz w:val="24"/>
          <w:highlight w:val="none"/>
        </w:rPr>
        <w:t>分00秒</w:t>
      </w:r>
      <w:r>
        <w:rPr>
          <w:rFonts w:hint="eastAsia" w:ascii="宋体" w:hAnsi="宋体" w:cs="宋体"/>
          <w:color w:val="auto"/>
          <w:sz w:val="24"/>
          <w:highlight w:val="none"/>
        </w:rPr>
        <w:t>。</w:t>
      </w:r>
    </w:p>
    <w:p w14:paraId="2AF88B77">
      <w:pPr>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rPr>
        <w:t>开标地点：</w:t>
      </w:r>
      <w:r>
        <w:rPr>
          <w:rFonts w:hint="eastAsia" w:ascii="宋体" w:hAnsi="宋体" w:cs="宋体"/>
          <w:color w:val="auto"/>
          <w:sz w:val="24"/>
          <w:highlight w:val="none"/>
          <w:u w:val="single"/>
        </w:rPr>
        <w:t>临海市限额以下公共资源交易区域平台、临海市大田街道城隍街与东方大道交汇处办公楼3楼</w:t>
      </w:r>
      <w:r>
        <w:rPr>
          <w:rFonts w:hint="eastAsia" w:ascii="宋体" w:hAnsi="宋体" w:cs="宋体"/>
          <w:color w:val="auto"/>
          <w:sz w:val="24"/>
          <w:highlight w:val="none"/>
          <w:u w:val="single"/>
          <w:lang w:val="en-US" w:eastAsia="zh-CN"/>
        </w:rPr>
        <w:t>1号</w:t>
      </w:r>
      <w:r>
        <w:rPr>
          <w:rFonts w:hint="eastAsia" w:ascii="宋体" w:hAnsi="宋体" w:cs="宋体"/>
          <w:color w:val="auto"/>
          <w:sz w:val="24"/>
          <w:highlight w:val="none"/>
          <w:u w:val="single"/>
        </w:rPr>
        <w:t>开标室（不见面开标大厅）</w:t>
      </w:r>
    </w:p>
    <w:p w14:paraId="155FB2E4">
      <w:pPr>
        <w:spacing w:line="400" w:lineRule="exact"/>
        <w:rPr>
          <w:rFonts w:ascii="宋体" w:hAnsi="宋体" w:cs="宋体"/>
          <w:b/>
          <w:color w:val="auto"/>
          <w:sz w:val="24"/>
          <w:highlight w:val="none"/>
        </w:rPr>
      </w:pPr>
      <w:r>
        <w:rPr>
          <w:rFonts w:hint="eastAsia" w:ascii="宋体" w:hAnsi="宋体" w:cs="宋体"/>
          <w:b/>
          <w:color w:val="auto"/>
          <w:sz w:val="24"/>
          <w:highlight w:val="none"/>
        </w:rPr>
        <w:t>11.发布公告的媒介</w:t>
      </w:r>
    </w:p>
    <w:p w14:paraId="6EE31E2F">
      <w:pPr>
        <w:spacing w:line="400" w:lineRule="exact"/>
        <w:rPr>
          <w:rFonts w:ascii="宋体" w:hAnsi="宋体" w:cs="宋体"/>
          <w:color w:val="auto"/>
          <w:sz w:val="24"/>
          <w:highlight w:val="none"/>
        </w:rPr>
      </w:pPr>
      <w:r>
        <w:rPr>
          <w:rFonts w:hint="eastAsia" w:ascii="宋体" w:hAnsi="宋体" w:cs="宋体"/>
          <w:color w:val="auto"/>
          <w:sz w:val="24"/>
          <w:highlight w:val="none"/>
        </w:rPr>
        <w:t>本次招标公告在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上发布。</w:t>
      </w:r>
    </w:p>
    <w:p w14:paraId="78284763">
      <w:pPr>
        <w:spacing w:line="400" w:lineRule="exact"/>
        <w:rPr>
          <w:rFonts w:ascii="宋体" w:hAnsi="宋体" w:cs="宋体"/>
          <w:b/>
          <w:color w:val="auto"/>
          <w:sz w:val="24"/>
          <w:highlight w:val="none"/>
        </w:rPr>
      </w:pPr>
      <w:r>
        <w:rPr>
          <w:rFonts w:hint="eastAsia" w:ascii="宋体" w:hAnsi="宋体" w:cs="宋体"/>
          <w:b/>
          <w:color w:val="auto"/>
          <w:sz w:val="24"/>
          <w:highlight w:val="none"/>
        </w:rPr>
        <w:t>12、其他事项</w:t>
      </w:r>
    </w:p>
    <w:p w14:paraId="6A6F6E00">
      <w:pPr>
        <w:spacing w:line="400" w:lineRule="exact"/>
        <w:rPr>
          <w:rFonts w:ascii="宋体" w:hAnsi="宋体" w:cs="宋体"/>
          <w:color w:val="auto"/>
          <w:sz w:val="24"/>
          <w:highlight w:val="none"/>
        </w:rPr>
      </w:pPr>
      <w:r>
        <w:rPr>
          <w:rFonts w:hint="eastAsia" w:ascii="宋体" w:hAnsi="宋体" w:cs="宋体"/>
          <w:color w:val="auto"/>
          <w:sz w:val="24"/>
          <w:highlight w:val="none"/>
        </w:rPr>
        <w:t>（1）接标截止时间以平台服务器时间为准，请准时提交投标文件。</w:t>
      </w:r>
    </w:p>
    <w:p w14:paraId="16B2B9EE">
      <w:pPr>
        <w:spacing w:line="400" w:lineRule="exact"/>
        <w:rPr>
          <w:rFonts w:ascii="宋体" w:hAnsi="宋体" w:cs="宋体"/>
          <w:color w:val="auto"/>
          <w:sz w:val="24"/>
          <w:highlight w:val="none"/>
        </w:rPr>
      </w:pPr>
      <w:r>
        <w:rPr>
          <w:rFonts w:hint="eastAsia" w:ascii="宋体" w:hAnsi="宋体" w:cs="宋体"/>
          <w:b/>
          <w:color w:val="auto"/>
          <w:sz w:val="24"/>
          <w:highlight w:val="none"/>
        </w:rPr>
        <w:t>13、联系方式</w:t>
      </w:r>
    </w:p>
    <w:p w14:paraId="46EEFD4A">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（1）招标人信息</w:t>
      </w:r>
    </w:p>
    <w:p w14:paraId="4899882D">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招标人：临海市大洋建设投资有限公司</w:t>
      </w:r>
    </w:p>
    <w:p w14:paraId="34645E78">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 xml:space="preserve">娄先生 </w:t>
      </w:r>
      <w:r>
        <w:rPr>
          <w:rFonts w:hint="eastAsia" w:ascii="宋体" w:hAnsi="宋体" w:eastAsia="宋体" w:cs="宋体"/>
          <w:bCs/>
          <w:color w:val="auto"/>
          <w:sz w:val="24"/>
          <w:szCs w:val="24"/>
          <w:highlight w:val="none"/>
          <w:shd w:val="clear" w:color="auto" w:fill="auto"/>
          <w:lang w:val="en-US" w:eastAsia="zh-CN"/>
        </w:rPr>
        <w:t xml:space="preserve">    </w:t>
      </w:r>
    </w:p>
    <w:p w14:paraId="00EEFAB6">
      <w:pPr>
        <w:spacing w:line="400" w:lineRule="exact"/>
        <w:rPr>
          <w:rFonts w:ascii="宋体" w:hAnsi="宋体" w:cs="宋体"/>
          <w:b/>
          <w:bCs/>
          <w:color w:val="auto"/>
          <w:sz w:val="24"/>
          <w:highlight w:val="none"/>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 xml:space="preserve"> 0576-85385880</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color w:val="auto"/>
          <w:sz w:val="24"/>
          <w:highlight w:val="none"/>
        </w:rPr>
        <w:t>（2）代理机构信息</w:t>
      </w:r>
    </w:p>
    <w:p w14:paraId="2B25655F">
      <w:pPr>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名 称：</w:t>
      </w:r>
      <w:r>
        <w:rPr>
          <w:rFonts w:hint="eastAsia" w:ascii="宋体" w:hAnsi="宋体" w:cs="宋体"/>
          <w:bCs/>
          <w:color w:val="auto"/>
          <w:sz w:val="24"/>
          <w:highlight w:val="none"/>
          <w:lang w:eastAsia="zh-CN"/>
        </w:rPr>
        <w:t>隆耀（浙江）工程咨询有限公司</w:t>
      </w:r>
    </w:p>
    <w:p w14:paraId="43FFFE71">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地址: </w:t>
      </w:r>
      <w:r>
        <w:rPr>
          <w:rFonts w:hint="eastAsia" w:ascii="宋体" w:hAnsi="宋体" w:cs="宋体"/>
          <w:bCs/>
          <w:color w:val="auto"/>
          <w:sz w:val="24"/>
          <w:highlight w:val="none"/>
          <w:lang w:val="en-US" w:eastAsia="zh-CN"/>
        </w:rPr>
        <w:t>临海市京商大厦9楼</w:t>
      </w:r>
    </w:p>
    <w:p w14:paraId="46ADC17E">
      <w:pPr>
        <w:spacing w:line="400" w:lineRule="exact"/>
        <w:rPr>
          <w:rFonts w:ascii="宋体" w:hAnsi="宋体" w:cs="宋体"/>
          <w:bCs/>
          <w:color w:val="auto"/>
          <w:sz w:val="24"/>
          <w:highlight w:val="none"/>
        </w:rPr>
      </w:pPr>
      <w:r>
        <w:rPr>
          <w:rFonts w:hint="eastAsia" w:ascii="宋体" w:hAnsi="宋体" w:cs="宋体"/>
          <w:bCs/>
          <w:color w:val="auto"/>
          <w:sz w:val="24"/>
          <w:highlight w:val="none"/>
        </w:rPr>
        <w:t>项目联系人（询问）：</w:t>
      </w:r>
      <w:r>
        <w:rPr>
          <w:rFonts w:hint="eastAsia" w:ascii="宋体" w:hAnsi="宋体" w:cs="宋体"/>
          <w:bCs/>
          <w:color w:val="auto"/>
          <w:sz w:val="24"/>
          <w:highlight w:val="none"/>
          <w:lang w:val="en-US" w:eastAsia="zh-CN"/>
        </w:rPr>
        <w:t>李</w:t>
      </w:r>
      <w:r>
        <w:rPr>
          <w:rFonts w:hint="eastAsia" w:ascii="宋体" w:hAnsi="宋体" w:cs="宋体"/>
          <w:bCs/>
          <w:color w:val="auto"/>
          <w:sz w:val="24"/>
          <w:highlight w:val="none"/>
        </w:rPr>
        <w:t>女士</w:t>
      </w:r>
    </w:p>
    <w:p w14:paraId="154CD15B">
      <w:pPr>
        <w:spacing w:line="40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项目联系方式：</w:t>
      </w:r>
      <w:r>
        <w:rPr>
          <w:rFonts w:hint="eastAsia" w:ascii="宋体" w:hAnsi="宋体" w:cs="宋体"/>
          <w:bCs/>
          <w:color w:val="auto"/>
          <w:sz w:val="24"/>
          <w:highlight w:val="none"/>
          <w:lang w:eastAsia="zh-CN"/>
        </w:rPr>
        <w:t>0576-85318992</w:t>
      </w:r>
    </w:p>
    <w:p w14:paraId="308A35B5">
      <w:pPr>
        <w:spacing w:line="400" w:lineRule="exact"/>
        <w:rPr>
          <w:rFonts w:hint="default" w:ascii="宋体" w:hAnsi="宋体" w:eastAsia="宋体" w:cs="宋体"/>
          <w:color w:val="auto"/>
          <w:sz w:val="24"/>
          <w:highlight w:val="none"/>
          <w:lang w:val="en-US" w:eastAsia="zh-CN"/>
        </w:rPr>
      </w:pPr>
      <w:r>
        <w:rPr>
          <w:rFonts w:hint="eastAsia" w:ascii="宋体" w:hAnsi="宋体" w:cs="宋体"/>
          <w:bCs/>
          <w:color w:val="auto"/>
          <w:sz w:val="24"/>
          <w:highlight w:val="none"/>
        </w:rPr>
        <w:t>质疑联系人：</w:t>
      </w:r>
      <w:r>
        <w:rPr>
          <w:rFonts w:hint="eastAsia" w:ascii="宋体" w:hAnsi="宋体" w:cs="宋体"/>
          <w:bCs/>
          <w:color w:val="auto"/>
          <w:sz w:val="24"/>
          <w:highlight w:val="none"/>
          <w:lang w:val="en-US" w:eastAsia="zh-CN"/>
        </w:rPr>
        <w:t>朱先生</w:t>
      </w:r>
    </w:p>
    <w:p w14:paraId="23832B95">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质疑联系方式：</w:t>
      </w:r>
      <w:r>
        <w:rPr>
          <w:rFonts w:hint="eastAsia" w:ascii="宋体" w:hAnsi="宋体" w:cs="宋体"/>
          <w:bCs/>
          <w:color w:val="auto"/>
          <w:sz w:val="24"/>
          <w:highlight w:val="none"/>
          <w:lang w:val="en-US" w:eastAsia="zh-CN"/>
        </w:rPr>
        <w:t>13666865263</w:t>
      </w:r>
    </w:p>
    <w:p w14:paraId="3C2B27ED">
      <w:pPr>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电子邮</w:t>
      </w:r>
      <w:r>
        <w:rPr>
          <w:rFonts w:hint="eastAsia" w:ascii="宋体" w:hAnsi="宋体" w:cs="宋体"/>
          <w:color w:val="auto"/>
          <w:spacing w:val="-4"/>
          <w:sz w:val="24"/>
          <w:highlight w:val="none"/>
          <w:u w:val="none"/>
        </w:rPr>
        <w:t xml:space="preserve">箱: </w:t>
      </w:r>
      <w:r>
        <w:rPr>
          <w:color w:val="auto"/>
          <w:highlight w:val="none"/>
          <w:u w:val="none"/>
        </w:rPr>
        <w:fldChar w:fldCharType="begin"/>
      </w:r>
      <w:r>
        <w:rPr>
          <w:color w:val="auto"/>
          <w:highlight w:val="none"/>
          <w:u w:val="none"/>
        </w:rPr>
        <w:instrText xml:space="preserve"> HYPERLINK "mailto:zjzy_lh2018@163.com" </w:instrText>
      </w:r>
      <w:r>
        <w:rPr>
          <w:color w:val="auto"/>
          <w:highlight w:val="none"/>
          <w:u w:val="none"/>
        </w:rPr>
        <w:fldChar w:fldCharType="separate"/>
      </w:r>
      <w:r>
        <w:rPr>
          <w:rStyle w:val="58"/>
          <w:rFonts w:hint="eastAsia" w:ascii="宋体" w:hAnsi="宋体" w:cs="宋体"/>
          <w:color w:val="auto"/>
          <w:spacing w:val="-4"/>
          <w:sz w:val="24"/>
          <w:highlight w:val="none"/>
          <w:u w:val="none"/>
          <w:lang w:val="en-US" w:eastAsia="zh-CN"/>
        </w:rPr>
        <w:t>lylh202401</w:t>
      </w:r>
      <w:r>
        <w:rPr>
          <w:rStyle w:val="58"/>
          <w:rFonts w:hint="eastAsia" w:ascii="宋体" w:hAnsi="宋体" w:cs="宋体"/>
          <w:color w:val="auto"/>
          <w:spacing w:val="-4"/>
          <w:sz w:val="24"/>
          <w:highlight w:val="none"/>
          <w:u w:val="none"/>
        </w:rPr>
        <w:t>@163.com</w:t>
      </w:r>
      <w:r>
        <w:rPr>
          <w:rStyle w:val="58"/>
          <w:rFonts w:hint="eastAsia" w:ascii="宋体" w:hAnsi="宋体" w:cs="宋体"/>
          <w:color w:val="auto"/>
          <w:spacing w:val="-4"/>
          <w:sz w:val="24"/>
          <w:highlight w:val="none"/>
          <w:u w:val="none"/>
        </w:rPr>
        <w:fldChar w:fldCharType="end"/>
      </w:r>
    </w:p>
    <w:p w14:paraId="66061567">
      <w:pPr>
        <w:pStyle w:val="46"/>
        <w:shd w:val="clear" w:color="auto" w:fill="FFFFFF"/>
        <w:spacing w:before="0" w:beforeAutospacing="0" w:after="0" w:afterAutospacing="0" w:line="405" w:lineRule="atLeast"/>
        <w:rPr>
          <w:rFonts w:ascii="微软雅黑" w:hAnsi="微软雅黑" w:eastAsia="微软雅黑" w:cs="微软雅黑"/>
          <w:color w:val="auto"/>
          <w:highlight w:val="none"/>
        </w:rPr>
      </w:pPr>
      <w:r>
        <w:rPr>
          <w:rStyle w:val="54"/>
          <w:rFonts w:hint="eastAsia" w:cs="宋体"/>
          <w:color w:val="auto"/>
          <w:highlight w:val="none"/>
          <w:shd w:val="clear" w:color="auto" w:fill="FFFFFF"/>
        </w:rPr>
        <w:t>（3）监管机构信息</w:t>
      </w:r>
    </w:p>
    <w:p w14:paraId="130AEA11">
      <w:pPr>
        <w:pStyle w:val="46"/>
        <w:shd w:val="clear" w:color="auto" w:fill="FFFFFF"/>
        <w:spacing w:before="0" w:beforeAutospacing="0" w:after="0" w:afterAutospacing="0" w:line="405" w:lineRule="atLeast"/>
        <w:rPr>
          <w:rFonts w:ascii="微软雅黑" w:hAnsi="微软雅黑" w:eastAsia="微软雅黑" w:cs="微软雅黑"/>
          <w:color w:val="auto"/>
          <w:highlight w:val="none"/>
        </w:rPr>
      </w:pPr>
      <w:r>
        <w:rPr>
          <w:rFonts w:hint="eastAsia" w:cs="宋体"/>
          <w:color w:val="auto"/>
          <w:highlight w:val="none"/>
          <w:shd w:val="clear" w:color="auto" w:fill="FFFFFF"/>
        </w:rPr>
        <w:t>名 称：临海市社会事业发展集团有限公司</w:t>
      </w:r>
    </w:p>
    <w:p w14:paraId="0DD091A6">
      <w:pPr>
        <w:pStyle w:val="46"/>
        <w:shd w:val="clear" w:color="auto" w:fill="FFFFFF"/>
        <w:spacing w:before="0" w:beforeAutospacing="0" w:after="0" w:afterAutospacing="0" w:line="405" w:lineRule="atLeast"/>
        <w:rPr>
          <w:rFonts w:ascii="微软雅黑" w:hAnsi="微软雅黑" w:eastAsia="微软雅黑" w:cs="微软雅黑"/>
          <w:color w:val="auto"/>
          <w:highlight w:val="none"/>
        </w:rPr>
      </w:pPr>
      <w:r>
        <w:rPr>
          <w:rFonts w:hint="eastAsia" w:cs="宋体"/>
          <w:color w:val="auto"/>
          <w:highlight w:val="none"/>
          <w:shd w:val="clear" w:color="auto" w:fill="FFFFFF"/>
        </w:rPr>
        <w:t>联系人：赵先生</w:t>
      </w:r>
    </w:p>
    <w:p w14:paraId="58FAE98A">
      <w:pPr>
        <w:pStyle w:val="46"/>
        <w:shd w:val="clear" w:color="auto" w:fill="FFFFFF"/>
        <w:spacing w:before="0" w:beforeAutospacing="0" w:after="0" w:afterAutospacing="0" w:line="405" w:lineRule="atLeast"/>
        <w:rPr>
          <w:rFonts w:ascii="微软雅黑" w:hAnsi="微软雅黑" w:eastAsia="微软雅黑" w:cs="微软雅黑"/>
          <w:color w:val="auto"/>
          <w:highlight w:val="none"/>
        </w:rPr>
      </w:pPr>
      <w:r>
        <w:rPr>
          <w:rFonts w:hint="eastAsia" w:cs="宋体"/>
          <w:color w:val="auto"/>
          <w:highlight w:val="none"/>
          <w:shd w:val="clear" w:color="auto" w:fill="FFFFFF"/>
        </w:rPr>
        <w:t>联系电话：0576-85807170</w:t>
      </w:r>
    </w:p>
    <w:p w14:paraId="70199C6C">
      <w:pPr>
        <w:pStyle w:val="64"/>
        <w:ind w:firstLine="0" w:firstLineChars="0"/>
        <w:rPr>
          <w:color w:val="auto"/>
          <w:highlight w:val="none"/>
        </w:rPr>
      </w:pPr>
    </w:p>
    <w:p w14:paraId="4194BD58">
      <w:pPr>
        <w:numPr>
          <w:ilvl w:val="0"/>
          <w:numId w:val="3"/>
        </w:numPr>
        <w:spacing w:line="400" w:lineRule="exact"/>
        <w:jc w:val="center"/>
        <w:outlineLvl w:val="0"/>
        <w:rPr>
          <w:rFonts w:ascii="宋体" w:hAnsi="宋体" w:cs="宋体"/>
          <w:b/>
          <w:color w:val="auto"/>
          <w:sz w:val="36"/>
          <w:szCs w:val="36"/>
          <w:highlight w:val="none"/>
        </w:rPr>
      </w:pPr>
      <w:r>
        <w:rPr>
          <w:rFonts w:hint="eastAsia" w:ascii="宋体" w:hAnsi="宋体" w:cs="宋体"/>
          <w:b/>
          <w:color w:val="auto"/>
          <w:sz w:val="24"/>
          <w:highlight w:val="none"/>
        </w:rPr>
        <w:br w:type="page"/>
      </w:r>
      <w:bookmarkStart w:id="4" w:name="_Toc2467"/>
      <w:bookmarkStart w:id="5" w:name="_Toc466534748"/>
      <w:bookmarkStart w:id="6" w:name="_Toc467749357"/>
      <w:r>
        <w:rPr>
          <w:rFonts w:hint="eastAsia" w:ascii="宋体" w:hAnsi="宋体" w:cs="宋体"/>
          <w:b/>
          <w:color w:val="auto"/>
          <w:sz w:val="36"/>
          <w:szCs w:val="36"/>
          <w:highlight w:val="none"/>
        </w:rPr>
        <w:t xml:space="preserve">  招标需求</w:t>
      </w:r>
      <w:bookmarkEnd w:id="4"/>
    </w:p>
    <w:bookmarkEnd w:id="5"/>
    <w:bookmarkEnd w:id="6"/>
    <w:p w14:paraId="31F22ACC">
      <w:pPr>
        <w:rPr>
          <w:color w:val="auto"/>
          <w:highlight w:val="none"/>
        </w:rPr>
      </w:pPr>
      <w:bookmarkStart w:id="7" w:name="_Toc21811"/>
      <w:bookmarkStart w:id="8" w:name="_Toc466534749"/>
    </w:p>
    <w:p w14:paraId="0B79BAD3">
      <w:pPr>
        <w:tabs>
          <w:tab w:val="left" w:pos="8280"/>
        </w:tabs>
        <w:autoSpaceDE w:val="0"/>
        <w:autoSpaceDN w:val="0"/>
        <w:adjustRightInd w:val="0"/>
        <w:spacing w:line="360" w:lineRule="auto"/>
        <w:rPr>
          <w:rFonts w:ascii="宋体" w:hAnsi="宋体"/>
          <w:b/>
          <w:color w:val="auto"/>
          <w:sz w:val="24"/>
          <w:szCs w:val="24"/>
          <w:highlight w:val="none"/>
        </w:rPr>
      </w:pPr>
      <w:bookmarkStart w:id="9" w:name="_Toc29629"/>
      <w:r>
        <w:rPr>
          <w:rFonts w:hint="eastAsia" w:ascii="宋体" w:hAnsi="宋体"/>
          <w:b/>
          <w:color w:val="auto"/>
          <w:sz w:val="24"/>
          <w:szCs w:val="24"/>
          <w:highlight w:val="none"/>
        </w:rPr>
        <w:t>一、项目概况</w:t>
      </w:r>
    </w:p>
    <w:p w14:paraId="44BA10BA">
      <w:pPr>
        <w:spacing w:line="360" w:lineRule="auto"/>
        <w:rPr>
          <w:rFonts w:hint="eastAsia" w:ascii="宋体"/>
          <w:color w:val="auto"/>
          <w:sz w:val="24"/>
          <w:szCs w:val="24"/>
          <w:highlight w:val="none"/>
          <w:lang w:val="zh-CN"/>
        </w:rPr>
      </w:pPr>
      <w:r>
        <w:rPr>
          <w:rFonts w:hint="eastAsia" w:ascii="宋体" w:hAnsi="宋体" w:eastAsia="宋体" w:cs="Times New Roman"/>
          <w:bCs/>
          <w:color w:val="auto"/>
          <w:sz w:val="24"/>
          <w:szCs w:val="24"/>
          <w:highlight w:val="none"/>
        </w:rPr>
        <w:t>1、项目名称：临海市佩弦湖新时代教育综合学校建设工程智能化项目</w:t>
      </w:r>
    </w:p>
    <w:p w14:paraId="75799661">
      <w:pPr>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lang w:val="en-US" w:eastAsia="zh-CN"/>
        </w:rPr>
        <w:t>招标人</w:t>
      </w:r>
      <w:r>
        <w:rPr>
          <w:rFonts w:hint="eastAsia" w:ascii="宋体" w:hAnsi="宋体" w:eastAsia="宋体" w:cs="Times New Roman"/>
          <w:bCs/>
          <w:color w:val="auto"/>
          <w:sz w:val="24"/>
          <w:szCs w:val="24"/>
          <w:highlight w:val="none"/>
        </w:rPr>
        <w:t>：</w:t>
      </w:r>
      <w:r>
        <w:rPr>
          <w:rFonts w:hint="eastAsia" w:ascii="宋体" w:hAnsi="宋体" w:eastAsia="宋体"/>
          <w:b w:val="0"/>
          <w:bCs/>
          <w:color w:val="auto"/>
          <w:sz w:val="24"/>
          <w:szCs w:val="24"/>
          <w:highlight w:val="none"/>
          <w:lang w:val="en-US" w:eastAsia="zh-CN"/>
        </w:rPr>
        <w:t>临海市大洋建设投资有限公司</w:t>
      </w:r>
    </w:p>
    <w:p w14:paraId="78C2B574">
      <w:pPr>
        <w:tabs>
          <w:tab w:val="left" w:pos="8280"/>
        </w:tabs>
        <w:autoSpaceDE w:val="0"/>
        <w:autoSpaceDN w:val="0"/>
        <w:adjustRightInd w:val="0"/>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二、项目说明:</w:t>
      </w:r>
    </w:p>
    <w:p w14:paraId="30BAB3A9">
      <w:pPr>
        <w:spacing w:line="360" w:lineRule="auto"/>
        <w:ind w:firstLine="240" w:firstLineChars="100"/>
        <w:outlineLvl w:val="0"/>
        <w:rPr>
          <w:rFonts w:ascii="宋体" w:hAnsi="宋体" w:cs="宋体"/>
          <w:b/>
          <w:sz w:val="24"/>
          <w:szCs w:val="24"/>
          <w:highlight w:val="none"/>
        </w:rPr>
      </w:pPr>
      <w:bookmarkStart w:id="10" w:name="_Toc8502"/>
      <w:bookmarkStart w:id="11" w:name="_Toc20310"/>
      <w:r>
        <w:rPr>
          <w:rFonts w:hint="eastAsia" w:ascii="宋体" w:hAnsi="宋体" w:eastAsia="宋体" w:cs="Times New Roman"/>
          <w:b w:val="0"/>
          <w:bCs/>
          <w:color w:val="auto"/>
          <w:sz w:val="24"/>
          <w:szCs w:val="24"/>
          <w:highlight w:val="none"/>
          <w:lang w:val="en-US" w:eastAsia="zh-CN"/>
        </w:rPr>
        <w:t>项目范围包括：综合布线系统</w:t>
      </w:r>
      <w:r>
        <w:rPr>
          <w:rFonts w:hint="eastAsia" w:ascii="宋体" w:hAnsi="宋体" w:cs="Times New Roman"/>
          <w:b w:val="0"/>
          <w:bCs/>
          <w:color w:val="auto"/>
          <w:sz w:val="24"/>
          <w:szCs w:val="24"/>
          <w:highlight w:val="none"/>
          <w:lang w:val="en-US" w:eastAsia="zh-CN"/>
        </w:rPr>
        <w:t>、</w:t>
      </w:r>
      <w:r>
        <w:rPr>
          <w:rFonts w:hint="eastAsia" w:ascii="宋体" w:hAnsi="宋体" w:eastAsia="宋体" w:cs="Times New Roman"/>
          <w:b w:val="0"/>
          <w:bCs/>
          <w:color w:val="auto"/>
          <w:sz w:val="24"/>
          <w:szCs w:val="24"/>
          <w:highlight w:val="none"/>
          <w:lang w:val="en-US" w:eastAsia="zh-CN"/>
        </w:rPr>
        <w:t>计算机网络系统</w:t>
      </w:r>
      <w:r>
        <w:rPr>
          <w:rFonts w:hint="eastAsia" w:ascii="宋体" w:hAnsi="宋体" w:cs="Times New Roman"/>
          <w:b w:val="0"/>
          <w:bCs/>
          <w:color w:val="auto"/>
          <w:sz w:val="24"/>
          <w:szCs w:val="24"/>
          <w:highlight w:val="none"/>
          <w:lang w:val="en-US" w:eastAsia="zh-CN"/>
        </w:rPr>
        <w:t>、智慧安防系统、校园广播系统、信息发布系统、电梯五方通话系统、多媒体会议系统、舞台机械幕布灯光系统、机房系统、智慧校园系统、综合管路系统</w:t>
      </w:r>
      <w:r>
        <w:rPr>
          <w:rFonts w:hint="eastAsia" w:ascii="宋体" w:hAnsi="宋体" w:eastAsia="宋体" w:cs="Times New Roman"/>
          <w:b w:val="0"/>
          <w:bCs/>
          <w:color w:val="auto"/>
          <w:sz w:val="24"/>
          <w:szCs w:val="24"/>
          <w:highlight w:val="none"/>
          <w:lang w:val="en-US" w:eastAsia="zh-CN"/>
        </w:rPr>
        <w:t>等内容。设计依据、设计范围详见图纸</w:t>
      </w:r>
      <w:r>
        <w:rPr>
          <w:rFonts w:hint="eastAsia" w:ascii="宋体" w:hAnsi="宋体" w:cs="Times New Roman"/>
          <w:b w:val="0"/>
          <w:bCs/>
          <w:color w:val="auto"/>
          <w:sz w:val="24"/>
          <w:szCs w:val="24"/>
          <w:highlight w:val="none"/>
          <w:lang w:val="en-US" w:eastAsia="zh-CN"/>
        </w:rPr>
        <w:t>及方案。</w:t>
      </w:r>
      <w:r>
        <w:rPr>
          <w:rFonts w:hint="eastAsia" w:ascii="宋体" w:hAnsi="宋体" w:cs="Times New Roman"/>
          <w:b w:val="0"/>
          <w:bCs/>
          <w:color w:val="auto"/>
          <w:sz w:val="24"/>
          <w:szCs w:val="24"/>
          <w:highlight w:val="none"/>
          <w:lang w:val="en-US" w:eastAsia="zh-CN"/>
        </w:rPr>
        <w:br w:type="textWrapping"/>
      </w:r>
      <w:r>
        <w:rPr>
          <w:rFonts w:hint="eastAsia" w:ascii="宋体" w:hAnsi="宋体" w:cs="宋体"/>
          <w:b/>
          <w:sz w:val="24"/>
          <w:szCs w:val="24"/>
          <w:highlight w:val="none"/>
          <w:lang w:val="en-US" w:eastAsia="zh-CN"/>
        </w:rPr>
        <w:t>三</w:t>
      </w:r>
      <w:r>
        <w:rPr>
          <w:rFonts w:hint="eastAsia" w:ascii="宋体" w:hAnsi="宋体" w:cs="宋体"/>
          <w:b/>
          <w:sz w:val="24"/>
          <w:szCs w:val="24"/>
          <w:highlight w:val="none"/>
        </w:rPr>
        <w:t>、工程量（材料）清单：</w:t>
      </w:r>
      <w:bookmarkEnd w:id="9"/>
      <w:bookmarkEnd w:id="10"/>
      <w:bookmarkEnd w:id="11"/>
    </w:p>
    <w:tbl>
      <w:tblPr>
        <w:tblStyle w:val="51"/>
        <w:tblW w:w="10332" w:type="dxa"/>
        <w:tblInd w:w="-7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58"/>
        <w:gridCol w:w="1631"/>
        <w:gridCol w:w="3704"/>
        <w:gridCol w:w="1552"/>
        <w:gridCol w:w="761"/>
        <w:gridCol w:w="705"/>
        <w:gridCol w:w="821"/>
      </w:tblGrid>
      <w:tr w14:paraId="33677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6" w:hRule="atLeast"/>
        </w:trPr>
        <w:tc>
          <w:tcPr>
            <w:tcW w:w="1158"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47CC102A">
            <w:pPr>
              <w:keepNext w:val="0"/>
              <w:keepLines w:val="0"/>
              <w:widowControl/>
              <w:suppressLineNumbers w:val="0"/>
              <w:jc w:val="center"/>
              <w:textAlignment w:val="center"/>
              <w:rPr>
                <w:rFonts w:ascii="宋体" w:hAnsi="宋体" w:eastAsia="宋体" w:cs="宋体"/>
                <w:b/>
                <w:bCs/>
                <w:i w:val="0"/>
                <w:iCs w:val="0"/>
                <w:color w:val="000000"/>
                <w:sz w:val="24"/>
                <w:szCs w:val="24"/>
                <w:highlight w:val="none"/>
                <w:u w:val="none"/>
              </w:rPr>
            </w:pPr>
            <w:r>
              <w:rPr>
                <w:rFonts w:ascii="宋体" w:hAnsi="宋体" w:eastAsia="宋体" w:cs="宋体"/>
                <w:b/>
                <w:bCs/>
                <w:i w:val="0"/>
                <w:iCs w:val="0"/>
                <w:color w:val="000000"/>
                <w:kern w:val="0"/>
                <w:sz w:val="24"/>
                <w:szCs w:val="24"/>
                <w:highlight w:val="none"/>
                <w:u w:val="none"/>
                <w:lang w:val="en-US" w:eastAsia="zh-CN" w:bidi="ar"/>
              </w:rPr>
              <w:t>序号</w:t>
            </w:r>
          </w:p>
        </w:tc>
        <w:tc>
          <w:tcPr>
            <w:tcW w:w="1631"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656245FE">
            <w:pPr>
              <w:keepNext w:val="0"/>
              <w:keepLines w:val="0"/>
              <w:widowControl/>
              <w:suppressLineNumbers w:val="0"/>
              <w:jc w:val="center"/>
              <w:textAlignment w:val="center"/>
              <w:rPr>
                <w:rFonts w:ascii="宋体" w:hAnsi="宋体" w:eastAsia="宋体" w:cs="宋体"/>
                <w:b/>
                <w:bCs/>
                <w:i w:val="0"/>
                <w:iCs w:val="0"/>
                <w:color w:val="000000"/>
                <w:sz w:val="24"/>
                <w:szCs w:val="24"/>
                <w:highlight w:val="none"/>
                <w:u w:val="none"/>
              </w:rPr>
            </w:pPr>
            <w:r>
              <w:rPr>
                <w:rFonts w:ascii="宋体" w:hAnsi="宋体" w:eastAsia="宋体" w:cs="宋体"/>
                <w:b/>
                <w:bCs/>
                <w:i w:val="0"/>
                <w:iCs w:val="0"/>
                <w:color w:val="000000"/>
                <w:kern w:val="0"/>
                <w:sz w:val="24"/>
                <w:szCs w:val="24"/>
                <w:highlight w:val="none"/>
                <w:u w:val="none"/>
                <w:lang w:val="en-US" w:eastAsia="zh-CN" w:bidi="ar"/>
              </w:rPr>
              <w:t>设备名称</w:t>
            </w:r>
          </w:p>
        </w:tc>
        <w:tc>
          <w:tcPr>
            <w:tcW w:w="3704"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5FF4E4E3">
            <w:pPr>
              <w:keepNext w:val="0"/>
              <w:keepLines w:val="0"/>
              <w:widowControl/>
              <w:suppressLineNumbers w:val="0"/>
              <w:jc w:val="center"/>
              <w:textAlignment w:val="center"/>
              <w:rPr>
                <w:rFonts w:ascii="宋体" w:hAnsi="宋体" w:eastAsia="宋体" w:cs="宋体"/>
                <w:b/>
                <w:bCs/>
                <w:i w:val="0"/>
                <w:iCs w:val="0"/>
                <w:color w:val="000000"/>
                <w:sz w:val="24"/>
                <w:szCs w:val="24"/>
                <w:highlight w:val="none"/>
                <w:u w:val="none"/>
              </w:rPr>
            </w:pPr>
            <w:r>
              <w:rPr>
                <w:rFonts w:ascii="宋体" w:hAnsi="宋体" w:eastAsia="宋体" w:cs="宋体"/>
                <w:b/>
                <w:bCs/>
                <w:i w:val="0"/>
                <w:iCs w:val="0"/>
                <w:color w:val="000000"/>
                <w:kern w:val="0"/>
                <w:sz w:val="24"/>
                <w:szCs w:val="24"/>
                <w:highlight w:val="none"/>
                <w:u w:val="none"/>
                <w:lang w:val="en-US" w:eastAsia="zh-CN" w:bidi="ar"/>
              </w:rPr>
              <w:t>参数</w:t>
            </w:r>
          </w:p>
        </w:tc>
        <w:tc>
          <w:tcPr>
            <w:tcW w:w="1552"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2FB78DE6">
            <w:pPr>
              <w:keepNext w:val="0"/>
              <w:keepLines w:val="0"/>
              <w:widowControl/>
              <w:suppressLineNumbers w:val="0"/>
              <w:jc w:val="center"/>
              <w:textAlignment w:val="center"/>
              <w:rPr>
                <w:rFonts w:ascii="宋体" w:hAnsi="宋体" w:eastAsia="宋体" w:cs="宋体"/>
                <w:b/>
                <w:bCs/>
                <w:i w:val="0"/>
                <w:iCs w:val="0"/>
                <w:color w:val="000000"/>
                <w:sz w:val="24"/>
                <w:szCs w:val="24"/>
                <w:highlight w:val="none"/>
                <w:u w:val="none"/>
              </w:rPr>
            </w:pPr>
            <w:r>
              <w:rPr>
                <w:rFonts w:ascii="宋体" w:hAnsi="宋体" w:eastAsia="宋体" w:cs="宋体"/>
                <w:b/>
                <w:bCs/>
                <w:i w:val="0"/>
                <w:iCs w:val="0"/>
                <w:color w:val="000000"/>
                <w:kern w:val="0"/>
                <w:sz w:val="24"/>
                <w:szCs w:val="24"/>
                <w:highlight w:val="none"/>
                <w:u w:val="none"/>
                <w:lang w:val="en-US" w:eastAsia="zh-CN" w:bidi="ar"/>
              </w:rPr>
              <w:t>推荐品牌</w:t>
            </w:r>
          </w:p>
        </w:tc>
        <w:tc>
          <w:tcPr>
            <w:tcW w:w="761"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33D195F4">
            <w:pPr>
              <w:keepNext w:val="0"/>
              <w:keepLines w:val="0"/>
              <w:widowControl/>
              <w:suppressLineNumbers w:val="0"/>
              <w:jc w:val="center"/>
              <w:textAlignment w:val="center"/>
              <w:rPr>
                <w:rFonts w:ascii="宋体" w:hAnsi="宋体" w:eastAsia="宋体" w:cs="宋体"/>
                <w:b/>
                <w:bCs/>
                <w:i w:val="0"/>
                <w:iCs w:val="0"/>
                <w:color w:val="000000"/>
                <w:sz w:val="24"/>
                <w:szCs w:val="24"/>
                <w:highlight w:val="none"/>
                <w:u w:val="none"/>
              </w:rPr>
            </w:pPr>
            <w:r>
              <w:rPr>
                <w:rFonts w:ascii="宋体" w:hAnsi="宋体" w:eastAsia="宋体" w:cs="宋体"/>
                <w:b/>
                <w:bCs/>
                <w:i w:val="0"/>
                <w:iCs w:val="0"/>
                <w:color w:val="000000"/>
                <w:kern w:val="0"/>
                <w:sz w:val="24"/>
                <w:szCs w:val="24"/>
                <w:highlight w:val="none"/>
                <w:u w:val="none"/>
                <w:lang w:val="en-US" w:eastAsia="zh-CN" w:bidi="ar"/>
              </w:rPr>
              <w:t>单位</w:t>
            </w:r>
          </w:p>
        </w:tc>
        <w:tc>
          <w:tcPr>
            <w:tcW w:w="705"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0A10749C">
            <w:pPr>
              <w:keepNext w:val="0"/>
              <w:keepLines w:val="0"/>
              <w:widowControl/>
              <w:suppressLineNumbers w:val="0"/>
              <w:jc w:val="center"/>
              <w:textAlignment w:val="center"/>
              <w:rPr>
                <w:rFonts w:ascii="宋体" w:hAnsi="宋体" w:eastAsia="宋体" w:cs="宋体"/>
                <w:b/>
                <w:bCs/>
                <w:i w:val="0"/>
                <w:iCs w:val="0"/>
                <w:color w:val="000000"/>
                <w:sz w:val="24"/>
                <w:szCs w:val="24"/>
                <w:highlight w:val="none"/>
                <w:u w:val="none"/>
              </w:rPr>
            </w:pPr>
            <w:r>
              <w:rPr>
                <w:rFonts w:ascii="宋体" w:hAnsi="宋体" w:eastAsia="宋体" w:cs="宋体"/>
                <w:b/>
                <w:bCs/>
                <w:i w:val="0"/>
                <w:iCs w:val="0"/>
                <w:color w:val="000000"/>
                <w:kern w:val="0"/>
                <w:sz w:val="24"/>
                <w:szCs w:val="24"/>
                <w:highlight w:val="none"/>
                <w:u w:val="none"/>
                <w:lang w:val="en-US" w:eastAsia="zh-CN" w:bidi="ar"/>
              </w:rPr>
              <w:t>数量</w:t>
            </w:r>
          </w:p>
        </w:tc>
        <w:tc>
          <w:tcPr>
            <w:tcW w:w="821"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04BB0ACC">
            <w:pPr>
              <w:keepNext w:val="0"/>
              <w:keepLines w:val="0"/>
              <w:widowControl/>
              <w:suppressLineNumbers w:val="0"/>
              <w:jc w:val="center"/>
              <w:textAlignment w:val="center"/>
              <w:rPr>
                <w:rFonts w:ascii="宋体" w:hAnsi="宋体" w:eastAsia="宋体" w:cs="宋体"/>
                <w:b/>
                <w:bCs/>
                <w:i w:val="0"/>
                <w:iCs w:val="0"/>
                <w:color w:val="000000"/>
                <w:sz w:val="24"/>
                <w:szCs w:val="24"/>
                <w:highlight w:val="none"/>
                <w:u w:val="none"/>
              </w:rPr>
            </w:pPr>
            <w:r>
              <w:rPr>
                <w:rFonts w:ascii="宋体" w:hAnsi="宋体" w:eastAsia="宋体" w:cs="宋体"/>
                <w:b/>
                <w:bCs/>
                <w:i w:val="0"/>
                <w:iCs w:val="0"/>
                <w:color w:val="000000"/>
                <w:kern w:val="0"/>
                <w:sz w:val="24"/>
                <w:szCs w:val="24"/>
                <w:highlight w:val="none"/>
                <w:u w:val="none"/>
                <w:lang w:val="en-US" w:eastAsia="zh-CN" w:bidi="ar"/>
              </w:rPr>
              <w:t>备注</w:t>
            </w:r>
          </w:p>
        </w:tc>
      </w:tr>
      <w:tr w14:paraId="4662A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E83D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1综合布线系统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9FEE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8156A">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2CC83">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CB7D">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E5B6A">
            <w:pPr>
              <w:jc w:val="center"/>
              <w:rPr>
                <w:rFonts w:hint="eastAsia" w:ascii="宋体" w:hAnsi="宋体" w:eastAsia="宋体" w:cs="宋体"/>
                <w:i w:val="0"/>
                <w:iCs w:val="0"/>
                <w:color w:val="000000"/>
                <w:sz w:val="24"/>
                <w:szCs w:val="24"/>
                <w:u w:val="none"/>
              </w:rPr>
            </w:pPr>
          </w:p>
        </w:tc>
      </w:tr>
      <w:tr w14:paraId="6815F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392C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1)业务网</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4455D">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B876D">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E7D4">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1225">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9F6E3">
            <w:pPr>
              <w:jc w:val="center"/>
              <w:rPr>
                <w:rFonts w:hint="eastAsia" w:ascii="宋体" w:hAnsi="宋体" w:eastAsia="宋体" w:cs="宋体"/>
                <w:i w:val="0"/>
                <w:iCs w:val="0"/>
                <w:color w:val="000000"/>
                <w:sz w:val="24"/>
                <w:szCs w:val="24"/>
                <w:u w:val="none"/>
              </w:rPr>
            </w:pPr>
          </w:p>
        </w:tc>
      </w:tr>
      <w:tr w14:paraId="727D2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0A3B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1.1)工作区子系统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8D3E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1693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D7A8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6F737">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001F">
            <w:pPr>
              <w:jc w:val="center"/>
              <w:rPr>
                <w:rFonts w:hint="eastAsia" w:ascii="宋体" w:hAnsi="宋体" w:eastAsia="宋体" w:cs="宋体"/>
                <w:i w:val="0"/>
                <w:iCs w:val="0"/>
                <w:color w:val="000000"/>
                <w:sz w:val="24"/>
                <w:szCs w:val="24"/>
                <w:u w:val="none"/>
              </w:rPr>
            </w:pPr>
          </w:p>
        </w:tc>
      </w:tr>
      <w:tr w14:paraId="15571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BB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6F21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单口信息插座(数据)</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9E4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信息数据插座安装:含六类非屏蔽信息模块、单孔面板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BFA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155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562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2A272">
            <w:pPr>
              <w:jc w:val="center"/>
              <w:rPr>
                <w:rFonts w:hint="eastAsia" w:ascii="宋体" w:hAnsi="宋体" w:eastAsia="宋体" w:cs="宋体"/>
                <w:i w:val="0"/>
                <w:iCs w:val="0"/>
                <w:color w:val="000000"/>
                <w:sz w:val="24"/>
                <w:szCs w:val="24"/>
                <w:u w:val="none"/>
              </w:rPr>
            </w:pPr>
          </w:p>
        </w:tc>
      </w:tr>
      <w:tr w14:paraId="75412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09D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83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双口信息插座(数据)</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EE0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插座安装:含六类非屏蔽信息模块*2、双孔面板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CB3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AC7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B2D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435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D561C">
            <w:pPr>
              <w:jc w:val="center"/>
              <w:rPr>
                <w:rFonts w:hint="eastAsia" w:ascii="宋体" w:hAnsi="宋体" w:eastAsia="宋体" w:cs="宋体"/>
                <w:i w:val="0"/>
                <w:iCs w:val="0"/>
                <w:color w:val="000000"/>
                <w:sz w:val="24"/>
                <w:szCs w:val="24"/>
                <w:u w:val="none"/>
              </w:rPr>
            </w:pPr>
          </w:p>
        </w:tc>
      </w:tr>
      <w:tr w14:paraId="2D5D1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96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EB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单口信息插座(语音)</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01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信息数据插座安装:含六类非屏蔽信息模块、单孔面板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7AF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06B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E7D1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72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DEC9">
            <w:pPr>
              <w:jc w:val="center"/>
              <w:rPr>
                <w:rFonts w:hint="eastAsia" w:ascii="宋体" w:hAnsi="宋体" w:eastAsia="宋体" w:cs="宋体"/>
                <w:i w:val="0"/>
                <w:iCs w:val="0"/>
                <w:color w:val="000000"/>
                <w:sz w:val="24"/>
                <w:szCs w:val="24"/>
                <w:u w:val="none"/>
              </w:rPr>
            </w:pPr>
          </w:p>
        </w:tc>
      </w:tr>
      <w:tr w14:paraId="39B8B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74E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FB9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双口信息插座(语音+数据)</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3B6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插座安装:含六类非屏蔽信息模块*2、双孔面板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18B8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CC5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2C58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13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D5143">
            <w:pPr>
              <w:jc w:val="center"/>
              <w:rPr>
                <w:rFonts w:hint="eastAsia" w:ascii="宋体" w:hAnsi="宋体" w:eastAsia="宋体" w:cs="宋体"/>
                <w:i w:val="0"/>
                <w:iCs w:val="0"/>
                <w:color w:val="000000"/>
                <w:sz w:val="24"/>
                <w:szCs w:val="24"/>
                <w:u w:val="none"/>
              </w:rPr>
            </w:pPr>
          </w:p>
        </w:tc>
      </w:tr>
      <w:tr w14:paraId="45A63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F1F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C372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RJ45-RJ45跳线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816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成品网络跳线，六类非屏蔽RJ45-RJ45跳线，长度2米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C21D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3E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06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1033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78AB">
            <w:pPr>
              <w:jc w:val="center"/>
              <w:rPr>
                <w:rFonts w:hint="eastAsia" w:ascii="宋体" w:hAnsi="宋体" w:eastAsia="宋体" w:cs="宋体"/>
                <w:i w:val="0"/>
                <w:iCs w:val="0"/>
                <w:color w:val="000000"/>
                <w:sz w:val="24"/>
                <w:szCs w:val="24"/>
                <w:u w:val="none"/>
              </w:rPr>
            </w:pPr>
          </w:p>
        </w:tc>
      </w:tr>
      <w:tr w14:paraId="0FA92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43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C0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RJ45-RJ11跳线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4F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成品电话跳线，非屏蔽RJ45-RJ11跳线，长度2米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9D5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09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C8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85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8251">
            <w:pPr>
              <w:jc w:val="center"/>
              <w:rPr>
                <w:rFonts w:hint="eastAsia" w:ascii="宋体" w:hAnsi="宋体" w:eastAsia="宋体" w:cs="宋体"/>
                <w:i w:val="0"/>
                <w:iCs w:val="0"/>
                <w:color w:val="000000"/>
                <w:sz w:val="24"/>
                <w:szCs w:val="24"/>
                <w:u w:val="none"/>
              </w:rPr>
            </w:pPr>
          </w:p>
        </w:tc>
      </w:tr>
      <w:tr w14:paraId="4EC57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DFD2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5694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LC双工光纤面板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BF6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标准86型光纤面板,白色四口面板；含满配LC双工单模耦合器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6C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7F8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49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4313C">
            <w:pPr>
              <w:jc w:val="center"/>
              <w:rPr>
                <w:rFonts w:hint="eastAsia" w:ascii="宋体" w:hAnsi="宋体" w:eastAsia="宋体" w:cs="宋体"/>
                <w:i w:val="0"/>
                <w:iCs w:val="0"/>
                <w:color w:val="000000"/>
                <w:sz w:val="24"/>
                <w:szCs w:val="24"/>
                <w:u w:val="none"/>
              </w:rPr>
            </w:pPr>
          </w:p>
        </w:tc>
      </w:tr>
      <w:tr w14:paraId="10FD7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EE4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ED1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LC单模单头尾纤</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A90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1.LC单模双工尾纤，9/125，OS2，1米；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2.插入损耗:最大值0.25db；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3.回波损耗:单模UPC 55dB，APC 65dB；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7C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7AD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87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C98E4">
            <w:pPr>
              <w:jc w:val="center"/>
              <w:rPr>
                <w:rFonts w:hint="eastAsia" w:ascii="宋体" w:hAnsi="宋体" w:eastAsia="宋体" w:cs="宋体"/>
                <w:i w:val="0"/>
                <w:iCs w:val="0"/>
                <w:color w:val="000000"/>
                <w:sz w:val="24"/>
                <w:szCs w:val="24"/>
                <w:u w:val="none"/>
              </w:rPr>
            </w:pPr>
          </w:p>
        </w:tc>
      </w:tr>
      <w:tr w14:paraId="7369D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99A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1.2)水平子系统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7359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C942F">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B705C">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31E09">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BA730">
            <w:pPr>
              <w:jc w:val="center"/>
              <w:rPr>
                <w:rFonts w:hint="eastAsia" w:ascii="宋体" w:hAnsi="宋体" w:eastAsia="宋体" w:cs="宋体"/>
                <w:i w:val="0"/>
                <w:iCs w:val="0"/>
                <w:color w:val="000000"/>
                <w:sz w:val="24"/>
                <w:szCs w:val="24"/>
                <w:u w:val="none"/>
              </w:rPr>
            </w:pPr>
          </w:p>
        </w:tc>
      </w:tr>
      <w:tr w14:paraId="3093E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17B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3C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CAT6双绞线缆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73D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六类四对八芯非屏蔽双绞线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459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F19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936E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86580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A402C">
            <w:pPr>
              <w:jc w:val="center"/>
              <w:rPr>
                <w:rFonts w:hint="eastAsia" w:ascii="宋体" w:hAnsi="宋体" w:eastAsia="宋体" w:cs="宋体"/>
                <w:i w:val="0"/>
                <w:iCs w:val="0"/>
                <w:color w:val="000000"/>
                <w:sz w:val="24"/>
                <w:szCs w:val="24"/>
                <w:u w:val="none"/>
              </w:rPr>
            </w:pPr>
          </w:p>
        </w:tc>
      </w:tr>
      <w:tr w14:paraId="6C5EF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DD9B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B5A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413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室内4芯单模光纤</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A12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0121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34B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940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199A">
            <w:pPr>
              <w:jc w:val="center"/>
              <w:rPr>
                <w:rFonts w:hint="eastAsia" w:ascii="宋体" w:hAnsi="宋体" w:eastAsia="宋体" w:cs="宋体"/>
                <w:i w:val="0"/>
                <w:iCs w:val="0"/>
                <w:color w:val="000000"/>
                <w:sz w:val="24"/>
                <w:szCs w:val="24"/>
                <w:u w:val="none"/>
              </w:rPr>
            </w:pPr>
          </w:p>
        </w:tc>
      </w:tr>
      <w:tr w14:paraId="403F9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D2D3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1.3)管理间子系统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9CCE8">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6BAA">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B9B91">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17400">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207E0">
            <w:pPr>
              <w:jc w:val="center"/>
              <w:rPr>
                <w:rFonts w:hint="eastAsia" w:ascii="宋体" w:hAnsi="宋体" w:eastAsia="宋体" w:cs="宋体"/>
                <w:i w:val="0"/>
                <w:iCs w:val="0"/>
                <w:color w:val="000000"/>
                <w:sz w:val="24"/>
                <w:szCs w:val="24"/>
                <w:u w:val="none"/>
              </w:rPr>
            </w:pPr>
          </w:p>
        </w:tc>
      </w:tr>
      <w:tr w14:paraId="46AB0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D66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022A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24口CAT6配线架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A107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24口六类模块配线架安装，满配六类非屏蔽信息模块，含模块打接</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055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DA8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8051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A0B8">
            <w:pPr>
              <w:jc w:val="center"/>
              <w:rPr>
                <w:rFonts w:hint="eastAsia" w:ascii="宋体" w:hAnsi="宋体" w:eastAsia="宋体" w:cs="宋体"/>
                <w:i w:val="0"/>
                <w:iCs w:val="0"/>
                <w:color w:val="000000"/>
                <w:sz w:val="24"/>
                <w:szCs w:val="24"/>
                <w:u w:val="none"/>
              </w:rPr>
            </w:pPr>
          </w:p>
        </w:tc>
      </w:tr>
      <w:tr w14:paraId="61077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374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EED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48口CAT6配线架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6605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48口六类模块配线架安装，满配六类非屏蔽信息模块，含模块打接</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131C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7E1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0A1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C1BF1">
            <w:pPr>
              <w:jc w:val="center"/>
              <w:rPr>
                <w:rFonts w:hint="eastAsia" w:ascii="宋体" w:hAnsi="宋体" w:eastAsia="宋体" w:cs="宋体"/>
                <w:i w:val="0"/>
                <w:iCs w:val="0"/>
                <w:color w:val="000000"/>
                <w:sz w:val="24"/>
                <w:szCs w:val="24"/>
                <w:u w:val="none"/>
              </w:rPr>
            </w:pPr>
          </w:p>
        </w:tc>
      </w:tr>
      <w:tr w14:paraId="04222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832B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A71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理线器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B3A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48口1U金属理线器安装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529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941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FFE3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29</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851FD">
            <w:pPr>
              <w:jc w:val="center"/>
              <w:rPr>
                <w:rFonts w:hint="eastAsia" w:ascii="宋体" w:hAnsi="宋体" w:eastAsia="宋体" w:cs="宋体"/>
                <w:i w:val="0"/>
                <w:iCs w:val="0"/>
                <w:color w:val="000000"/>
                <w:sz w:val="24"/>
                <w:szCs w:val="24"/>
                <w:u w:val="none"/>
              </w:rPr>
            </w:pPr>
          </w:p>
        </w:tc>
      </w:tr>
      <w:tr w14:paraId="3B999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48B3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37D1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100对110配线架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51F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100对机架型110型跳线架</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833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BC4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0D57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BD7C">
            <w:pPr>
              <w:jc w:val="center"/>
              <w:rPr>
                <w:rFonts w:hint="eastAsia" w:ascii="宋体" w:hAnsi="宋体" w:eastAsia="宋体" w:cs="宋体"/>
                <w:i w:val="0"/>
                <w:iCs w:val="0"/>
                <w:color w:val="000000"/>
                <w:sz w:val="24"/>
                <w:szCs w:val="24"/>
                <w:u w:val="none"/>
              </w:rPr>
            </w:pPr>
          </w:p>
        </w:tc>
      </w:tr>
      <w:tr w14:paraId="21406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6B93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774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理线器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9F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48口1U金属理线器安装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4A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DC1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547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0E6A">
            <w:pPr>
              <w:jc w:val="center"/>
              <w:rPr>
                <w:rFonts w:hint="eastAsia" w:ascii="宋体" w:hAnsi="宋体" w:eastAsia="宋体" w:cs="宋体"/>
                <w:i w:val="0"/>
                <w:iCs w:val="0"/>
                <w:color w:val="000000"/>
                <w:sz w:val="24"/>
                <w:szCs w:val="24"/>
                <w:u w:val="none"/>
              </w:rPr>
            </w:pPr>
          </w:p>
        </w:tc>
      </w:tr>
      <w:tr w14:paraId="5E14F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C2C2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9FD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RJ45-RJ45跳线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FF5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成品网络跳线，六类非屏蔽RJ45-RJ45跳线，长度2米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6F7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1EB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1E8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1033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2B17">
            <w:pPr>
              <w:jc w:val="center"/>
              <w:rPr>
                <w:rFonts w:hint="eastAsia" w:ascii="宋体" w:hAnsi="宋体" w:eastAsia="宋体" w:cs="宋体"/>
                <w:i w:val="0"/>
                <w:iCs w:val="0"/>
                <w:color w:val="000000"/>
                <w:sz w:val="24"/>
                <w:szCs w:val="24"/>
                <w:u w:val="none"/>
              </w:rPr>
            </w:pPr>
          </w:p>
        </w:tc>
      </w:tr>
      <w:tr w14:paraId="6C67C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9E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DC85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光纤跳线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7F7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LC-LC型双芯单模光纤跳线(3米)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45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8B59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043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923FE">
            <w:pPr>
              <w:jc w:val="center"/>
              <w:rPr>
                <w:rFonts w:hint="eastAsia" w:ascii="宋体" w:hAnsi="宋体" w:eastAsia="宋体" w:cs="宋体"/>
                <w:i w:val="0"/>
                <w:iCs w:val="0"/>
                <w:color w:val="000000"/>
                <w:sz w:val="24"/>
                <w:szCs w:val="24"/>
                <w:u w:val="none"/>
              </w:rPr>
            </w:pPr>
          </w:p>
        </w:tc>
      </w:tr>
      <w:tr w14:paraId="58CC3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BBF0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1.4)垂直干线子系统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5FFA">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7464D">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4A0D3">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D67E">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225A">
            <w:pPr>
              <w:jc w:val="center"/>
              <w:rPr>
                <w:rFonts w:hint="eastAsia" w:ascii="宋体" w:hAnsi="宋体" w:eastAsia="宋体" w:cs="宋体"/>
                <w:i w:val="0"/>
                <w:iCs w:val="0"/>
                <w:color w:val="000000"/>
                <w:sz w:val="24"/>
                <w:szCs w:val="24"/>
                <w:u w:val="none"/>
              </w:rPr>
            </w:pPr>
          </w:p>
        </w:tc>
      </w:tr>
      <w:tr w14:paraId="624F2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B23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23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521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室外24芯单模光缆(铠装) ，防护等级：包钢带类；铠装：铝带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DE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5F4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80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458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38C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运营商机房-网络机房</w:t>
            </w:r>
          </w:p>
        </w:tc>
      </w:tr>
      <w:tr w14:paraId="57BB9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122F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1.5)设备间子系统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06A0F">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E7F1B">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3B0B">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4464">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8ED6D">
            <w:pPr>
              <w:jc w:val="center"/>
              <w:rPr>
                <w:rFonts w:hint="eastAsia" w:ascii="宋体" w:hAnsi="宋体" w:eastAsia="宋体" w:cs="宋体"/>
                <w:i w:val="0"/>
                <w:iCs w:val="0"/>
                <w:color w:val="000000"/>
                <w:sz w:val="24"/>
                <w:szCs w:val="24"/>
                <w:u w:val="none"/>
              </w:rPr>
            </w:pPr>
          </w:p>
        </w:tc>
      </w:tr>
      <w:tr w14:paraId="3757D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2C1D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4A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24口光缆配线架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561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24口光纤配线架(满配LC耦合器)及安装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C08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683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540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7C5D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运营商机房</w:t>
            </w:r>
          </w:p>
        </w:tc>
      </w:tr>
      <w:tr w14:paraId="5F8B8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651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230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理线器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BE6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48口1U金属理线器安装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B54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BB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B688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314A4">
            <w:pPr>
              <w:jc w:val="center"/>
              <w:rPr>
                <w:rFonts w:hint="eastAsia" w:ascii="宋体" w:hAnsi="宋体" w:eastAsia="宋体" w:cs="宋体"/>
                <w:i w:val="0"/>
                <w:iCs w:val="0"/>
                <w:color w:val="000000"/>
                <w:sz w:val="24"/>
                <w:szCs w:val="24"/>
                <w:u w:val="none"/>
              </w:rPr>
            </w:pPr>
          </w:p>
        </w:tc>
      </w:tr>
      <w:tr w14:paraId="4150D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81B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86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42U机柜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0F6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42U标准机柜落地安装：600*600*2000，含底座，含接地，含PDU等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14F4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36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B84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 </w:t>
            </w: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9FC0B">
            <w:pPr>
              <w:jc w:val="center"/>
              <w:rPr>
                <w:rFonts w:hint="eastAsia" w:ascii="宋体" w:hAnsi="宋体" w:eastAsia="宋体" w:cs="宋体"/>
                <w:i w:val="0"/>
                <w:iCs w:val="0"/>
                <w:color w:val="000000"/>
                <w:sz w:val="24"/>
                <w:szCs w:val="24"/>
                <w:u w:val="none"/>
              </w:rPr>
            </w:pPr>
          </w:p>
        </w:tc>
      </w:tr>
      <w:tr w14:paraId="43B0A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735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3BB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24口光缆配线架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722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24口光纤配线架(满配LC耦合器)及安装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CF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B6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D2C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92B0D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网络机房</w:t>
            </w:r>
          </w:p>
        </w:tc>
      </w:tr>
      <w:tr w14:paraId="28672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0AF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B8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理线器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A0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48口1U金属理线器安装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0138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92F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40B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39971">
            <w:pPr>
              <w:jc w:val="center"/>
              <w:rPr>
                <w:rFonts w:hint="eastAsia" w:ascii="宋体" w:hAnsi="宋体" w:eastAsia="宋体" w:cs="宋体"/>
                <w:i w:val="0"/>
                <w:iCs w:val="0"/>
                <w:color w:val="000000"/>
                <w:sz w:val="24"/>
                <w:szCs w:val="24"/>
                <w:u w:val="none"/>
              </w:rPr>
            </w:pPr>
          </w:p>
        </w:tc>
      </w:tr>
      <w:tr w14:paraId="03AD3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F3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4E6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光纤跳线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B15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LC-LC型双芯单模光纤跳线(3米)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5C9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CAC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C9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64</w:t>
            </w: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FBF96">
            <w:pPr>
              <w:jc w:val="center"/>
              <w:rPr>
                <w:rFonts w:hint="eastAsia" w:ascii="宋体" w:hAnsi="宋体" w:eastAsia="宋体" w:cs="宋体"/>
                <w:i w:val="0"/>
                <w:iCs w:val="0"/>
                <w:color w:val="000000"/>
                <w:sz w:val="24"/>
                <w:szCs w:val="24"/>
                <w:u w:val="none"/>
              </w:rPr>
            </w:pPr>
          </w:p>
        </w:tc>
      </w:tr>
      <w:tr w14:paraId="4E5D5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25B8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2)设备网</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A4A75">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6181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A6C06">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108A">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2018B">
            <w:pPr>
              <w:jc w:val="center"/>
              <w:rPr>
                <w:rFonts w:hint="eastAsia" w:ascii="宋体" w:hAnsi="宋体" w:eastAsia="宋体" w:cs="宋体"/>
                <w:i w:val="0"/>
                <w:iCs w:val="0"/>
                <w:color w:val="000000"/>
                <w:sz w:val="24"/>
                <w:szCs w:val="24"/>
                <w:u w:val="none"/>
              </w:rPr>
            </w:pPr>
          </w:p>
        </w:tc>
      </w:tr>
      <w:tr w14:paraId="26966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1C0AE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2.1)室外前端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706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6FA12">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3232">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C2C07">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C1473">
            <w:pPr>
              <w:jc w:val="center"/>
              <w:rPr>
                <w:rFonts w:hint="eastAsia" w:ascii="宋体" w:hAnsi="宋体" w:eastAsia="宋体" w:cs="宋体"/>
                <w:i w:val="0"/>
                <w:iCs w:val="0"/>
                <w:color w:val="000000"/>
                <w:sz w:val="24"/>
                <w:szCs w:val="24"/>
                <w:u w:val="none"/>
              </w:rPr>
            </w:pPr>
          </w:p>
        </w:tc>
      </w:tr>
      <w:tr w14:paraId="0744C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10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7625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室外摄像机立杆（含地笼基础）</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614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监控立杆（室外枪机）：3.5m，含立杆基础，不锈钢材质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4F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E341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70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74095">
            <w:pPr>
              <w:jc w:val="center"/>
              <w:rPr>
                <w:rFonts w:hint="eastAsia" w:ascii="宋体" w:hAnsi="宋体" w:eastAsia="宋体" w:cs="宋体"/>
                <w:i w:val="0"/>
                <w:iCs w:val="0"/>
                <w:color w:val="000000"/>
                <w:sz w:val="24"/>
                <w:szCs w:val="24"/>
                <w:u w:val="none"/>
              </w:rPr>
            </w:pPr>
          </w:p>
        </w:tc>
      </w:tr>
      <w:tr w14:paraId="663D5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8C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056E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周界围墙摄像机支架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628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定制，符合设计和使用要求</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0DEE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4D45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78F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3FB2">
            <w:pPr>
              <w:jc w:val="center"/>
              <w:rPr>
                <w:rFonts w:hint="eastAsia" w:ascii="宋体" w:hAnsi="宋体" w:eastAsia="宋体" w:cs="宋体"/>
                <w:i w:val="0"/>
                <w:iCs w:val="0"/>
                <w:color w:val="000000"/>
                <w:sz w:val="24"/>
                <w:szCs w:val="24"/>
                <w:u w:val="none"/>
              </w:rPr>
            </w:pPr>
          </w:p>
        </w:tc>
      </w:tr>
      <w:tr w14:paraId="76914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04B9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679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监控信号防雷器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A629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电源网络二合一</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39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2FCC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1B7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4AC5F">
            <w:pPr>
              <w:jc w:val="center"/>
              <w:rPr>
                <w:rFonts w:hint="eastAsia" w:ascii="宋体" w:hAnsi="宋体" w:eastAsia="宋体" w:cs="宋体"/>
                <w:i w:val="0"/>
                <w:iCs w:val="0"/>
                <w:color w:val="000000"/>
                <w:sz w:val="24"/>
                <w:szCs w:val="24"/>
                <w:u w:val="none"/>
              </w:rPr>
            </w:pPr>
          </w:p>
        </w:tc>
      </w:tr>
      <w:tr w14:paraId="77DD4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B4B3F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2.2)工作区子系统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F7A0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9D143">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A9BF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0CE1">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19AC4">
            <w:pPr>
              <w:jc w:val="center"/>
              <w:rPr>
                <w:rFonts w:hint="eastAsia" w:ascii="宋体" w:hAnsi="宋体" w:eastAsia="宋体" w:cs="宋体"/>
                <w:i w:val="0"/>
                <w:iCs w:val="0"/>
                <w:color w:val="000000"/>
                <w:sz w:val="24"/>
                <w:szCs w:val="24"/>
                <w:u w:val="none"/>
              </w:rPr>
            </w:pPr>
          </w:p>
        </w:tc>
      </w:tr>
      <w:tr w14:paraId="490F6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A7A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175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单口信息插座</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4E0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信息数据插座安装:含六类非屏蔽信息模块、单孔面板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A42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623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1F3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40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94834">
            <w:pPr>
              <w:jc w:val="center"/>
              <w:rPr>
                <w:rFonts w:hint="eastAsia" w:ascii="宋体" w:hAnsi="宋体" w:eastAsia="宋体" w:cs="宋体"/>
                <w:i w:val="0"/>
                <w:iCs w:val="0"/>
                <w:color w:val="000000"/>
                <w:sz w:val="24"/>
                <w:szCs w:val="24"/>
                <w:u w:val="none"/>
              </w:rPr>
            </w:pPr>
          </w:p>
        </w:tc>
      </w:tr>
      <w:tr w14:paraId="389E5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F8F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C63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RJ45-RJ45跳线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017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成品网络跳线，六类非屏蔽RJ45-RJ45跳线，长度2米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54F9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95FA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95CA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40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4120A">
            <w:pPr>
              <w:jc w:val="center"/>
              <w:rPr>
                <w:rFonts w:hint="eastAsia" w:ascii="宋体" w:hAnsi="宋体" w:eastAsia="宋体" w:cs="宋体"/>
                <w:i w:val="0"/>
                <w:iCs w:val="0"/>
                <w:color w:val="000000"/>
                <w:sz w:val="24"/>
                <w:szCs w:val="24"/>
                <w:u w:val="none"/>
              </w:rPr>
            </w:pPr>
          </w:p>
        </w:tc>
      </w:tr>
      <w:tr w14:paraId="16654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B06B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2.3)水平子系统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B7B5">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AA159">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A408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04207">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6D19">
            <w:pPr>
              <w:jc w:val="center"/>
              <w:rPr>
                <w:rFonts w:hint="eastAsia" w:ascii="宋体" w:hAnsi="宋体" w:eastAsia="宋体" w:cs="宋体"/>
                <w:i w:val="0"/>
                <w:iCs w:val="0"/>
                <w:color w:val="000000"/>
                <w:sz w:val="24"/>
                <w:szCs w:val="24"/>
                <w:u w:val="none"/>
              </w:rPr>
            </w:pPr>
          </w:p>
        </w:tc>
      </w:tr>
      <w:tr w14:paraId="6867E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34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ACD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CAT6双绞线缆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B5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六类四对八芯非屏蔽双绞线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0F5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919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43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62103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C136">
            <w:pPr>
              <w:jc w:val="center"/>
              <w:rPr>
                <w:rFonts w:hint="eastAsia" w:ascii="宋体" w:hAnsi="宋体" w:eastAsia="宋体" w:cs="宋体"/>
                <w:i w:val="0"/>
                <w:iCs w:val="0"/>
                <w:color w:val="000000"/>
                <w:sz w:val="24"/>
                <w:szCs w:val="24"/>
                <w:u w:val="none"/>
              </w:rPr>
            </w:pPr>
          </w:p>
        </w:tc>
      </w:tr>
      <w:tr w14:paraId="15259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A99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DF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室外CAT6双绞线缆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426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Cat6UTP4P，23AWG实心铜线，十字芯，低烟无卤外皮，测试带宽达到250MHz。室外型</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412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ED27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40B3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1501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D36B0">
            <w:pPr>
              <w:jc w:val="center"/>
              <w:rPr>
                <w:rFonts w:hint="eastAsia" w:ascii="宋体" w:hAnsi="宋体" w:eastAsia="宋体" w:cs="宋体"/>
                <w:i w:val="0"/>
                <w:iCs w:val="0"/>
                <w:color w:val="000000"/>
                <w:sz w:val="24"/>
                <w:szCs w:val="24"/>
                <w:u w:val="none"/>
              </w:rPr>
            </w:pPr>
          </w:p>
        </w:tc>
      </w:tr>
      <w:tr w14:paraId="64681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5B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F0A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报警信号线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973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RYY4*1.0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D2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B53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CA5A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6600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33F9A">
            <w:pPr>
              <w:jc w:val="center"/>
              <w:rPr>
                <w:rFonts w:hint="eastAsia" w:ascii="宋体" w:hAnsi="宋体" w:eastAsia="宋体" w:cs="宋体"/>
                <w:i w:val="0"/>
                <w:iCs w:val="0"/>
                <w:color w:val="000000"/>
                <w:sz w:val="24"/>
                <w:szCs w:val="24"/>
                <w:u w:val="none"/>
              </w:rPr>
            </w:pPr>
          </w:p>
        </w:tc>
      </w:tr>
      <w:tr w14:paraId="08203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6759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22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门禁信号线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B4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RYY4*1.0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88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AC8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3EA9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450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4EFCF">
            <w:pPr>
              <w:jc w:val="center"/>
              <w:rPr>
                <w:rFonts w:hint="eastAsia" w:ascii="宋体" w:hAnsi="宋体" w:eastAsia="宋体" w:cs="宋体"/>
                <w:i w:val="0"/>
                <w:iCs w:val="0"/>
                <w:color w:val="000000"/>
                <w:sz w:val="24"/>
                <w:szCs w:val="24"/>
                <w:u w:val="none"/>
              </w:rPr>
            </w:pPr>
          </w:p>
        </w:tc>
      </w:tr>
      <w:tr w14:paraId="3EB20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A4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07B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门禁电源线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BD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RVV3*1.5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33E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96F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E8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2822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FF0CC">
            <w:pPr>
              <w:jc w:val="center"/>
              <w:rPr>
                <w:rFonts w:hint="eastAsia" w:ascii="宋体" w:hAnsi="宋体" w:eastAsia="宋体" w:cs="宋体"/>
                <w:i w:val="0"/>
                <w:iCs w:val="0"/>
                <w:color w:val="000000"/>
                <w:sz w:val="24"/>
                <w:szCs w:val="24"/>
                <w:u w:val="none"/>
              </w:rPr>
            </w:pPr>
          </w:p>
        </w:tc>
      </w:tr>
      <w:tr w14:paraId="6B8D9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361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2D9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室外电源线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611D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YJY-3*2.5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44A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17D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D0B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2950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5A10F">
            <w:pPr>
              <w:jc w:val="center"/>
              <w:rPr>
                <w:rFonts w:hint="eastAsia" w:ascii="宋体" w:hAnsi="宋体" w:eastAsia="宋体" w:cs="宋体"/>
                <w:i w:val="0"/>
                <w:iCs w:val="0"/>
                <w:color w:val="000000"/>
                <w:sz w:val="24"/>
                <w:szCs w:val="24"/>
                <w:u w:val="none"/>
              </w:rPr>
            </w:pPr>
          </w:p>
        </w:tc>
      </w:tr>
      <w:tr w14:paraId="53AA5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D12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CB2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出入口停车管理电源线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CBF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YJY3*4.0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19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2D2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8E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10D1">
            <w:pPr>
              <w:jc w:val="center"/>
              <w:rPr>
                <w:rFonts w:hint="eastAsia" w:ascii="宋体" w:hAnsi="宋体" w:eastAsia="宋体" w:cs="宋体"/>
                <w:i w:val="0"/>
                <w:iCs w:val="0"/>
                <w:color w:val="000000"/>
                <w:sz w:val="24"/>
                <w:szCs w:val="24"/>
                <w:u w:val="none"/>
              </w:rPr>
            </w:pPr>
          </w:p>
        </w:tc>
      </w:tr>
      <w:tr w14:paraId="3F40F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597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65F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电表RS485通讯线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BF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RVVSP2*1.0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6FA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0C3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8E0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2500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89E14">
            <w:pPr>
              <w:jc w:val="center"/>
              <w:rPr>
                <w:rFonts w:hint="eastAsia" w:ascii="宋体" w:hAnsi="宋体" w:eastAsia="宋体" w:cs="宋体"/>
                <w:i w:val="0"/>
                <w:iCs w:val="0"/>
                <w:color w:val="000000"/>
                <w:sz w:val="24"/>
                <w:szCs w:val="24"/>
                <w:u w:val="none"/>
              </w:rPr>
            </w:pPr>
          </w:p>
        </w:tc>
      </w:tr>
      <w:tr w14:paraId="6E8DD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170C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D83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水表485通讯线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D04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RVVSP2*1.0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1F4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88D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B9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3600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163B4">
            <w:pPr>
              <w:jc w:val="center"/>
              <w:rPr>
                <w:rFonts w:hint="eastAsia" w:ascii="宋体" w:hAnsi="宋体" w:eastAsia="宋体" w:cs="宋体"/>
                <w:i w:val="0"/>
                <w:iCs w:val="0"/>
                <w:color w:val="000000"/>
                <w:sz w:val="24"/>
                <w:szCs w:val="24"/>
                <w:u w:val="none"/>
              </w:rPr>
            </w:pPr>
          </w:p>
        </w:tc>
      </w:tr>
      <w:tr w14:paraId="2E5A2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03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09D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水表12V电源线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A641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RYY2*1.0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BD2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167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BC7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3600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FCFF">
            <w:pPr>
              <w:jc w:val="center"/>
              <w:rPr>
                <w:rFonts w:hint="eastAsia" w:ascii="宋体" w:hAnsi="宋体" w:eastAsia="宋体" w:cs="宋体"/>
                <w:i w:val="0"/>
                <w:iCs w:val="0"/>
                <w:color w:val="000000"/>
                <w:sz w:val="24"/>
                <w:szCs w:val="24"/>
                <w:u w:val="none"/>
              </w:rPr>
            </w:pPr>
          </w:p>
        </w:tc>
      </w:tr>
      <w:tr w14:paraId="601BE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B5E68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2.4)管理间子系统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77C8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840F">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03466">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5406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F271">
            <w:pPr>
              <w:jc w:val="center"/>
              <w:rPr>
                <w:rFonts w:hint="eastAsia" w:ascii="宋体" w:hAnsi="宋体" w:eastAsia="宋体" w:cs="宋体"/>
                <w:i w:val="0"/>
                <w:iCs w:val="0"/>
                <w:color w:val="000000"/>
                <w:sz w:val="24"/>
                <w:szCs w:val="24"/>
                <w:u w:val="none"/>
              </w:rPr>
            </w:pPr>
          </w:p>
        </w:tc>
      </w:tr>
      <w:tr w14:paraId="6F6DB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3AC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67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42U机柜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FB5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42U标准机柜落地安装：600*600*2000，含底座，含接地，含PDU等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372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9AA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3FD8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27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A9B2D">
            <w:pPr>
              <w:jc w:val="center"/>
              <w:rPr>
                <w:rFonts w:hint="eastAsia" w:ascii="宋体" w:hAnsi="宋体" w:eastAsia="宋体" w:cs="宋体"/>
                <w:i w:val="0"/>
                <w:iCs w:val="0"/>
                <w:color w:val="000000"/>
                <w:sz w:val="24"/>
                <w:szCs w:val="24"/>
                <w:u w:val="none"/>
              </w:rPr>
            </w:pPr>
          </w:p>
        </w:tc>
      </w:tr>
      <w:tr w14:paraId="69225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BB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8C5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24口光缆配线架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9FB5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24口光纤配线架(满配LC耦合器)及安装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691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712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C39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1A14C">
            <w:pPr>
              <w:jc w:val="center"/>
              <w:rPr>
                <w:rFonts w:hint="eastAsia" w:ascii="宋体" w:hAnsi="宋体" w:eastAsia="宋体" w:cs="宋体"/>
                <w:i w:val="0"/>
                <w:iCs w:val="0"/>
                <w:color w:val="000000"/>
                <w:sz w:val="24"/>
                <w:szCs w:val="24"/>
                <w:u w:val="none"/>
              </w:rPr>
            </w:pPr>
          </w:p>
        </w:tc>
      </w:tr>
      <w:tr w14:paraId="065DE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945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88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理线器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A7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48口1U金属理线器安装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9D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10F3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F7CB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A398">
            <w:pPr>
              <w:jc w:val="center"/>
              <w:rPr>
                <w:rFonts w:hint="eastAsia" w:ascii="宋体" w:hAnsi="宋体" w:eastAsia="宋体" w:cs="宋体"/>
                <w:i w:val="0"/>
                <w:iCs w:val="0"/>
                <w:color w:val="000000"/>
                <w:sz w:val="24"/>
                <w:szCs w:val="24"/>
                <w:u w:val="none"/>
              </w:rPr>
            </w:pPr>
          </w:p>
        </w:tc>
      </w:tr>
      <w:tr w14:paraId="279CA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EE3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CBA1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12口光纤接线盒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BDC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12口光纤终端盒(满配LC耦合器)及安装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F3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CED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7B7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D2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监控16+出入口4</w:t>
            </w:r>
          </w:p>
        </w:tc>
      </w:tr>
      <w:tr w14:paraId="4C51F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BA1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8A9A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室外设备箱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A71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室外监控立箱 IP66 400*500*200，(带水泥基座)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B8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0AC5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1C1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9EA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监控16+出入口4</w:t>
            </w:r>
          </w:p>
        </w:tc>
      </w:tr>
      <w:tr w14:paraId="7B7B6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079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7518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光纤跳线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A779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LC-LC型双芯单模光纤跳线(3米)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176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61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4E8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6A12D">
            <w:pPr>
              <w:jc w:val="center"/>
              <w:rPr>
                <w:rFonts w:hint="eastAsia" w:ascii="宋体" w:hAnsi="宋体" w:eastAsia="宋体" w:cs="宋体"/>
                <w:i w:val="0"/>
                <w:iCs w:val="0"/>
                <w:color w:val="000000"/>
                <w:sz w:val="24"/>
                <w:szCs w:val="24"/>
                <w:u w:val="none"/>
              </w:rPr>
            </w:pPr>
          </w:p>
        </w:tc>
      </w:tr>
      <w:tr w14:paraId="6C447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BC97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2.5)垂直干线子系统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2F4D">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B933F">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0B0A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6D6A">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1860">
            <w:pPr>
              <w:jc w:val="center"/>
              <w:rPr>
                <w:rFonts w:hint="eastAsia" w:ascii="宋体" w:hAnsi="宋体" w:eastAsia="宋体" w:cs="宋体"/>
                <w:i w:val="0"/>
                <w:iCs w:val="0"/>
                <w:color w:val="000000"/>
                <w:sz w:val="24"/>
                <w:szCs w:val="24"/>
                <w:u w:val="none"/>
              </w:rPr>
            </w:pPr>
          </w:p>
        </w:tc>
      </w:tr>
      <w:tr w14:paraId="17DE9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C3B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EEF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489C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室外12芯单模光缆(铠装) ，防护等级：包钢带类；铠装：铝带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524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F7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7F4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3938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4DC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监控16+出入口4</w:t>
            </w:r>
          </w:p>
        </w:tc>
      </w:tr>
      <w:tr w14:paraId="6B76B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5535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038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D7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室外24芯单模光缆(铠装) ，防护等级：包钢带类；铠装：铝带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77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F7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4F9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7251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EC72">
            <w:pPr>
              <w:jc w:val="center"/>
              <w:rPr>
                <w:rFonts w:hint="eastAsia" w:ascii="宋体" w:hAnsi="宋体" w:eastAsia="宋体" w:cs="宋体"/>
                <w:i w:val="0"/>
                <w:iCs w:val="0"/>
                <w:color w:val="000000"/>
                <w:sz w:val="24"/>
                <w:szCs w:val="24"/>
                <w:u w:val="none"/>
              </w:rPr>
            </w:pPr>
          </w:p>
        </w:tc>
      </w:tr>
      <w:tr w14:paraId="2FDAD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8A1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3ED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电源线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7EA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YJY-3*2.5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FDD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517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81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2191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BBAF9">
            <w:pPr>
              <w:jc w:val="center"/>
              <w:rPr>
                <w:rFonts w:hint="eastAsia" w:ascii="宋体" w:hAnsi="宋体" w:eastAsia="宋体" w:cs="宋体"/>
                <w:i w:val="0"/>
                <w:iCs w:val="0"/>
                <w:color w:val="000000"/>
                <w:sz w:val="24"/>
                <w:szCs w:val="24"/>
                <w:u w:val="none"/>
              </w:rPr>
            </w:pPr>
          </w:p>
        </w:tc>
      </w:tr>
      <w:tr w14:paraId="18722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AEFD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2.6)设备间子系统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341C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692C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EE5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720EE">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EED98">
            <w:pPr>
              <w:jc w:val="center"/>
              <w:rPr>
                <w:rFonts w:hint="eastAsia" w:ascii="宋体" w:hAnsi="宋体" w:eastAsia="宋体" w:cs="宋体"/>
                <w:i w:val="0"/>
                <w:iCs w:val="0"/>
                <w:color w:val="000000"/>
                <w:sz w:val="24"/>
                <w:szCs w:val="24"/>
                <w:u w:val="none"/>
              </w:rPr>
            </w:pPr>
          </w:p>
        </w:tc>
      </w:tr>
      <w:tr w14:paraId="38D08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B2D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DBE1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72口光纤配线架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313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72口光纤配线架(满配LC耦合器)及安装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61F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E93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56A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59577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室外汇聚</w:t>
            </w:r>
          </w:p>
        </w:tc>
      </w:tr>
      <w:tr w14:paraId="00977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063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C2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理线器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973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48口1U金属理线器安装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2AA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727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F6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FEE2E">
            <w:pPr>
              <w:jc w:val="center"/>
              <w:rPr>
                <w:rFonts w:hint="eastAsia" w:ascii="宋体" w:hAnsi="宋体" w:eastAsia="宋体" w:cs="宋体"/>
                <w:i w:val="0"/>
                <w:iCs w:val="0"/>
                <w:color w:val="000000"/>
                <w:sz w:val="24"/>
                <w:szCs w:val="24"/>
                <w:u w:val="none"/>
              </w:rPr>
            </w:pPr>
          </w:p>
        </w:tc>
      </w:tr>
      <w:tr w14:paraId="78804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2D1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5E6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720芯ODF光纤配线架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71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1.容量：标称容量 720 芯，满配 LC 双工光纤模块 / 一体化托盘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2.材质：主体 1.2~2.0mm 优质冷轧钢板，静电喷塑（灰色 / 白色），防锈耐腐蚀</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3.结构：落地式、双开门、模块化设计，正面维护，支持光缆固定、熔接、配线、跳纤管理</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C41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543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F0A3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E7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总机房</w:t>
            </w:r>
          </w:p>
        </w:tc>
      </w:tr>
      <w:tr w14:paraId="6E493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7C5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DBB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光纤跳线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75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LC-LC型双芯单模光纤跳线(3米)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638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32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B405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D6EC">
            <w:pPr>
              <w:jc w:val="center"/>
              <w:rPr>
                <w:rFonts w:hint="eastAsia" w:ascii="宋体" w:hAnsi="宋体" w:eastAsia="宋体" w:cs="宋体"/>
                <w:i w:val="0"/>
                <w:iCs w:val="0"/>
                <w:color w:val="000000"/>
                <w:sz w:val="24"/>
                <w:szCs w:val="24"/>
                <w:u w:val="none"/>
              </w:rPr>
            </w:pPr>
          </w:p>
        </w:tc>
      </w:tr>
      <w:tr w14:paraId="534CD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8AF5E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3)广播网</w:t>
            </w:r>
          </w:p>
        </w:tc>
        <w:tc>
          <w:tcPr>
            <w:tcW w:w="3704" w:type="dxa"/>
            <w:tcBorders>
              <w:top w:val="single" w:color="000000" w:sz="4" w:space="0"/>
              <w:left w:val="nil"/>
              <w:bottom w:val="single" w:color="000000" w:sz="4" w:space="0"/>
              <w:right w:val="single" w:color="000000" w:sz="4" w:space="0"/>
            </w:tcBorders>
            <w:shd w:val="clear" w:color="auto" w:fill="auto"/>
            <w:noWrap/>
            <w:vAlign w:val="center"/>
          </w:tcPr>
          <w:p w14:paraId="69BECF4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nil"/>
              <w:bottom w:val="single" w:color="000000" w:sz="4" w:space="0"/>
              <w:right w:val="single" w:color="000000" w:sz="4" w:space="0"/>
            </w:tcBorders>
            <w:shd w:val="clear" w:color="auto" w:fill="auto"/>
            <w:noWrap/>
            <w:vAlign w:val="center"/>
          </w:tcPr>
          <w:p w14:paraId="1581AD6B">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nil"/>
              <w:bottom w:val="single" w:color="000000" w:sz="4" w:space="0"/>
              <w:right w:val="single" w:color="000000" w:sz="4" w:space="0"/>
            </w:tcBorders>
            <w:shd w:val="clear" w:color="auto" w:fill="auto"/>
            <w:noWrap/>
            <w:vAlign w:val="center"/>
          </w:tcPr>
          <w:p w14:paraId="41B63143">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nil"/>
              <w:bottom w:val="single" w:color="000000" w:sz="4" w:space="0"/>
              <w:right w:val="single" w:color="000000" w:sz="4" w:space="0"/>
            </w:tcBorders>
            <w:shd w:val="clear" w:color="auto" w:fill="auto"/>
            <w:noWrap/>
            <w:vAlign w:val="center"/>
          </w:tcPr>
          <w:p w14:paraId="4952A1BC">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nil"/>
              <w:bottom w:val="single" w:color="000000" w:sz="4" w:space="0"/>
              <w:right w:val="single" w:color="000000" w:sz="4" w:space="0"/>
            </w:tcBorders>
            <w:shd w:val="clear" w:color="auto" w:fill="auto"/>
            <w:noWrap/>
            <w:vAlign w:val="center"/>
          </w:tcPr>
          <w:p w14:paraId="2A55676F">
            <w:pPr>
              <w:jc w:val="center"/>
              <w:rPr>
                <w:rFonts w:hint="eastAsia" w:ascii="宋体" w:hAnsi="宋体" w:eastAsia="宋体" w:cs="宋体"/>
                <w:i w:val="0"/>
                <w:iCs w:val="0"/>
                <w:color w:val="000000"/>
                <w:sz w:val="24"/>
                <w:szCs w:val="24"/>
                <w:u w:val="none"/>
              </w:rPr>
            </w:pPr>
          </w:p>
        </w:tc>
      </w:tr>
      <w:tr w14:paraId="63270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DF080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3.1)前端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104BF">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74D0A">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CD503">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3205A">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FDCFC">
            <w:pPr>
              <w:jc w:val="center"/>
              <w:rPr>
                <w:rFonts w:hint="eastAsia" w:ascii="宋体" w:hAnsi="宋体" w:eastAsia="宋体" w:cs="宋体"/>
                <w:i w:val="0"/>
                <w:iCs w:val="0"/>
                <w:color w:val="000000"/>
                <w:sz w:val="24"/>
                <w:szCs w:val="24"/>
                <w:u w:val="none"/>
              </w:rPr>
            </w:pPr>
          </w:p>
        </w:tc>
      </w:tr>
      <w:tr w14:paraId="232C4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DF1D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E41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CAT6双绞线缆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5B8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六类四对八芯非屏蔽双绞线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24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FA4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A5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7123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8F7E6">
            <w:pPr>
              <w:jc w:val="center"/>
              <w:rPr>
                <w:rFonts w:hint="eastAsia" w:ascii="宋体" w:hAnsi="宋体" w:eastAsia="宋体" w:cs="宋体"/>
                <w:i w:val="0"/>
                <w:iCs w:val="0"/>
                <w:color w:val="000000"/>
                <w:sz w:val="24"/>
                <w:szCs w:val="24"/>
                <w:u w:val="none"/>
              </w:rPr>
            </w:pPr>
          </w:p>
        </w:tc>
      </w:tr>
      <w:tr w14:paraId="2A8F7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AE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C5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音频线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1E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KVV2*4.0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648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A44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3FD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2355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A172">
            <w:pPr>
              <w:jc w:val="center"/>
              <w:rPr>
                <w:rFonts w:hint="eastAsia" w:ascii="宋体" w:hAnsi="宋体" w:eastAsia="宋体" w:cs="宋体"/>
                <w:i w:val="0"/>
                <w:iCs w:val="0"/>
                <w:color w:val="000000"/>
                <w:sz w:val="24"/>
                <w:szCs w:val="24"/>
                <w:u w:val="none"/>
              </w:rPr>
            </w:pPr>
          </w:p>
        </w:tc>
      </w:tr>
      <w:tr w14:paraId="28964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013C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EF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音频线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45C8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ZR-RYYS2*1.5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EBE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734D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C3A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3452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7D3B2">
            <w:pPr>
              <w:jc w:val="center"/>
              <w:rPr>
                <w:rFonts w:hint="eastAsia" w:ascii="宋体" w:hAnsi="宋体" w:eastAsia="宋体" w:cs="宋体"/>
                <w:i w:val="0"/>
                <w:iCs w:val="0"/>
                <w:color w:val="000000"/>
                <w:sz w:val="24"/>
                <w:szCs w:val="24"/>
                <w:u w:val="none"/>
              </w:rPr>
            </w:pPr>
          </w:p>
        </w:tc>
      </w:tr>
      <w:tr w14:paraId="7B25C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915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410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室外广播防雷器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3B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标称工作电压：110V；持续耐压：170V；标称负载电流：2A；标称放电电流：5KA；最大放电电流：10KA；</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32E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33C8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EE6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4DDA8">
            <w:pPr>
              <w:jc w:val="center"/>
              <w:rPr>
                <w:rFonts w:hint="eastAsia" w:ascii="宋体" w:hAnsi="宋体" w:eastAsia="宋体" w:cs="宋体"/>
                <w:i w:val="0"/>
                <w:iCs w:val="0"/>
                <w:color w:val="000000"/>
                <w:sz w:val="24"/>
                <w:szCs w:val="24"/>
                <w:u w:val="none"/>
              </w:rPr>
            </w:pPr>
          </w:p>
        </w:tc>
      </w:tr>
      <w:tr w14:paraId="69083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158A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3.2)管理间子系统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C3EB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2C612">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4AA6B">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DEED">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C289C">
            <w:pPr>
              <w:jc w:val="center"/>
              <w:rPr>
                <w:rFonts w:hint="eastAsia" w:ascii="宋体" w:hAnsi="宋体" w:eastAsia="宋体" w:cs="宋体"/>
                <w:i w:val="0"/>
                <w:iCs w:val="0"/>
                <w:color w:val="000000"/>
                <w:sz w:val="24"/>
                <w:szCs w:val="24"/>
                <w:u w:val="none"/>
              </w:rPr>
            </w:pPr>
          </w:p>
        </w:tc>
      </w:tr>
      <w:tr w14:paraId="6B664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11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99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42U机柜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63EA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42U标准机柜落地安装：600*1000*2000，含底座，含接地，含PDU等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28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7B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11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3 </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F4BD9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2#2F广播分控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3#1F广播中心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6#体育馆2F(广播室)</w:t>
            </w:r>
          </w:p>
        </w:tc>
      </w:tr>
      <w:tr w14:paraId="6B5A5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5B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83E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12口光纤接线盒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62B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12口光纤终端盒(满配LC耦合器)及安装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5E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5C8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5A5E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260C5">
            <w:pPr>
              <w:jc w:val="center"/>
              <w:rPr>
                <w:rFonts w:hint="eastAsia" w:ascii="宋体" w:hAnsi="宋体" w:eastAsia="宋体" w:cs="宋体"/>
                <w:i w:val="0"/>
                <w:iCs w:val="0"/>
                <w:color w:val="000000"/>
                <w:sz w:val="24"/>
                <w:szCs w:val="24"/>
                <w:u w:val="none"/>
              </w:rPr>
            </w:pPr>
          </w:p>
        </w:tc>
      </w:tr>
      <w:tr w14:paraId="36E69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D4E7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5DA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光纤跳线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F31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LC-LC型双芯单模光纤跳线(3米)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6D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129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E77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831A">
            <w:pPr>
              <w:jc w:val="center"/>
              <w:rPr>
                <w:rFonts w:hint="eastAsia" w:ascii="宋体" w:hAnsi="宋体" w:eastAsia="宋体" w:cs="宋体"/>
                <w:i w:val="0"/>
                <w:iCs w:val="0"/>
                <w:color w:val="000000"/>
                <w:sz w:val="24"/>
                <w:szCs w:val="24"/>
                <w:u w:val="none"/>
              </w:rPr>
            </w:pPr>
          </w:p>
        </w:tc>
      </w:tr>
      <w:tr w14:paraId="7D5AF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7B5D7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2.5)垂直干线子系统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1FCB7">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DC5C">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06CB1">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2AC2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0619">
            <w:pPr>
              <w:jc w:val="center"/>
              <w:rPr>
                <w:rFonts w:hint="eastAsia" w:ascii="宋体" w:hAnsi="宋体" w:eastAsia="宋体" w:cs="宋体"/>
                <w:i w:val="0"/>
                <w:iCs w:val="0"/>
                <w:color w:val="000000"/>
                <w:sz w:val="24"/>
                <w:szCs w:val="24"/>
                <w:u w:val="none"/>
              </w:rPr>
            </w:pPr>
          </w:p>
        </w:tc>
      </w:tr>
      <w:tr w14:paraId="419D7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F6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45A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ABC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室外12芯单模光缆(铠装) ，防护等级：包钢带类；铠装：铝带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D40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DF4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008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450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39E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剩余点位利用设备网光缆传输</w:t>
            </w:r>
          </w:p>
        </w:tc>
      </w:tr>
      <w:tr w14:paraId="694E8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CC13C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2.6)设备间子系统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8B16C">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2B1E1">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0308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89A01">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7DFF3">
            <w:pPr>
              <w:jc w:val="center"/>
              <w:rPr>
                <w:rFonts w:hint="eastAsia" w:ascii="宋体" w:hAnsi="宋体" w:eastAsia="宋体" w:cs="宋体"/>
                <w:i w:val="0"/>
                <w:iCs w:val="0"/>
                <w:color w:val="000000"/>
                <w:sz w:val="24"/>
                <w:szCs w:val="24"/>
                <w:u w:val="none"/>
              </w:rPr>
            </w:pPr>
          </w:p>
        </w:tc>
      </w:tr>
      <w:tr w14:paraId="2A572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19A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E477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12口光纤接线盒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F25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12口光纤终端盒(满配LC耦合器)及安装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09F9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4D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593D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2B09">
            <w:pPr>
              <w:jc w:val="center"/>
              <w:rPr>
                <w:rFonts w:hint="eastAsia" w:ascii="宋体" w:hAnsi="宋体" w:eastAsia="宋体" w:cs="宋体"/>
                <w:i w:val="0"/>
                <w:iCs w:val="0"/>
                <w:color w:val="000000"/>
                <w:sz w:val="24"/>
                <w:szCs w:val="24"/>
                <w:u w:val="none"/>
              </w:rPr>
            </w:pPr>
          </w:p>
        </w:tc>
      </w:tr>
      <w:tr w14:paraId="4D53F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5408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43F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光纤跳线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70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LC-LC型双芯单模光纤跳线(3米)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89B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5F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B4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w:t>
            </w:r>
          </w:p>
        </w:tc>
        <w:tc>
          <w:tcPr>
            <w:tcW w:w="821" w:type="dxa"/>
            <w:tcBorders>
              <w:top w:val="single" w:color="000000" w:sz="4" w:space="0"/>
              <w:left w:val="nil"/>
              <w:bottom w:val="single" w:color="000000" w:sz="4" w:space="0"/>
              <w:right w:val="single" w:color="000000" w:sz="4" w:space="0"/>
            </w:tcBorders>
            <w:shd w:val="clear" w:color="auto" w:fill="auto"/>
            <w:noWrap/>
            <w:vAlign w:val="center"/>
          </w:tcPr>
          <w:p w14:paraId="1C972C70">
            <w:pPr>
              <w:jc w:val="center"/>
              <w:rPr>
                <w:rFonts w:hint="eastAsia" w:ascii="宋体" w:hAnsi="宋体" w:eastAsia="宋体" w:cs="宋体"/>
                <w:i w:val="0"/>
                <w:iCs w:val="0"/>
                <w:color w:val="000000"/>
                <w:sz w:val="24"/>
                <w:szCs w:val="24"/>
                <w:u w:val="none"/>
              </w:rPr>
            </w:pPr>
          </w:p>
        </w:tc>
      </w:tr>
      <w:tr w14:paraId="7F523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4CE7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4)标准化考场线路预留</w:t>
            </w:r>
          </w:p>
        </w:tc>
        <w:tc>
          <w:tcPr>
            <w:tcW w:w="3704" w:type="dxa"/>
            <w:tcBorders>
              <w:top w:val="single" w:color="000000" w:sz="4" w:space="0"/>
              <w:left w:val="nil"/>
              <w:bottom w:val="single" w:color="000000" w:sz="4" w:space="0"/>
              <w:right w:val="single" w:color="000000" w:sz="4" w:space="0"/>
            </w:tcBorders>
            <w:shd w:val="clear" w:color="auto" w:fill="auto"/>
            <w:noWrap/>
            <w:vAlign w:val="center"/>
          </w:tcPr>
          <w:p w14:paraId="044BE69F">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nil"/>
              <w:bottom w:val="single" w:color="000000" w:sz="4" w:space="0"/>
              <w:right w:val="single" w:color="000000" w:sz="4" w:space="0"/>
            </w:tcBorders>
            <w:shd w:val="clear" w:color="auto" w:fill="auto"/>
            <w:noWrap/>
            <w:vAlign w:val="center"/>
          </w:tcPr>
          <w:p w14:paraId="57F19ED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nil"/>
              <w:bottom w:val="single" w:color="000000" w:sz="4" w:space="0"/>
              <w:right w:val="single" w:color="000000" w:sz="4" w:space="0"/>
            </w:tcBorders>
            <w:shd w:val="clear" w:color="auto" w:fill="auto"/>
            <w:noWrap/>
            <w:vAlign w:val="center"/>
          </w:tcPr>
          <w:p w14:paraId="1F0B11F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nil"/>
              <w:bottom w:val="single" w:color="000000" w:sz="4" w:space="0"/>
              <w:right w:val="single" w:color="000000" w:sz="4" w:space="0"/>
            </w:tcBorders>
            <w:shd w:val="clear" w:color="auto" w:fill="auto"/>
            <w:noWrap/>
            <w:vAlign w:val="center"/>
          </w:tcPr>
          <w:p w14:paraId="2E668817">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nil"/>
              <w:bottom w:val="single" w:color="000000" w:sz="4" w:space="0"/>
              <w:right w:val="single" w:color="000000" w:sz="4" w:space="0"/>
            </w:tcBorders>
            <w:shd w:val="clear" w:color="auto" w:fill="auto"/>
            <w:noWrap/>
            <w:vAlign w:val="center"/>
          </w:tcPr>
          <w:p w14:paraId="5BD10F9D">
            <w:pPr>
              <w:jc w:val="center"/>
              <w:rPr>
                <w:rFonts w:hint="eastAsia" w:ascii="宋体" w:hAnsi="宋体" w:eastAsia="宋体" w:cs="宋体"/>
                <w:i w:val="0"/>
                <w:iCs w:val="0"/>
                <w:color w:val="000000"/>
                <w:sz w:val="24"/>
                <w:szCs w:val="24"/>
                <w:u w:val="none"/>
              </w:rPr>
            </w:pPr>
          </w:p>
        </w:tc>
      </w:tr>
      <w:tr w14:paraId="56FB6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874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ECA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CAT6双绞线缆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4283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六类四对八芯非屏蔽双绞线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F1F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441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F37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6912 </w:t>
            </w:r>
          </w:p>
        </w:tc>
        <w:tc>
          <w:tcPr>
            <w:tcW w:w="821" w:type="dxa"/>
            <w:tcBorders>
              <w:top w:val="single" w:color="000000" w:sz="4" w:space="0"/>
              <w:left w:val="nil"/>
              <w:bottom w:val="single" w:color="000000" w:sz="4" w:space="0"/>
              <w:right w:val="single" w:color="000000" w:sz="4" w:space="0"/>
            </w:tcBorders>
            <w:shd w:val="clear" w:color="auto" w:fill="auto"/>
            <w:noWrap/>
            <w:vAlign w:val="center"/>
          </w:tcPr>
          <w:p w14:paraId="7EFD5845">
            <w:pPr>
              <w:jc w:val="center"/>
              <w:rPr>
                <w:rFonts w:hint="eastAsia" w:ascii="宋体" w:hAnsi="宋体" w:eastAsia="宋体" w:cs="宋体"/>
                <w:i w:val="0"/>
                <w:iCs w:val="0"/>
                <w:color w:val="000000"/>
                <w:sz w:val="24"/>
                <w:szCs w:val="24"/>
                <w:u w:val="none"/>
              </w:rPr>
            </w:pPr>
          </w:p>
        </w:tc>
      </w:tr>
      <w:tr w14:paraId="2250F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25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4F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电源线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09C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RVV2*1.0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08A2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7BC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B32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6912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86B88">
            <w:pPr>
              <w:jc w:val="center"/>
              <w:rPr>
                <w:rFonts w:hint="eastAsia" w:ascii="宋体" w:hAnsi="宋体" w:eastAsia="宋体" w:cs="宋体"/>
                <w:i w:val="0"/>
                <w:iCs w:val="0"/>
                <w:color w:val="000000"/>
                <w:sz w:val="24"/>
                <w:szCs w:val="24"/>
                <w:u w:val="none"/>
              </w:rPr>
            </w:pPr>
          </w:p>
        </w:tc>
      </w:tr>
      <w:tr w14:paraId="3DFF4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FDC3D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5)电视网</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F699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B017E">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1F1D1">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4C7B9">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nil"/>
              <w:bottom w:val="single" w:color="000000" w:sz="4" w:space="0"/>
              <w:right w:val="single" w:color="000000" w:sz="4" w:space="0"/>
            </w:tcBorders>
            <w:shd w:val="clear" w:color="auto" w:fill="auto"/>
            <w:noWrap/>
            <w:vAlign w:val="center"/>
          </w:tcPr>
          <w:p w14:paraId="1D7961F9">
            <w:pPr>
              <w:jc w:val="center"/>
              <w:rPr>
                <w:rFonts w:hint="eastAsia" w:ascii="宋体" w:hAnsi="宋体" w:eastAsia="宋体" w:cs="宋体"/>
                <w:i w:val="0"/>
                <w:iCs w:val="0"/>
                <w:color w:val="000000"/>
                <w:sz w:val="24"/>
                <w:szCs w:val="24"/>
                <w:u w:val="none"/>
              </w:rPr>
            </w:pPr>
          </w:p>
        </w:tc>
      </w:tr>
      <w:tr w14:paraId="5B093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8D13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3.1)工作区子系统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4FDC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D711">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DFDA2">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02E67">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nil"/>
              <w:bottom w:val="single" w:color="000000" w:sz="4" w:space="0"/>
              <w:right w:val="single" w:color="000000" w:sz="4" w:space="0"/>
            </w:tcBorders>
            <w:shd w:val="clear" w:color="auto" w:fill="auto"/>
            <w:noWrap/>
            <w:vAlign w:val="center"/>
          </w:tcPr>
          <w:p w14:paraId="70EEAF59">
            <w:pPr>
              <w:jc w:val="center"/>
              <w:rPr>
                <w:rFonts w:hint="eastAsia" w:ascii="宋体" w:hAnsi="宋体" w:eastAsia="宋体" w:cs="宋体"/>
                <w:i w:val="0"/>
                <w:iCs w:val="0"/>
                <w:color w:val="000000"/>
                <w:sz w:val="24"/>
                <w:szCs w:val="24"/>
                <w:u w:val="none"/>
              </w:rPr>
            </w:pPr>
          </w:p>
        </w:tc>
      </w:tr>
      <w:tr w14:paraId="728D4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91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896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单口TV插座</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4FE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信息数据插座安装:含六类非屏蔽信息模块、单孔面板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19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186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33FB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40</w:t>
            </w:r>
          </w:p>
        </w:tc>
        <w:tc>
          <w:tcPr>
            <w:tcW w:w="821" w:type="dxa"/>
            <w:tcBorders>
              <w:top w:val="single" w:color="000000" w:sz="4" w:space="0"/>
              <w:left w:val="nil"/>
              <w:bottom w:val="single" w:color="000000" w:sz="4" w:space="0"/>
              <w:right w:val="single" w:color="000000" w:sz="4" w:space="0"/>
            </w:tcBorders>
            <w:shd w:val="clear" w:color="auto" w:fill="auto"/>
            <w:noWrap/>
            <w:vAlign w:val="center"/>
          </w:tcPr>
          <w:p w14:paraId="336A4D9A">
            <w:pPr>
              <w:jc w:val="center"/>
              <w:rPr>
                <w:rFonts w:hint="eastAsia" w:ascii="宋体" w:hAnsi="宋体" w:eastAsia="宋体" w:cs="宋体"/>
                <w:i w:val="0"/>
                <w:iCs w:val="0"/>
                <w:color w:val="000000"/>
                <w:sz w:val="24"/>
                <w:szCs w:val="24"/>
                <w:u w:val="none"/>
              </w:rPr>
            </w:pPr>
          </w:p>
        </w:tc>
      </w:tr>
      <w:tr w14:paraId="20C2D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42B6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3.2)水平子系统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D1FAC">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37451">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FF714">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3E29">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nil"/>
              <w:bottom w:val="single" w:color="000000" w:sz="4" w:space="0"/>
              <w:right w:val="single" w:color="000000" w:sz="4" w:space="0"/>
            </w:tcBorders>
            <w:shd w:val="clear" w:color="auto" w:fill="auto"/>
            <w:noWrap/>
            <w:vAlign w:val="center"/>
          </w:tcPr>
          <w:p w14:paraId="28CE2B7E">
            <w:pPr>
              <w:jc w:val="center"/>
              <w:rPr>
                <w:rFonts w:hint="eastAsia" w:ascii="宋体" w:hAnsi="宋体" w:eastAsia="宋体" w:cs="宋体"/>
                <w:i w:val="0"/>
                <w:iCs w:val="0"/>
                <w:color w:val="000000"/>
                <w:sz w:val="24"/>
                <w:szCs w:val="24"/>
                <w:u w:val="none"/>
              </w:rPr>
            </w:pPr>
          </w:p>
        </w:tc>
      </w:tr>
      <w:tr w14:paraId="75C9F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68E2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A69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CAT6双绞线缆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60F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六类四对八芯非屏蔽双绞线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74E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16A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5E9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2280 </w:t>
            </w:r>
          </w:p>
        </w:tc>
        <w:tc>
          <w:tcPr>
            <w:tcW w:w="821" w:type="dxa"/>
            <w:tcBorders>
              <w:top w:val="single" w:color="000000" w:sz="4" w:space="0"/>
              <w:left w:val="nil"/>
              <w:bottom w:val="single" w:color="000000" w:sz="4" w:space="0"/>
              <w:right w:val="single" w:color="000000" w:sz="4" w:space="0"/>
            </w:tcBorders>
            <w:shd w:val="clear" w:color="auto" w:fill="auto"/>
            <w:noWrap/>
            <w:vAlign w:val="center"/>
          </w:tcPr>
          <w:p w14:paraId="585DB64D">
            <w:pPr>
              <w:jc w:val="center"/>
              <w:rPr>
                <w:rFonts w:hint="eastAsia" w:ascii="宋体" w:hAnsi="宋体" w:eastAsia="宋体" w:cs="宋体"/>
                <w:i w:val="0"/>
                <w:iCs w:val="0"/>
                <w:color w:val="000000"/>
                <w:sz w:val="24"/>
                <w:szCs w:val="24"/>
                <w:u w:val="none"/>
              </w:rPr>
            </w:pPr>
          </w:p>
        </w:tc>
      </w:tr>
      <w:tr w14:paraId="46364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C3A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2计算机网络系统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234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0F6E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3E1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DA775">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BA58C">
            <w:pPr>
              <w:jc w:val="center"/>
              <w:rPr>
                <w:rFonts w:hint="eastAsia" w:ascii="宋体" w:hAnsi="宋体" w:eastAsia="宋体" w:cs="宋体"/>
                <w:i w:val="0"/>
                <w:iCs w:val="0"/>
                <w:color w:val="000000"/>
                <w:sz w:val="24"/>
                <w:szCs w:val="24"/>
                <w:u w:val="none"/>
              </w:rPr>
            </w:pPr>
          </w:p>
        </w:tc>
      </w:tr>
      <w:tr w14:paraId="324CC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70D38B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1)业务网</w:t>
            </w:r>
          </w:p>
        </w:tc>
        <w:tc>
          <w:tcPr>
            <w:tcW w:w="1631" w:type="dxa"/>
            <w:tcBorders>
              <w:top w:val="nil"/>
              <w:left w:val="nil"/>
              <w:bottom w:val="single" w:color="000000" w:sz="4" w:space="0"/>
              <w:right w:val="single" w:color="000000" w:sz="4" w:space="0"/>
            </w:tcBorders>
            <w:shd w:val="clear" w:color="auto" w:fill="auto"/>
            <w:noWrap/>
            <w:vAlign w:val="center"/>
          </w:tcPr>
          <w:p w14:paraId="12D3718D">
            <w:pPr>
              <w:jc w:val="center"/>
              <w:rPr>
                <w:rFonts w:hint="eastAsia" w:ascii="宋体" w:hAnsi="宋体" w:eastAsia="宋体" w:cs="宋体"/>
                <w:i w:val="0"/>
                <w:iCs w:val="0"/>
                <w:color w:val="000000"/>
                <w:sz w:val="24"/>
                <w:szCs w:val="24"/>
                <w:u w:val="none"/>
              </w:rPr>
            </w:pPr>
          </w:p>
        </w:tc>
        <w:tc>
          <w:tcPr>
            <w:tcW w:w="3704" w:type="dxa"/>
            <w:tcBorders>
              <w:top w:val="nil"/>
              <w:left w:val="nil"/>
              <w:bottom w:val="single" w:color="000000" w:sz="4" w:space="0"/>
              <w:right w:val="single" w:color="000000" w:sz="4" w:space="0"/>
            </w:tcBorders>
            <w:shd w:val="clear" w:color="auto" w:fill="auto"/>
            <w:noWrap/>
            <w:vAlign w:val="center"/>
          </w:tcPr>
          <w:p w14:paraId="5A084EE6">
            <w:pPr>
              <w:jc w:val="center"/>
              <w:rPr>
                <w:rFonts w:hint="eastAsia" w:ascii="宋体" w:hAnsi="宋体" w:eastAsia="宋体" w:cs="宋体"/>
                <w:i w:val="0"/>
                <w:iCs w:val="0"/>
                <w:color w:val="000000"/>
                <w:sz w:val="24"/>
                <w:szCs w:val="24"/>
                <w:u w:val="none"/>
              </w:rPr>
            </w:pPr>
          </w:p>
        </w:tc>
        <w:tc>
          <w:tcPr>
            <w:tcW w:w="1552" w:type="dxa"/>
            <w:tcBorders>
              <w:top w:val="nil"/>
              <w:left w:val="nil"/>
              <w:bottom w:val="single" w:color="000000" w:sz="4" w:space="0"/>
              <w:right w:val="single" w:color="000000" w:sz="4" w:space="0"/>
            </w:tcBorders>
            <w:shd w:val="clear" w:color="auto" w:fill="auto"/>
            <w:noWrap/>
            <w:vAlign w:val="center"/>
          </w:tcPr>
          <w:p w14:paraId="35310643">
            <w:pPr>
              <w:jc w:val="center"/>
              <w:rPr>
                <w:rFonts w:hint="eastAsia" w:ascii="宋体" w:hAnsi="宋体" w:eastAsia="宋体" w:cs="宋体"/>
                <w:i w:val="0"/>
                <w:iCs w:val="0"/>
                <w:color w:val="000000"/>
                <w:sz w:val="24"/>
                <w:szCs w:val="24"/>
                <w:u w:val="none"/>
              </w:rPr>
            </w:pPr>
          </w:p>
        </w:tc>
        <w:tc>
          <w:tcPr>
            <w:tcW w:w="761" w:type="dxa"/>
            <w:tcBorders>
              <w:top w:val="nil"/>
              <w:left w:val="nil"/>
              <w:bottom w:val="single" w:color="000000" w:sz="4" w:space="0"/>
              <w:right w:val="single" w:color="000000" w:sz="4" w:space="0"/>
            </w:tcBorders>
            <w:shd w:val="clear" w:color="auto" w:fill="auto"/>
            <w:noWrap/>
            <w:vAlign w:val="center"/>
          </w:tcPr>
          <w:p w14:paraId="3D31D7D5">
            <w:pPr>
              <w:jc w:val="center"/>
              <w:rPr>
                <w:rFonts w:hint="eastAsia" w:ascii="宋体" w:hAnsi="宋体" w:eastAsia="宋体" w:cs="宋体"/>
                <w:i w:val="0"/>
                <w:iCs w:val="0"/>
                <w:color w:val="000000"/>
                <w:sz w:val="24"/>
                <w:szCs w:val="24"/>
                <w:u w:val="none"/>
              </w:rPr>
            </w:pPr>
          </w:p>
        </w:tc>
        <w:tc>
          <w:tcPr>
            <w:tcW w:w="705" w:type="dxa"/>
            <w:tcBorders>
              <w:top w:val="nil"/>
              <w:left w:val="nil"/>
              <w:bottom w:val="single" w:color="000000" w:sz="4" w:space="0"/>
              <w:right w:val="single" w:color="000000" w:sz="4" w:space="0"/>
            </w:tcBorders>
            <w:shd w:val="clear" w:color="auto" w:fill="auto"/>
            <w:noWrap/>
            <w:vAlign w:val="center"/>
          </w:tcPr>
          <w:p w14:paraId="71D09FA6">
            <w:pPr>
              <w:jc w:val="center"/>
              <w:rPr>
                <w:rFonts w:hint="eastAsia" w:ascii="宋体" w:hAnsi="宋体" w:eastAsia="宋体" w:cs="宋体"/>
                <w:i w:val="0"/>
                <w:iCs w:val="0"/>
                <w:color w:val="000000"/>
                <w:sz w:val="24"/>
                <w:szCs w:val="24"/>
                <w:u w:val="none"/>
              </w:rPr>
            </w:pPr>
          </w:p>
        </w:tc>
        <w:tc>
          <w:tcPr>
            <w:tcW w:w="821" w:type="dxa"/>
            <w:tcBorders>
              <w:top w:val="nil"/>
              <w:left w:val="nil"/>
              <w:bottom w:val="single" w:color="000000" w:sz="4" w:space="0"/>
              <w:right w:val="single" w:color="000000" w:sz="4" w:space="0"/>
            </w:tcBorders>
            <w:shd w:val="clear" w:color="auto" w:fill="auto"/>
            <w:noWrap/>
            <w:vAlign w:val="center"/>
          </w:tcPr>
          <w:p w14:paraId="50CB9432">
            <w:pPr>
              <w:jc w:val="center"/>
              <w:rPr>
                <w:rFonts w:hint="eastAsia" w:ascii="宋体" w:hAnsi="宋体" w:eastAsia="宋体" w:cs="宋体"/>
                <w:i w:val="0"/>
                <w:iCs w:val="0"/>
                <w:color w:val="000000"/>
                <w:sz w:val="24"/>
                <w:szCs w:val="24"/>
                <w:u w:val="none"/>
              </w:rPr>
            </w:pPr>
          </w:p>
        </w:tc>
      </w:tr>
      <w:tr w14:paraId="20814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368EAC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1.1)有线</w:t>
            </w:r>
          </w:p>
        </w:tc>
        <w:tc>
          <w:tcPr>
            <w:tcW w:w="1631" w:type="dxa"/>
            <w:tcBorders>
              <w:top w:val="nil"/>
              <w:left w:val="nil"/>
              <w:bottom w:val="single" w:color="000000" w:sz="4" w:space="0"/>
              <w:right w:val="single" w:color="000000" w:sz="4" w:space="0"/>
            </w:tcBorders>
            <w:shd w:val="clear" w:color="auto" w:fill="auto"/>
            <w:noWrap/>
            <w:vAlign w:val="center"/>
          </w:tcPr>
          <w:p w14:paraId="5B5B4DF1">
            <w:pPr>
              <w:jc w:val="center"/>
              <w:rPr>
                <w:rFonts w:hint="eastAsia" w:ascii="宋体" w:hAnsi="宋体" w:eastAsia="宋体" w:cs="宋体"/>
                <w:i w:val="0"/>
                <w:iCs w:val="0"/>
                <w:color w:val="000000"/>
                <w:sz w:val="24"/>
                <w:szCs w:val="24"/>
                <w:u w:val="none"/>
              </w:rPr>
            </w:pPr>
          </w:p>
        </w:tc>
        <w:tc>
          <w:tcPr>
            <w:tcW w:w="3704" w:type="dxa"/>
            <w:tcBorders>
              <w:top w:val="nil"/>
              <w:left w:val="nil"/>
              <w:bottom w:val="single" w:color="000000" w:sz="4" w:space="0"/>
              <w:right w:val="single" w:color="000000" w:sz="4" w:space="0"/>
            </w:tcBorders>
            <w:shd w:val="clear" w:color="auto" w:fill="auto"/>
            <w:noWrap/>
            <w:vAlign w:val="center"/>
          </w:tcPr>
          <w:p w14:paraId="35FE0C5A">
            <w:pPr>
              <w:jc w:val="center"/>
              <w:rPr>
                <w:rFonts w:hint="eastAsia" w:ascii="宋体" w:hAnsi="宋体" w:eastAsia="宋体" w:cs="宋体"/>
                <w:i w:val="0"/>
                <w:iCs w:val="0"/>
                <w:color w:val="000000"/>
                <w:sz w:val="24"/>
                <w:szCs w:val="24"/>
                <w:u w:val="none"/>
              </w:rPr>
            </w:pPr>
          </w:p>
        </w:tc>
        <w:tc>
          <w:tcPr>
            <w:tcW w:w="1552" w:type="dxa"/>
            <w:tcBorders>
              <w:top w:val="nil"/>
              <w:left w:val="nil"/>
              <w:bottom w:val="single" w:color="000000" w:sz="4" w:space="0"/>
              <w:right w:val="single" w:color="000000" w:sz="4" w:space="0"/>
            </w:tcBorders>
            <w:shd w:val="clear" w:color="auto" w:fill="auto"/>
            <w:noWrap/>
            <w:vAlign w:val="center"/>
          </w:tcPr>
          <w:p w14:paraId="55FF1411">
            <w:pPr>
              <w:jc w:val="center"/>
              <w:rPr>
                <w:rFonts w:hint="eastAsia" w:ascii="宋体" w:hAnsi="宋体" w:eastAsia="宋体" w:cs="宋体"/>
                <w:i w:val="0"/>
                <w:iCs w:val="0"/>
                <w:color w:val="000000"/>
                <w:sz w:val="24"/>
                <w:szCs w:val="24"/>
                <w:u w:val="none"/>
              </w:rPr>
            </w:pPr>
          </w:p>
        </w:tc>
        <w:tc>
          <w:tcPr>
            <w:tcW w:w="761" w:type="dxa"/>
            <w:tcBorders>
              <w:top w:val="nil"/>
              <w:left w:val="nil"/>
              <w:bottom w:val="single" w:color="000000" w:sz="4" w:space="0"/>
              <w:right w:val="single" w:color="000000" w:sz="4" w:space="0"/>
            </w:tcBorders>
            <w:shd w:val="clear" w:color="auto" w:fill="auto"/>
            <w:noWrap/>
            <w:vAlign w:val="center"/>
          </w:tcPr>
          <w:p w14:paraId="37F7AFDF">
            <w:pPr>
              <w:jc w:val="center"/>
              <w:rPr>
                <w:rFonts w:hint="eastAsia" w:ascii="宋体" w:hAnsi="宋体" w:eastAsia="宋体" w:cs="宋体"/>
                <w:i w:val="0"/>
                <w:iCs w:val="0"/>
                <w:color w:val="000000"/>
                <w:sz w:val="24"/>
                <w:szCs w:val="24"/>
                <w:u w:val="none"/>
              </w:rPr>
            </w:pPr>
          </w:p>
        </w:tc>
        <w:tc>
          <w:tcPr>
            <w:tcW w:w="705" w:type="dxa"/>
            <w:tcBorders>
              <w:top w:val="nil"/>
              <w:left w:val="nil"/>
              <w:bottom w:val="single" w:color="000000" w:sz="4" w:space="0"/>
              <w:right w:val="single" w:color="000000" w:sz="4" w:space="0"/>
            </w:tcBorders>
            <w:shd w:val="clear" w:color="auto" w:fill="auto"/>
            <w:noWrap/>
            <w:vAlign w:val="center"/>
          </w:tcPr>
          <w:p w14:paraId="482C057A">
            <w:pPr>
              <w:jc w:val="center"/>
              <w:rPr>
                <w:rFonts w:hint="eastAsia" w:ascii="宋体" w:hAnsi="宋体" w:eastAsia="宋体" w:cs="宋体"/>
                <w:i w:val="0"/>
                <w:iCs w:val="0"/>
                <w:color w:val="000000"/>
                <w:sz w:val="24"/>
                <w:szCs w:val="24"/>
                <w:u w:val="none"/>
              </w:rPr>
            </w:pPr>
          </w:p>
        </w:tc>
        <w:tc>
          <w:tcPr>
            <w:tcW w:w="821" w:type="dxa"/>
            <w:tcBorders>
              <w:top w:val="nil"/>
              <w:left w:val="nil"/>
              <w:bottom w:val="single" w:color="000000" w:sz="4" w:space="0"/>
              <w:right w:val="single" w:color="000000" w:sz="4" w:space="0"/>
            </w:tcBorders>
            <w:shd w:val="clear" w:color="auto" w:fill="auto"/>
            <w:noWrap/>
            <w:vAlign w:val="center"/>
          </w:tcPr>
          <w:p w14:paraId="03A33A2A">
            <w:pPr>
              <w:jc w:val="center"/>
              <w:rPr>
                <w:rFonts w:hint="eastAsia" w:ascii="宋体" w:hAnsi="宋体" w:eastAsia="宋体" w:cs="宋体"/>
                <w:i w:val="0"/>
                <w:iCs w:val="0"/>
                <w:color w:val="000000"/>
                <w:sz w:val="24"/>
                <w:szCs w:val="24"/>
                <w:u w:val="none"/>
              </w:rPr>
            </w:pPr>
          </w:p>
        </w:tc>
      </w:tr>
      <w:tr w14:paraId="346BA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357EF9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nil"/>
              <w:left w:val="nil"/>
              <w:bottom w:val="single" w:color="000000" w:sz="4" w:space="0"/>
              <w:right w:val="single" w:color="000000" w:sz="4" w:space="0"/>
            </w:tcBorders>
            <w:shd w:val="clear" w:color="auto" w:fill="auto"/>
            <w:noWrap/>
            <w:vAlign w:val="center"/>
          </w:tcPr>
          <w:p w14:paraId="63370A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核心交换机</w:t>
            </w:r>
          </w:p>
        </w:tc>
        <w:tc>
          <w:tcPr>
            <w:tcW w:w="3704" w:type="dxa"/>
            <w:tcBorders>
              <w:top w:val="nil"/>
              <w:left w:val="nil"/>
              <w:bottom w:val="single" w:color="000000" w:sz="4" w:space="0"/>
              <w:right w:val="single" w:color="000000" w:sz="4" w:space="0"/>
            </w:tcBorders>
            <w:shd w:val="clear" w:color="auto" w:fill="auto"/>
            <w:vAlign w:val="center"/>
          </w:tcPr>
          <w:p w14:paraId="23F5AB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auto"/>
                <w:kern w:val="0"/>
                <w:sz w:val="24"/>
                <w:szCs w:val="24"/>
                <w:highlight w:val="none"/>
                <w:u w:val="none"/>
                <w:lang w:val="en-US" w:eastAsia="zh-CN" w:bidi="ar"/>
              </w:rPr>
              <w:t>★1.交换容量≥68Tbps，包转发率≥51200Mpps。</w:t>
            </w:r>
            <w:r>
              <w:rPr>
                <w:rFonts w:hint="eastAsia" w:ascii="宋体" w:hAnsi="宋体" w:eastAsia="宋体" w:cs="宋体"/>
                <w:i w:val="0"/>
                <w:iCs w:val="0"/>
                <w:color w:val="auto"/>
                <w:kern w:val="0"/>
                <w:sz w:val="24"/>
                <w:szCs w:val="24"/>
                <w:highlight w:val="none"/>
                <w:u w:val="none"/>
                <w:lang w:val="en-US" w:eastAsia="zh-CN" w:bidi="ar"/>
              </w:rPr>
              <w:t>提供官网截图和链接证明并加盖投标单位公章作为证明材料</w:t>
            </w:r>
            <w:r>
              <w:rPr>
                <w:rFonts w:ascii="宋体" w:hAnsi="宋体" w:eastAsia="宋体" w:cs="宋体"/>
                <w:i w:val="0"/>
                <w:iCs w:val="0"/>
                <w:color w:val="auto"/>
                <w:kern w:val="0"/>
                <w:sz w:val="24"/>
                <w:szCs w:val="24"/>
                <w:highlight w:val="none"/>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2.主控引擎与业务板卡完全物理分离, 采用全分布式转发处理架构，独立主控引擎插槽≥2个，独立业务插槽数≥3个；主控引擎故障情况下，不能影响整机转发能力。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3.为提高设备面板空间利用率，要求采用高密度端口设计，所投产品单张业务卡最大可用物理端口≥52个，整机转发业务物理端口≥156个；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4.设备支持硬件健康状态可视化，可以对风扇状态、电源、温度、板载电压进行监控，尤其是在日常巡查中发现电压异常前兆，可及时处理，避免出现电压异常宕机。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5.支持专门针对CPU保护机制的功能，可将送CPU的报文，如ARP报文的速率进行限制，使CPU的使用率降低到10%以内，保障了CPU安全；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6.为保证IPv6的可部署性和应用性，所投交换机需具备IPv6 Ready Phase2认证，提供对应证书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7.配置：双主控、双电源、配置独立业务板卡：≥24个千兆电口、≥8个千兆光口、≥60个万兆光口。</w:t>
            </w:r>
          </w:p>
        </w:tc>
        <w:tc>
          <w:tcPr>
            <w:tcW w:w="1552" w:type="dxa"/>
            <w:tcBorders>
              <w:top w:val="nil"/>
              <w:left w:val="nil"/>
              <w:bottom w:val="single" w:color="000000" w:sz="4" w:space="0"/>
              <w:right w:val="single" w:color="000000" w:sz="4" w:space="0"/>
            </w:tcBorders>
            <w:shd w:val="clear" w:color="auto" w:fill="auto"/>
            <w:noWrap/>
            <w:vAlign w:val="center"/>
          </w:tcPr>
          <w:p w14:paraId="6AFF0E8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5B4C6A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5B942C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41E33FA2">
            <w:pPr>
              <w:jc w:val="center"/>
              <w:rPr>
                <w:rFonts w:hint="eastAsia" w:ascii="宋体" w:hAnsi="宋体" w:eastAsia="宋体" w:cs="宋体"/>
                <w:i w:val="0"/>
                <w:iCs w:val="0"/>
                <w:color w:val="FF0000"/>
                <w:sz w:val="24"/>
                <w:szCs w:val="24"/>
                <w:u w:val="none"/>
              </w:rPr>
            </w:pPr>
          </w:p>
        </w:tc>
      </w:tr>
      <w:tr w14:paraId="79094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1C00208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nil"/>
              <w:left w:val="nil"/>
              <w:bottom w:val="single" w:color="000000" w:sz="4" w:space="0"/>
              <w:right w:val="single" w:color="000000" w:sz="4" w:space="0"/>
            </w:tcBorders>
            <w:shd w:val="clear" w:color="auto" w:fill="auto"/>
            <w:noWrap/>
            <w:vAlign w:val="center"/>
          </w:tcPr>
          <w:p w14:paraId="59CCDD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24口接入交换机</w:t>
            </w:r>
          </w:p>
        </w:tc>
        <w:tc>
          <w:tcPr>
            <w:tcW w:w="3704" w:type="dxa"/>
            <w:tcBorders>
              <w:top w:val="nil"/>
              <w:left w:val="nil"/>
              <w:bottom w:val="single" w:color="000000" w:sz="4" w:space="0"/>
              <w:right w:val="single" w:color="000000" w:sz="4" w:space="0"/>
            </w:tcBorders>
            <w:shd w:val="clear" w:color="auto" w:fill="auto"/>
            <w:vAlign w:val="center"/>
          </w:tcPr>
          <w:p w14:paraId="53D39C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1.交换容量≥672Gbps，包转发率≥171Mpps。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2.固化10/100/1000M以太网端口≥24，固化1G/10G SFP+XS接口≥4个；支持24*Gbe+4*10Gbe 100%线速转发。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3.设备MAC地址≥16K。</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4.要求所投产品端口的线-接地端子浪涌抗扰度≥10KV，线-线浪涌抗扰度≥0.5KV，（即具备共模10KV，差模0.5KV的防雷能力）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5.要求所投产品具备静音设计，设备的噪音最大声压级≤35dB，需提供证明文件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6.支持IPv4和IPv6的静态路由、RIP/RIPng、OSPFv2/OSPFv3等三层路由协议。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7.支持虚拟化功能，可将多台物理设备虚拟化为一台逻辑设备统一管理。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8.支持OpenFlow 1.3协议</w:t>
            </w:r>
          </w:p>
        </w:tc>
        <w:tc>
          <w:tcPr>
            <w:tcW w:w="1552" w:type="dxa"/>
            <w:tcBorders>
              <w:top w:val="nil"/>
              <w:left w:val="nil"/>
              <w:bottom w:val="single" w:color="000000" w:sz="4" w:space="0"/>
              <w:right w:val="single" w:color="000000" w:sz="4" w:space="0"/>
            </w:tcBorders>
            <w:shd w:val="clear" w:color="auto" w:fill="auto"/>
            <w:noWrap/>
            <w:vAlign w:val="center"/>
          </w:tcPr>
          <w:p w14:paraId="0F61F4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207F65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17AA327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821" w:type="dxa"/>
            <w:tcBorders>
              <w:top w:val="nil"/>
              <w:left w:val="nil"/>
              <w:bottom w:val="single" w:color="000000" w:sz="4" w:space="0"/>
              <w:right w:val="single" w:color="000000" w:sz="4" w:space="0"/>
            </w:tcBorders>
            <w:shd w:val="clear" w:color="auto" w:fill="auto"/>
            <w:noWrap/>
            <w:vAlign w:val="center"/>
          </w:tcPr>
          <w:p w14:paraId="196563AF">
            <w:pPr>
              <w:jc w:val="center"/>
              <w:rPr>
                <w:rFonts w:hint="eastAsia" w:ascii="宋体" w:hAnsi="宋体" w:eastAsia="宋体" w:cs="宋体"/>
                <w:i w:val="0"/>
                <w:iCs w:val="0"/>
                <w:color w:val="000000"/>
                <w:sz w:val="24"/>
                <w:szCs w:val="24"/>
                <w:u w:val="none"/>
              </w:rPr>
            </w:pPr>
          </w:p>
        </w:tc>
      </w:tr>
      <w:tr w14:paraId="3EDEF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675C197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nil"/>
              <w:left w:val="nil"/>
              <w:bottom w:val="single" w:color="000000" w:sz="4" w:space="0"/>
              <w:right w:val="single" w:color="000000" w:sz="4" w:space="0"/>
            </w:tcBorders>
            <w:shd w:val="clear" w:color="auto" w:fill="auto"/>
            <w:noWrap/>
            <w:vAlign w:val="center"/>
          </w:tcPr>
          <w:p w14:paraId="476F76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48口接入交换机</w:t>
            </w:r>
          </w:p>
        </w:tc>
        <w:tc>
          <w:tcPr>
            <w:tcW w:w="3704" w:type="dxa"/>
            <w:tcBorders>
              <w:top w:val="nil"/>
              <w:left w:val="nil"/>
              <w:bottom w:val="single" w:color="000000" w:sz="4" w:space="0"/>
              <w:right w:val="single" w:color="000000" w:sz="4" w:space="0"/>
            </w:tcBorders>
            <w:shd w:val="clear" w:color="auto" w:fill="auto"/>
            <w:vAlign w:val="center"/>
          </w:tcPr>
          <w:p w14:paraId="3D0198C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1.交换容量≥672Gbps，包转发率≥207Mpps。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2.固化10/100/1000M自适应以太网端口≥48个，固化1G/10G SFP+XS接口≥4个；支持48*Gbe+4*10Gbe 100%线速转发。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3.设备MAC地址≥16K。</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4.要求所投产品端口的线-接地端子浪涌抗扰度≥10KV，线-线浪涌抗扰度≥0.5KV，（即具备共模10KV，差模0.5KV的防雷能力）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5.要求所投产品具备静音设计，设备的噪音最大声压级≤35dB 需提供证明文件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6.支持IPv4和IPv6的静态路由、RIP/RIPng、OSPFv2/OSPFv3等三层路由协议。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7.支持虚拟化功能，可将多台物理设备虚拟化为一台逻辑设备统一管理。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8.支持OpenFlow 1.3协议</w:t>
            </w:r>
          </w:p>
        </w:tc>
        <w:tc>
          <w:tcPr>
            <w:tcW w:w="1552" w:type="dxa"/>
            <w:tcBorders>
              <w:top w:val="nil"/>
              <w:left w:val="nil"/>
              <w:bottom w:val="single" w:color="000000" w:sz="4" w:space="0"/>
              <w:right w:val="single" w:color="000000" w:sz="4" w:space="0"/>
            </w:tcBorders>
            <w:shd w:val="clear" w:color="auto" w:fill="auto"/>
            <w:noWrap/>
            <w:vAlign w:val="center"/>
          </w:tcPr>
          <w:p w14:paraId="2FD7F0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552212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393266C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w:t>
            </w:r>
          </w:p>
        </w:tc>
        <w:tc>
          <w:tcPr>
            <w:tcW w:w="821" w:type="dxa"/>
            <w:tcBorders>
              <w:top w:val="nil"/>
              <w:left w:val="nil"/>
              <w:bottom w:val="single" w:color="000000" w:sz="4" w:space="0"/>
              <w:right w:val="single" w:color="000000" w:sz="4" w:space="0"/>
            </w:tcBorders>
            <w:shd w:val="clear" w:color="auto" w:fill="auto"/>
            <w:noWrap/>
            <w:vAlign w:val="center"/>
          </w:tcPr>
          <w:p w14:paraId="4620B104">
            <w:pPr>
              <w:jc w:val="center"/>
              <w:rPr>
                <w:rFonts w:hint="eastAsia" w:ascii="宋体" w:hAnsi="宋体" w:eastAsia="宋体" w:cs="宋体"/>
                <w:i w:val="0"/>
                <w:iCs w:val="0"/>
                <w:color w:val="000000"/>
                <w:sz w:val="24"/>
                <w:szCs w:val="24"/>
                <w:u w:val="none"/>
              </w:rPr>
            </w:pPr>
          </w:p>
        </w:tc>
      </w:tr>
      <w:tr w14:paraId="64483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143765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nil"/>
              <w:left w:val="nil"/>
              <w:bottom w:val="single" w:color="000000" w:sz="4" w:space="0"/>
              <w:right w:val="single" w:color="000000" w:sz="4" w:space="0"/>
            </w:tcBorders>
            <w:shd w:val="clear" w:color="auto" w:fill="auto"/>
            <w:noWrap/>
            <w:vAlign w:val="center"/>
          </w:tcPr>
          <w:p w14:paraId="751F5E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万兆光模块</w:t>
            </w:r>
          </w:p>
        </w:tc>
        <w:tc>
          <w:tcPr>
            <w:tcW w:w="3704" w:type="dxa"/>
            <w:tcBorders>
              <w:top w:val="nil"/>
              <w:left w:val="nil"/>
              <w:bottom w:val="single" w:color="000000" w:sz="4" w:space="0"/>
              <w:right w:val="single" w:color="000000" w:sz="4" w:space="0"/>
            </w:tcBorders>
            <w:shd w:val="clear" w:color="auto" w:fill="auto"/>
            <w:noWrap/>
            <w:vAlign w:val="center"/>
          </w:tcPr>
          <w:p w14:paraId="55A622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万兆LC接口模块（1310nm），10km，适用于SFP+接口</w:t>
            </w:r>
          </w:p>
        </w:tc>
        <w:tc>
          <w:tcPr>
            <w:tcW w:w="1552" w:type="dxa"/>
            <w:tcBorders>
              <w:top w:val="nil"/>
              <w:left w:val="nil"/>
              <w:bottom w:val="single" w:color="000000" w:sz="4" w:space="0"/>
              <w:right w:val="single" w:color="000000" w:sz="4" w:space="0"/>
            </w:tcBorders>
            <w:shd w:val="clear" w:color="auto" w:fill="auto"/>
            <w:noWrap/>
            <w:vAlign w:val="center"/>
          </w:tcPr>
          <w:p w14:paraId="74C497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2C7385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对</w:t>
            </w:r>
          </w:p>
        </w:tc>
        <w:tc>
          <w:tcPr>
            <w:tcW w:w="705" w:type="dxa"/>
            <w:tcBorders>
              <w:top w:val="nil"/>
              <w:left w:val="nil"/>
              <w:bottom w:val="single" w:color="000000" w:sz="4" w:space="0"/>
              <w:right w:val="single" w:color="000000" w:sz="4" w:space="0"/>
            </w:tcBorders>
            <w:shd w:val="clear" w:color="auto" w:fill="auto"/>
            <w:noWrap/>
            <w:vAlign w:val="center"/>
          </w:tcPr>
          <w:p w14:paraId="15FF90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w:t>
            </w:r>
          </w:p>
        </w:tc>
        <w:tc>
          <w:tcPr>
            <w:tcW w:w="821" w:type="dxa"/>
            <w:tcBorders>
              <w:top w:val="nil"/>
              <w:left w:val="nil"/>
              <w:bottom w:val="single" w:color="000000" w:sz="4" w:space="0"/>
              <w:right w:val="single" w:color="000000" w:sz="4" w:space="0"/>
            </w:tcBorders>
            <w:shd w:val="clear" w:color="auto" w:fill="auto"/>
            <w:noWrap/>
            <w:vAlign w:val="center"/>
          </w:tcPr>
          <w:p w14:paraId="3E99A4E9">
            <w:pPr>
              <w:jc w:val="center"/>
              <w:rPr>
                <w:rFonts w:hint="eastAsia" w:ascii="宋体" w:hAnsi="宋体" w:eastAsia="宋体" w:cs="宋体"/>
                <w:i w:val="0"/>
                <w:iCs w:val="0"/>
                <w:color w:val="000000"/>
                <w:sz w:val="24"/>
                <w:szCs w:val="24"/>
                <w:u w:val="none"/>
              </w:rPr>
            </w:pPr>
          </w:p>
        </w:tc>
      </w:tr>
      <w:tr w14:paraId="538BE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660423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1.2)无线</w:t>
            </w:r>
          </w:p>
        </w:tc>
        <w:tc>
          <w:tcPr>
            <w:tcW w:w="1631" w:type="dxa"/>
            <w:tcBorders>
              <w:top w:val="nil"/>
              <w:left w:val="nil"/>
              <w:bottom w:val="single" w:color="000000" w:sz="4" w:space="0"/>
              <w:right w:val="single" w:color="000000" w:sz="4" w:space="0"/>
            </w:tcBorders>
            <w:shd w:val="clear" w:color="auto" w:fill="auto"/>
            <w:noWrap/>
            <w:vAlign w:val="center"/>
          </w:tcPr>
          <w:p w14:paraId="425654AF">
            <w:pPr>
              <w:jc w:val="center"/>
              <w:rPr>
                <w:rFonts w:hint="eastAsia" w:ascii="宋体" w:hAnsi="宋体" w:eastAsia="宋体" w:cs="宋体"/>
                <w:i w:val="0"/>
                <w:iCs w:val="0"/>
                <w:color w:val="000000"/>
                <w:sz w:val="24"/>
                <w:szCs w:val="24"/>
                <w:u w:val="none"/>
              </w:rPr>
            </w:pPr>
          </w:p>
        </w:tc>
        <w:tc>
          <w:tcPr>
            <w:tcW w:w="3704" w:type="dxa"/>
            <w:tcBorders>
              <w:top w:val="nil"/>
              <w:left w:val="nil"/>
              <w:bottom w:val="single" w:color="000000" w:sz="4" w:space="0"/>
              <w:right w:val="single" w:color="000000" w:sz="4" w:space="0"/>
            </w:tcBorders>
            <w:shd w:val="clear" w:color="auto" w:fill="auto"/>
            <w:vAlign w:val="center"/>
          </w:tcPr>
          <w:p w14:paraId="1E82085F">
            <w:pPr>
              <w:jc w:val="center"/>
              <w:rPr>
                <w:rFonts w:hint="eastAsia" w:ascii="宋体" w:hAnsi="宋体" w:eastAsia="宋体" w:cs="宋体"/>
                <w:i w:val="0"/>
                <w:iCs w:val="0"/>
                <w:color w:val="000000"/>
                <w:sz w:val="24"/>
                <w:szCs w:val="24"/>
                <w:u w:val="none"/>
              </w:rPr>
            </w:pPr>
          </w:p>
        </w:tc>
        <w:tc>
          <w:tcPr>
            <w:tcW w:w="1552" w:type="dxa"/>
            <w:tcBorders>
              <w:top w:val="nil"/>
              <w:left w:val="nil"/>
              <w:bottom w:val="single" w:color="000000" w:sz="4" w:space="0"/>
              <w:right w:val="single" w:color="000000" w:sz="4" w:space="0"/>
            </w:tcBorders>
            <w:shd w:val="clear" w:color="auto" w:fill="auto"/>
            <w:noWrap/>
            <w:vAlign w:val="center"/>
          </w:tcPr>
          <w:p w14:paraId="3137702D">
            <w:pPr>
              <w:jc w:val="center"/>
              <w:rPr>
                <w:rFonts w:hint="eastAsia" w:ascii="宋体" w:hAnsi="宋体" w:eastAsia="宋体" w:cs="宋体"/>
                <w:i w:val="0"/>
                <w:iCs w:val="0"/>
                <w:color w:val="000000"/>
                <w:sz w:val="24"/>
                <w:szCs w:val="24"/>
                <w:u w:val="none"/>
              </w:rPr>
            </w:pPr>
          </w:p>
        </w:tc>
        <w:tc>
          <w:tcPr>
            <w:tcW w:w="761" w:type="dxa"/>
            <w:tcBorders>
              <w:top w:val="nil"/>
              <w:left w:val="nil"/>
              <w:bottom w:val="single" w:color="000000" w:sz="4" w:space="0"/>
              <w:right w:val="single" w:color="000000" w:sz="4" w:space="0"/>
            </w:tcBorders>
            <w:shd w:val="clear" w:color="auto" w:fill="auto"/>
            <w:noWrap/>
            <w:vAlign w:val="center"/>
          </w:tcPr>
          <w:p w14:paraId="4D175749">
            <w:pPr>
              <w:jc w:val="center"/>
              <w:rPr>
                <w:rFonts w:hint="eastAsia" w:ascii="宋体" w:hAnsi="宋体" w:eastAsia="宋体" w:cs="宋体"/>
                <w:i w:val="0"/>
                <w:iCs w:val="0"/>
                <w:color w:val="000000"/>
                <w:sz w:val="24"/>
                <w:szCs w:val="24"/>
                <w:u w:val="none"/>
              </w:rPr>
            </w:pPr>
          </w:p>
        </w:tc>
        <w:tc>
          <w:tcPr>
            <w:tcW w:w="705" w:type="dxa"/>
            <w:tcBorders>
              <w:top w:val="nil"/>
              <w:left w:val="nil"/>
              <w:bottom w:val="single" w:color="000000" w:sz="4" w:space="0"/>
              <w:right w:val="single" w:color="000000" w:sz="4" w:space="0"/>
            </w:tcBorders>
            <w:shd w:val="clear" w:color="auto" w:fill="auto"/>
            <w:noWrap/>
            <w:vAlign w:val="center"/>
          </w:tcPr>
          <w:p w14:paraId="279ADDDF">
            <w:pPr>
              <w:jc w:val="center"/>
              <w:rPr>
                <w:rFonts w:hint="eastAsia" w:ascii="宋体" w:hAnsi="宋体" w:eastAsia="宋体" w:cs="宋体"/>
                <w:i w:val="0"/>
                <w:iCs w:val="0"/>
                <w:color w:val="000000"/>
                <w:sz w:val="24"/>
                <w:szCs w:val="24"/>
                <w:u w:val="none"/>
              </w:rPr>
            </w:pPr>
          </w:p>
        </w:tc>
        <w:tc>
          <w:tcPr>
            <w:tcW w:w="821" w:type="dxa"/>
            <w:tcBorders>
              <w:top w:val="nil"/>
              <w:left w:val="nil"/>
              <w:bottom w:val="single" w:color="000000" w:sz="4" w:space="0"/>
              <w:right w:val="single" w:color="000000" w:sz="4" w:space="0"/>
            </w:tcBorders>
            <w:shd w:val="clear" w:color="auto" w:fill="auto"/>
            <w:noWrap/>
            <w:vAlign w:val="center"/>
          </w:tcPr>
          <w:p w14:paraId="6EEEB4A8">
            <w:pPr>
              <w:jc w:val="center"/>
              <w:rPr>
                <w:rFonts w:hint="eastAsia" w:ascii="宋体" w:hAnsi="宋体" w:eastAsia="宋体" w:cs="宋体"/>
                <w:i w:val="0"/>
                <w:iCs w:val="0"/>
                <w:color w:val="000000"/>
                <w:sz w:val="24"/>
                <w:szCs w:val="24"/>
                <w:u w:val="none"/>
              </w:rPr>
            </w:pPr>
          </w:p>
        </w:tc>
      </w:tr>
      <w:tr w14:paraId="567CC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4E6F7E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nil"/>
              <w:left w:val="nil"/>
              <w:bottom w:val="single" w:color="000000" w:sz="4" w:space="0"/>
              <w:right w:val="single" w:color="000000" w:sz="4" w:space="0"/>
            </w:tcBorders>
            <w:shd w:val="clear" w:color="auto" w:fill="auto"/>
            <w:noWrap/>
            <w:vAlign w:val="center"/>
          </w:tcPr>
          <w:p w14:paraId="132ADA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无线控制器授权</w:t>
            </w:r>
          </w:p>
        </w:tc>
        <w:tc>
          <w:tcPr>
            <w:tcW w:w="3704" w:type="dxa"/>
            <w:tcBorders>
              <w:top w:val="nil"/>
              <w:left w:val="nil"/>
              <w:bottom w:val="single" w:color="000000" w:sz="4" w:space="0"/>
              <w:right w:val="single" w:color="000000" w:sz="4" w:space="0"/>
            </w:tcBorders>
            <w:shd w:val="clear" w:color="auto" w:fill="auto"/>
            <w:vAlign w:val="center"/>
          </w:tcPr>
          <w:p w14:paraId="7AAE1C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与教育局现有AC进行对接，无线控制器授权</w:t>
            </w:r>
          </w:p>
        </w:tc>
        <w:tc>
          <w:tcPr>
            <w:tcW w:w="1552" w:type="dxa"/>
            <w:tcBorders>
              <w:top w:val="nil"/>
              <w:left w:val="nil"/>
              <w:bottom w:val="single" w:color="000000" w:sz="4" w:space="0"/>
              <w:right w:val="single" w:color="000000" w:sz="4" w:space="0"/>
            </w:tcBorders>
            <w:shd w:val="clear" w:color="auto" w:fill="auto"/>
            <w:noWrap/>
            <w:vAlign w:val="center"/>
          </w:tcPr>
          <w:p w14:paraId="49E5ED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5BD9A4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nil"/>
              <w:left w:val="nil"/>
              <w:bottom w:val="single" w:color="000000" w:sz="4" w:space="0"/>
              <w:right w:val="single" w:color="000000" w:sz="4" w:space="0"/>
            </w:tcBorders>
            <w:shd w:val="clear" w:color="auto" w:fill="auto"/>
            <w:noWrap/>
            <w:vAlign w:val="center"/>
          </w:tcPr>
          <w:p w14:paraId="19B063C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227</w:t>
            </w:r>
          </w:p>
        </w:tc>
        <w:tc>
          <w:tcPr>
            <w:tcW w:w="821" w:type="dxa"/>
            <w:tcBorders>
              <w:top w:val="nil"/>
              <w:left w:val="nil"/>
              <w:bottom w:val="single" w:color="000000" w:sz="4" w:space="0"/>
              <w:right w:val="single" w:color="000000" w:sz="4" w:space="0"/>
            </w:tcBorders>
            <w:shd w:val="clear" w:color="auto" w:fill="auto"/>
            <w:noWrap/>
            <w:vAlign w:val="center"/>
          </w:tcPr>
          <w:p w14:paraId="353C2D6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吸顶174室外26面板54*0.5</w:t>
            </w:r>
          </w:p>
        </w:tc>
      </w:tr>
      <w:tr w14:paraId="0CF86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5BD2F8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nil"/>
              <w:left w:val="nil"/>
              <w:bottom w:val="single" w:color="000000" w:sz="4" w:space="0"/>
              <w:right w:val="single" w:color="000000" w:sz="4" w:space="0"/>
            </w:tcBorders>
            <w:shd w:val="clear" w:color="auto" w:fill="auto"/>
            <w:noWrap/>
            <w:vAlign w:val="center"/>
          </w:tcPr>
          <w:p w14:paraId="59DDE67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8口POE交换机</w:t>
            </w:r>
          </w:p>
        </w:tc>
        <w:tc>
          <w:tcPr>
            <w:tcW w:w="3704" w:type="dxa"/>
            <w:tcBorders>
              <w:top w:val="nil"/>
              <w:left w:val="nil"/>
              <w:bottom w:val="single" w:color="000000" w:sz="4" w:space="0"/>
              <w:right w:val="single" w:color="000000" w:sz="4" w:space="0"/>
            </w:tcBorders>
            <w:shd w:val="clear" w:color="auto" w:fill="auto"/>
            <w:vAlign w:val="center"/>
          </w:tcPr>
          <w:p w14:paraId="2709C87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1.交换容量≥432Gbps，包转发率≥80Mpps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2.固化10/100/1000M以太网电口≥8个，1G/2.5G/10G SFP+光接口≥1个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3.要求所投产品支持PoE和PoE+远程供电，PoE供电功率为125W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4.要求设备采用静音设计，噪声值＜20dB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5.为保证设备在受到外接机械碰撞时能够正常运行，要求所投交换机IK防护测试级别至少达到IK05 需提供对应证明文件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6.支持端口浪涌抗扰度≥8KV（即具备8KV的防雷能力）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7.室内交换机支持零配置上线。根据不同区域的业务创建相应业务模板后，绑定设备区域位置信息，设备开箱上电后配置即可自动从软件下发，无需在接入设备端刷入配置；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8.当室内交换机出现故障，支持替换用的新设备的零配置替换，新设备上电后配置自动下发，无需手动配置。</w:t>
            </w:r>
          </w:p>
        </w:tc>
        <w:tc>
          <w:tcPr>
            <w:tcW w:w="1552" w:type="dxa"/>
            <w:tcBorders>
              <w:top w:val="nil"/>
              <w:left w:val="nil"/>
              <w:bottom w:val="single" w:color="000000" w:sz="4" w:space="0"/>
              <w:right w:val="single" w:color="000000" w:sz="4" w:space="0"/>
            </w:tcBorders>
            <w:shd w:val="clear" w:color="auto" w:fill="auto"/>
            <w:noWrap/>
            <w:vAlign w:val="center"/>
          </w:tcPr>
          <w:p w14:paraId="10F4ED0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7D5F53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6ACE42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18</w:t>
            </w:r>
          </w:p>
        </w:tc>
        <w:tc>
          <w:tcPr>
            <w:tcW w:w="821" w:type="dxa"/>
            <w:tcBorders>
              <w:top w:val="nil"/>
              <w:left w:val="nil"/>
              <w:bottom w:val="single" w:color="000000" w:sz="4" w:space="0"/>
              <w:right w:val="single" w:color="000000" w:sz="4" w:space="0"/>
            </w:tcBorders>
            <w:shd w:val="clear" w:color="auto" w:fill="auto"/>
            <w:noWrap/>
            <w:vAlign w:val="center"/>
          </w:tcPr>
          <w:p w14:paraId="51916039">
            <w:pPr>
              <w:jc w:val="center"/>
              <w:rPr>
                <w:rFonts w:hint="eastAsia" w:ascii="宋体" w:hAnsi="宋体" w:eastAsia="宋体" w:cs="宋体"/>
                <w:i w:val="0"/>
                <w:iCs w:val="0"/>
                <w:color w:val="000000"/>
                <w:sz w:val="24"/>
                <w:szCs w:val="24"/>
                <w:u w:val="none"/>
              </w:rPr>
            </w:pPr>
          </w:p>
        </w:tc>
      </w:tr>
      <w:tr w14:paraId="60718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1A179C9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nil"/>
              <w:left w:val="nil"/>
              <w:bottom w:val="single" w:color="000000" w:sz="4" w:space="0"/>
              <w:right w:val="single" w:color="000000" w:sz="4" w:space="0"/>
            </w:tcBorders>
            <w:shd w:val="clear" w:color="auto" w:fill="auto"/>
            <w:noWrap/>
            <w:vAlign w:val="center"/>
          </w:tcPr>
          <w:p w14:paraId="537E29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24口POE交换机</w:t>
            </w:r>
          </w:p>
        </w:tc>
        <w:tc>
          <w:tcPr>
            <w:tcW w:w="3704" w:type="dxa"/>
            <w:tcBorders>
              <w:top w:val="nil"/>
              <w:left w:val="nil"/>
              <w:bottom w:val="single" w:color="000000" w:sz="4" w:space="0"/>
              <w:right w:val="single" w:color="000000" w:sz="4" w:space="0"/>
            </w:tcBorders>
            <w:shd w:val="clear" w:color="auto" w:fill="auto"/>
            <w:vAlign w:val="center"/>
          </w:tcPr>
          <w:p w14:paraId="692526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1.交换容量≥672Gbps，转发性能≥171Mpps，如官网以X/Y形式表述则以其中最小值为准。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2.固化10/100/1000M以太网端口≥24个，固化1G/10G SFP+非复用口≥4个。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3.要求所投设备MAC地址≥16K。</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4.支持≥24个电口POE和POE+远程供电，整机POE功率输出≥370W。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5.投标产品面板自带一键查看PoE供电状态功能的PoE按钮，轻按即可查看设备当前的通信状态和供电状态。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6.支持专门基础网络保护机制，能够限制用户向网络中发送数据包的速率，对有攻击行为的用户进行隔离，保证设备和整网的安全稳定运行。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7.支持IPv4和IPv6的静态路由、RIP/RIPng、OSPFv2/OSPFv3等三层路由协议。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设备自带云管理功能，支持一键设备发现，并在线生成交付验收报告；支持一键全网巡检操作，随时随地掌握网络健康状况，并自动生成巡检报告；支持短信认证、微信认证、web认证，支持认证页面自定义；支持一键升级、定时升级网络中的网络设备；支持分级分权功能，实现分布区域，统一管理等。</w:t>
            </w:r>
          </w:p>
        </w:tc>
        <w:tc>
          <w:tcPr>
            <w:tcW w:w="1552" w:type="dxa"/>
            <w:tcBorders>
              <w:top w:val="nil"/>
              <w:left w:val="nil"/>
              <w:bottom w:val="single" w:color="000000" w:sz="4" w:space="0"/>
              <w:right w:val="single" w:color="000000" w:sz="4" w:space="0"/>
            </w:tcBorders>
            <w:shd w:val="clear" w:color="auto" w:fill="auto"/>
            <w:noWrap/>
            <w:vAlign w:val="center"/>
          </w:tcPr>
          <w:p w14:paraId="526029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56778A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1F53CE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w:t>
            </w:r>
          </w:p>
        </w:tc>
        <w:tc>
          <w:tcPr>
            <w:tcW w:w="821" w:type="dxa"/>
            <w:tcBorders>
              <w:top w:val="nil"/>
              <w:left w:val="nil"/>
              <w:bottom w:val="single" w:color="000000" w:sz="4" w:space="0"/>
              <w:right w:val="single" w:color="000000" w:sz="4" w:space="0"/>
            </w:tcBorders>
            <w:shd w:val="clear" w:color="auto" w:fill="auto"/>
            <w:noWrap/>
            <w:vAlign w:val="center"/>
          </w:tcPr>
          <w:p w14:paraId="48986E62">
            <w:pPr>
              <w:jc w:val="center"/>
              <w:rPr>
                <w:rFonts w:hint="eastAsia" w:ascii="宋体" w:hAnsi="宋体" w:eastAsia="宋体" w:cs="宋体"/>
                <w:i w:val="0"/>
                <w:iCs w:val="0"/>
                <w:color w:val="000000"/>
                <w:sz w:val="24"/>
                <w:szCs w:val="24"/>
                <w:u w:val="none"/>
              </w:rPr>
            </w:pPr>
          </w:p>
        </w:tc>
      </w:tr>
      <w:tr w14:paraId="7F53A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028491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nil"/>
              <w:left w:val="nil"/>
              <w:bottom w:val="single" w:color="000000" w:sz="4" w:space="0"/>
              <w:right w:val="single" w:color="000000" w:sz="4" w:space="0"/>
            </w:tcBorders>
            <w:shd w:val="clear" w:color="auto" w:fill="auto"/>
            <w:noWrap/>
            <w:vAlign w:val="center"/>
          </w:tcPr>
          <w:p w14:paraId="3ECFF0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48口POE交换机</w:t>
            </w:r>
          </w:p>
        </w:tc>
        <w:tc>
          <w:tcPr>
            <w:tcW w:w="3704" w:type="dxa"/>
            <w:tcBorders>
              <w:top w:val="nil"/>
              <w:left w:val="nil"/>
              <w:bottom w:val="single" w:color="000000" w:sz="4" w:space="0"/>
              <w:right w:val="single" w:color="000000" w:sz="4" w:space="0"/>
            </w:tcBorders>
            <w:shd w:val="clear" w:color="auto" w:fill="auto"/>
            <w:vAlign w:val="center"/>
          </w:tcPr>
          <w:p w14:paraId="138F5A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1.交换容量≥1.36Tbps；转发性能≥560Mpps。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2.固化10/100/1000M以太网端口≥48，10G/1G SFP+光接口≥4个。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3.支持模块化可热插拔电源，每块电源功率≥600W。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4.支持POE和POE+远程供电，POE+同时可供电端口数≥48个。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5.产品端口浪涌抗扰度≥10KV，即具备10KV的防雷能力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6.支持RIP/RIPng、OSPFv2/OSPFv3等三层路由协议。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7.支持专门基础网络保护机制，支持限制用户向网络中发送数据包的速率，对有攻击行为的用户进行隔离，保证设备和整网的安全稳定运行；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8.支持快速以太网链路检测协议，可快速检测链路的通断和光纤链路的单向性，并支持端口下的环路检测功能；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9.为保证IPv6的可部署性和应用性，所投交换机需具备IPv6 Ready Phase2认证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10.配置：单1000W交流电源</w:t>
            </w:r>
          </w:p>
        </w:tc>
        <w:tc>
          <w:tcPr>
            <w:tcW w:w="1552" w:type="dxa"/>
            <w:tcBorders>
              <w:top w:val="nil"/>
              <w:left w:val="nil"/>
              <w:bottom w:val="single" w:color="000000" w:sz="4" w:space="0"/>
              <w:right w:val="single" w:color="000000" w:sz="4" w:space="0"/>
            </w:tcBorders>
            <w:shd w:val="clear" w:color="auto" w:fill="auto"/>
            <w:noWrap/>
            <w:vAlign w:val="center"/>
          </w:tcPr>
          <w:p w14:paraId="72CA069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7F6505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27391C2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56BBD021">
            <w:pPr>
              <w:jc w:val="center"/>
              <w:rPr>
                <w:rFonts w:hint="eastAsia" w:ascii="宋体" w:hAnsi="宋体" w:eastAsia="宋体" w:cs="宋体"/>
                <w:i w:val="0"/>
                <w:iCs w:val="0"/>
                <w:color w:val="000000"/>
                <w:sz w:val="24"/>
                <w:szCs w:val="24"/>
                <w:u w:val="none"/>
              </w:rPr>
            </w:pPr>
          </w:p>
        </w:tc>
      </w:tr>
      <w:tr w14:paraId="223CD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6006FD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nil"/>
              <w:left w:val="nil"/>
              <w:bottom w:val="single" w:color="000000" w:sz="4" w:space="0"/>
              <w:right w:val="single" w:color="000000" w:sz="4" w:space="0"/>
            </w:tcBorders>
            <w:shd w:val="clear" w:color="auto" w:fill="auto"/>
            <w:noWrap/>
            <w:vAlign w:val="center"/>
          </w:tcPr>
          <w:p w14:paraId="5C14FF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万兆光模块</w:t>
            </w:r>
          </w:p>
        </w:tc>
        <w:tc>
          <w:tcPr>
            <w:tcW w:w="3704" w:type="dxa"/>
            <w:tcBorders>
              <w:top w:val="nil"/>
              <w:left w:val="nil"/>
              <w:bottom w:val="single" w:color="000000" w:sz="4" w:space="0"/>
              <w:right w:val="single" w:color="000000" w:sz="4" w:space="0"/>
            </w:tcBorders>
            <w:shd w:val="clear" w:color="auto" w:fill="auto"/>
            <w:noWrap/>
            <w:vAlign w:val="center"/>
          </w:tcPr>
          <w:p w14:paraId="62C04E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万兆LC接口模块（1310nm），10km，适用于SFP+接口</w:t>
            </w:r>
          </w:p>
        </w:tc>
        <w:tc>
          <w:tcPr>
            <w:tcW w:w="1552" w:type="dxa"/>
            <w:tcBorders>
              <w:top w:val="nil"/>
              <w:left w:val="nil"/>
              <w:bottom w:val="single" w:color="000000" w:sz="4" w:space="0"/>
              <w:right w:val="single" w:color="000000" w:sz="4" w:space="0"/>
            </w:tcBorders>
            <w:shd w:val="clear" w:color="auto" w:fill="auto"/>
            <w:noWrap/>
            <w:vAlign w:val="center"/>
          </w:tcPr>
          <w:p w14:paraId="30D045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3040403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对</w:t>
            </w:r>
          </w:p>
        </w:tc>
        <w:tc>
          <w:tcPr>
            <w:tcW w:w="705" w:type="dxa"/>
            <w:tcBorders>
              <w:top w:val="nil"/>
              <w:left w:val="nil"/>
              <w:bottom w:val="single" w:color="000000" w:sz="4" w:space="0"/>
              <w:right w:val="single" w:color="000000" w:sz="4" w:space="0"/>
            </w:tcBorders>
            <w:shd w:val="clear" w:color="auto" w:fill="auto"/>
            <w:noWrap/>
            <w:vAlign w:val="center"/>
          </w:tcPr>
          <w:p w14:paraId="336F09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w:t>
            </w:r>
          </w:p>
        </w:tc>
        <w:tc>
          <w:tcPr>
            <w:tcW w:w="821" w:type="dxa"/>
            <w:tcBorders>
              <w:top w:val="nil"/>
              <w:left w:val="nil"/>
              <w:bottom w:val="single" w:color="000000" w:sz="4" w:space="0"/>
              <w:right w:val="single" w:color="000000" w:sz="4" w:space="0"/>
            </w:tcBorders>
            <w:shd w:val="clear" w:color="auto" w:fill="auto"/>
            <w:noWrap/>
            <w:vAlign w:val="center"/>
          </w:tcPr>
          <w:p w14:paraId="7FCD3863">
            <w:pPr>
              <w:jc w:val="center"/>
              <w:rPr>
                <w:rFonts w:hint="eastAsia" w:ascii="宋体" w:hAnsi="宋体" w:eastAsia="宋体" w:cs="宋体"/>
                <w:i w:val="0"/>
                <w:iCs w:val="0"/>
                <w:color w:val="000000"/>
                <w:sz w:val="24"/>
                <w:szCs w:val="24"/>
                <w:u w:val="none"/>
              </w:rPr>
            </w:pPr>
          </w:p>
        </w:tc>
      </w:tr>
      <w:tr w14:paraId="03F75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2BE6C9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nil"/>
              <w:left w:val="nil"/>
              <w:bottom w:val="single" w:color="000000" w:sz="4" w:space="0"/>
              <w:right w:val="single" w:color="000000" w:sz="4" w:space="0"/>
            </w:tcBorders>
            <w:shd w:val="clear" w:color="auto" w:fill="auto"/>
            <w:noWrap/>
            <w:vAlign w:val="center"/>
          </w:tcPr>
          <w:p w14:paraId="36B759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放装AP</w:t>
            </w:r>
          </w:p>
        </w:tc>
        <w:tc>
          <w:tcPr>
            <w:tcW w:w="3704" w:type="dxa"/>
            <w:tcBorders>
              <w:top w:val="nil"/>
              <w:left w:val="nil"/>
              <w:bottom w:val="single" w:color="000000" w:sz="4" w:space="0"/>
              <w:right w:val="single" w:color="000000" w:sz="4" w:space="0"/>
            </w:tcBorders>
            <w:shd w:val="clear" w:color="auto" w:fill="auto"/>
            <w:vAlign w:val="center"/>
          </w:tcPr>
          <w:p w14:paraId="4AD565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1.支持802.11ax标准，采用双射频设计，整机空间流≥4条。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2.整机最大接入速率≥3.57Gbps。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3.支持2.5G以太网接口≥1个，支持5G光口≥1个，提供相关证明文件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4.支持蓝牙5.3。</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5.为保障设备受到外部机械碰撞仍可以保持结构完整、功能完备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6.所投AP具有WLAN自动网优功能，不借助任何网络优化软件，仅通过AP配置进行无线网络优化，降低无线网络中的频段干扰。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7.为避免无线网络中私接非法 AP，所投AP 支持额外的一个独立射频，具有非法AP的检测、精确反制和模糊反制功能，令非法设备不能使用。</w:t>
            </w:r>
          </w:p>
        </w:tc>
        <w:tc>
          <w:tcPr>
            <w:tcW w:w="1552" w:type="dxa"/>
            <w:tcBorders>
              <w:top w:val="nil"/>
              <w:left w:val="nil"/>
              <w:bottom w:val="single" w:color="000000" w:sz="4" w:space="0"/>
              <w:right w:val="single" w:color="000000" w:sz="4" w:space="0"/>
            </w:tcBorders>
            <w:shd w:val="clear" w:color="auto" w:fill="auto"/>
            <w:noWrap/>
            <w:vAlign w:val="center"/>
          </w:tcPr>
          <w:p w14:paraId="30C941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67EAAF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nil"/>
              <w:left w:val="nil"/>
              <w:bottom w:val="single" w:color="000000" w:sz="4" w:space="0"/>
              <w:right w:val="single" w:color="000000" w:sz="4" w:space="0"/>
            </w:tcBorders>
            <w:shd w:val="clear" w:color="auto" w:fill="auto"/>
            <w:noWrap/>
            <w:vAlign w:val="center"/>
          </w:tcPr>
          <w:p w14:paraId="476EE7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174</w:t>
            </w:r>
          </w:p>
        </w:tc>
        <w:tc>
          <w:tcPr>
            <w:tcW w:w="821" w:type="dxa"/>
            <w:tcBorders>
              <w:top w:val="nil"/>
              <w:left w:val="nil"/>
              <w:bottom w:val="single" w:color="000000" w:sz="4" w:space="0"/>
              <w:right w:val="single" w:color="000000" w:sz="4" w:space="0"/>
            </w:tcBorders>
            <w:shd w:val="clear" w:color="auto" w:fill="auto"/>
            <w:noWrap/>
            <w:vAlign w:val="center"/>
          </w:tcPr>
          <w:p w14:paraId="0E10276E">
            <w:pPr>
              <w:jc w:val="center"/>
              <w:rPr>
                <w:rFonts w:hint="eastAsia" w:ascii="宋体" w:hAnsi="宋体" w:eastAsia="宋体" w:cs="宋体"/>
                <w:i w:val="0"/>
                <w:iCs w:val="0"/>
                <w:color w:val="000000"/>
                <w:sz w:val="24"/>
                <w:szCs w:val="24"/>
                <w:u w:val="none"/>
              </w:rPr>
            </w:pPr>
          </w:p>
        </w:tc>
      </w:tr>
      <w:tr w14:paraId="68234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6F8C63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nil"/>
              <w:left w:val="nil"/>
              <w:bottom w:val="single" w:color="000000" w:sz="4" w:space="0"/>
              <w:right w:val="single" w:color="000000" w:sz="4" w:space="0"/>
            </w:tcBorders>
            <w:shd w:val="clear" w:color="auto" w:fill="auto"/>
            <w:noWrap/>
            <w:vAlign w:val="center"/>
          </w:tcPr>
          <w:p w14:paraId="1D10397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面板AP</w:t>
            </w:r>
          </w:p>
        </w:tc>
        <w:tc>
          <w:tcPr>
            <w:tcW w:w="3704" w:type="dxa"/>
            <w:tcBorders>
              <w:top w:val="nil"/>
              <w:left w:val="nil"/>
              <w:bottom w:val="single" w:color="000000" w:sz="4" w:space="0"/>
              <w:right w:val="single" w:color="000000" w:sz="4" w:space="0"/>
            </w:tcBorders>
            <w:shd w:val="clear" w:color="auto" w:fill="auto"/>
            <w:vAlign w:val="center"/>
          </w:tcPr>
          <w:p w14:paraId="7007DCC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1.支持802.11ax标准，采用双射频设计，整机4条空间流。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整机最大接入速率≥2.975Gbps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3.面板型AP，尺寸86mm×86mm，可嵌入86盒安装。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4.1G以太网上联口≥1个，1G以太网下联口≥1个。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5.支持1对passthrough透传口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6.考虑安装后的美观度，厚度≤38mm；嵌入86盒后，凸出墙面不超过10mm。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7.整机功耗不高于8W。</w:t>
            </w:r>
          </w:p>
        </w:tc>
        <w:tc>
          <w:tcPr>
            <w:tcW w:w="1552" w:type="dxa"/>
            <w:tcBorders>
              <w:top w:val="nil"/>
              <w:left w:val="nil"/>
              <w:bottom w:val="single" w:color="000000" w:sz="4" w:space="0"/>
              <w:right w:val="single" w:color="000000" w:sz="4" w:space="0"/>
            </w:tcBorders>
            <w:shd w:val="clear" w:color="auto" w:fill="auto"/>
            <w:noWrap/>
            <w:vAlign w:val="center"/>
          </w:tcPr>
          <w:p w14:paraId="78381A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0E605C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nil"/>
              <w:left w:val="nil"/>
              <w:bottom w:val="single" w:color="000000" w:sz="4" w:space="0"/>
              <w:right w:val="single" w:color="000000" w:sz="4" w:space="0"/>
            </w:tcBorders>
            <w:shd w:val="clear" w:color="auto" w:fill="auto"/>
            <w:noWrap/>
            <w:vAlign w:val="center"/>
          </w:tcPr>
          <w:p w14:paraId="5957CF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54</w:t>
            </w:r>
          </w:p>
        </w:tc>
        <w:tc>
          <w:tcPr>
            <w:tcW w:w="821" w:type="dxa"/>
            <w:tcBorders>
              <w:top w:val="nil"/>
              <w:left w:val="nil"/>
              <w:bottom w:val="single" w:color="000000" w:sz="4" w:space="0"/>
              <w:right w:val="single" w:color="000000" w:sz="4" w:space="0"/>
            </w:tcBorders>
            <w:shd w:val="clear" w:color="auto" w:fill="auto"/>
            <w:noWrap/>
            <w:vAlign w:val="center"/>
          </w:tcPr>
          <w:p w14:paraId="40524CDB">
            <w:pPr>
              <w:jc w:val="center"/>
              <w:rPr>
                <w:rFonts w:hint="eastAsia" w:ascii="宋体" w:hAnsi="宋体" w:eastAsia="宋体" w:cs="宋体"/>
                <w:i w:val="0"/>
                <w:iCs w:val="0"/>
                <w:color w:val="000000"/>
                <w:sz w:val="24"/>
                <w:szCs w:val="24"/>
                <w:u w:val="none"/>
              </w:rPr>
            </w:pPr>
          </w:p>
        </w:tc>
      </w:tr>
      <w:tr w14:paraId="567C4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2257BF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nil"/>
              <w:left w:val="nil"/>
              <w:bottom w:val="single" w:color="000000" w:sz="4" w:space="0"/>
              <w:right w:val="single" w:color="000000" w:sz="4" w:space="0"/>
            </w:tcBorders>
            <w:shd w:val="clear" w:color="auto" w:fill="auto"/>
            <w:noWrap/>
            <w:vAlign w:val="center"/>
          </w:tcPr>
          <w:p w14:paraId="1297BD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室外全向AP</w:t>
            </w:r>
          </w:p>
        </w:tc>
        <w:tc>
          <w:tcPr>
            <w:tcW w:w="3704" w:type="dxa"/>
            <w:tcBorders>
              <w:top w:val="nil"/>
              <w:left w:val="nil"/>
              <w:bottom w:val="single" w:color="000000" w:sz="4" w:space="0"/>
              <w:right w:val="single" w:color="000000" w:sz="4" w:space="0"/>
            </w:tcBorders>
            <w:shd w:val="clear" w:color="auto" w:fill="auto"/>
            <w:vAlign w:val="center"/>
          </w:tcPr>
          <w:p w14:paraId="1BAB0D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1.室外型无线接入点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2.支持802.11be标准，整机双射频，4条空间流。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3.整机最大无线接入速率≥3.57Gbps。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4.内置全向天线设计。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5.支持2.5G有线接口≥1个，支持2.5G光口≥1个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6.支持内置蓝牙5.3。</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7.支持IP68防护等级。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8.为保障设备受到外部机械碰撞仍可以保持结构完整，功能完备</w:t>
            </w:r>
          </w:p>
        </w:tc>
        <w:tc>
          <w:tcPr>
            <w:tcW w:w="1552" w:type="dxa"/>
            <w:tcBorders>
              <w:top w:val="nil"/>
              <w:left w:val="nil"/>
              <w:bottom w:val="single" w:color="000000" w:sz="4" w:space="0"/>
              <w:right w:val="single" w:color="000000" w:sz="4" w:space="0"/>
            </w:tcBorders>
            <w:shd w:val="clear" w:color="auto" w:fill="auto"/>
            <w:noWrap/>
            <w:vAlign w:val="center"/>
          </w:tcPr>
          <w:p w14:paraId="4B9B6C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438D57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nil"/>
              <w:left w:val="nil"/>
              <w:bottom w:val="single" w:color="000000" w:sz="4" w:space="0"/>
              <w:right w:val="single" w:color="000000" w:sz="4" w:space="0"/>
            </w:tcBorders>
            <w:shd w:val="clear" w:color="auto" w:fill="auto"/>
            <w:noWrap/>
            <w:vAlign w:val="center"/>
          </w:tcPr>
          <w:p w14:paraId="6ABAFCE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26</w:t>
            </w:r>
          </w:p>
        </w:tc>
        <w:tc>
          <w:tcPr>
            <w:tcW w:w="821" w:type="dxa"/>
            <w:tcBorders>
              <w:top w:val="nil"/>
              <w:left w:val="nil"/>
              <w:bottom w:val="single" w:color="000000" w:sz="4" w:space="0"/>
              <w:right w:val="single" w:color="000000" w:sz="4" w:space="0"/>
            </w:tcBorders>
            <w:shd w:val="clear" w:color="auto" w:fill="auto"/>
            <w:noWrap/>
            <w:vAlign w:val="center"/>
          </w:tcPr>
          <w:p w14:paraId="58F22B73">
            <w:pPr>
              <w:jc w:val="center"/>
              <w:rPr>
                <w:rFonts w:hint="eastAsia" w:ascii="宋体" w:hAnsi="宋体" w:eastAsia="宋体" w:cs="宋体"/>
                <w:i w:val="0"/>
                <w:iCs w:val="0"/>
                <w:color w:val="000000"/>
                <w:sz w:val="24"/>
                <w:szCs w:val="24"/>
                <w:u w:val="none"/>
              </w:rPr>
            </w:pPr>
          </w:p>
        </w:tc>
      </w:tr>
      <w:tr w14:paraId="727CD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0D3D4C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2)设备网</w:t>
            </w:r>
          </w:p>
        </w:tc>
        <w:tc>
          <w:tcPr>
            <w:tcW w:w="1631" w:type="dxa"/>
            <w:tcBorders>
              <w:top w:val="nil"/>
              <w:left w:val="nil"/>
              <w:bottom w:val="single" w:color="000000" w:sz="4" w:space="0"/>
              <w:right w:val="single" w:color="000000" w:sz="4" w:space="0"/>
            </w:tcBorders>
            <w:shd w:val="clear" w:color="auto" w:fill="auto"/>
            <w:noWrap/>
            <w:vAlign w:val="center"/>
          </w:tcPr>
          <w:p w14:paraId="78FA1B32">
            <w:pPr>
              <w:jc w:val="center"/>
              <w:rPr>
                <w:rFonts w:hint="eastAsia" w:ascii="宋体" w:hAnsi="宋体" w:eastAsia="宋体" w:cs="宋体"/>
                <w:i w:val="0"/>
                <w:iCs w:val="0"/>
                <w:color w:val="000000"/>
                <w:sz w:val="24"/>
                <w:szCs w:val="24"/>
                <w:u w:val="none"/>
              </w:rPr>
            </w:pPr>
          </w:p>
        </w:tc>
        <w:tc>
          <w:tcPr>
            <w:tcW w:w="3704" w:type="dxa"/>
            <w:tcBorders>
              <w:top w:val="nil"/>
              <w:left w:val="nil"/>
              <w:bottom w:val="single" w:color="000000" w:sz="4" w:space="0"/>
              <w:right w:val="single" w:color="000000" w:sz="4" w:space="0"/>
            </w:tcBorders>
            <w:shd w:val="clear" w:color="auto" w:fill="auto"/>
            <w:noWrap/>
            <w:vAlign w:val="center"/>
          </w:tcPr>
          <w:p w14:paraId="3D31B8E6">
            <w:pPr>
              <w:jc w:val="center"/>
              <w:rPr>
                <w:rFonts w:hint="eastAsia" w:ascii="宋体" w:hAnsi="宋体" w:eastAsia="宋体" w:cs="宋体"/>
                <w:i w:val="0"/>
                <w:iCs w:val="0"/>
                <w:color w:val="000000"/>
                <w:sz w:val="24"/>
                <w:szCs w:val="24"/>
                <w:u w:val="none"/>
              </w:rPr>
            </w:pPr>
          </w:p>
        </w:tc>
        <w:tc>
          <w:tcPr>
            <w:tcW w:w="1552" w:type="dxa"/>
            <w:tcBorders>
              <w:top w:val="nil"/>
              <w:left w:val="nil"/>
              <w:bottom w:val="single" w:color="000000" w:sz="4" w:space="0"/>
              <w:right w:val="single" w:color="000000" w:sz="4" w:space="0"/>
            </w:tcBorders>
            <w:shd w:val="clear" w:color="auto" w:fill="auto"/>
            <w:noWrap/>
            <w:vAlign w:val="center"/>
          </w:tcPr>
          <w:p w14:paraId="5D19256B">
            <w:pPr>
              <w:jc w:val="center"/>
              <w:rPr>
                <w:rFonts w:hint="eastAsia" w:ascii="宋体" w:hAnsi="宋体" w:eastAsia="宋体" w:cs="宋体"/>
                <w:i w:val="0"/>
                <w:iCs w:val="0"/>
                <w:color w:val="000000"/>
                <w:sz w:val="24"/>
                <w:szCs w:val="24"/>
                <w:u w:val="none"/>
              </w:rPr>
            </w:pPr>
          </w:p>
        </w:tc>
        <w:tc>
          <w:tcPr>
            <w:tcW w:w="761" w:type="dxa"/>
            <w:tcBorders>
              <w:top w:val="nil"/>
              <w:left w:val="nil"/>
              <w:bottom w:val="single" w:color="000000" w:sz="4" w:space="0"/>
              <w:right w:val="single" w:color="000000" w:sz="4" w:space="0"/>
            </w:tcBorders>
            <w:shd w:val="clear" w:color="auto" w:fill="auto"/>
            <w:noWrap/>
            <w:vAlign w:val="center"/>
          </w:tcPr>
          <w:p w14:paraId="254F8CE5">
            <w:pPr>
              <w:jc w:val="center"/>
              <w:rPr>
                <w:rFonts w:hint="eastAsia" w:ascii="宋体" w:hAnsi="宋体" w:eastAsia="宋体" w:cs="宋体"/>
                <w:i w:val="0"/>
                <w:iCs w:val="0"/>
                <w:color w:val="000000"/>
                <w:sz w:val="24"/>
                <w:szCs w:val="24"/>
                <w:u w:val="none"/>
              </w:rPr>
            </w:pPr>
          </w:p>
        </w:tc>
        <w:tc>
          <w:tcPr>
            <w:tcW w:w="705" w:type="dxa"/>
            <w:tcBorders>
              <w:top w:val="nil"/>
              <w:left w:val="nil"/>
              <w:bottom w:val="single" w:color="000000" w:sz="4" w:space="0"/>
              <w:right w:val="single" w:color="000000" w:sz="4" w:space="0"/>
            </w:tcBorders>
            <w:shd w:val="clear" w:color="auto" w:fill="auto"/>
            <w:noWrap/>
            <w:vAlign w:val="center"/>
          </w:tcPr>
          <w:p w14:paraId="29303473">
            <w:pPr>
              <w:jc w:val="center"/>
              <w:rPr>
                <w:rFonts w:hint="eastAsia" w:ascii="宋体" w:hAnsi="宋体" w:eastAsia="宋体" w:cs="宋体"/>
                <w:i w:val="0"/>
                <w:iCs w:val="0"/>
                <w:color w:val="000000"/>
                <w:sz w:val="24"/>
                <w:szCs w:val="24"/>
                <w:u w:val="none"/>
              </w:rPr>
            </w:pPr>
          </w:p>
        </w:tc>
        <w:tc>
          <w:tcPr>
            <w:tcW w:w="821" w:type="dxa"/>
            <w:tcBorders>
              <w:top w:val="nil"/>
              <w:left w:val="nil"/>
              <w:bottom w:val="single" w:color="000000" w:sz="4" w:space="0"/>
              <w:right w:val="single" w:color="000000" w:sz="4" w:space="0"/>
            </w:tcBorders>
            <w:shd w:val="clear" w:color="auto" w:fill="auto"/>
            <w:noWrap/>
            <w:vAlign w:val="center"/>
          </w:tcPr>
          <w:p w14:paraId="3067FC9E">
            <w:pPr>
              <w:jc w:val="center"/>
              <w:rPr>
                <w:rFonts w:hint="eastAsia" w:ascii="宋体" w:hAnsi="宋体" w:eastAsia="宋体" w:cs="宋体"/>
                <w:i w:val="0"/>
                <w:iCs w:val="0"/>
                <w:color w:val="000000"/>
                <w:sz w:val="24"/>
                <w:szCs w:val="24"/>
                <w:u w:val="none"/>
              </w:rPr>
            </w:pPr>
          </w:p>
        </w:tc>
      </w:tr>
      <w:tr w14:paraId="26ADB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73ABA1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nil"/>
              <w:left w:val="nil"/>
              <w:bottom w:val="single" w:color="000000" w:sz="4" w:space="0"/>
              <w:right w:val="single" w:color="000000" w:sz="4" w:space="0"/>
            </w:tcBorders>
            <w:shd w:val="clear" w:color="auto" w:fill="auto"/>
            <w:noWrap/>
            <w:vAlign w:val="center"/>
          </w:tcPr>
          <w:p w14:paraId="22632F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8口千兆POE交换机</w:t>
            </w:r>
          </w:p>
        </w:tc>
        <w:tc>
          <w:tcPr>
            <w:tcW w:w="3704" w:type="dxa"/>
            <w:tcBorders>
              <w:top w:val="nil"/>
              <w:left w:val="nil"/>
              <w:bottom w:val="single" w:color="000000" w:sz="4" w:space="0"/>
              <w:right w:val="single" w:color="000000" w:sz="4" w:space="0"/>
            </w:tcBorders>
            <w:shd w:val="clear" w:color="auto" w:fill="auto"/>
            <w:vAlign w:val="center"/>
          </w:tcPr>
          <w:p w14:paraId="2C001BE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1.交换容量≥432Gbps，包转发率≥80Mpps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2.固化10/100/1000M以太网电口≥8个，1G/2.5G/10G SFP+光接口≥1个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3.要求所投产品支持PoE和PoE+远程供电，PoE供电功率为125W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4.要求设备采用静音设计，噪声值＜20dB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5.为保证设备在受到外接机械碰撞时能够正常运行，要求所投交换机IK防护测试级别至少达到IK05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6.支持端口浪涌抗扰度≥8KV（即具备8KV的防雷能力）。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7.室内交换机支持零配置上线。根据不同区域的业务创建相应业务模板后，绑定设备区域位置信息，设备开箱上电后配置即可自动从软件下发，无需在接入设备端刷入配置</w:t>
            </w:r>
          </w:p>
        </w:tc>
        <w:tc>
          <w:tcPr>
            <w:tcW w:w="1552" w:type="dxa"/>
            <w:tcBorders>
              <w:top w:val="nil"/>
              <w:left w:val="nil"/>
              <w:bottom w:val="single" w:color="000000" w:sz="4" w:space="0"/>
              <w:right w:val="single" w:color="000000" w:sz="4" w:space="0"/>
            </w:tcBorders>
            <w:shd w:val="clear" w:color="auto" w:fill="auto"/>
            <w:noWrap/>
            <w:vAlign w:val="center"/>
          </w:tcPr>
          <w:p w14:paraId="762D34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185A6A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635B04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821" w:type="dxa"/>
            <w:tcBorders>
              <w:top w:val="nil"/>
              <w:left w:val="nil"/>
              <w:bottom w:val="single" w:color="000000" w:sz="4" w:space="0"/>
              <w:right w:val="single" w:color="000000" w:sz="4" w:space="0"/>
            </w:tcBorders>
            <w:shd w:val="clear" w:color="auto" w:fill="auto"/>
            <w:noWrap/>
            <w:vAlign w:val="center"/>
          </w:tcPr>
          <w:p w14:paraId="7A99812C">
            <w:pPr>
              <w:jc w:val="center"/>
              <w:rPr>
                <w:rFonts w:hint="eastAsia" w:ascii="宋体" w:hAnsi="宋体" w:eastAsia="宋体" w:cs="宋体"/>
                <w:i w:val="0"/>
                <w:iCs w:val="0"/>
                <w:color w:val="000000"/>
                <w:sz w:val="24"/>
                <w:szCs w:val="24"/>
                <w:u w:val="none"/>
              </w:rPr>
            </w:pPr>
          </w:p>
        </w:tc>
      </w:tr>
      <w:tr w14:paraId="7D635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6368B5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nil"/>
              <w:left w:val="nil"/>
              <w:bottom w:val="single" w:color="000000" w:sz="4" w:space="0"/>
              <w:right w:val="single" w:color="000000" w:sz="4" w:space="0"/>
            </w:tcBorders>
            <w:shd w:val="clear" w:color="auto" w:fill="auto"/>
            <w:noWrap/>
            <w:vAlign w:val="center"/>
          </w:tcPr>
          <w:p w14:paraId="1C4658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24口千兆POE交换机</w:t>
            </w:r>
          </w:p>
        </w:tc>
        <w:tc>
          <w:tcPr>
            <w:tcW w:w="3704" w:type="dxa"/>
            <w:tcBorders>
              <w:top w:val="nil"/>
              <w:left w:val="nil"/>
              <w:bottom w:val="single" w:color="000000" w:sz="4" w:space="0"/>
              <w:right w:val="single" w:color="000000" w:sz="4" w:space="0"/>
            </w:tcBorders>
            <w:shd w:val="clear" w:color="auto" w:fill="auto"/>
            <w:vAlign w:val="center"/>
          </w:tcPr>
          <w:p w14:paraId="61237B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1.交换容量≥672Gbps，转发性能≥126Mpps，如官网以X/Y形式表述则以其中最小值为准。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2.固化10/100/1000M以太网端口≥24个，SFP非复用口≥4个。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3.≥24个电口支持POE和POE+远程供电，整机POE功率输出≥370W。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4.投标产品面板自带一键查看PoE供电状态功能的PoE按钮，轻按即可查看设备当前的通信状态和供电状态。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5.要求所投设备MAC地址≥16K。</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6.支持IPv4和IPv6的静态路由、RIP/RIPng、OSPFv2/OSPFv3等三层路由协议。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7.支持专门基础网络保护机制，能够限制用户向网络中发送数据包的速率，对有攻击行为的用户进行隔离，保证设备和整网的安全稳定运行。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设备自带云管理功能，支持一键设备发现，并在线生成交付验收报告；支持一键全网巡检操作，随时随地掌握网络健康状况，并自动生成巡检报告；支持短信认证、微信认证、web认证，支持认证页面自定义；支持一键升级、定时升级网络中的网络设备；支持分级分权功能，实现分布区域，统一管理等。</w:t>
            </w:r>
          </w:p>
        </w:tc>
        <w:tc>
          <w:tcPr>
            <w:tcW w:w="1552" w:type="dxa"/>
            <w:tcBorders>
              <w:top w:val="nil"/>
              <w:left w:val="nil"/>
              <w:bottom w:val="single" w:color="000000" w:sz="4" w:space="0"/>
              <w:right w:val="single" w:color="000000" w:sz="4" w:space="0"/>
            </w:tcBorders>
            <w:shd w:val="clear" w:color="auto" w:fill="auto"/>
            <w:noWrap/>
            <w:vAlign w:val="center"/>
          </w:tcPr>
          <w:p w14:paraId="1CEF9B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252AF8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47D22B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41</w:t>
            </w:r>
          </w:p>
        </w:tc>
        <w:tc>
          <w:tcPr>
            <w:tcW w:w="821" w:type="dxa"/>
            <w:tcBorders>
              <w:top w:val="nil"/>
              <w:left w:val="nil"/>
              <w:bottom w:val="single" w:color="000000" w:sz="4" w:space="0"/>
              <w:right w:val="single" w:color="000000" w:sz="4" w:space="0"/>
            </w:tcBorders>
            <w:shd w:val="clear" w:color="auto" w:fill="auto"/>
            <w:noWrap/>
            <w:vAlign w:val="center"/>
          </w:tcPr>
          <w:p w14:paraId="78EF2AC2">
            <w:pPr>
              <w:jc w:val="center"/>
              <w:rPr>
                <w:rFonts w:hint="eastAsia" w:ascii="宋体" w:hAnsi="宋体" w:eastAsia="宋体" w:cs="宋体"/>
                <w:i w:val="0"/>
                <w:iCs w:val="0"/>
                <w:color w:val="000000"/>
                <w:sz w:val="24"/>
                <w:szCs w:val="24"/>
                <w:u w:val="none"/>
              </w:rPr>
            </w:pPr>
          </w:p>
        </w:tc>
      </w:tr>
      <w:tr w14:paraId="6D54D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5D455B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nil"/>
              <w:left w:val="nil"/>
              <w:bottom w:val="single" w:color="000000" w:sz="4" w:space="0"/>
              <w:right w:val="single" w:color="000000" w:sz="4" w:space="0"/>
            </w:tcBorders>
            <w:shd w:val="clear" w:color="auto" w:fill="auto"/>
            <w:noWrap/>
            <w:vAlign w:val="center"/>
          </w:tcPr>
          <w:p w14:paraId="5F19F0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设备网核心交换机</w:t>
            </w:r>
          </w:p>
        </w:tc>
        <w:tc>
          <w:tcPr>
            <w:tcW w:w="3704" w:type="dxa"/>
            <w:tcBorders>
              <w:top w:val="nil"/>
              <w:left w:val="nil"/>
              <w:bottom w:val="single" w:color="000000" w:sz="4" w:space="0"/>
              <w:right w:val="single" w:color="000000" w:sz="4" w:space="0"/>
            </w:tcBorders>
            <w:shd w:val="clear" w:color="auto" w:fill="auto"/>
            <w:vAlign w:val="center"/>
          </w:tcPr>
          <w:p w14:paraId="3E44C9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1.交换容量≥68Tbps，包转发率≥51200Mpps。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2.主控引擎与业务板卡完全物理分离, 采用全分布式转发处理架构，独立主控引擎插槽≥2个，独立业务插槽数≥3个；主控引擎故障情况下，不能影响整机转发能力。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3.为提高设备面板空间利用率，要求采用高密度端口设计，所投产品单张业务卡最大可用物理端口≥52个，整机转发业务物理端口≥156个。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4.设备支持硬件健康状态可视化，可以对风扇状态、电源、温度、板载电压进行监控，尤其是在日常巡查中发现电压异常前兆，可及时处理，避免出现电压异常宕机。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5.支持专门针对CPU保护机制的功能，可将送CPU的报文，如ARP报文的速率进行限制，使CPU的使用率降低到10%以内，保障了CPU安全。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6.为保证IPv6的可部署性和应用性，所投交换机需具备IPv6 Ready Phase2认证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7.配置：双主控、双电源、配置独立业务板卡：≥24个千兆电口、≥24个千兆光口、≥4个万兆光口。</w:t>
            </w:r>
          </w:p>
        </w:tc>
        <w:tc>
          <w:tcPr>
            <w:tcW w:w="1552" w:type="dxa"/>
            <w:tcBorders>
              <w:top w:val="nil"/>
              <w:left w:val="nil"/>
              <w:bottom w:val="single" w:color="000000" w:sz="4" w:space="0"/>
              <w:right w:val="single" w:color="000000" w:sz="4" w:space="0"/>
            </w:tcBorders>
            <w:shd w:val="clear" w:color="auto" w:fill="auto"/>
            <w:noWrap/>
            <w:vAlign w:val="center"/>
          </w:tcPr>
          <w:p w14:paraId="19AA91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574B366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79AE70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3E900149">
            <w:pPr>
              <w:jc w:val="center"/>
              <w:rPr>
                <w:rFonts w:hint="eastAsia" w:ascii="宋体" w:hAnsi="宋体" w:eastAsia="宋体" w:cs="宋体"/>
                <w:i w:val="0"/>
                <w:iCs w:val="0"/>
                <w:color w:val="000000"/>
                <w:sz w:val="24"/>
                <w:szCs w:val="24"/>
                <w:u w:val="none"/>
              </w:rPr>
            </w:pPr>
          </w:p>
        </w:tc>
      </w:tr>
      <w:tr w14:paraId="7EB42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26BFF6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nil"/>
              <w:left w:val="nil"/>
              <w:bottom w:val="single" w:color="000000" w:sz="4" w:space="0"/>
              <w:right w:val="single" w:color="000000" w:sz="4" w:space="0"/>
            </w:tcBorders>
            <w:shd w:val="clear" w:color="auto" w:fill="auto"/>
            <w:noWrap/>
            <w:vAlign w:val="center"/>
          </w:tcPr>
          <w:p w14:paraId="62A336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设备网汇聚交换机</w:t>
            </w:r>
          </w:p>
        </w:tc>
        <w:tc>
          <w:tcPr>
            <w:tcW w:w="3704" w:type="dxa"/>
            <w:tcBorders>
              <w:top w:val="nil"/>
              <w:left w:val="nil"/>
              <w:bottom w:val="single" w:color="000000" w:sz="4" w:space="0"/>
              <w:right w:val="single" w:color="000000" w:sz="4" w:space="0"/>
            </w:tcBorders>
            <w:shd w:val="clear" w:color="auto" w:fill="auto"/>
            <w:vAlign w:val="center"/>
          </w:tcPr>
          <w:p w14:paraId="70FA73C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1.交换容量≥2.56Tbps，包转发率≥786Mpps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★2.固化100/1000Mbps SFP光口≥28，复用的10/100/1000Mbps电口≥8，固化1G/10G SFP+光接口≥4个，设备预留2个扩展槽，</w:t>
            </w:r>
            <w:r>
              <w:rPr>
                <w:rFonts w:hint="eastAsia" w:ascii="宋体" w:hAnsi="宋体" w:eastAsia="宋体" w:cs="宋体"/>
                <w:i w:val="0"/>
                <w:iCs w:val="0"/>
                <w:color w:val="auto"/>
                <w:kern w:val="0"/>
                <w:sz w:val="24"/>
                <w:szCs w:val="24"/>
                <w:highlight w:val="none"/>
                <w:u w:val="none"/>
                <w:lang w:val="en-US" w:eastAsia="zh-CN" w:bidi="ar"/>
              </w:rPr>
              <w:t>提供官网截图和链接证明并加盖投标单位公章作为证明材料</w:t>
            </w:r>
            <w:r>
              <w:rPr>
                <w:rFonts w:ascii="宋体" w:hAnsi="宋体" w:eastAsia="宋体" w:cs="宋体"/>
                <w:i w:val="0"/>
                <w:iCs w:val="0"/>
                <w:color w:val="auto"/>
                <w:kern w:val="0"/>
                <w:sz w:val="24"/>
                <w:szCs w:val="24"/>
                <w:highlight w:val="none"/>
                <w:u w:val="none"/>
                <w:lang w:val="en-US" w:eastAsia="zh-CN" w:bidi="ar"/>
              </w:rPr>
              <w:t>。</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3.设备预留2个扩展槽。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4.长期工作温度0-50°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5.要求所投设备MAC地址≥64K，ARP表项≥20K，FIB表项≥12K。</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6.支持RIP，OSPF，BGP，RIPng，OSPFv3，BGP4+。</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7.支持专门针对CPU保护机制，可将送CPU的报文，如ARP报文的速率进行限制，使CPU的使用率降低到15%以内，保障CPU安全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8.所投交换机需支持OpenFlow 1.3协议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9.为保证IPv6的可部署性和应用性，所投交换机需具备IPv6 Ready Phase2认证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10.配置：双电源</w:t>
            </w:r>
          </w:p>
        </w:tc>
        <w:tc>
          <w:tcPr>
            <w:tcW w:w="1552" w:type="dxa"/>
            <w:tcBorders>
              <w:top w:val="nil"/>
              <w:left w:val="nil"/>
              <w:bottom w:val="single" w:color="000000" w:sz="4" w:space="0"/>
              <w:right w:val="single" w:color="000000" w:sz="4" w:space="0"/>
            </w:tcBorders>
            <w:shd w:val="clear" w:color="auto" w:fill="auto"/>
            <w:noWrap/>
            <w:vAlign w:val="center"/>
          </w:tcPr>
          <w:p w14:paraId="076165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04D94D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76DF841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nil"/>
              <w:left w:val="nil"/>
              <w:bottom w:val="single" w:color="000000" w:sz="4" w:space="0"/>
              <w:right w:val="single" w:color="000000" w:sz="4" w:space="0"/>
            </w:tcBorders>
            <w:shd w:val="clear" w:color="auto" w:fill="auto"/>
            <w:noWrap/>
            <w:vAlign w:val="center"/>
          </w:tcPr>
          <w:p w14:paraId="627D9BA3">
            <w:pPr>
              <w:jc w:val="center"/>
              <w:rPr>
                <w:rFonts w:hint="eastAsia" w:ascii="宋体" w:hAnsi="宋体" w:eastAsia="宋体" w:cs="宋体"/>
                <w:i w:val="0"/>
                <w:iCs w:val="0"/>
                <w:color w:val="000000"/>
                <w:sz w:val="24"/>
                <w:szCs w:val="24"/>
                <w:u w:val="none"/>
              </w:rPr>
            </w:pPr>
          </w:p>
        </w:tc>
      </w:tr>
      <w:tr w14:paraId="4E4B2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127CA0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nil"/>
              <w:left w:val="nil"/>
              <w:bottom w:val="single" w:color="000000" w:sz="4" w:space="0"/>
              <w:right w:val="single" w:color="000000" w:sz="4" w:space="0"/>
            </w:tcBorders>
            <w:shd w:val="clear" w:color="auto" w:fill="auto"/>
            <w:noWrap/>
            <w:vAlign w:val="center"/>
          </w:tcPr>
          <w:p w14:paraId="60BB3B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8口千兆交换机</w:t>
            </w:r>
          </w:p>
        </w:tc>
        <w:tc>
          <w:tcPr>
            <w:tcW w:w="3704" w:type="dxa"/>
            <w:tcBorders>
              <w:top w:val="nil"/>
              <w:left w:val="nil"/>
              <w:bottom w:val="single" w:color="000000" w:sz="4" w:space="0"/>
              <w:right w:val="single" w:color="000000" w:sz="4" w:space="0"/>
            </w:tcBorders>
            <w:shd w:val="clear" w:color="auto" w:fill="auto"/>
            <w:vAlign w:val="center"/>
          </w:tcPr>
          <w:p w14:paraId="286624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1.固化10/100/1000M以太网电口≥8个，1G/2.5G/10G SFP+光接口≥1个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2.交换容量≥432Gbps，包转发率≥80Mpps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3.为保证设备在受到外接机械碰撞时能够正常运行，要求所投交换机IK防护测试级别至少达到IK05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4.要求设备采用静音设计，噪声值＜20dB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5.支持端口浪涌抗扰度≥8KV（即具备8KV的防雷能力）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6.支持专门针对CPU的保护机制，能够针对发往CPU处理的各种报文进行流区分和优先级队列分级处理，保护交换机在各种环境下稳定工作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7.室内交换机支持零配置上线。根据不同区域的业务创建相应业务模板后，绑定设备区域位置信息，设备开箱上电后配置即可自动从软件下发，无需在接入设备端刷入配置；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8.当室内交换机出现故障，替换用的新设备支持智能零替换。支持自适应不同型号间的设备替换，以及替换后新设备支持终端在任意端口接入，并且终端在原有设备接入端口的配置可自动跟随到新设备端口；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9.支持在室内交换机上行链路断开、无法被网管软件发现纳管时，通过手持手机扫码一键拉取链路全部信息，无需逐点排查，快速定位是光模块还是光纤异常，并给出故障诊断及处理意见</w:t>
            </w:r>
          </w:p>
        </w:tc>
        <w:tc>
          <w:tcPr>
            <w:tcW w:w="1552" w:type="dxa"/>
            <w:tcBorders>
              <w:top w:val="nil"/>
              <w:left w:val="nil"/>
              <w:bottom w:val="single" w:color="000000" w:sz="4" w:space="0"/>
              <w:right w:val="single" w:color="000000" w:sz="4" w:space="0"/>
            </w:tcBorders>
            <w:shd w:val="clear" w:color="auto" w:fill="auto"/>
            <w:noWrap/>
            <w:vAlign w:val="center"/>
          </w:tcPr>
          <w:p w14:paraId="5C9146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736074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23D1BF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nil"/>
              <w:left w:val="nil"/>
              <w:bottom w:val="single" w:color="000000" w:sz="4" w:space="0"/>
              <w:right w:val="single" w:color="000000" w:sz="4" w:space="0"/>
            </w:tcBorders>
            <w:shd w:val="clear" w:color="auto" w:fill="auto"/>
            <w:noWrap/>
            <w:vAlign w:val="center"/>
          </w:tcPr>
          <w:p w14:paraId="14BA135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出入口</w:t>
            </w:r>
          </w:p>
        </w:tc>
      </w:tr>
      <w:tr w14:paraId="03A8B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6C753EE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nil"/>
              <w:left w:val="nil"/>
              <w:bottom w:val="single" w:color="000000" w:sz="4" w:space="0"/>
              <w:right w:val="single" w:color="000000" w:sz="4" w:space="0"/>
            </w:tcBorders>
            <w:shd w:val="clear" w:color="auto" w:fill="auto"/>
            <w:noWrap/>
            <w:vAlign w:val="center"/>
          </w:tcPr>
          <w:p w14:paraId="14EB16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千兆光模块</w:t>
            </w:r>
          </w:p>
        </w:tc>
        <w:tc>
          <w:tcPr>
            <w:tcW w:w="3704" w:type="dxa"/>
            <w:tcBorders>
              <w:top w:val="nil"/>
              <w:left w:val="nil"/>
              <w:bottom w:val="single" w:color="000000" w:sz="4" w:space="0"/>
              <w:right w:val="single" w:color="000000" w:sz="4" w:space="0"/>
            </w:tcBorders>
            <w:shd w:val="clear" w:color="auto" w:fill="auto"/>
            <w:vAlign w:val="center"/>
          </w:tcPr>
          <w:p w14:paraId="2CC823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1000BASE-LX mini GBIC转换模块（1310nm），10km</w:t>
            </w:r>
          </w:p>
        </w:tc>
        <w:tc>
          <w:tcPr>
            <w:tcW w:w="1552" w:type="dxa"/>
            <w:tcBorders>
              <w:top w:val="nil"/>
              <w:left w:val="nil"/>
              <w:bottom w:val="single" w:color="000000" w:sz="4" w:space="0"/>
              <w:right w:val="single" w:color="000000" w:sz="4" w:space="0"/>
            </w:tcBorders>
            <w:shd w:val="clear" w:color="auto" w:fill="auto"/>
            <w:noWrap/>
            <w:vAlign w:val="center"/>
          </w:tcPr>
          <w:p w14:paraId="339E05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3C8EBE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对</w:t>
            </w:r>
          </w:p>
        </w:tc>
        <w:tc>
          <w:tcPr>
            <w:tcW w:w="705" w:type="dxa"/>
            <w:tcBorders>
              <w:top w:val="nil"/>
              <w:left w:val="nil"/>
              <w:bottom w:val="single" w:color="000000" w:sz="4" w:space="0"/>
              <w:right w:val="single" w:color="000000" w:sz="4" w:space="0"/>
            </w:tcBorders>
            <w:shd w:val="clear" w:color="auto" w:fill="auto"/>
            <w:noWrap/>
            <w:vAlign w:val="center"/>
          </w:tcPr>
          <w:p w14:paraId="2A042E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64</w:t>
            </w:r>
          </w:p>
        </w:tc>
        <w:tc>
          <w:tcPr>
            <w:tcW w:w="821" w:type="dxa"/>
            <w:tcBorders>
              <w:top w:val="nil"/>
              <w:left w:val="nil"/>
              <w:bottom w:val="single" w:color="000000" w:sz="4" w:space="0"/>
              <w:right w:val="single" w:color="000000" w:sz="4" w:space="0"/>
            </w:tcBorders>
            <w:shd w:val="clear" w:color="auto" w:fill="auto"/>
            <w:noWrap/>
            <w:vAlign w:val="center"/>
          </w:tcPr>
          <w:p w14:paraId="29D5DCA2">
            <w:pPr>
              <w:jc w:val="center"/>
              <w:rPr>
                <w:rFonts w:hint="eastAsia" w:ascii="宋体" w:hAnsi="宋体" w:eastAsia="宋体" w:cs="宋体"/>
                <w:i w:val="0"/>
                <w:iCs w:val="0"/>
                <w:color w:val="000000"/>
                <w:sz w:val="24"/>
                <w:szCs w:val="24"/>
                <w:u w:val="none"/>
              </w:rPr>
            </w:pPr>
          </w:p>
        </w:tc>
      </w:tr>
      <w:tr w14:paraId="33BB7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7B9908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nil"/>
              <w:left w:val="nil"/>
              <w:bottom w:val="single" w:color="000000" w:sz="4" w:space="0"/>
              <w:right w:val="single" w:color="000000" w:sz="4" w:space="0"/>
            </w:tcBorders>
            <w:shd w:val="clear" w:color="auto" w:fill="auto"/>
            <w:noWrap/>
            <w:vAlign w:val="center"/>
          </w:tcPr>
          <w:p w14:paraId="62E417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网闸</w:t>
            </w:r>
          </w:p>
        </w:tc>
        <w:tc>
          <w:tcPr>
            <w:tcW w:w="3704" w:type="dxa"/>
            <w:tcBorders>
              <w:top w:val="nil"/>
              <w:left w:val="nil"/>
              <w:bottom w:val="single" w:color="000000" w:sz="4" w:space="0"/>
              <w:right w:val="single" w:color="000000" w:sz="4" w:space="0"/>
            </w:tcBorders>
            <w:shd w:val="clear" w:color="auto" w:fill="auto"/>
            <w:vAlign w:val="center"/>
          </w:tcPr>
          <w:p w14:paraId="3E30C08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1.2U设备，配备液晶屏，双电源,内外网接口配置:不少于6个千兆电口,2个千兆光口。吞吐不少于600Mbps;并发不少于8 万;延时小于1ms。开通全功能模块，包括工控模块、文件交换、FTP访问、数据安全浏览、安全库传输、邮件传输、通道、消息模块。三年原厂硬件质保和软件升级服务。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2.内外网主机系统分别支持双系统引导，并可在WEB界面上直接配置启动顺序，在A系统发生故障时，可以随时切换到B系统；且支持系统(包括配置)备份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3.支持数据容错处理，当数据同步失败时，用户可以查询、恢复、删除未能正常传输的数据；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4.为保证系统安全性，支持基于系统日志的风险评估，实现多目标优化</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5.采用自有知识产权的病毒检测及入侵检测引擎</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6.支持实时入侵检测功能，并可设置自动阻断响应</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7.支持设备健康状态实时自我检测，如散热系统状态，并能够进行正常/异常状态指示，且能在异常状态下进行声音报警。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8.文件交换可以采用客户端方式和无客户端方式的部署；支持增量传输、发送后删除、改名传输等发送策略；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9.支持文件格式特征过滤；并能提供文件类型判断工具以帮助用户识别不常见文件类型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10.支持基于动态令牌的双因子认证方式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11.支持病毒检测功能，支持邮件主题及正文的关键字过滤，以及收件人、发件人地址黑白名单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12.可对用户的客户端版本和进程进行检查，进行准入控制</w:t>
            </w:r>
          </w:p>
        </w:tc>
        <w:tc>
          <w:tcPr>
            <w:tcW w:w="1552" w:type="dxa"/>
            <w:tcBorders>
              <w:top w:val="nil"/>
              <w:left w:val="nil"/>
              <w:bottom w:val="single" w:color="000000" w:sz="4" w:space="0"/>
              <w:right w:val="single" w:color="000000" w:sz="4" w:space="0"/>
            </w:tcBorders>
            <w:shd w:val="clear" w:color="auto" w:fill="auto"/>
            <w:noWrap/>
            <w:vAlign w:val="center"/>
          </w:tcPr>
          <w:p w14:paraId="593E77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天融信、深信服、启明星辰</w:t>
            </w:r>
          </w:p>
        </w:tc>
        <w:tc>
          <w:tcPr>
            <w:tcW w:w="761" w:type="dxa"/>
            <w:tcBorders>
              <w:top w:val="nil"/>
              <w:left w:val="nil"/>
              <w:bottom w:val="single" w:color="000000" w:sz="4" w:space="0"/>
              <w:right w:val="single" w:color="000000" w:sz="4" w:space="0"/>
            </w:tcBorders>
            <w:shd w:val="clear" w:color="auto" w:fill="auto"/>
            <w:noWrap/>
            <w:vAlign w:val="center"/>
          </w:tcPr>
          <w:p w14:paraId="3C2C1E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647F59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03C8DEE7">
            <w:pPr>
              <w:jc w:val="center"/>
              <w:rPr>
                <w:rFonts w:hint="eastAsia" w:ascii="宋体" w:hAnsi="宋体" w:eastAsia="宋体" w:cs="宋体"/>
                <w:i w:val="0"/>
                <w:iCs w:val="0"/>
                <w:color w:val="000000"/>
                <w:sz w:val="24"/>
                <w:szCs w:val="24"/>
                <w:u w:val="none"/>
              </w:rPr>
            </w:pPr>
          </w:p>
        </w:tc>
      </w:tr>
      <w:tr w14:paraId="7C054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5C24F20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nil"/>
              <w:left w:val="nil"/>
              <w:bottom w:val="single" w:color="000000" w:sz="4" w:space="0"/>
              <w:right w:val="single" w:color="000000" w:sz="4" w:space="0"/>
            </w:tcBorders>
            <w:shd w:val="clear" w:color="auto" w:fill="auto"/>
            <w:noWrap/>
            <w:vAlign w:val="center"/>
          </w:tcPr>
          <w:p w14:paraId="3A0259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防火墙</w:t>
            </w:r>
          </w:p>
        </w:tc>
        <w:tc>
          <w:tcPr>
            <w:tcW w:w="3704" w:type="dxa"/>
            <w:tcBorders>
              <w:top w:val="nil"/>
              <w:left w:val="nil"/>
              <w:bottom w:val="single" w:color="000000" w:sz="4" w:space="0"/>
              <w:right w:val="single" w:color="000000" w:sz="4" w:space="0"/>
            </w:tcBorders>
            <w:shd w:val="clear" w:color="auto" w:fill="auto"/>
            <w:vAlign w:val="center"/>
          </w:tcPr>
          <w:p w14:paraId="6D3D8EB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1.1U机架式设备，配置不少于6个千兆电口+2个千兆光口+2个万兆SFP+接口，2个可扩展插槽，冗余电源。整机吞吐量≥10Gbps；并发连接数≥200万，每秒新建连接数（HTTP）≥20万；SSL VPN用户授权无限数量，提供3年维保服务，含3年入侵防御、防病毒、应用识别特征库升级授权。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2.支持攻击链分析功能，支持以一条攻击事件为线索，以源目的IP为条件，排查所有相关的攻击事件，进行攻击链还原，有效发现攻击者的所有攻击行为。（提供权威第三方检测机构报告）</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3.使用原厂威胁情报且威胁情报能力在IDC威胁情报报告领导者象限。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4.设备支持VTEP模式实现VXLAN，支持二三层网关进行同子网和跨子网通信及远程管理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5.支持通过动态/静态域名、虚拟IP实现内网主机间的通信，隐藏通信间主机的真实IP，并根据配置动态切换通信主机的虚拟IP与真实IP的对应关系，使攻击者无法锁定攻击目标。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6.拥有自主知识产权的内网服务器发现技术。在识别出新服务器后,再对新服务器所承载的服务类型进行识别,来达到对内网监控方位内的服务器以及服务器承载的服务类型进行准确甄别的目的</w:t>
            </w:r>
            <w:r>
              <w:rPr>
                <w:rFonts w:hint="eastAsia" w:ascii="宋体" w:hAnsi="宋体" w:cs="宋体"/>
                <w:i w:val="0"/>
                <w:iCs w:val="0"/>
                <w:color w:val="auto"/>
                <w:kern w:val="0"/>
                <w:sz w:val="24"/>
                <w:szCs w:val="24"/>
                <w:highlight w:val="none"/>
                <w:u w:val="none"/>
                <w:lang w:val="en-US" w:eastAsia="zh-CN" w:bidi="ar"/>
              </w:rPr>
              <w:t>。</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7.支持口令防暴力破解，支持TELNET、POP3、SMTP、SSH等协议的，频繁登录失败操作，进行针对频率的阈值检查，判定为攻击后，对异常登录动作进行阻断。</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8.支持通过动态/静态域名、虚拟IP实现内网主机间的通信，隐藏通信间主机的真实IP，并根据配置动态切换通信主机的虚拟IP与真实IP的对应关系，使攻击者无法锁定攻击目标。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9.产品性能指标符合GB/T 25000.51-2016《系统与软件工程 系统与软件质量要求和评价》及GB/T 20281-2020 《信息安全技术 防火墙安全技术要求和测试评价方法》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10.支持对内网DNS请求进行云端查询，对访问高危域名的请求，给客户端返回禁止访问的页面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11.支持模拟数据包，查看数据包匹配详情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12.TLS加密算法支持选择TLS1.0、TLS1.1、TLE1.2和TLS1.3，并国密TLS；</w:t>
            </w:r>
          </w:p>
        </w:tc>
        <w:tc>
          <w:tcPr>
            <w:tcW w:w="1552" w:type="dxa"/>
            <w:tcBorders>
              <w:top w:val="nil"/>
              <w:left w:val="nil"/>
              <w:bottom w:val="single" w:color="000000" w:sz="4" w:space="0"/>
              <w:right w:val="single" w:color="000000" w:sz="4" w:space="0"/>
            </w:tcBorders>
            <w:shd w:val="clear" w:color="auto" w:fill="auto"/>
            <w:noWrap/>
            <w:vAlign w:val="center"/>
          </w:tcPr>
          <w:p w14:paraId="6C4307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天融信、深信服、启明星辰</w:t>
            </w:r>
          </w:p>
        </w:tc>
        <w:tc>
          <w:tcPr>
            <w:tcW w:w="761" w:type="dxa"/>
            <w:tcBorders>
              <w:top w:val="nil"/>
              <w:left w:val="nil"/>
              <w:bottom w:val="single" w:color="000000" w:sz="4" w:space="0"/>
              <w:right w:val="single" w:color="000000" w:sz="4" w:space="0"/>
            </w:tcBorders>
            <w:shd w:val="clear" w:color="auto" w:fill="auto"/>
            <w:noWrap/>
            <w:vAlign w:val="center"/>
          </w:tcPr>
          <w:p w14:paraId="4F92CB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30163BD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51C15ED5">
            <w:pPr>
              <w:jc w:val="center"/>
              <w:rPr>
                <w:rFonts w:hint="eastAsia" w:ascii="宋体" w:hAnsi="宋体" w:eastAsia="宋体" w:cs="宋体"/>
                <w:i w:val="0"/>
                <w:iCs w:val="0"/>
                <w:color w:val="000000"/>
                <w:sz w:val="24"/>
                <w:szCs w:val="24"/>
                <w:u w:val="none"/>
              </w:rPr>
            </w:pPr>
          </w:p>
        </w:tc>
      </w:tr>
      <w:tr w14:paraId="6460D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278CC0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nil"/>
              <w:left w:val="nil"/>
              <w:bottom w:val="single" w:color="000000" w:sz="4" w:space="0"/>
              <w:right w:val="single" w:color="000000" w:sz="4" w:space="0"/>
            </w:tcBorders>
            <w:shd w:val="clear" w:color="auto" w:fill="auto"/>
            <w:noWrap/>
            <w:vAlign w:val="center"/>
          </w:tcPr>
          <w:p w14:paraId="0F972A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统一端点安全管理系统</w:t>
            </w:r>
          </w:p>
        </w:tc>
        <w:tc>
          <w:tcPr>
            <w:tcW w:w="3704" w:type="dxa"/>
            <w:tcBorders>
              <w:top w:val="nil"/>
              <w:left w:val="nil"/>
              <w:bottom w:val="single" w:color="000000" w:sz="4" w:space="0"/>
              <w:right w:val="single" w:color="000000" w:sz="4" w:space="0"/>
            </w:tcBorders>
            <w:shd w:val="clear" w:color="auto" w:fill="auto"/>
            <w:vAlign w:val="center"/>
          </w:tcPr>
          <w:p w14:paraId="53E593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1.提供1套EDR管理平台软件，不少于10套通用服务器客户端软件授权（支持Windows、Linux及国产化客户端），提供3年维保升级服务及防病毒功能升级授权。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服务器系统的集中管控，支持在同一个系统中实现资产管理、运维管理、病毒查杀、外设管理、非法外联监控、网络管理、终端响应、日志管理、弱性检测、合规检查、安全审计、准入、入侵检测、主机微隔离、数据防泄漏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3.具备多维度的态势大屏，至少包括资产态势大屏、运维态势大屏、威胁态势大屏。展示内容至少包括威胁告警统计、攻击阶段统计、威胁等级统计、漏洞信息 Top5、终端威胁告警Top5、最新告警事件、威胁态势评分等信息。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4.支持终端自动分组管理，新接入的终端可以根据网段自动分配到对应的分组</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5.具备对全网资产进行一键风险评估的能力，可一键完成漏洞风险、合规检查、弱密码检查、病毒查杀、Webshell检测、内存马检测、反弹shell等体检项目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备病毒查杀能力，可自行选择查杀效率、查杀位置、查杀引擎、处置方式等，并且应直观展示已处理和未处理的病毒数量，展示内容应至少包括已处理/未处理的全病毒数量、已处理/未处理的勒索病毒数量、已处理/未处理的挖矿病毒数量、已处理/未处理的蠕虫病毒数量；同时，针对Windows系统，产品应具备勒索病毒专项防护能力，包括勒索诱捕、文件保险箱、数据备份等，实时检测勒索病毒，防止勒索病毒入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具备威胁行为检测的能力，包括端口扫描、暴力破解、异常登录、主机蜜罐、异常行为等；产品应具备敏感行为的检测能力，包括系统命令篡改、敏感文件访问、系统日志文件删除、自启动项添加、敏感命令执行等，全面判断终端是否存在威胁行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具备安全审计能力，应包括软/硬件变更审计、资源使用审计、账号变更审计、文件操审计作、注册表行为审计、命令行审计、打印行为审计、刻录行为审计、FTP访问行为审计、网站访问行为审计等，便于审计人员溯源违规行为。（需提供第三方测评报告证明）</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具备系统加固的能力，支持对Windows系统的账户策略、本地策略、环境策略、注册表保护等项目进行安全加固，保证Windows系统的安全；产品应具备外设管控能力，支持对U盘、光驱、软盘、手机平板、打印机、摄像头等外设进行使用控制；针对Windows系统，产品还应具备对移动存储介质的认证和加密功能，可实现对U盘的授权认证管理、专用目录加密认证管理以及全盘加密认证管理。此外产品还应具备身份鉴别的能力，包括准入认证、终端Ukey登录认证等多种方式，保障终端资产入网、登录系统的严格身份验证，防止非法身份入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具备对端口、进程、网络、文件等多方面的管控能力，并具备剧本式的全网自动响应能力，可根据告警事件类型编排响应动作、响应时间等。产品需支持与同品牌防火墙设备深度联动实现应用准入控制，仅允许安装客户端且合规的终端访问受保护资源，对未装客户端用户提供浏览器友好引导自助安装，并对不合规终端实施访问阻断。</w:t>
            </w:r>
          </w:p>
        </w:tc>
        <w:tc>
          <w:tcPr>
            <w:tcW w:w="1552" w:type="dxa"/>
            <w:tcBorders>
              <w:top w:val="nil"/>
              <w:left w:val="nil"/>
              <w:bottom w:val="single" w:color="000000" w:sz="4" w:space="0"/>
              <w:right w:val="single" w:color="000000" w:sz="4" w:space="0"/>
            </w:tcBorders>
            <w:shd w:val="clear" w:color="auto" w:fill="auto"/>
            <w:noWrap/>
            <w:vAlign w:val="center"/>
          </w:tcPr>
          <w:p w14:paraId="7F6E6D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天融信、深信服、启明星辰</w:t>
            </w:r>
          </w:p>
        </w:tc>
        <w:tc>
          <w:tcPr>
            <w:tcW w:w="761" w:type="dxa"/>
            <w:tcBorders>
              <w:top w:val="nil"/>
              <w:left w:val="nil"/>
              <w:bottom w:val="single" w:color="000000" w:sz="4" w:space="0"/>
              <w:right w:val="single" w:color="000000" w:sz="4" w:space="0"/>
            </w:tcBorders>
            <w:shd w:val="clear" w:color="auto" w:fill="auto"/>
            <w:noWrap/>
            <w:vAlign w:val="center"/>
          </w:tcPr>
          <w:p w14:paraId="40D01F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nil"/>
              <w:left w:val="nil"/>
              <w:bottom w:val="single" w:color="000000" w:sz="4" w:space="0"/>
              <w:right w:val="single" w:color="000000" w:sz="4" w:space="0"/>
            </w:tcBorders>
            <w:shd w:val="clear" w:color="auto" w:fill="auto"/>
            <w:noWrap/>
            <w:vAlign w:val="center"/>
          </w:tcPr>
          <w:p w14:paraId="438E89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6F2CC240">
            <w:pPr>
              <w:jc w:val="center"/>
              <w:rPr>
                <w:rFonts w:hint="eastAsia" w:ascii="宋体" w:hAnsi="宋体" w:eastAsia="宋体" w:cs="宋体"/>
                <w:i w:val="0"/>
                <w:iCs w:val="0"/>
                <w:color w:val="000000"/>
                <w:sz w:val="24"/>
                <w:szCs w:val="24"/>
                <w:u w:val="none"/>
              </w:rPr>
            </w:pPr>
          </w:p>
        </w:tc>
      </w:tr>
      <w:tr w14:paraId="38F9E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774541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1631" w:type="dxa"/>
            <w:tcBorders>
              <w:top w:val="nil"/>
              <w:left w:val="nil"/>
              <w:bottom w:val="single" w:color="000000" w:sz="4" w:space="0"/>
              <w:right w:val="single" w:color="000000" w:sz="4" w:space="0"/>
            </w:tcBorders>
            <w:shd w:val="clear" w:color="auto" w:fill="auto"/>
            <w:noWrap/>
            <w:vAlign w:val="center"/>
          </w:tcPr>
          <w:p w14:paraId="2CFD33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日志审计分析管理系统</w:t>
            </w:r>
          </w:p>
        </w:tc>
        <w:tc>
          <w:tcPr>
            <w:tcW w:w="3704" w:type="dxa"/>
            <w:tcBorders>
              <w:top w:val="nil"/>
              <w:left w:val="nil"/>
              <w:bottom w:val="single" w:color="000000" w:sz="4" w:space="0"/>
              <w:right w:val="single" w:color="000000" w:sz="4" w:space="0"/>
            </w:tcBorders>
            <w:shd w:val="clear" w:color="auto" w:fill="auto"/>
            <w:vAlign w:val="center"/>
          </w:tcPr>
          <w:p w14:paraId="4F7C81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1.标准1U设备， 6个千兆电口，2个千兆光口，1个扩展插槽，1个Console接口，2个USB接口，单电源，32GmSATA +2TB企业级硬盘。包含30个审计对象授权，提供3年维保服务。性能：综合日志处理性能2600EPS，日志采集处理均值7000EPS。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2.支持全智能范式化解析模式,支持解析字段的编辑调整。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3.单台数据中心每秒事件分析能力大于40000EPS，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4.支持对日志提供在线/离线地图定位、支持源IP与目的IP分布走向的视网膜图展示、支持事件拓扑分析用于描述整个事件的访问关系及过程、支持多维分析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对流量的实时监控与分析，内置对网络流量的概要统计（传输层协议统计，应用层传输协议统计，网络层协议统计），会话个数统计（IP会话个数统计，TCP会话统计，UDP会话统计），TCPflag统计（TCPSYN统计，TCPSYNACK统计，TCPSYNRST统计），网络协议域TOPN统计（主机发送流量TOP，主机接收流量TOP，ICMP流量统计，IGMP流量统计，本地IP主机总流量TOP），传输协议域TOP统计（源端口发送流量TOP，目的端口接收流量TOP，端口总流量TOP，TCP流量统计，UDP流量统计，发送or接收（字节）比率TOP，发送or接收（数据包）比率TOP）。资产列表可查看和编辑资产的基本信息（资产IP归属地查看，资产新发现状态更新，资产名称），查看资产流画像（资产活跃状态，最近出现时间，当前总流速，总流量），会话流量桑基图，会话列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6.系统提供基于资产的拓扑视图，可以按列表和拓扑两种模式显示资产拓扑节点；可查看每个资产设备本身产生的事件信息、关联告警信息，并且支持向下钻取，直接进入事件列表、关联告警列表；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7.系统能够从海量事件中重复无限制的钻取调查，所有的钻取条支持回退，更为方便的定位异常信息以及事件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8.系统需内置不同分析场景，包括各种实时分析场景、历史统计场景、实时统计等。并支持支持自定义场景；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9.系统提供输入关键字从海量事件中获取匹配或部分匹配的事件，更方便的定位事件；并同时提供基于正则表达式检索功能，为检索出更为复杂的事件信息提供有效支撑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10.支持告警重定义、邮件、短信、执行命令脚本、设备联动、发送Syslog，支持根据告警等级上传不同音频文件用于声音告警。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11.内置报表模板，可预览、导出；系统内置报表编辑器，可以自定义报表。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12.支持报表调度，即报表可设置首次生成时间和间隔生成时间，生成后可指定直接发送到接收人邮箱。</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13.生产厂商应具备完善的日志解析及安全分析能力，提供不少于3个与日志解析或互联审计相关技术专利。</w:t>
            </w:r>
          </w:p>
        </w:tc>
        <w:tc>
          <w:tcPr>
            <w:tcW w:w="1552" w:type="dxa"/>
            <w:tcBorders>
              <w:top w:val="nil"/>
              <w:left w:val="nil"/>
              <w:bottom w:val="single" w:color="000000" w:sz="4" w:space="0"/>
              <w:right w:val="single" w:color="000000" w:sz="4" w:space="0"/>
            </w:tcBorders>
            <w:shd w:val="clear" w:color="auto" w:fill="auto"/>
            <w:noWrap/>
            <w:vAlign w:val="center"/>
          </w:tcPr>
          <w:p w14:paraId="6F250A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天融信、深信服、启明星辰</w:t>
            </w:r>
          </w:p>
        </w:tc>
        <w:tc>
          <w:tcPr>
            <w:tcW w:w="761" w:type="dxa"/>
            <w:tcBorders>
              <w:top w:val="nil"/>
              <w:left w:val="nil"/>
              <w:bottom w:val="single" w:color="000000" w:sz="4" w:space="0"/>
              <w:right w:val="single" w:color="000000" w:sz="4" w:space="0"/>
            </w:tcBorders>
            <w:shd w:val="clear" w:color="auto" w:fill="auto"/>
            <w:noWrap/>
            <w:vAlign w:val="center"/>
          </w:tcPr>
          <w:p w14:paraId="156C6D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nil"/>
              <w:left w:val="nil"/>
              <w:bottom w:val="single" w:color="000000" w:sz="4" w:space="0"/>
              <w:right w:val="single" w:color="000000" w:sz="4" w:space="0"/>
            </w:tcBorders>
            <w:shd w:val="clear" w:color="auto" w:fill="auto"/>
            <w:noWrap/>
            <w:vAlign w:val="center"/>
          </w:tcPr>
          <w:p w14:paraId="3BB179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7A0CDEC4">
            <w:pPr>
              <w:jc w:val="center"/>
              <w:rPr>
                <w:rFonts w:hint="eastAsia" w:ascii="宋体" w:hAnsi="宋体" w:eastAsia="宋体" w:cs="宋体"/>
                <w:i w:val="0"/>
                <w:iCs w:val="0"/>
                <w:color w:val="000000"/>
                <w:sz w:val="24"/>
                <w:szCs w:val="24"/>
                <w:u w:val="none"/>
              </w:rPr>
            </w:pPr>
          </w:p>
        </w:tc>
      </w:tr>
      <w:tr w14:paraId="29B09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051624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1631" w:type="dxa"/>
            <w:tcBorders>
              <w:top w:val="nil"/>
              <w:left w:val="nil"/>
              <w:bottom w:val="single" w:color="000000" w:sz="4" w:space="0"/>
              <w:right w:val="single" w:color="000000" w:sz="4" w:space="0"/>
            </w:tcBorders>
            <w:shd w:val="clear" w:color="auto" w:fill="auto"/>
            <w:noWrap/>
            <w:vAlign w:val="center"/>
          </w:tcPr>
          <w:p w14:paraId="2C6422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数据库安全审计系统</w:t>
            </w:r>
          </w:p>
        </w:tc>
        <w:tc>
          <w:tcPr>
            <w:tcW w:w="3704" w:type="dxa"/>
            <w:tcBorders>
              <w:top w:val="nil"/>
              <w:left w:val="nil"/>
              <w:bottom w:val="single" w:color="000000" w:sz="4" w:space="0"/>
              <w:right w:val="single" w:color="000000" w:sz="4" w:space="0"/>
            </w:tcBorders>
            <w:shd w:val="clear" w:color="auto" w:fill="auto"/>
            <w:vAlign w:val="center"/>
          </w:tcPr>
          <w:p w14:paraId="20A6BC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标准1U设备，6个千兆电口（含1个管理口，1个HA口），1个接口扩展槽，1个RJ45串口，硬盘4T，单电源；默认3个被审计DB服务数，可扩充，支持Oracle、SQL-Server、MySQL等数据库的审计。提供3年维保服务。峰值事务处理能力：11000(条/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2.事件查询需返回全部符合查询条件的事件，不可限制最大返回数量，防止因返回结果不全导致异常信息遗漏；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3.系统支持数据库中存储过程自动学习，可学习存储过程中涉及的操作并与审计事件中的存储过程名进行关联，方便确认存储过程是否存在风险。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4.支持审计HTTP和HTTPS协议的URL、访问模式、cookie、页面内容、Post内容。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5.数据库审计支持用户数据库中敏感信息的自动发现，可定位敏感数据存储的服务器、库名、表名、列名，并形成针对敏感信息的审计规则，</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6.敏感数据发现可支持Oracle、ms-sql、Mysql、DB2、PostgreSQL、ES等常见关系型数据库与大数据库协议。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用户操作轨迹图展示，轨迹图维度可根据资源账号、源ip、客户端程序名、命令、表名、错误码等按需定义，可根据昨天、最近七天、最近30天以及自定义时间进行轨迹显示，可显示下一节点数量，可在某一维度中进行筛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8.支持审计HTTP和HTTPS协议的URL、访问模式、cookie、页面内容、Post内容。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9.支持SSH协议审计，能够审计用户名、操作命令、命令响应时间、返回码等；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10.可审计记录FTP、邮件、HTTP、HTTPS、SCP、SFTP等方式传输的文件（包括文本、Word、Excel等格式），并且可对审计到的文件进行查询和下载。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11.支持文件内容关键字审计，当网络中传输的文件包含关键字时，可进行告警，对于压缩包中包含关键字的文件可准确定位压缩包中路径。</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12.数据库审计支持用户环境中的数据库和资源账号、表名的自动发现，方便用户使用。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13.支持动态口令卡认证，账号具备独立动态口令卡，提升管理员账号安全级别，降低账号泄露风险。</w:t>
            </w:r>
          </w:p>
        </w:tc>
        <w:tc>
          <w:tcPr>
            <w:tcW w:w="1552" w:type="dxa"/>
            <w:tcBorders>
              <w:top w:val="nil"/>
              <w:left w:val="nil"/>
              <w:bottom w:val="single" w:color="000000" w:sz="4" w:space="0"/>
              <w:right w:val="single" w:color="000000" w:sz="4" w:space="0"/>
            </w:tcBorders>
            <w:shd w:val="clear" w:color="auto" w:fill="auto"/>
            <w:noWrap/>
            <w:vAlign w:val="center"/>
          </w:tcPr>
          <w:p w14:paraId="030A2D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天融信、深信服、启明星辰</w:t>
            </w:r>
          </w:p>
        </w:tc>
        <w:tc>
          <w:tcPr>
            <w:tcW w:w="761" w:type="dxa"/>
            <w:tcBorders>
              <w:top w:val="nil"/>
              <w:left w:val="nil"/>
              <w:bottom w:val="single" w:color="000000" w:sz="4" w:space="0"/>
              <w:right w:val="single" w:color="000000" w:sz="4" w:space="0"/>
            </w:tcBorders>
            <w:shd w:val="clear" w:color="auto" w:fill="auto"/>
            <w:noWrap/>
            <w:vAlign w:val="center"/>
          </w:tcPr>
          <w:p w14:paraId="5B73604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nil"/>
              <w:left w:val="nil"/>
              <w:bottom w:val="single" w:color="000000" w:sz="4" w:space="0"/>
              <w:right w:val="single" w:color="000000" w:sz="4" w:space="0"/>
            </w:tcBorders>
            <w:shd w:val="clear" w:color="auto" w:fill="auto"/>
            <w:noWrap/>
            <w:vAlign w:val="center"/>
          </w:tcPr>
          <w:p w14:paraId="119C96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64FE5826">
            <w:pPr>
              <w:jc w:val="center"/>
              <w:rPr>
                <w:rFonts w:hint="eastAsia" w:ascii="宋体" w:hAnsi="宋体" w:eastAsia="宋体" w:cs="宋体"/>
                <w:i w:val="0"/>
                <w:iCs w:val="0"/>
                <w:color w:val="000000"/>
                <w:sz w:val="24"/>
                <w:szCs w:val="24"/>
                <w:u w:val="none"/>
              </w:rPr>
            </w:pPr>
          </w:p>
        </w:tc>
      </w:tr>
      <w:tr w14:paraId="1CFED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529D9BA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w:t>
            </w:r>
          </w:p>
        </w:tc>
        <w:tc>
          <w:tcPr>
            <w:tcW w:w="1631" w:type="dxa"/>
            <w:tcBorders>
              <w:top w:val="nil"/>
              <w:left w:val="nil"/>
              <w:bottom w:val="single" w:color="000000" w:sz="4" w:space="0"/>
              <w:right w:val="single" w:color="000000" w:sz="4" w:space="0"/>
            </w:tcBorders>
            <w:shd w:val="clear" w:color="auto" w:fill="auto"/>
            <w:noWrap/>
            <w:vAlign w:val="center"/>
          </w:tcPr>
          <w:p w14:paraId="424CF4F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运维安全管理系统</w:t>
            </w:r>
          </w:p>
        </w:tc>
        <w:tc>
          <w:tcPr>
            <w:tcW w:w="3704" w:type="dxa"/>
            <w:tcBorders>
              <w:top w:val="nil"/>
              <w:left w:val="nil"/>
              <w:bottom w:val="single" w:color="000000" w:sz="4" w:space="0"/>
              <w:right w:val="single" w:color="000000" w:sz="4" w:space="0"/>
            </w:tcBorders>
            <w:shd w:val="clear" w:color="auto" w:fill="auto"/>
            <w:vAlign w:val="center"/>
          </w:tcPr>
          <w:p w14:paraId="4D0568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U机架式设备，配置不少于6个千兆电口，2个千兆SFP光口，2个万兆SFP+光口，2个扩展插槽，1个console管理口，硬盘容量≥4TB，单电源，带液晶面板，包含≥50点被管理资源数，提供3年维保服务。字符并发≥600，图形并发≥200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2.支持IP地址归属地识别，以保障运维安全性，提供IP地址库检索相关技术证明</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3.运维用户可以设置自动运维操作定时/周期执行，实现网络设备配置的自动备份、供用户查看、下载。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4.支持会话监控切换展示风格，可将同一用户的在线会话进行合并到一个列表，方便审计员进行审计。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无缝对接主流AI大模型（如DeepSeek、通义千问、九天大模型等），并基于用户角色实现大模型应用差异化呈现及安全代理。支持文本、图片、文档、音频等多模态数据输入管控；可基于用户角色实现差异化输入管控。支持对不涉及行业敏感信息，但对不同业务部门敏感的信息，实现基于与大模型交互请求及回复的识别管控。支持影子AI管控，显示已识别到的AI列表，默认状态为已识别，可以切换为封控状态，当切换到已封控状态后执行封控动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6.支持限定配置中可指定用户通过指定的应用发布服务器对资源进行访问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7.支持以资源为视角进行用户访问授权，可在具体资源上直接进行用户角色绑定，提高授权关系绑定易用性和灵活性.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8.支持数据库协议自动改密，改密类型支持：Oracle、PostgreSQL、MySql、DB2、Informix 、SYBASE，Mssql(2005,2008,2012)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9.支持僵尸、幽灵、孤儿帐号稽核功能，并可以导出异常账号稽核情况报告，方便管理员统计异常账号情况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10.支持管理员通过WEB界面自定义上传用户手册，保证使用手册及时更新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11.支持运维人员在苹果（iMac,iPad,iPhone）和安卓终端以SSH/RDP直连菜单模式登录堡垒机并进行运维操作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12.通过应用发布只能访问已授权资源，无法通过应用工具新建未授权资源进行跳转连接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13.支持web页面或数据库防跳转功能，进行http/https访问过程中，运维人员仅允许访问授权地址</w:t>
            </w:r>
          </w:p>
        </w:tc>
        <w:tc>
          <w:tcPr>
            <w:tcW w:w="1552" w:type="dxa"/>
            <w:tcBorders>
              <w:top w:val="nil"/>
              <w:left w:val="nil"/>
              <w:bottom w:val="single" w:color="000000" w:sz="4" w:space="0"/>
              <w:right w:val="single" w:color="000000" w:sz="4" w:space="0"/>
            </w:tcBorders>
            <w:shd w:val="clear" w:color="auto" w:fill="auto"/>
            <w:noWrap/>
            <w:vAlign w:val="center"/>
          </w:tcPr>
          <w:p w14:paraId="021261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天融信、深信服、启明星辰</w:t>
            </w:r>
          </w:p>
        </w:tc>
        <w:tc>
          <w:tcPr>
            <w:tcW w:w="761" w:type="dxa"/>
            <w:tcBorders>
              <w:top w:val="nil"/>
              <w:left w:val="nil"/>
              <w:bottom w:val="single" w:color="000000" w:sz="4" w:space="0"/>
              <w:right w:val="single" w:color="000000" w:sz="4" w:space="0"/>
            </w:tcBorders>
            <w:shd w:val="clear" w:color="auto" w:fill="auto"/>
            <w:noWrap/>
            <w:vAlign w:val="center"/>
          </w:tcPr>
          <w:p w14:paraId="73C222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nil"/>
              <w:left w:val="nil"/>
              <w:bottom w:val="single" w:color="000000" w:sz="4" w:space="0"/>
              <w:right w:val="single" w:color="000000" w:sz="4" w:space="0"/>
            </w:tcBorders>
            <w:shd w:val="clear" w:color="auto" w:fill="auto"/>
            <w:noWrap/>
            <w:vAlign w:val="center"/>
          </w:tcPr>
          <w:p w14:paraId="274C6B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56F2596A">
            <w:pPr>
              <w:jc w:val="center"/>
              <w:rPr>
                <w:rFonts w:hint="eastAsia" w:ascii="宋体" w:hAnsi="宋体" w:eastAsia="宋体" w:cs="宋体"/>
                <w:i w:val="0"/>
                <w:iCs w:val="0"/>
                <w:color w:val="000000"/>
                <w:sz w:val="24"/>
                <w:szCs w:val="24"/>
                <w:u w:val="none"/>
              </w:rPr>
            </w:pPr>
          </w:p>
        </w:tc>
      </w:tr>
      <w:tr w14:paraId="51903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085A74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DE6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国产化数据库软件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BC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1.兼容性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兼容性100%兼容MySQL，基于MySQL开发的业务和周边工具可以无缝接入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支持MySQL5.7和8.0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2.高可用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支持数据库故障自动切换功能，当主实例发生异常时，系统会立即检测并自动将流量无缝切换至备用实例，确保业务连续性，用户无需手动干预即可实现零感知的高可用保障。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内置读写分离能力，支持将读请求自动分发至只读实例，写请求定向到主实例，有效分担主实例负载，提升数据库整体吞吐量，适用于高并发查询场景。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提供数据闪回功能，可通过解析UNDO快速回溯到误操作前的数据状态，无需全量恢复备份，大幅缩短数据修复时间，保障业务数据安全性与可靠性。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支持回收站机制，删除的数据库表或实例会暂时保留在回收站中，用户可灵活恢复误删数据，避免因误操作导致的数据永久丢失问题。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提供全量备份与增量备份能力，支持按时间点或备份集恢复数据，确保数据安全且恢复过程高效便捷。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3.运维管理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内置多维度的监控与统计功能，可实时查看实例性能指标（如CPU、内存、连接数）、存储使用情况及SQL执行详情，帮助用户精准掌握数据库运行状态。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提供灵活的实例管理功能，支持在线升降配实例规格、调整存储空间、重启实例等操作，满足业务弹性扩展需求，降低运维复杂度。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支持自定义阈值告警规则，支持客户现有告警监控平台调用，助力用户快速响应潜在风险。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4.性能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采用线程池技术优化连接管理，通过复用线程资源减少频繁创建销毁的开销，有效应对高并发场景，提升数据库稳定性和响应速度。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支持并行处理Binlog写入与复制，通过多线程机制提升日志同步效率，降低主备延迟，保障分布式架构下的数据一致性。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实现DDL（数据定义语言）操作的并行执行，大幅缩短表结构变更（如加索引、改字段）的耗时，减少对线上业务的影响。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提供执行计划绑定与固定功能，可手动干预或自动优化SQL查询路径，避免因统计信息变化导致的性能波动，确保关键业务查询稳定性。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支持动态调整事务和查询的并发度，通过资源隔离与优先级调度机制，防止资源争抢导致的性能瓶颈，保障核心业务流畅运行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针对高频更新的热点数据，通过行锁优化、异步提交等技术减少冲突，提升并发写入效率，有效应对秒杀、高并发表更新等场景。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drop表时，不立刻删除表文件，在后台异步、平缓地清理表文件，降低对系统IO的冲击</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支持大事务快速提交，最高支持6.4GB binlog的提交时间小于1秒。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5.安全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提供细粒度的账户权限管理，支持创建、删除用户账号，并按库、表级别分配读写权限，满足企业级多角色协同的数据安全需求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支持IP白名单配置，仅允许指定IP或IP段访问数据库实例，结合VPC网络隔离，从网络层加固数据访问安全性，防御未授权访问。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支持通过SSL/TLS协议加密数据库连接，确保数据传输过程中的机密性与完整性，满足金融、政务等场景对数据安全的合规性要求。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6.生态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支持Redhat、麒麟、CentOS、统信等操作系统。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支持Intel、AMD、鲲鹏、海光、飞腾等芯片架构</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7.可靠性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通过中国信息安全测评中心组织的国家安全可靠测评</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D1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达梦、人大金仓、PolarDB</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FD8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E60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295D4427">
            <w:pPr>
              <w:jc w:val="center"/>
              <w:rPr>
                <w:rFonts w:hint="eastAsia" w:ascii="宋体" w:hAnsi="宋体" w:eastAsia="宋体" w:cs="宋体"/>
                <w:i w:val="0"/>
                <w:iCs w:val="0"/>
                <w:color w:val="000000"/>
                <w:sz w:val="24"/>
                <w:szCs w:val="24"/>
                <w:u w:val="none"/>
              </w:rPr>
            </w:pPr>
          </w:p>
        </w:tc>
      </w:tr>
      <w:tr w14:paraId="13AEE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66BFE18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w:t>
            </w:r>
          </w:p>
        </w:tc>
        <w:tc>
          <w:tcPr>
            <w:tcW w:w="1631" w:type="dxa"/>
            <w:tcBorders>
              <w:top w:val="nil"/>
              <w:left w:val="nil"/>
              <w:bottom w:val="single" w:color="000000" w:sz="4" w:space="0"/>
              <w:right w:val="single" w:color="000000" w:sz="4" w:space="0"/>
            </w:tcBorders>
            <w:shd w:val="clear" w:color="auto" w:fill="auto"/>
            <w:noWrap/>
            <w:vAlign w:val="center"/>
          </w:tcPr>
          <w:p w14:paraId="61FA1D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国产化服务器</w:t>
            </w:r>
          </w:p>
        </w:tc>
        <w:tc>
          <w:tcPr>
            <w:tcW w:w="3704" w:type="dxa"/>
            <w:tcBorders>
              <w:top w:val="nil"/>
              <w:left w:val="nil"/>
              <w:bottom w:val="single" w:color="000000" w:sz="4" w:space="0"/>
              <w:right w:val="single" w:color="000000" w:sz="4" w:space="0"/>
            </w:tcBorders>
            <w:shd w:val="clear" w:color="auto" w:fill="auto"/>
            <w:vAlign w:val="center"/>
          </w:tcPr>
          <w:p w14:paraId="6DCB35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1.CPU：2颗国产CPU， 核心数≥16核，32线程，CPU主频≥2.0Hz；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2.内存：≥64GB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3.硬盘：≥2T* 2 SAS 硬盘；≥512G SSD*2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4.操作系统：统信 UOS；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5.网卡：≥2个千兆网卡；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6.双电源；</w:t>
            </w:r>
          </w:p>
        </w:tc>
        <w:tc>
          <w:tcPr>
            <w:tcW w:w="1552" w:type="dxa"/>
            <w:tcBorders>
              <w:top w:val="nil"/>
              <w:left w:val="nil"/>
              <w:bottom w:val="single" w:color="000000" w:sz="4" w:space="0"/>
              <w:right w:val="single" w:color="000000" w:sz="4" w:space="0"/>
            </w:tcBorders>
            <w:shd w:val="clear" w:color="auto" w:fill="auto"/>
            <w:noWrap/>
            <w:vAlign w:val="center"/>
          </w:tcPr>
          <w:p w14:paraId="10A97E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浪潮、超聚变、华三</w:t>
            </w:r>
          </w:p>
        </w:tc>
        <w:tc>
          <w:tcPr>
            <w:tcW w:w="761" w:type="dxa"/>
            <w:tcBorders>
              <w:top w:val="nil"/>
              <w:left w:val="nil"/>
              <w:bottom w:val="single" w:color="000000" w:sz="4" w:space="0"/>
              <w:right w:val="single" w:color="000000" w:sz="4" w:space="0"/>
            </w:tcBorders>
            <w:shd w:val="clear" w:color="auto" w:fill="auto"/>
            <w:noWrap/>
            <w:vAlign w:val="center"/>
          </w:tcPr>
          <w:p w14:paraId="7702D92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35249D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nil"/>
              <w:left w:val="nil"/>
              <w:bottom w:val="single" w:color="000000" w:sz="4" w:space="0"/>
              <w:right w:val="single" w:color="000000" w:sz="4" w:space="0"/>
            </w:tcBorders>
            <w:shd w:val="clear" w:color="auto" w:fill="auto"/>
            <w:noWrap/>
            <w:vAlign w:val="center"/>
          </w:tcPr>
          <w:p w14:paraId="474A4558">
            <w:pPr>
              <w:jc w:val="center"/>
              <w:rPr>
                <w:rFonts w:hint="eastAsia" w:ascii="宋体" w:hAnsi="宋体" w:eastAsia="宋体" w:cs="宋体"/>
                <w:i w:val="0"/>
                <w:iCs w:val="0"/>
                <w:color w:val="000000"/>
                <w:sz w:val="24"/>
                <w:szCs w:val="24"/>
                <w:u w:val="none"/>
              </w:rPr>
            </w:pPr>
          </w:p>
        </w:tc>
      </w:tr>
      <w:tr w14:paraId="49A11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4312F6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1631" w:type="dxa"/>
            <w:tcBorders>
              <w:top w:val="nil"/>
              <w:left w:val="nil"/>
              <w:bottom w:val="single" w:color="000000" w:sz="4" w:space="0"/>
              <w:right w:val="single" w:color="000000" w:sz="4" w:space="0"/>
            </w:tcBorders>
            <w:shd w:val="clear" w:color="auto" w:fill="auto"/>
            <w:noWrap/>
            <w:vAlign w:val="center"/>
          </w:tcPr>
          <w:p w14:paraId="2D6539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等保测评</w:t>
            </w:r>
          </w:p>
        </w:tc>
        <w:tc>
          <w:tcPr>
            <w:tcW w:w="3704" w:type="dxa"/>
            <w:tcBorders>
              <w:top w:val="nil"/>
              <w:left w:val="nil"/>
              <w:bottom w:val="single" w:color="000000" w:sz="4" w:space="0"/>
              <w:right w:val="single" w:color="000000" w:sz="4" w:space="0"/>
            </w:tcBorders>
            <w:shd w:val="clear" w:color="auto" w:fill="auto"/>
            <w:noWrap/>
            <w:vAlign w:val="center"/>
          </w:tcPr>
          <w:p w14:paraId="153A11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等保测评</w:t>
            </w:r>
          </w:p>
        </w:tc>
        <w:tc>
          <w:tcPr>
            <w:tcW w:w="1552" w:type="dxa"/>
            <w:tcBorders>
              <w:top w:val="nil"/>
              <w:left w:val="nil"/>
              <w:bottom w:val="single" w:color="000000" w:sz="4" w:space="0"/>
              <w:right w:val="single" w:color="000000" w:sz="4" w:space="0"/>
            </w:tcBorders>
            <w:shd w:val="clear" w:color="auto" w:fill="auto"/>
            <w:noWrap/>
            <w:vAlign w:val="center"/>
          </w:tcPr>
          <w:p w14:paraId="1F2DC5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nil"/>
              <w:left w:val="nil"/>
              <w:bottom w:val="single" w:color="000000" w:sz="4" w:space="0"/>
              <w:right w:val="single" w:color="000000" w:sz="4" w:space="0"/>
            </w:tcBorders>
            <w:shd w:val="clear" w:color="auto" w:fill="auto"/>
            <w:noWrap/>
            <w:vAlign w:val="center"/>
          </w:tcPr>
          <w:p w14:paraId="55E294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次</w:t>
            </w:r>
          </w:p>
        </w:tc>
        <w:tc>
          <w:tcPr>
            <w:tcW w:w="705" w:type="dxa"/>
            <w:tcBorders>
              <w:top w:val="nil"/>
              <w:left w:val="nil"/>
              <w:bottom w:val="single" w:color="000000" w:sz="4" w:space="0"/>
              <w:right w:val="single" w:color="000000" w:sz="4" w:space="0"/>
            </w:tcBorders>
            <w:shd w:val="clear" w:color="auto" w:fill="auto"/>
            <w:noWrap/>
            <w:vAlign w:val="center"/>
          </w:tcPr>
          <w:p w14:paraId="3C9962F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1F2ECD11">
            <w:pPr>
              <w:jc w:val="center"/>
              <w:rPr>
                <w:rFonts w:hint="eastAsia" w:ascii="宋体" w:hAnsi="宋体" w:eastAsia="宋体" w:cs="宋体"/>
                <w:i w:val="0"/>
                <w:iCs w:val="0"/>
                <w:color w:val="000000"/>
                <w:sz w:val="24"/>
                <w:szCs w:val="24"/>
                <w:u w:val="none"/>
              </w:rPr>
            </w:pPr>
          </w:p>
        </w:tc>
      </w:tr>
      <w:tr w14:paraId="63E77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62EF73A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w:t>
            </w:r>
          </w:p>
        </w:tc>
        <w:tc>
          <w:tcPr>
            <w:tcW w:w="1631" w:type="dxa"/>
            <w:tcBorders>
              <w:top w:val="nil"/>
              <w:left w:val="nil"/>
              <w:bottom w:val="single" w:color="000000" w:sz="4" w:space="0"/>
              <w:right w:val="single" w:color="000000" w:sz="4" w:space="0"/>
            </w:tcBorders>
            <w:shd w:val="clear" w:color="auto" w:fill="auto"/>
            <w:noWrap/>
            <w:vAlign w:val="center"/>
          </w:tcPr>
          <w:p w14:paraId="5AB4FDE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服务器区交换机</w:t>
            </w:r>
          </w:p>
        </w:tc>
        <w:tc>
          <w:tcPr>
            <w:tcW w:w="3704" w:type="dxa"/>
            <w:tcBorders>
              <w:top w:val="nil"/>
              <w:left w:val="nil"/>
              <w:bottom w:val="single" w:color="000000" w:sz="4" w:space="0"/>
              <w:right w:val="single" w:color="000000" w:sz="4" w:space="0"/>
            </w:tcBorders>
            <w:shd w:val="clear" w:color="auto" w:fill="auto"/>
            <w:vAlign w:val="center"/>
          </w:tcPr>
          <w:p w14:paraId="78E5003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1.交换容量≥2.56Tbps，包转发率≥786Mpps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2.固化100/1000Mbps SFP光口≥28，复用的10/100/1000Mbps电口≥8，固化1G/10G SFP+光接口≥4个。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3.设备预留2个扩展槽。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4.长期工作温度0-50°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5.要求所投设备MAC地址≥64K，ARP表项≥20K，FIB表项≥12K。</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6.支持RIP，OSPF，BGP，RIPng，OSPFv3，BGP4+。</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7.支持专门针对CPU保护机制，可将送CPU的报文，如ARP报文的速率进行限制，使CPU的使用率降低到15%以内，保障CPU安全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8.所投交换机需支持OpenFlow 1.3协议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9.为保证IPv6的可部署性和应用性，所投交换机需具备IPv6 Ready Phase2认证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10.配置：双电源</w:t>
            </w:r>
          </w:p>
        </w:tc>
        <w:tc>
          <w:tcPr>
            <w:tcW w:w="1552" w:type="dxa"/>
            <w:tcBorders>
              <w:top w:val="nil"/>
              <w:left w:val="nil"/>
              <w:bottom w:val="single" w:color="000000" w:sz="4" w:space="0"/>
              <w:right w:val="single" w:color="000000" w:sz="4" w:space="0"/>
            </w:tcBorders>
            <w:shd w:val="clear" w:color="auto" w:fill="auto"/>
            <w:noWrap/>
            <w:vAlign w:val="center"/>
          </w:tcPr>
          <w:p w14:paraId="6783AFE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1DAF49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1C82FF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1DBFD499">
            <w:pPr>
              <w:jc w:val="center"/>
              <w:rPr>
                <w:rFonts w:hint="eastAsia" w:ascii="宋体" w:hAnsi="宋体" w:eastAsia="宋体" w:cs="宋体"/>
                <w:i w:val="0"/>
                <w:iCs w:val="0"/>
                <w:color w:val="000000"/>
                <w:sz w:val="24"/>
                <w:szCs w:val="24"/>
                <w:u w:val="none"/>
              </w:rPr>
            </w:pPr>
          </w:p>
        </w:tc>
      </w:tr>
      <w:tr w14:paraId="27025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243425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3)广播网</w:t>
            </w:r>
          </w:p>
        </w:tc>
        <w:tc>
          <w:tcPr>
            <w:tcW w:w="1631" w:type="dxa"/>
            <w:tcBorders>
              <w:top w:val="nil"/>
              <w:left w:val="nil"/>
              <w:bottom w:val="single" w:color="000000" w:sz="4" w:space="0"/>
              <w:right w:val="single" w:color="000000" w:sz="4" w:space="0"/>
            </w:tcBorders>
            <w:shd w:val="clear" w:color="auto" w:fill="auto"/>
            <w:noWrap/>
            <w:vAlign w:val="center"/>
          </w:tcPr>
          <w:p w14:paraId="0655665E">
            <w:pPr>
              <w:jc w:val="center"/>
              <w:rPr>
                <w:rFonts w:hint="eastAsia" w:ascii="宋体" w:hAnsi="宋体" w:eastAsia="宋体" w:cs="宋体"/>
                <w:i w:val="0"/>
                <w:iCs w:val="0"/>
                <w:color w:val="000000"/>
                <w:sz w:val="24"/>
                <w:szCs w:val="24"/>
                <w:u w:val="none"/>
              </w:rPr>
            </w:pPr>
          </w:p>
        </w:tc>
        <w:tc>
          <w:tcPr>
            <w:tcW w:w="3704" w:type="dxa"/>
            <w:tcBorders>
              <w:top w:val="nil"/>
              <w:left w:val="nil"/>
              <w:bottom w:val="single" w:color="000000" w:sz="4" w:space="0"/>
              <w:right w:val="single" w:color="000000" w:sz="4" w:space="0"/>
            </w:tcBorders>
            <w:shd w:val="clear" w:color="auto" w:fill="auto"/>
            <w:noWrap/>
            <w:vAlign w:val="center"/>
          </w:tcPr>
          <w:p w14:paraId="3EA9F0C0">
            <w:pPr>
              <w:jc w:val="center"/>
              <w:rPr>
                <w:rFonts w:hint="eastAsia" w:ascii="宋体" w:hAnsi="宋体" w:eastAsia="宋体" w:cs="宋体"/>
                <w:i w:val="0"/>
                <w:iCs w:val="0"/>
                <w:color w:val="000000"/>
                <w:sz w:val="24"/>
                <w:szCs w:val="24"/>
                <w:u w:val="none"/>
              </w:rPr>
            </w:pPr>
          </w:p>
        </w:tc>
        <w:tc>
          <w:tcPr>
            <w:tcW w:w="1552" w:type="dxa"/>
            <w:tcBorders>
              <w:top w:val="nil"/>
              <w:left w:val="nil"/>
              <w:bottom w:val="single" w:color="000000" w:sz="4" w:space="0"/>
              <w:right w:val="single" w:color="000000" w:sz="4" w:space="0"/>
            </w:tcBorders>
            <w:shd w:val="clear" w:color="auto" w:fill="auto"/>
            <w:noWrap/>
            <w:vAlign w:val="center"/>
          </w:tcPr>
          <w:p w14:paraId="7A14D212">
            <w:pPr>
              <w:jc w:val="center"/>
              <w:rPr>
                <w:rFonts w:hint="eastAsia" w:ascii="宋体" w:hAnsi="宋体" w:eastAsia="宋体" w:cs="宋体"/>
                <w:i w:val="0"/>
                <w:iCs w:val="0"/>
                <w:color w:val="000000"/>
                <w:sz w:val="24"/>
                <w:szCs w:val="24"/>
                <w:u w:val="none"/>
              </w:rPr>
            </w:pPr>
          </w:p>
        </w:tc>
        <w:tc>
          <w:tcPr>
            <w:tcW w:w="761" w:type="dxa"/>
            <w:tcBorders>
              <w:top w:val="nil"/>
              <w:left w:val="nil"/>
              <w:bottom w:val="single" w:color="000000" w:sz="4" w:space="0"/>
              <w:right w:val="single" w:color="000000" w:sz="4" w:space="0"/>
            </w:tcBorders>
            <w:shd w:val="clear" w:color="auto" w:fill="auto"/>
            <w:noWrap/>
            <w:vAlign w:val="center"/>
          </w:tcPr>
          <w:p w14:paraId="65879613">
            <w:pPr>
              <w:jc w:val="center"/>
              <w:rPr>
                <w:rFonts w:hint="eastAsia" w:ascii="宋体" w:hAnsi="宋体" w:eastAsia="宋体" w:cs="宋体"/>
                <w:i w:val="0"/>
                <w:iCs w:val="0"/>
                <w:color w:val="000000"/>
                <w:sz w:val="24"/>
                <w:szCs w:val="24"/>
                <w:u w:val="none"/>
              </w:rPr>
            </w:pPr>
          </w:p>
        </w:tc>
        <w:tc>
          <w:tcPr>
            <w:tcW w:w="705" w:type="dxa"/>
            <w:tcBorders>
              <w:top w:val="nil"/>
              <w:left w:val="nil"/>
              <w:bottom w:val="single" w:color="000000" w:sz="4" w:space="0"/>
              <w:right w:val="single" w:color="000000" w:sz="4" w:space="0"/>
            </w:tcBorders>
            <w:shd w:val="clear" w:color="auto" w:fill="auto"/>
            <w:noWrap/>
            <w:vAlign w:val="center"/>
          </w:tcPr>
          <w:p w14:paraId="538685BA">
            <w:pPr>
              <w:jc w:val="center"/>
              <w:rPr>
                <w:rFonts w:hint="eastAsia" w:ascii="宋体" w:hAnsi="宋体" w:eastAsia="宋体" w:cs="宋体"/>
                <w:i w:val="0"/>
                <w:iCs w:val="0"/>
                <w:color w:val="000000"/>
                <w:sz w:val="24"/>
                <w:szCs w:val="24"/>
                <w:u w:val="none"/>
              </w:rPr>
            </w:pPr>
          </w:p>
        </w:tc>
        <w:tc>
          <w:tcPr>
            <w:tcW w:w="821" w:type="dxa"/>
            <w:tcBorders>
              <w:top w:val="nil"/>
              <w:left w:val="nil"/>
              <w:bottom w:val="single" w:color="000000" w:sz="4" w:space="0"/>
              <w:right w:val="single" w:color="000000" w:sz="4" w:space="0"/>
            </w:tcBorders>
            <w:shd w:val="clear" w:color="auto" w:fill="auto"/>
            <w:noWrap/>
            <w:vAlign w:val="center"/>
          </w:tcPr>
          <w:p w14:paraId="35A7E2FB">
            <w:pPr>
              <w:jc w:val="center"/>
              <w:rPr>
                <w:rFonts w:hint="eastAsia" w:ascii="宋体" w:hAnsi="宋体" w:eastAsia="宋体" w:cs="宋体"/>
                <w:i w:val="0"/>
                <w:iCs w:val="0"/>
                <w:color w:val="000000"/>
                <w:sz w:val="24"/>
                <w:szCs w:val="24"/>
                <w:u w:val="none"/>
              </w:rPr>
            </w:pPr>
          </w:p>
        </w:tc>
      </w:tr>
      <w:tr w14:paraId="5A0FD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4F5356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nil"/>
              <w:left w:val="nil"/>
              <w:bottom w:val="single" w:color="000000" w:sz="4" w:space="0"/>
              <w:right w:val="single" w:color="000000" w:sz="4" w:space="0"/>
            </w:tcBorders>
            <w:shd w:val="clear" w:color="auto" w:fill="auto"/>
            <w:noWrap/>
            <w:vAlign w:val="center"/>
          </w:tcPr>
          <w:p w14:paraId="4CFD693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8口千兆交换机</w:t>
            </w:r>
          </w:p>
        </w:tc>
        <w:tc>
          <w:tcPr>
            <w:tcW w:w="3704" w:type="dxa"/>
            <w:tcBorders>
              <w:top w:val="nil"/>
              <w:left w:val="nil"/>
              <w:bottom w:val="single" w:color="000000" w:sz="4" w:space="0"/>
              <w:right w:val="single" w:color="000000" w:sz="4" w:space="0"/>
            </w:tcBorders>
            <w:shd w:val="clear" w:color="auto" w:fill="auto"/>
            <w:vAlign w:val="center"/>
          </w:tcPr>
          <w:p w14:paraId="225E0D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1.固化10/100/1000M以太网电口≥8个，1G/2.5G/10G SFP+光接口≥1个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2.交换容量≥432Gbps，包转发率≥80Mpps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3.为保证设备在受到外接机械碰撞时能够正常运行，要求所投交换机IK防护测试级别至少达到IK05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4.要求设备采用静音设计，噪声值＜20dB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5.支持端口浪涌抗扰度≥8KV（即具备8KV的防雷能力）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6.支持专门针对CPU的保护机制，能够针对发往CPU处理的各种报文进行流区分和优先级队列分级处理，保护交换机在各种环境下稳定工作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7.室内交换机支持零配置上线。根据不同区域的业务创建相应业务模板后，绑定设备区域位置信息，设备开箱上电后配置即可自动从软件下发，无需在接入设备端刷入配置；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8.当室内交换机出现故障，替换用的新设备支持智能零替换。支持自适应不同型号间的设备替换，以及替换后新设备支持终端在任意端口接入，并且终端在原有设备接入端口的配置可自动跟随到新设备端口；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9.支持在室内交换机上行链路断开、无法被网管软件发现纳管时，通过手持手机扫码一键拉取链路全部信息，无需逐点排查，快速定位是光模块还是光纤异常，并给出故障诊断及处理意见</w:t>
            </w:r>
          </w:p>
        </w:tc>
        <w:tc>
          <w:tcPr>
            <w:tcW w:w="1552" w:type="dxa"/>
            <w:tcBorders>
              <w:top w:val="nil"/>
              <w:left w:val="nil"/>
              <w:bottom w:val="single" w:color="000000" w:sz="4" w:space="0"/>
              <w:right w:val="single" w:color="000000" w:sz="4" w:space="0"/>
            </w:tcBorders>
            <w:shd w:val="clear" w:color="auto" w:fill="auto"/>
            <w:noWrap/>
            <w:vAlign w:val="center"/>
          </w:tcPr>
          <w:p w14:paraId="62AC07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3ECE59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57B46E3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w:t>
            </w:r>
          </w:p>
        </w:tc>
        <w:tc>
          <w:tcPr>
            <w:tcW w:w="821" w:type="dxa"/>
            <w:tcBorders>
              <w:top w:val="nil"/>
              <w:left w:val="nil"/>
              <w:bottom w:val="single" w:color="000000" w:sz="4" w:space="0"/>
              <w:right w:val="single" w:color="000000" w:sz="4" w:space="0"/>
            </w:tcBorders>
            <w:shd w:val="clear" w:color="auto" w:fill="auto"/>
            <w:noWrap/>
            <w:vAlign w:val="center"/>
          </w:tcPr>
          <w:p w14:paraId="053EEB32">
            <w:pPr>
              <w:jc w:val="center"/>
              <w:rPr>
                <w:rFonts w:hint="eastAsia" w:ascii="宋体" w:hAnsi="宋体" w:eastAsia="宋体" w:cs="宋体"/>
                <w:i w:val="0"/>
                <w:iCs w:val="0"/>
                <w:color w:val="000000"/>
                <w:sz w:val="24"/>
                <w:szCs w:val="24"/>
                <w:u w:val="none"/>
              </w:rPr>
            </w:pPr>
          </w:p>
        </w:tc>
      </w:tr>
      <w:tr w14:paraId="732AE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271105F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nil"/>
              <w:left w:val="nil"/>
              <w:bottom w:val="single" w:color="000000" w:sz="4" w:space="0"/>
              <w:right w:val="single" w:color="000000" w:sz="4" w:space="0"/>
            </w:tcBorders>
            <w:shd w:val="clear" w:color="auto" w:fill="auto"/>
            <w:noWrap/>
            <w:vAlign w:val="center"/>
          </w:tcPr>
          <w:p w14:paraId="503250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24口千兆交换机</w:t>
            </w:r>
          </w:p>
        </w:tc>
        <w:tc>
          <w:tcPr>
            <w:tcW w:w="3704" w:type="dxa"/>
            <w:tcBorders>
              <w:top w:val="nil"/>
              <w:left w:val="nil"/>
              <w:bottom w:val="single" w:color="000000" w:sz="4" w:space="0"/>
              <w:right w:val="single" w:color="000000" w:sz="4" w:space="0"/>
            </w:tcBorders>
            <w:shd w:val="clear" w:color="auto" w:fill="auto"/>
            <w:vAlign w:val="center"/>
          </w:tcPr>
          <w:p w14:paraId="33DC733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1.交换容量≥672Gbps，转发性能≥126Mpps，如官网以X/Y形式表述则以其中最小值为准。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2.固化10/100/1000M自适应以太网端口≥24个，固化1G SFP光接口≥4个。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3.要求所投设备MAC地址≥16K。</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4.要求所投产品端口的线-接地端子浪涌抗扰度≥10KV，线-线浪涌抗扰度≥0.5KV，（即具备共模10KV，差模0.5KV的防雷能力）。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5.支持虚拟化功能，可将多台物理设备虚拟化为一台逻辑设备统一管理。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6.支持OpenFlow 1.3协议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7.为保证IPv6的可部署性和应用性，交换机具备IPv6 Ready Phase2认证</w:t>
            </w:r>
          </w:p>
        </w:tc>
        <w:tc>
          <w:tcPr>
            <w:tcW w:w="1552" w:type="dxa"/>
            <w:tcBorders>
              <w:top w:val="nil"/>
              <w:left w:val="nil"/>
              <w:bottom w:val="single" w:color="000000" w:sz="4" w:space="0"/>
              <w:right w:val="single" w:color="000000" w:sz="4" w:space="0"/>
            </w:tcBorders>
            <w:shd w:val="clear" w:color="auto" w:fill="auto"/>
            <w:noWrap/>
            <w:vAlign w:val="center"/>
          </w:tcPr>
          <w:p w14:paraId="16F0DEB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15A5C9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01FB28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nil"/>
              <w:left w:val="nil"/>
              <w:bottom w:val="single" w:color="000000" w:sz="4" w:space="0"/>
              <w:right w:val="single" w:color="000000" w:sz="4" w:space="0"/>
            </w:tcBorders>
            <w:shd w:val="clear" w:color="auto" w:fill="auto"/>
            <w:noWrap/>
            <w:vAlign w:val="center"/>
          </w:tcPr>
          <w:p w14:paraId="29AC372D">
            <w:pPr>
              <w:jc w:val="center"/>
              <w:rPr>
                <w:rFonts w:hint="eastAsia" w:ascii="宋体" w:hAnsi="宋体" w:eastAsia="宋体" w:cs="宋体"/>
                <w:i w:val="0"/>
                <w:iCs w:val="0"/>
                <w:color w:val="000000"/>
                <w:sz w:val="24"/>
                <w:szCs w:val="24"/>
                <w:u w:val="none"/>
              </w:rPr>
            </w:pPr>
          </w:p>
        </w:tc>
      </w:tr>
      <w:tr w14:paraId="76F95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3C8C68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nil"/>
              <w:left w:val="nil"/>
              <w:bottom w:val="single" w:color="000000" w:sz="4" w:space="0"/>
              <w:right w:val="single" w:color="000000" w:sz="4" w:space="0"/>
            </w:tcBorders>
            <w:shd w:val="clear" w:color="auto" w:fill="auto"/>
            <w:noWrap/>
            <w:vAlign w:val="center"/>
          </w:tcPr>
          <w:p w14:paraId="0DEBC7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汇聚交换机</w:t>
            </w:r>
          </w:p>
        </w:tc>
        <w:tc>
          <w:tcPr>
            <w:tcW w:w="3704" w:type="dxa"/>
            <w:tcBorders>
              <w:top w:val="nil"/>
              <w:left w:val="nil"/>
              <w:bottom w:val="single" w:color="000000" w:sz="4" w:space="0"/>
              <w:right w:val="single" w:color="000000" w:sz="4" w:space="0"/>
            </w:tcBorders>
            <w:shd w:val="clear" w:color="auto" w:fill="auto"/>
            <w:vAlign w:val="center"/>
          </w:tcPr>
          <w:p w14:paraId="5AA290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1.交换容量≥2.56Tbps，包转发率≥786Mpps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2.固化100/1000Mbps SFP光口≥28，复用的10/100/1000Mbps电口≥8，固化1G/10G SFP+光接口≥4个。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3.设备预留2个扩展槽。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4.长期工作温度0-50°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5.要求所投设备MAC地址≥64K，ARP表项≥20K，FIB表项≥12K。</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6.支持RIP，OSPF，BGP，RIPng，OSPFv3，BGP4+。</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7.支持专门针对CPU保护机制，可将送CPU的报文，如ARP报文的速率进行限制，使CPU的使用率降低到15%以内，保障CPU安全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8.所投交换机需支持OpenFlow 1.3协议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9.为保证IPv6的可部署性和应用性，所投交换机需具备IPv6 Ready Phase2认证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10.配置：双电源</w:t>
            </w:r>
          </w:p>
        </w:tc>
        <w:tc>
          <w:tcPr>
            <w:tcW w:w="1552" w:type="dxa"/>
            <w:tcBorders>
              <w:top w:val="nil"/>
              <w:left w:val="nil"/>
              <w:bottom w:val="single" w:color="000000" w:sz="4" w:space="0"/>
              <w:right w:val="single" w:color="000000" w:sz="4" w:space="0"/>
            </w:tcBorders>
            <w:shd w:val="clear" w:color="auto" w:fill="auto"/>
            <w:noWrap/>
            <w:vAlign w:val="center"/>
          </w:tcPr>
          <w:p w14:paraId="64DAE7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08ABBBB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nil"/>
              <w:left w:val="nil"/>
              <w:bottom w:val="single" w:color="000000" w:sz="4" w:space="0"/>
              <w:right w:val="single" w:color="000000" w:sz="4" w:space="0"/>
            </w:tcBorders>
            <w:shd w:val="clear" w:color="auto" w:fill="auto"/>
            <w:noWrap/>
            <w:vAlign w:val="center"/>
          </w:tcPr>
          <w:p w14:paraId="59C3F11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nil"/>
              <w:left w:val="nil"/>
              <w:bottom w:val="single" w:color="000000" w:sz="4" w:space="0"/>
              <w:right w:val="single" w:color="000000" w:sz="4" w:space="0"/>
            </w:tcBorders>
            <w:shd w:val="clear" w:color="auto" w:fill="auto"/>
            <w:noWrap/>
            <w:vAlign w:val="center"/>
          </w:tcPr>
          <w:p w14:paraId="7BF46081">
            <w:pPr>
              <w:jc w:val="center"/>
              <w:rPr>
                <w:rFonts w:hint="eastAsia" w:ascii="宋体" w:hAnsi="宋体" w:eastAsia="宋体" w:cs="宋体"/>
                <w:i w:val="0"/>
                <w:iCs w:val="0"/>
                <w:color w:val="000000"/>
                <w:sz w:val="24"/>
                <w:szCs w:val="24"/>
                <w:u w:val="none"/>
              </w:rPr>
            </w:pPr>
          </w:p>
        </w:tc>
      </w:tr>
      <w:tr w14:paraId="519CA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nil"/>
              <w:left w:val="single" w:color="000000" w:sz="4" w:space="0"/>
              <w:bottom w:val="single" w:color="000000" w:sz="4" w:space="0"/>
              <w:right w:val="single" w:color="000000" w:sz="4" w:space="0"/>
            </w:tcBorders>
            <w:shd w:val="clear" w:color="auto" w:fill="auto"/>
            <w:noWrap/>
            <w:vAlign w:val="center"/>
          </w:tcPr>
          <w:p w14:paraId="55BC453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nil"/>
              <w:left w:val="nil"/>
              <w:bottom w:val="single" w:color="000000" w:sz="4" w:space="0"/>
              <w:right w:val="single" w:color="000000" w:sz="4" w:space="0"/>
            </w:tcBorders>
            <w:shd w:val="clear" w:color="auto" w:fill="auto"/>
            <w:noWrap/>
            <w:vAlign w:val="center"/>
          </w:tcPr>
          <w:p w14:paraId="3F44685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千兆光模块</w:t>
            </w:r>
          </w:p>
        </w:tc>
        <w:tc>
          <w:tcPr>
            <w:tcW w:w="3704" w:type="dxa"/>
            <w:tcBorders>
              <w:top w:val="nil"/>
              <w:left w:val="nil"/>
              <w:bottom w:val="single" w:color="000000" w:sz="4" w:space="0"/>
              <w:right w:val="single" w:color="000000" w:sz="4" w:space="0"/>
            </w:tcBorders>
            <w:shd w:val="clear" w:color="auto" w:fill="auto"/>
            <w:vAlign w:val="center"/>
          </w:tcPr>
          <w:p w14:paraId="2CEB3E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1000BASE-LX mini GBIC转换模块（1310nm），10km</w:t>
            </w:r>
          </w:p>
        </w:tc>
        <w:tc>
          <w:tcPr>
            <w:tcW w:w="1552" w:type="dxa"/>
            <w:tcBorders>
              <w:top w:val="nil"/>
              <w:left w:val="nil"/>
              <w:bottom w:val="single" w:color="000000" w:sz="4" w:space="0"/>
              <w:right w:val="single" w:color="000000" w:sz="4" w:space="0"/>
            </w:tcBorders>
            <w:shd w:val="clear" w:color="auto" w:fill="auto"/>
            <w:noWrap/>
            <w:vAlign w:val="center"/>
          </w:tcPr>
          <w:p w14:paraId="1179B5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华为、华三、锐捷</w:t>
            </w:r>
          </w:p>
        </w:tc>
        <w:tc>
          <w:tcPr>
            <w:tcW w:w="761" w:type="dxa"/>
            <w:tcBorders>
              <w:top w:val="nil"/>
              <w:left w:val="nil"/>
              <w:bottom w:val="single" w:color="000000" w:sz="4" w:space="0"/>
              <w:right w:val="single" w:color="000000" w:sz="4" w:space="0"/>
            </w:tcBorders>
            <w:shd w:val="clear" w:color="auto" w:fill="auto"/>
            <w:noWrap/>
            <w:vAlign w:val="center"/>
          </w:tcPr>
          <w:p w14:paraId="13F66EB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对</w:t>
            </w:r>
          </w:p>
        </w:tc>
        <w:tc>
          <w:tcPr>
            <w:tcW w:w="705" w:type="dxa"/>
            <w:tcBorders>
              <w:top w:val="nil"/>
              <w:left w:val="nil"/>
              <w:bottom w:val="single" w:color="000000" w:sz="4" w:space="0"/>
              <w:right w:val="single" w:color="000000" w:sz="4" w:space="0"/>
            </w:tcBorders>
            <w:shd w:val="clear" w:color="auto" w:fill="auto"/>
            <w:noWrap/>
            <w:vAlign w:val="center"/>
          </w:tcPr>
          <w:p w14:paraId="69C3BA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w:t>
            </w:r>
          </w:p>
        </w:tc>
        <w:tc>
          <w:tcPr>
            <w:tcW w:w="821" w:type="dxa"/>
            <w:tcBorders>
              <w:top w:val="nil"/>
              <w:left w:val="nil"/>
              <w:bottom w:val="single" w:color="000000" w:sz="4" w:space="0"/>
              <w:right w:val="single" w:color="000000" w:sz="4" w:space="0"/>
            </w:tcBorders>
            <w:shd w:val="clear" w:color="auto" w:fill="auto"/>
            <w:noWrap/>
            <w:vAlign w:val="center"/>
          </w:tcPr>
          <w:p w14:paraId="0C2B2752">
            <w:pPr>
              <w:jc w:val="center"/>
              <w:rPr>
                <w:rFonts w:hint="eastAsia" w:ascii="宋体" w:hAnsi="宋体" w:eastAsia="宋体" w:cs="宋体"/>
                <w:i w:val="0"/>
                <w:iCs w:val="0"/>
                <w:color w:val="000000"/>
                <w:sz w:val="24"/>
                <w:szCs w:val="24"/>
                <w:u w:val="none"/>
              </w:rPr>
            </w:pPr>
          </w:p>
        </w:tc>
      </w:tr>
      <w:tr w14:paraId="56EBE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BEE5F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3智慧安防系统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D25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98BA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DE31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9735">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A3BC">
            <w:pPr>
              <w:jc w:val="center"/>
              <w:rPr>
                <w:rFonts w:hint="eastAsia" w:ascii="宋体" w:hAnsi="宋体" w:eastAsia="宋体" w:cs="宋体"/>
                <w:i w:val="0"/>
                <w:iCs w:val="0"/>
                <w:color w:val="000000"/>
                <w:sz w:val="24"/>
                <w:szCs w:val="24"/>
                <w:u w:val="none"/>
              </w:rPr>
            </w:pPr>
          </w:p>
        </w:tc>
      </w:tr>
      <w:tr w14:paraId="53373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3F56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1)平台</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B0B6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391D">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3EC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015A">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62501">
            <w:pPr>
              <w:jc w:val="center"/>
              <w:rPr>
                <w:rFonts w:hint="eastAsia" w:ascii="宋体" w:hAnsi="宋体" w:eastAsia="宋体" w:cs="宋体"/>
                <w:i w:val="0"/>
                <w:iCs w:val="0"/>
                <w:color w:val="000000"/>
                <w:sz w:val="24"/>
                <w:szCs w:val="24"/>
                <w:u w:val="none"/>
              </w:rPr>
            </w:pPr>
          </w:p>
        </w:tc>
      </w:tr>
      <w:tr w14:paraId="442CF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82F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5F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校园安防管理平台</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24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软件集成系统管理、视频管理、报警管理、门禁管理、可视对讲、车辆卡口、设备运维、停车管理、教育工作台、人员布防、安全数据库11大业务系统；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一、系统管理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1、基础资源管理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（1）组织管理：支持基础信息的增删改查、导入、导出等功能；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（2）设备管理：支持视频、门禁、出入口、对讲、报警、卡口、动环、物模型等设备增删改查、导入、导出、自动搜索等功能；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用户管理：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（4）角色管理：支持角色基础信息的增删改查；角色关联权限，可配置角色的应用菜单、部门、逻辑组织以及系统资源操作权限；支持角色的复制能力；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（5）部门管理：支持部门信息增删改查、导入、导出等功能；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（6）人员管理：支持人员基础信息的增删改查、导入、导出、移动等功能；支持人员信息的采集，包含：人脸、指纹、卡片等，人脸照片支持图片质量检测；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（7）支持卡片基础信息的增删改查、导入、导出等功能；支持人员开卡、挂失、解挂、退卡、补卡、回收等功能；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（8）车辆管理：支持车辆基础信息的增删改查、导入、导出等功能；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（9）资源绑定：平台资源绑定，包含：设备、通道等，绑定的资源可供各业务系统调阅使用；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门户管理：提供门户首页内容自定义能力，支持自定义快捷入口、自定义菜单内容、自定义页面元素设置；支持门户展示元素自定义，包括页面logo图标、修改网站标题、设置并添加网站外部链接、界面微件自定义布局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（11）级联管理：提供级联管理能力，包含：实现上下级基础资源数据汇聚，视频预览、回放、对讲、反控制，门禁、卡口的抓拍记录汇聚等；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2、平台运维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（1）支持平台运维，提供服务部署维护功能、支持模块化升级部署、系统资源使用情况监控等运维相关功能；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（2）支持级联、分布式、集群，实现系统扩展及稳定性要求；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（3）支持双机热备，提升系统灾备能力，保障系统的可靠性；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（4）支持mysql数据库、云数据库切换配置，满足图片、视频、结构化数据的按需求存储；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（5）支持标准开放平台，提供rest ful 等多维度接口实现第三方系统对接；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（6）提供NTP校时服务能力，支持对服务间、服务器和设备间的统一校时；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（7）集成可信计算能力，支持程序包可信安装升级完整性校验，以及监控可执行文件可信执行功能，阻止未经授信的可疑程序（如防勒索病毒、挖矿程序）对系统造成破坏；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二、基础软件功能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1、视频管理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（1）支持实时视频、录像回放、录像下载、电视墙、雷球联动，热成像；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（2）支持与车载单兵等移动设备的对接，提供车载单兵设备GPS信息接收服务；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（3）支持手机移动客户端进行实时视频监控，音频播放，本地截图，本地录像，云台控制，远程视频回放；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（4）录像支持1/2、1/4、1/8、1/16、1/32、1/64、2、4、8、16、32、64倍速快/慢放；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2、报警管理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（1）支持报警主机接入及布撤防；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（2）提供防区管理功能检查，支持自动获取设备防区类型（即时防区、延时防区、24小时防区)并可自定义修改类型，客户端支持防区布防、撤防、消警、旁路、隔离、取消旁路操作；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3、停车管理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（1）支持出入口管理、场区管理、地图管理、收费规则管理、用户布控设置、场内超速报警；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（2）支持在线支付和无人值守；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停车概览引导，可依据停车向导跳转至对应页面，流程化完成停车业务，向导包含：停车设备、场区设置、收费规则管理、二维码管理、支付配置、系统配置；同时包括了部分统计数据，包括：今日泊位概况、今日收款占比、收款统计、车流量统计、用户总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4、门禁管理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（1）支持门禁设备管理；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（2）支持门禁应用，包括门禁的可视化开门、关门、常开、常闭、恢复正常，支持按组织、门组、收藏夹快速分类筛选门禁设备，支持紧急情况下的一键常开、恢复正常；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（3）支持门禁控制授权及复核，支持门禁管理任务查询；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（4）支持门禁系统集群，分布式方式提升接入能力；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（5）支持门禁可视化权限下发，实时展示平台当前的授权下发速率、下发进度、预计完成时间，可根据当前平台总体未完成记录数与总体下发的速率，综合换算出授权下发预计完成时间；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5、设备运维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（1）资源监控模块：支持对前端点位、物联设备、动环主机、服务器、服务进行统一纳管监控运，绘制服务拓扑；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（2）报警管理模块：支持对所纳管资源配置报警策略，并将产生的报警消息进行统一汇聚和展示，支持对报警进行确认处理，联动工单，推送报警消息、短信及邮件；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（3）自动化巡检模块：支持对前端视频点位的视频质量及录像巡检、服务器及服务的资源占用巡检、网络环境巡检；</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（4）可视化报表模块：支持故障工单统计和报警统计；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（5）系统内置前端设备、软硬件等资产类型，并可新增自定义资产类型；支持资产类型建模功能，支持新增属性类别及属性；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8、教育安保工作台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（1）面向安保人员提供统一的工作界面，用户的业务微件可按用户场景需要自由搭配、编排，核心业务数据可一屏呈现；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（2）安保业务：提供全局找人、找车、访客预约、融合检索、车辆违章管控、校门口出入管控等综合办理业务；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（3）业务微件：支持人员考勤统计、门禁授权/进出统计、车辆违章统计、在离宿统计、访客信息登记、出入校管理等业务微件配置；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（4）工作台引擎：内嵌工作台引擎，支持微件管理、我的微件、界面编排、支持管理员和用户自由编排形成业务工作台，同时一个用户可拥有多个工作台，同时支持主工作台切换；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9、加密数据库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（1）原生加密：支持采用多层级密钥保护体系，对数据做全链路加密；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（2）极致安全: 支持安全网络传输来防护网络拦截造成的信息泄露。支持一机一密的数据密态存储，让数据可用不可读；</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（3）无感对接：支持非加密数据一键导入到平台，实现数据切换；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可视化运维：提供数据库的运行监控大盘，包括CPU、内存及存储空间实时使用情况，慢sql统计分析。同时支持数据的备份还原，及时主机损坏也能通过备份数据快速恢复到新平台上，保护数据不丢失，业务稳定运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人员布控：支持白名单库、黑名单库、内部库、访客库、VIP库，同时可自定义人脸库类型管理；支持人脸库增删改查，绑定设备，通道布控以及人脸库人员添加、修改、删除、查看、下发到设备；支持身份核验、抓拍检索、人体检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三、对接公安网关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业务数据级联汇聚转发，按指定的数据传输协议接收汇聚多个下级平台数据上报，同时支持将采集的数据按指定的传输协议转发给多个上级汇聚平台，默认支持社区部标协议、内保部标协议、1400视图库协议和1400内保扩展协议。至少满足600路视频对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1、协议管理：支持不同协议标准的数据级联推送给上级平台，支持设置协议标准推送的机制参数，包括支持静态数据断线重连全量推送，动态数据推送的方式、频率、重推次数等；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2、数据对象管理：支持对网关推送的数据对象进行管理，按不同的协议进行区分及定义推送设置；数据对象支持应用类型定义，包括通用、社区、社区扩展、内保和内保扩展等，支持按应用类型快速筛选；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域管理：支持添加上级域连接及参数设置，不同的协议按指定的参数配置，包括网关分别连接本级平台和上级平台的参数；社区部标域添加下级域时，级联配置支持数据入库方式：下级域数据汇聚和同级域间数据同步，同级域间数据同步为本级数据方式处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4、数据对象级联</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（1）支持按部标协议推送数据对象，包括采集系统、采集系统状态、采集设备、采集设备状态、小区、房屋、人房关系、人员、实有单位、机动车、人脸抓拍等；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（2）支持1400视图库协议推送和接收的数据对象包括采集设备-设备对象、采集设备-设备状态对象、采集系统对象、图像对象、人脸对象、机动车对象等；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5、日志管理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（1）推送记录：支持业务数据网关作为下级往上级推送数据的失败记录查看，包括推送数据对象、数据标志码、推送时间、推送结果等；失败的日志记录支持查看推送的详细内容和手动重推操作；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（2）级联状态日志记录：支持各网关模块与各域连接状态变化的日志记录存档，日志记录支持按时间、级联域名称等关键字查询检索及导出；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（3）设备状态日志：支持1400设备状态日志记录存储及查询展示及查询导出，在同步开关打开后支持将设备状态同步到设备管理中；</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6、数据统计分析：支持查看网关与指定级联域在查询时间段内数据对象推送失败频次分析和失败错误类型统计；支持按级联域名称查看指定时间段内域连接失败的频次分析和离线时长分析；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四、系统兼容与开放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1、国产化服务器兼容：支持在市面上主流的国产化服务器部署平台，例如X86（海光）、ARM（鲲鹏）等；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2、用户终端兼容：支持提供WEB端、CS端（客户端）、APP、公众号、小程序等；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3、国产化操作系统兼容：支持适配市面上主流的国产化操作系统，例如欧拉、银河麒麟、统信UOS等；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4、平台配套的APP支持鸿蒙系统；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5、平台开放兼容，支持提供API接口满足三方系统对接需求；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6、支持提供容器系统，满足可视化应用开发规范和可插拔式业务加载，满足不同业态应用融合，统一呈现；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五、硬件参数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1、处理器：1颗国产化CPU，≥24核 主频≥2.5GHz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2、内存：配置≥64G内存 4个DDR4 DIMM插槽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3、硬盘：配置2块≥4T及以上 3.5吋 SATA 热插拔机械硬盘，最大支持8块3.5吋/2.5吋的SAS/SATA机械硬盘或固态硬盘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4、电源：2个≥900W交流电源模块，支持1+1冗余；</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989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414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C17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81980">
            <w:pPr>
              <w:jc w:val="center"/>
              <w:rPr>
                <w:rFonts w:hint="eastAsia" w:ascii="宋体" w:hAnsi="宋体" w:eastAsia="宋体" w:cs="宋体"/>
                <w:i w:val="0"/>
                <w:iCs w:val="0"/>
                <w:color w:val="000000"/>
                <w:sz w:val="24"/>
                <w:szCs w:val="24"/>
                <w:u w:val="none"/>
              </w:rPr>
            </w:pPr>
          </w:p>
        </w:tc>
      </w:tr>
      <w:tr w14:paraId="2CB7E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B09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2)视频监控子系统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1E9DB">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A96F0">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A2264">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070B">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E5F74">
            <w:pPr>
              <w:jc w:val="center"/>
              <w:rPr>
                <w:rFonts w:hint="eastAsia" w:ascii="宋体" w:hAnsi="宋体" w:eastAsia="宋体" w:cs="宋体"/>
                <w:i w:val="0"/>
                <w:iCs w:val="0"/>
                <w:color w:val="000000"/>
                <w:sz w:val="24"/>
                <w:szCs w:val="24"/>
                <w:u w:val="none"/>
              </w:rPr>
            </w:pPr>
          </w:p>
        </w:tc>
      </w:tr>
      <w:tr w14:paraId="3A65D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6602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2.1)前端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28427">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F5FE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F091F">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D6019">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A2E23">
            <w:pPr>
              <w:jc w:val="center"/>
              <w:rPr>
                <w:rFonts w:hint="eastAsia" w:ascii="宋体" w:hAnsi="宋体" w:eastAsia="宋体" w:cs="宋体"/>
                <w:i w:val="0"/>
                <w:iCs w:val="0"/>
                <w:color w:val="000000"/>
                <w:sz w:val="24"/>
                <w:szCs w:val="24"/>
                <w:u w:val="none"/>
              </w:rPr>
            </w:pPr>
          </w:p>
        </w:tc>
      </w:tr>
      <w:tr w14:paraId="549D1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B59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57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室内外枪型彩色摄像机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7FB8">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1、内置GPU芯片，支持深度学习算法，有效提升检测准确率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支持车辆检测：支持机动车抓拍及报警联动，支持机动车号牌识别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支持人脸检测：支持跟踪，支持优选，支持抓拍，支持上报最优的人脸抓图，支持人脸抓图增强，人脸曝光，支持人脸属性提取，支持6种属性，8种表情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支持绊线入侵，区域入侵，快速移动，物品遗留，物品搬移，徘徊检测，人员聚集，停车检测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支持声光报警联动，当报警产生时，可触发联动声音警报和灯光闪烁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支持一键撤防，可在自定义设置的时间段内对报警输出，邮件，音频，灯光等事件联动项进行统一撤防控制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支持三码流功能，两路高清视频显示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采用≥1/2.7英寸CMOS图像传感器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最大可输出400万（2688 × 1520）@25fps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支持H.265编码，压缩比高，实现超低码流传输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内置高效暖光和红外补光灯，红外监控距离≥60米，暖光监控距离≥30米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支持走廊模式，宽动态，3D降噪，强光抑制，背光补偿，数字水印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支持ROI，SMART H.264/H.265，AI H.264/H.265，灵活编码，适用不同带宽和存储环境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内置双麦克和扬声器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支持DC12V/PoE供电方式，支持电源热备份，方便工程安装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支持≥IP67防护等级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17、具有周界大模型算法目标检测功能，可对距离样机160m处不小于20×20像素的目标（人员、机动车、非机动车）触发的绊线入侵事件进行检测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18、补光灯表面为微四边形阵列,采用多层透镜结构补光灯开启后,无明显波纹状、圆环状、麻点状、条纹状及不规则亮斑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环境照度不低于100lx，在距离样机100m处，画面成像目标宽度不小于20像素的5人依次循环通过进行绊线入侵试验，试验人员通行速度不小于1m/s，人员通行时间间隔不小于1s，共重复100人次，触发绊线入侵报警事件不小于99人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20、智能行为自学习功能检验:支持自学习功能,可通过样机本地SD卡将录像导入负样本经验库,可有效过滤经验库中的误报事件;最大支持关联5个经验库</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142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7D9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4B1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52638">
            <w:pPr>
              <w:jc w:val="center"/>
              <w:rPr>
                <w:rFonts w:hint="eastAsia" w:ascii="宋体" w:hAnsi="宋体" w:eastAsia="宋体" w:cs="宋体"/>
                <w:i w:val="0"/>
                <w:iCs w:val="0"/>
                <w:color w:val="000000"/>
                <w:sz w:val="24"/>
                <w:szCs w:val="24"/>
                <w:u w:val="none"/>
              </w:rPr>
            </w:pPr>
          </w:p>
        </w:tc>
      </w:tr>
      <w:tr w14:paraId="528BF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1F1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EA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室内半球彩色摄像机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A6D5D">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1、内置GPU芯片，支持深度学习算法，有效提升检测准确率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支持车辆检测：支持机动车抓拍及报警联动，支持机动车号牌识别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支持人脸检测：支持跟踪，支持优选，支持抓拍，支持上报最优的人脸抓图，支持人脸抓图增强，人脸曝光，支持人脸属性提取，支持6种属性，8种表情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支持绊线入侵，区域入侵，快速移动，物品遗留，物品搬移，徘徊检测，人员聚集，停车检测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支持声光报警联动，当报警产生时，可触发联动声音警报和灯光闪烁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支持一键撤防，可在自定义设置的时间段内对报警输出，邮件，音频，灯光等事件联动项进行统一撤防控制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支持三码流功能，两路高清视频显示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采用≥1/2.7英寸CMOS图像传感器，低照度效果好，图像清晰度高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最大可输出400万（2688 × 1520）@25fps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支持H.265编码，压缩比高，实现超低码流传输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内置高效暖光和红外补光灯，红外监控距离≥50米，暖光监控距离≥20米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支持走廊模式，宽动态，3D降噪，强光抑制，背光补偿，数字水印，适用不同监控环境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支持ROI，SMART H.264/H.265，AI H.264/H.265，灵活编码，适用不同带宽和存储环境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内置双麦克和扬声器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支持DC12V/PoE供电方式，支持电源热备份，方便工程安装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支持≥IP67，IK10防护等级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开启绊线入侵，支持针对人、机动车、动物3类有效目标进行检测,并触发报警和设置事件联动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 支持自学习功能,可通过设备本地SD卡将录像导入负样本经验库,可减少误报事件;最大支持关联5个经验库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 环境照度不高于0.51x,开启超感光功能后,可自动调节画面中人脸、人体目标以及环境景物的亮度、色彩饱和度、对比度、锐度</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050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E0C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C52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46892">
            <w:pPr>
              <w:jc w:val="center"/>
              <w:rPr>
                <w:rFonts w:hint="eastAsia" w:ascii="宋体" w:hAnsi="宋体" w:eastAsia="宋体" w:cs="宋体"/>
                <w:i w:val="0"/>
                <w:iCs w:val="0"/>
                <w:color w:val="000000"/>
                <w:sz w:val="24"/>
                <w:szCs w:val="24"/>
                <w:u w:val="none"/>
              </w:rPr>
            </w:pPr>
          </w:p>
        </w:tc>
      </w:tr>
      <w:tr w14:paraId="44CC1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E109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3A2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周界摄像机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1775">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1、内置GPU芯片，支持深度学习算法，有效提升检测准确率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支持车辆检测：支持机动车抓拍及报警联动，支持机动车号牌识别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支持人脸检测：支持跟踪，支持优选，支持抓拍，支持上报最优的人脸抓图，支持人脸抓图增强，人脸曝光，支持人脸属性提取，支持6种属性，8种表情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支持绊线入侵，区域入侵，快速移动，物品遗留，物品搬移，徘徊检测，人员聚集，停车检测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支持声光报警联动，当报警产生时，可触发联动声音警报和灯光闪烁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支持一键撤防，可在自定义设置的时间段内对报警输出，邮件，音频，灯光等事件联动项进行统一撤防控制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采用≥1/2.7英寸CMOS图像传感器，低照度效果好，图像清晰度高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可输出≥400万（2688 × 1520）@25fps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支持H.265编码，压缩比高，实现超低码流传输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内置高效暖光和红外补光灯，红外监控距离≥60米，暖光监控距离≥30米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支持走廊模式，宽动态，3D降噪，强光抑制，背光补偿，数字水印，适用不同监控环境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支持ROI，SMART H.264/H.265，AI H.264/H.265，灵活编码，适用不同带宽和存储环境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内置双麦克和扬声器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支持DC12V/PoE供电方式，支持电源热备份，方便工程安装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支持≥IP67防护等级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16、支持针对人、机动车、动物3类有效目标进行检测,并触发报警和设置事件联动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17、支持自学习功能,可通过设备本地SD卡将录像导入负样本经验库,可有效过滤经验库中的误报事件;最大支持关联5个经验库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 支持定时语音播报,最大可添加10个不同语音文件,可设置时间优先、次数优先,播放间隔可设置,支持针对不同语音单独配置播放时间计划</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D9AB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B1C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31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08773">
            <w:pPr>
              <w:jc w:val="center"/>
              <w:rPr>
                <w:rFonts w:hint="eastAsia" w:ascii="宋体" w:hAnsi="宋体" w:eastAsia="宋体" w:cs="宋体"/>
                <w:i w:val="0"/>
                <w:iCs w:val="0"/>
                <w:color w:val="000000"/>
                <w:sz w:val="24"/>
                <w:szCs w:val="24"/>
                <w:u w:val="none"/>
              </w:rPr>
            </w:pPr>
          </w:p>
        </w:tc>
      </w:tr>
      <w:tr w14:paraId="2290B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D63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25F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阳光厨房摄像机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32E58">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垃圾桶未盖、玩手机检测、人员着装检测（口罩、帽子、衣服颜色）智能功能，并能够同时进行布控；支持老鼠检测，结合智能分时复用功能，实现白天监控人员，晚上监测老鼠；支持通过485接入温湿度和电量传感器，对厨房环境进行数据监测，当超过设定值时进行报警提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2、相机前盖采用卡扣式设计，便于拆卸更换及安装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内置GPU芯片，支持深度学习算法，有效提升检测准确率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采用≥1/2.7英寸CMOS图像传感器，低照度效果好，图像清晰度高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输出≥400万(2688 x 1520)@25fps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支持H.265编码，压缩比高，实现超低码流传输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内置高效红外补光灯，最大补光监控距离80米;内置暖光灯，最大补光监控距离30米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支持ROI，SMART H.264/H.265，灵活编码，适用不同带宽和存储环境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支持走廊模式，宽动态，3D降噪，强光抑制，背光补偿，数字水印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支持智能侦测：区域入侵，绊线入侵，快速移动（三项均支持人车分类及精准检测），物品遗留，物品搬移，徘徊检测，人员聚集，停车检测，人脸检测，人数统计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支持通过485接入温湿度传感器和电量传感器的超限报警功能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支持多种异常检测：动态检测，视频遮挡，场景变更，音频异常侦测，无SD卡，SD卡空间不足，SD卡出错，网络断开，IP冲突，非法访问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支持报警2进2出，音频1进1出，485，BNC，电源返送，最大支持512G Micro SD卡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支持DC12V/PoE供电方式，方便工程安装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支持≥IP67防护等级</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996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9C9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F48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19</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5CCA4">
            <w:pPr>
              <w:jc w:val="center"/>
              <w:rPr>
                <w:rFonts w:hint="eastAsia" w:ascii="宋体" w:hAnsi="宋体" w:eastAsia="宋体" w:cs="宋体"/>
                <w:i w:val="0"/>
                <w:iCs w:val="0"/>
                <w:color w:val="000000"/>
                <w:sz w:val="24"/>
                <w:szCs w:val="24"/>
                <w:u w:val="none"/>
              </w:rPr>
            </w:pPr>
          </w:p>
        </w:tc>
      </w:tr>
      <w:tr w14:paraId="543F0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7B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386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人脸抓拍枪式摄像机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9C4A">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1、内置GPU芯片，支持深度学习算法，有效提升检测准确率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采用≥400万像素1/1.8英寸CMOS图像传感器，低照度效果好，图像清晰度高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可输出≥400万(2688×1520)@25/30fps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支持H.265编码，压缩比高，实现超低码流传输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支持六种智能资源切换：通用行为分析、人脸检测、人脸识别、视频结构化、人数统计、道路监控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支持视频结构化：支持机动车、非机动车、人脸、人员等目标的抓拍和属性识别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支持道路监控：支持非机动车逆行检测、支持机动车占非机动车道检测、支持交通拥堵、支持机动车与非机动车车牌识别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支持人脸检测：支持跟踪，支持优选，支持抓拍，支持上报最优的人脸抓图，支持人脸增强，人脸曝光，支持人脸属性提取，支持6种属性，8种表情，支持人脸去重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支持人脸识别：支持添加10个人脸库，支持1万人脸底库的人脸比对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支持人数统计：支持排队管理，支持区域内人数统计，支持进入/离开/经过人数统计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支持绊线入侵，区域入侵，快速移动，物品遗留，物品搬移，徘徊检测，人员聚集，停车检测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支持五码流功能，两路高清视频显示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支持声光报警联动，当报警产生时，可触发联动声音警报和灯光闪烁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支持走廊模式，强光抑制，背光补偿，数字水印，适用不同监控环境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支持ROI，SMART H.264/H.265，灵活编码，平均码流控制，适用不同带宽和存储环境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支持报警≥3进2出，音频≥2进1出，485，BNC，最大支持512GB Micro SD卡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内置双麦克风，集成大华自主降噪算法，具有自适应降噪能力，可满足20米远程拾音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 内置高保真大口径扬声器，可覆盖室内30米距离</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 支持DC12V/AC24V/PoE供电方式，支持12V电源返送，最大电流165mA，峰值电流700mA，方便工程安装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 支持配套外置电动云台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 支持自动玻璃加热除雾功能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 支持指示灯显示工作状态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23、 支持北斗定位与校时功能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24、 支持一键超景深功能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25、 支持≥IP67防护等级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26、镜头前盖玻璃呈倾斜状，与镜头平面呈8°夹角，可改变沿镜头光轴方向入射光束的反射光方向，降低鬼影对视频画面的影响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27、当人脸、人体、车身、车牌目标在画面中横向运动时，因速度过快或环境亮度动态范围过大，导致画面出现拖影与重影现象时，开启功能，可消除人脸、人体、车身、车牌目标横向拖影与重影现象，并自动调节画面亮度、锐度</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3BA7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29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87F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D8943">
            <w:pPr>
              <w:jc w:val="center"/>
              <w:rPr>
                <w:rFonts w:hint="eastAsia" w:ascii="宋体" w:hAnsi="宋体" w:eastAsia="宋体" w:cs="宋体"/>
                <w:i w:val="0"/>
                <w:iCs w:val="0"/>
                <w:color w:val="000000"/>
                <w:sz w:val="24"/>
                <w:szCs w:val="24"/>
                <w:u w:val="none"/>
              </w:rPr>
            </w:pPr>
          </w:p>
        </w:tc>
      </w:tr>
      <w:tr w14:paraId="50961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96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B51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人脸抓拍半球摄像机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67CED">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1、内置GPU芯片，支持深度学习算法，有效提升检测准确率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采用≥400万像素1/2.9英寸CMOS图像传感器，低照度效果好，图像清晰度高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可输出≥400万(2688×1520)@25/30fps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支持H.265编码，压缩比高，实现超低码流传输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内置高效暖光灯和红外补光灯，红外监控距离≥40米，暖光监控距离≥20米，人脸检测距离≥4米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支持六种智能资源切换：通用行为分析、人脸检测、人脸识别、视频结构化、人数统计、道路监控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支持视频结构化：支持机动车、非机动车、人脸、人员等目标的抓拍和属性识别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支持人脸检测：支持跟踪，支持优选，支持抓拍，支持上报最优的人脸抓图，支持人脸抓图增强，人脸曝光，支持人脸属性提取，支持6种属性，8种表情，支持人脸去重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支持人脸识别：支持添加≥10个人脸库，支持1万人脸底库的人脸比对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支持人数统计：支持排队管理，支持区域内人数统计，支持进入/离开/经过人数统计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支持绊线入侵，区域入侵，快速移动，物品遗留，物品搬移，徘徊检测，人员聚集，停车检测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支持五码流功能，两路高清视频显示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支持声光报警联动，当报警产生时，可触发联动声音警报和灯光闪烁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支持走廊模式，强光抑制，背光补偿，数字水印，适用不同监控环境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支持ROI，AI 编码，灵活编码，平均码流控制，适用不同带宽和存储环境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支持报警≥2进2出，音频≥1进1出，485，最大支持1TB Micro SD卡，内置双麦克和扬声器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支持DC12V/PoE供电方式，支持12V电源返送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 支持≥IP67、IK10防护等级</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8F97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F56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F2BF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EE57D">
            <w:pPr>
              <w:jc w:val="center"/>
              <w:rPr>
                <w:rFonts w:hint="eastAsia" w:ascii="宋体" w:hAnsi="宋体" w:eastAsia="宋体" w:cs="宋体"/>
                <w:i w:val="0"/>
                <w:iCs w:val="0"/>
                <w:color w:val="000000"/>
                <w:sz w:val="24"/>
                <w:szCs w:val="24"/>
                <w:u w:val="none"/>
              </w:rPr>
            </w:pPr>
          </w:p>
        </w:tc>
      </w:tr>
      <w:tr w14:paraId="3BA1A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7C42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B0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电梯专用彩色摄像机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B3DA6">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1、内置GPU芯片，支持深度学习算法，有效提升检测准确率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支持智能资源同开：电瓶车检测、开关门检测、人脸检测、人数统计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支持电瓶车入梯检测算法，可实现电瓶车入梯行为的检测及报警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支持困人识别、梯门状态异常检测，并联动录像、事件上传、报警输出、声光警戒等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支持人脸检测：支持跟踪，支持优选，支持抓拍，支持上报最优的人脸抓图，支持人脸增强，人脸曝光，支持人脸属性提取，支持6种属性，8种表情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支持人数统计：支持排队管理；支持区域内人数统计，进入/离开人数统计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采用≥400万像素1/2.9英寸CMOS图像传感器，低照度效果好，图像清晰度高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可输出≥400万(2688×1520)@25/30fps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支持H.265编码，压缩比高，实现超低码流传输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内置高效红外补光灯，最大红外监控距离10米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支持声光报警联动，当报警产生时，可触发联动声音警报和灯光闪烁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支持走廊模式，宽动态，3D降噪，强光抑制，背光补偿，数字水印，适用不同监控环境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支持ROI，SMART H.264/H.265，灵活编码，适用不同带宽和存储环境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支持报警≥1进1出（报警输出为干式报警，支持常开/常闭），音频≥1进1出，485，最大支持256G Micro SD卡，内置麦克风，内置扬声器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支持≥IP67/IK10防护等级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支持DC12V/PoE供电方式，12V电源返送，最大电流165mA，峰值电流700mA，用于楼显传感器供电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出厂自带楼层显示传感器，可对接设备，显示电梯所在楼层和运行速度参数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 支持电瓶车禁止入梯楼层可设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19、支持通过监控画面显示电梯运行速度和运行方向,当速度超过设定阈值时可进行联动抓拍、报警上传和辅助输出,速度阈值可配置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20、支持通过IE浏览器配置电瓶车禁止入梯楼层,开启该功能后,当电瓶车在禁入楼层进入电梯时,将给出报警提示,默认布控楼层为1楼及地下楼层,已经在楼上的电瓶车可以正常入梯下楼</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21、支持GB/T20138-2006《电器设备外壳对外界机械碰撞的防护等级（IK代码）》中IK10的规定，试验后外壳完好，无破损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22、支持布控库导入开门、关门类型图片,可分别对开门,关门进行建模;可设置布控库相似度,当检测到电梯开门或关门超过设定值时,可联动上报智能事件并抓柏图片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FDE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AEC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55E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5C42">
            <w:pPr>
              <w:jc w:val="center"/>
              <w:rPr>
                <w:rFonts w:hint="eastAsia" w:ascii="宋体" w:hAnsi="宋体" w:eastAsia="宋体" w:cs="宋体"/>
                <w:i w:val="0"/>
                <w:iCs w:val="0"/>
                <w:color w:val="000000"/>
                <w:sz w:val="24"/>
                <w:szCs w:val="24"/>
                <w:u w:val="none"/>
              </w:rPr>
            </w:pPr>
          </w:p>
        </w:tc>
      </w:tr>
      <w:tr w14:paraId="3ED11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BB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B6A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无线网桥</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D1533">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1、网桥网络接口：具备≥1个10/100Mbps自协商以太网上行口(非标24V PoE输入)、3个10/100Mbps自协商以太网下行口；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网桥电源接口：具备1个DC电源端口；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插墙式PoE电源模块网络接口：具备1个10/100Mbps自协商以太网口(非标24V PoE输出)、1个10/100Mbps自协商以太网口；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无线标准：IEEE 802.11 b/g/n；</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工作频率：2.4GHz - 2.484GHz；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最佳无线传输距离：≤500m；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整机最大无线传输速率：300Mbps；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数码显示屏：支持，可显示工作模式和信道等信息，不使用电脑也可轻松调试；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拨码开关：1个，可通过拨码调整网桥工作模式，调试更便捷；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工作温度：-20℃～+55℃；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供电方式：设备支持非标24V PoE电源（标配）和12VDC电源（不标配）两种电源的供电方式，可根据实际情况灵活选择；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成对包装：1个包装内含2只网桥，不严格区分收发端；</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532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华为、锐捷、大华</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03F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对</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19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F5E08">
            <w:pPr>
              <w:jc w:val="center"/>
              <w:rPr>
                <w:rFonts w:hint="eastAsia" w:ascii="宋体" w:hAnsi="宋体" w:eastAsia="宋体" w:cs="宋体"/>
                <w:i w:val="0"/>
                <w:iCs w:val="0"/>
                <w:color w:val="000000"/>
                <w:sz w:val="24"/>
                <w:szCs w:val="24"/>
                <w:u w:val="none"/>
              </w:rPr>
            </w:pPr>
          </w:p>
        </w:tc>
      </w:tr>
      <w:tr w14:paraId="4240A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C9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FC4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智能球机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7E2C">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1、内置GPU芯片，支持深度学习算法，有效提升检测准确率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全景支持AR标签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支持视频结构化功能：支持机动车抓拍、机动车属性提取，支持非机动车抓拍、非机动车属性提取，支持人体抓拍、人体属性提取，支持人脸抓拍、人脸属性提取</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支持人脸识别；支持人脸优选抓拍；支持人脸增强；支持人脸属性提取；支持6种属性8种表情；支持多种人脸抠图方案设置；前端支持导入1万张人脸库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支持绊线入侵；支持区域入侵；支持穿越围栏；支持徘徊检测；支持物品遗留；支持物品搬移；支持快速移动；支持停车检测；支持人员聚集；支持人车分类报警；支持多种规则触发后联动细节相机定位、跟踪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支持人群分布效果图、全局人数统计、区域人数统计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支持A\B\C\D类违法停车抓拍，可变倍抓拍远景、近景、中景、车牌特写</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支持卡口抓拍业务，包含过车卡口、拥堵检测和12种交通违法行为抓拍取证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支持电子警察业务，包含过车卡口和14种交通违法行为抓拍取证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支持行人、路障、施工、事故、起雾等道路事件检测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支持路面抛洒物检测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设备具备全景、细节两个通道且都支持远程转动调节位置，灵活布控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细节相机≥25倍光学变倍，16倍数字变倍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全景采用≥双300万像素1/1.8英寸CMOS 传感器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细节采用≥400万像素1/1.8英寸CMOS 传感器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支持H.265编码，实现超低码流传输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支持超星光级超低照度。全景：彩色：0.001Lux@F1.0，黑白：0.0001Lux@F1.0；细节：彩色：0.001Lux@F1.6；黑白：0.0001Lux@F1.6；0Lux，红外灯开启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 全景相机内置≥30米白光灯补光，细节相机内置白光灯和红外灯，红外≥250米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 全景相机：垂直范围： 5°～+24°（电动）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 细节相机：水平范围：0°～360°连续旋转、垂直范围： -20°~+90°自动翻转180°后连续监视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 支持300个预置位，8条巡航路径</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 支持≥1路音频输入和1路音频输出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23、 内置≥7路报警输入和2路报警输出，支持报警联动功能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24、 支持IP67防护等级，6000V防雷、防浪涌和防突波保护</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25、 支持国密算法 SM1、SM2、SM3、SM4，支持GB35114 A级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26、全景通道可输出不小于2个镜头无缝拼接的全景图像，拼接偏差像素不大于4 个像素，全景摄像机水平视场角不小于 210°，垂直视场角不小于 90°；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27、支持通用行为分析、人脸识别、视频结构化、违法停车、卡口抓拍、电子警察、交通道路事件、抛洒物等8个智能模式，每个预置点可在0.5s内完成智能模式切换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28、内置喇叭，可随样机的转动进行水平（ 0°~360°）、垂直（-30°~+90°）不同方向的定向播放；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29、全景摄像机具有不小于4颗补光灯，细节摄像机具有不小于 10颗红外灯和2颗白光灯；</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10D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C98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BCB3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9DA8A">
            <w:pPr>
              <w:jc w:val="center"/>
              <w:rPr>
                <w:rFonts w:hint="eastAsia" w:ascii="宋体" w:hAnsi="宋体" w:eastAsia="宋体" w:cs="宋体"/>
                <w:i w:val="0"/>
                <w:iCs w:val="0"/>
                <w:color w:val="000000"/>
                <w:sz w:val="24"/>
                <w:szCs w:val="24"/>
                <w:u w:val="none"/>
              </w:rPr>
            </w:pPr>
          </w:p>
        </w:tc>
      </w:tr>
      <w:tr w14:paraId="6FE4B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9631E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2.2)后端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992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7EEF9">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AA792">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35E0">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C42A">
            <w:pPr>
              <w:jc w:val="center"/>
              <w:rPr>
                <w:rFonts w:hint="eastAsia" w:ascii="宋体" w:hAnsi="宋体" w:eastAsia="宋体" w:cs="宋体"/>
                <w:i w:val="0"/>
                <w:iCs w:val="0"/>
                <w:color w:val="000000"/>
                <w:sz w:val="24"/>
                <w:szCs w:val="24"/>
                <w:u w:val="none"/>
              </w:rPr>
            </w:pPr>
          </w:p>
        </w:tc>
      </w:tr>
      <w:tr w14:paraId="0DA1A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E2E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17E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48盘位磁盘阵列</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BAE19">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1、≥1颗64位多核高性能处理器，≥2个内存条，≥16（GB)内存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2、支持≥4个10/100/1000/2500Mbps自适应以太网电口，≥1个10/100/1000Mbps自适应管理网口,可选配2张PCIE标卡（标卡需客户自行购买，如SAS卡、网卡）；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3、可适配CMR&amp;SMR硬盘，支持SATA、SAS硬盘，CMR单盘最大支持24TB硬盘，SMR单盘最大支持30TB；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4、支持≥768路（2048Mbps）前端接入、存储、转发，48路（96Mbps）网络回放；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5、可通过ONVIF、GB28181、RTSP、视图库、主动注册等协议管理不同厂家前端摄像头，实现视频存储；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6、存储RAID支持JBOD、RAID 0/1/5/6/10/50/60、SRAID 支持全局热备和局部热备；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7、支持存储配额管理，支持基于通道的维度进行存储周期管理；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8、仅CMR硬盘支持通过IPSAN、NAS（Samba、FTP、NFS）、视频直存模式访问存储资源；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9、支持关键录像加锁，确保不被循环覆盖；</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10、支持N+M集群模式，可实现单台或多台设备故障时，故障设备业务自动迁移到其它健康设备上，保障业务不中断；</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11、可配合智能前端摄像头，实现结构化告警、周界告警、入户电梯告警、高空抛物告警等多种报警事件、图片透传平台；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12、支持一键诊断功能：支持硬盘状态、单盘性能、RAID状态、raid配置、硬盘盘组、网络状态、录像状态的健康状态诊断，诊断用户配置合规性，协助用户更好的使用设备；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13、默认不支持系统盘RAID1模式，可出厂选配2块SSD基于RAID1模式创建系统盘，实现系统盘间数据同步，保证当1块系统盘异常后，整机仍能正常运行。</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6EFF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CC39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67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04BEE">
            <w:pPr>
              <w:jc w:val="center"/>
              <w:rPr>
                <w:rFonts w:hint="eastAsia" w:ascii="宋体" w:hAnsi="宋体" w:eastAsia="宋体" w:cs="宋体"/>
                <w:i w:val="0"/>
                <w:iCs w:val="0"/>
                <w:color w:val="000000"/>
                <w:sz w:val="24"/>
                <w:szCs w:val="24"/>
                <w:u w:val="none"/>
              </w:rPr>
            </w:pPr>
          </w:p>
        </w:tc>
      </w:tr>
      <w:tr w14:paraId="0EA2D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4BFA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99CE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企业级16TB硬盘</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CFDF">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1、单盘容量：16TB；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2、缓存：512MB；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3、转速：7200RPM；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4、硬盘接口：SATA</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38C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61F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9468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192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68C20">
            <w:pPr>
              <w:jc w:val="center"/>
              <w:rPr>
                <w:rFonts w:hint="eastAsia" w:ascii="宋体" w:hAnsi="宋体" w:eastAsia="宋体" w:cs="宋体"/>
                <w:i w:val="0"/>
                <w:iCs w:val="0"/>
                <w:color w:val="000000"/>
                <w:sz w:val="24"/>
                <w:szCs w:val="24"/>
                <w:u w:val="none"/>
              </w:rPr>
            </w:pPr>
          </w:p>
        </w:tc>
      </w:tr>
      <w:tr w14:paraId="046DC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ECF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2D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智能分析服务器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70D34">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1、≥8盘位，最大可满配24TB硬盘，支持RAID0/1/5/6/10/50/60，支持全局热备盘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2、≥1路VGA输出，≥4路HDMI输出，其中VGA1和HDMI 1同源输出，支持≥1个4K显示输出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3、≥4个10/100/1000Mbps自适应以太网口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4、支持≥128路H.264/H.265混合接入，网络带宽512Mbps接入；512Mbps存储；512Mbps转发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5、支持≥20个1080p解码显示输出，支持Smart H.265;H.265;Smart H.264;H.264混合解码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6、支持≥64路200万或≥64路400万分辨率校园异常行为关联人脸，规则类型：人员独处、拌线入侵、区域入侵，支持教育智能化预警系统，做对应行为预警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7、支持≥16路200万或≥16路400万分辨率校园危险行为关联人脸，规则类型：人员跌倒、剧烈运动（打架斗殴）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64路200万或≥64路400万分辨率人脸识别；或最大支持≥96路200万或≥96路400万图片流人脸比对，支持≥50万张人脸图片，≥100个人脸名单库，支持配套平台人员布控、或融合检索系统做人员布控、人员轨迹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9、支持≥64路200万或≥64路400万分辨率后智能通用行为分析，规则类型：绊线入侵、区域入侵、人员聚集、停车检测、徘徊检测、滞留检测、攀爬检测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9、支持≥32路200万或≥32路400万分辨率后智能支持人员行为分析，规则类型：奔跑检测、剧烈运动检测（打架斗殴）、跌倒检测、尾随检测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10、默认已支持5种算法，最大选配到8类算法，支持展示所有安装的算法及版本，展示算法状态，可对已安装的算法进行手动更新；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11、设备内置4颗高性能GPU，单颗GPU算力22TOPS（int8），每颗GPU最多可虚拟成4个智能引擎，每个智能引擎支持最多单独运行一类算法（以具体算法的加载要求为准）；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12、在算法能力范围内，支持单通道多智能；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13、后智能分析支持实时模式和分时轮巡模式切换，在分时轮巡模式下，依据算法能力不同，可配置分时视频分析和轮巡视频分析；单个轮巡任务最大支持64路，轮巡间隔可配置30-3600秒；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14、支持联动录像，抓图，日志，蜂鸣，邮件，预置点，本地报警输出，IPC报警输出，门禁，语音播报，声光报警联动。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15、内置 4 个算力为 22 TOPS（INT8）的 GPU 芯片，GPU 采用 64 位 8 核 A55 处理器，最高频率不低于 1.7GHz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支持利用大模型进行算法生成以及配置预警功能，输入指定文本可自定义生成算法，可选择通道部署自定义算法模型，实现定时抓图/事件图片分析，相似度达到阈值时及时触发报警，支持联动录像抓图、蜂鸣报警、预置点、邮件、本地报警输出、IPC 报警输出、门禁、语音提示以及日志记录。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★17、支持以图搜图，支持批量上传 50 张人脸图片，并同时对 10 张目标人脸进行相似图片搜索。（提供相关检测报告证明并加盖</w:t>
            </w:r>
            <w:r>
              <w:rPr>
                <w:rFonts w:hint="eastAsia" w:ascii="宋体" w:hAnsi="宋体" w:eastAsia="宋体" w:cs="宋体"/>
                <w:i w:val="0"/>
                <w:iCs w:val="0"/>
                <w:color w:val="auto"/>
                <w:kern w:val="0"/>
                <w:sz w:val="24"/>
                <w:szCs w:val="24"/>
                <w:highlight w:val="none"/>
                <w:u w:val="none"/>
                <w:lang w:val="en-US" w:eastAsia="zh-CN" w:bidi="ar"/>
              </w:rPr>
              <w:t>投标单位</w:t>
            </w:r>
            <w:r>
              <w:rPr>
                <w:rFonts w:ascii="宋体" w:hAnsi="宋体" w:eastAsia="宋体" w:cs="宋体"/>
                <w:i w:val="0"/>
                <w:iCs w:val="0"/>
                <w:color w:val="auto"/>
                <w:kern w:val="0"/>
                <w:sz w:val="24"/>
                <w:szCs w:val="24"/>
                <w:highlight w:val="none"/>
                <w:u w:val="none"/>
                <w:lang w:val="en-US" w:eastAsia="zh-CN" w:bidi="ar"/>
              </w:rPr>
              <w:t>公章）</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ECA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A2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7DA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CF7A9">
            <w:pPr>
              <w:jc w:val="center"/>
              <w:rPr>
                <w:rFonts w:hint="eastAsia" w:ascii="宋体" w:hAnsi="宋体" w:eastAsia="宋体" w:cs="宋体"/>
                <w:i w:val="0"/>
                <w:iCs w:val="0"/>
                <w:color w:val="000000"/>
                <w:sz w:val="24"/>
                <w:szCs w:val="24"/>
                <w:u w:val="none"/>
              </w:rPr>
            </w:pPr>
          </w:p>
        </w:tc>
      </w:tr>
      <w:tr w14:paraId="38210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06B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C8D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高清视频解码器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A671">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1、支持≥12路HDMI信号输出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输出接口支持≥3840×2160@60及以下常规分辨率和自定义分辨率输出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支持≥1路HDMI和1路DP信号输入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输入接口最大支持1920×1080@60及以下常规分辨率采集编码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具备1对语音对讲接口：1个3.5mm音频输入接口和1个3.5mm音频输出接口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整机解码支持6路32MP@25fps（仅H.265支持） / 21路12MP@25fps / 30路8MP@25fps / 42路6MP@25fps / 54路5MP@25fps / 54路4MP@30fps / 84路3MP@25fps / 108路1080p@30fps / 300路D1@30fps（每4个输出口为一组，各组均分整机性能，组内共享解码能力）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支持每屏1/4/6/8/9/16/25/36分割，支持M×N自由分割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支持任意开窗、漫游，每屏最大支持36路开窗</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支持电视墙默认底色设置，支持高清底图显示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支持预案轮巡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支持多屏融合拼接，跨屏画面毫秒级完美同步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支持在大屏上叠加OSD文字信息，支持位置，字体大小等自定义设置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13、支持Onvif，RTSP，GB28181协议接入，支持海康私有/大华私有协议接入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14、支持设置指定电脑允许的接管范围和窗口，除此之外的电脑内容不予以显示。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15、具有1个DP输入口和1个HDMI输入口。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16、具有12个HDMI2.0标准的HDMI输出口；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17、前面板集成LCD液晶屏，显示设备状态，如IP、设备型号、版本号等；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669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D7F3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A81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5F64A">
            <w:pPr>
              <w:jc w:val="center"/>
              <w:rPr>
                <w:rFonts w:hint="eastAsia" w:ascii="宋体" w:hAnsi="宋体" w:eastAsia="宋体" w:cs="宋体"/>
                <w:i w:val="0"/>
                <w:iCs w:val="0"/>
                <w:color w:val="000000"/>
                <w:sz w:val="24"/>
                <w:szCs w:val="24"/>
                <w:u w:val="none"/>
              </w:rPr>
            </w:pPr>
          </w:p>
        </w:tc>
      </w:tr>
      <w:tr w14:paraId="51A18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819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1C3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46寸LCD拼接屏</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3F02E">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1、产品尺寸：46寸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双边拼缝：1.7mm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分辨率：1920*1080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亮度：500cd/m2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对比度：1200:1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色彩范围：8bit</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刷新率：60Hz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功耗：133W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视角：178°(水平)/ 178°</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供电方式：100–240VAC，50/60Hz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工作温度：0℃～+50℃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工作湿度：20%～90%RH（无凝结）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储存温度：–20℃～+55℃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储存湿度：5%～95%RH（无凝结）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输入接口：VGA(D-Sub)*1、CVBS(BNC)*2、DVI-D*1、HDMI*1、RS232(RJ45)*1、USB（升级和多媒体）*1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输出接口：CVBS(BNC)*2、RS232(RJ45)*1</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28C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3E6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B36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D5277">
            <w:pPr>
              <w:jc w:val="center"/>
              <w:rPr>
                <w:rFonts w:hint="eastAsia" w:ascii="宋体" w:hAnsi="宋体" w:eastAsia="宋体" w:cs="宋体"/>
                <w:i w:val="0"/>
                <w:iCs w:val="0"/>
                <w:color w:val="000000"/>
                <w:sz w:val="24"/>
                <w:szCs w:val="24"/>
                <w:u w:val="none"/>
              </w:rPr>
            </w:pPr>
          </w:p>
        </w:tc>
      </w:tr>
      <w:tr w14:paraId="3D2A7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93A3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CAB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落地式电视墙机柜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D940B">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4*3拼接屏机柜 尺寸见CAD</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89E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E0F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76E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44FC4">
            <w:pPr>
              <w:jc w:val="center"/>
              <w:rPr>
                <w:rFonts w:hint="eastAsia" w:ascii="宋体" w:hAnsi="宋体" w:eastAsia="宋体" w:cs="宋体"/>
                <w:i w:val="0"/>
                <w:iCs w:val="0"/>
                <w:color w:val="000000"/>
                <w:sz w:val="24"/>
                <w:szCs w:val="24"/>
                <w:u w:val="none"/>
              </w:rPr>
            </w:pPr>
          </w:p>
        </w:tc>
      </w:tr>
      <w:tr w14:paraId="5A3E1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552F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9484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HDMI线缆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8061E">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HDMI电缆,15m,黑色</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030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0011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E549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90FAF">
            <w:pPr>
              <w:jc w:val="center"/>
              <w:rPr>
                <w:rFonts w:hint="eastAsia" w:ascii="宋体" w:hAnsi="宋体" w:eastAsia="宋体" w:cs="宋体"/>
                <w:i w:val="0"/>
                <w:iCs w:val="0"/>
                <w:color w:val="000000"/>
                <w:sz w:val="24"/>
                <w:szCs w:val="24"/>
                <w:u w:val="none"/>
              </w:rPr>
            </w:pPr>
          </w:p>
        </w:tc>
      </w:tr>
      <w:tr w14:paraId="65919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46C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FA3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工作台</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46D5">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定制0.8m*4.0m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F1E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C0C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EDC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B815">
            <w:pPr>
              <w:jc w:val="center"/>
              <w:rPr>
                <w:rFonts w:hint="eastAsia" w:ascii="宋体" w:hAnsi="宋体" w:eastAsia="宋体" w:cs="宋体"/>
                <w:i w:val="0"/>
                <w:iCs w:val="0"/>
                <w:color w:val="000000"/>
                <w:sz w:val="24"/>
                <w:szCs w:val="24"/>
                <w:u w:val="none"/>
              </w:rPr>
            </w:pPr>
          </w:p>
        </w:tc>
      </w:tr>
      <w:tr w14:paraId="065D0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F69C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2.3)阳光厨房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5328">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263F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67B73">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87E97">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5B6EE">
            <w:pPr>
              <w:jc w:val="center"/>
              <w:rPr>
                <w:rFonts w:hint="eastAsia" w:ascii="宋体" w:hAnsi="宋体" w:eastAsia="宋体" w:cs="宋体"/>
                <w:i w:val="0"/>
                <w:iCs w:val="0"/>
                <w:color w:val="000000"/>
                <w:sz w:val="24"/>
                <w:szCs w:val="24"/>
                <w:u w:val="none"/>
              </w:rPr>
            </w:pPr>
          </w:p>
        </w:tc>
      </w:tr>
      <w:tr w14:paraId="0EEED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29C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E85F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32路4盘位硬盘录像机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8E089">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1、主处理器：工业级微控制器；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操作系统：嵌入式Linux操作系统；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后智能分析：支持后智能人脸检测、人脸识别、周界防范、智能动检；</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前智能分析：支持前智能人脸检测、人脸识别、视频结构化、周界防范、智能动检、立体行为分析、人像检测、人群分布、人数统计、热度图、车牌识别、车辆密度、物品监控、高空抛物检测、电瓶车入梯；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周界后智能性能（路数）：4路，每路绘制10规则线；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周界前智能性能（路数）：全通道（最大处理16个事件/秒）；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人脸检测后智能性能（1080P）(路数)：2路，单路同时最多检测12张人脸；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人脸识别后智能性能（1080P）(路数)：1. 前端人脸检测+后端人脸比对支持16路图片流，最多同时处理16张/秒人脸；2. 后端人脸检测+后端人脸比对支持2路视频流，最多同时处理12张/秒人脸；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人脸识别前智能性能（路数）：全通道（最大处理16个事件/秒）；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接入路数：≥32路；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分辨率：32MP；24MP；16MP；12MP；8MP；6MP；5MP；4MP；3MP；1080p；720p；960p；D1；CIF；</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解码能力：不开智能：2路32MP@25fps；2路24MP@25fps；4路16MP@25fps；6路12MP@25fps；9路8MP@25fps；12路6MP@25fps；14路5MP@25fps；18路4MP@25fps；32路1080p@25fps；开智能：1路32MP@25fps；1路24MP@25fps；2路16MP@30fps；4路12MP@30fps；6路8MP@30fps；8路6MP@30fps；8路5MP@30fps；12路4MP@30fps；24路1080p@30f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报警输入：≥16路；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报警输出：≥6路，其中5路继电器输出，1路12V1A ctrl输出；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硬盘接口：≥4个SATA，单盘最大20T；</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RS-485接口：≥1个，1个半双工串行AB接口；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网络接口：≥2个（10M/100M/1000M以太网口，RJ-45）</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63E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17B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7D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D5ED0">
            <w:pPr>
              <w:jc w:val="center"/>
              <w:rPr>
                <w:rFonts w:hint="eastAsia" w:ascii="宋体" w:hAnsi="宋体" w:eastAsia="宋体" w:cs="宋体"/>
                <w:i w:val="0"/>
                <w:iCs w:val="0"/>
                <w:color w:val="000000"/>
                <w:sz w:val="24"/>
                <w:szCs w:val="24"/>
                <w:u w:val="none"/>
              </w:rPr>
            </w:pPr>
          </w:p>
        </w:tc>
      </w:tr>
      <w:tr w14:paraId="6D982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F4F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710F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企业级16TB硬盘</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B8F73">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1、单盘容量：16TB；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2、缓存：512MB；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3、转速：7200RPM；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4、硬盘接口：SATA</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CEE2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1FC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527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39718">
            <w:pPr>
              <w:jc w:val="center"/>
              <w:rPr>
                <w:rFonts w:hint="eastAsia" w:ascii="宋体" w:hAnsi="宋体" w:eastAsia="宋体" w:cs="宋体"/>
                <w:i w:val="0"/>
                <w:iCs w:val="0"/>
                <w:color w:val="000000"/>
                <w:sz w:val="24"/>
                <w:szCs w:val="24"/>
                <w:u w:val="none"/>
              </w:rPr>
            </w:pPr>
          </w:p>
        </w:tc>
      </w:tr>
      <w:tr w14:paraId="65F0E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286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0A0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HDMI4路分配器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F596B">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1、输入接口：1路HDMI，0.5-1.0Vp-p。</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2、输出接口：≥4路HDMI 1.3b+HDCP1.0/1.1。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3、分辨率：1920×1440。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4、带宽：250MHz。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5、传输距离：15m。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外观与电源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1、外观材质：金属。</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2、电源电压：DC 5V，2.5A。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环境参数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1、工作温度：-5-35℃。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2、工作湿度：5%-90%RH。</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其他</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1、外被性能：常规PVC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2、连接线：HDMI线</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76D1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绿联、迈拓维矩、秋叶原</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6F4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F9D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CC87B">
            <w:pPr>
              <w:jc w:val="center"/>
              <w:rPr>
                <w:rFonts w:hint="eastAsia" w:ascii="宋体" w:hAnsi="宋体" w:eastAsia="宋体" w:cs="宋体"/>
                <w:i w:val="0"/>
                <w:iCs w:val="0"/>
                <w:color w:val="000000"/>
                <w:sz w:val="24"/>
                <w:szCs w:val="24"/>
                <w:u w:val="none"/>
              </w:rPr>
            </w:pPr>
          </w:p>
        </w:tc>
      </w:tr>
      <w:tr w14:paraId="313DC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EE7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9D9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HDMI网络延长器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21C7">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输入接口：HDMI</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输出接口：HDMI</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分辨率：支持高清 4K@60Hz。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带宽：支持 HDMI 2.0 标准。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电源与供电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供电方式：单边供电。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电源电压：DC 5V 或通过 HDMI 供电。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其他功能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环出音频分离：支持音频信号分离。</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兼容性：即插即用，无需额外设置。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环境参数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工作温度：-5°C 至 35°C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工作湿度：5% 至 90% RH</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外观与连接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外观材质：金属外壳，增强耐用性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连接线：通过网线或光纤延长信号</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AC1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绿联、迈拓维矩、秋叶原</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77FF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对</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FDF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905D">
            <w:pPr>
              <w:jc w:val="center"/>
              <w:rPr>
                <w:rFonts w:hint="eastAsia" w:ascii="宋体" w:hAnsi="宋体" w:eastAsia="宋体" w:cs="宋体"/>
                <w:i w:val="0"/>
                <w:iCs w:val="0"/>
                <w:color w:val="000000"/>
                <w:sz w:val="24"/>
                <w:szCs w:val="24"/>
                <w:u w:val="none"/>
              </w:rPr>
            </w:pPr>
          </w:p>
        </w:tc>
      </w:tr>
      <w:tr w14:paraId="7F9D0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FA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44C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49寸阳光厨房显示器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69D8E">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1、采用工业级液晶面板，超长寿命LED背光源，适合7*24小时连续工作，专为监控设计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四等边设计、隐藏式红外接收，外形更美观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4K超高清显示，1.07B显示色彩，真实再现画面的每一个细节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采用自动色彩及图像增强处理器，画质优化，细节处理佳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高亮度、高对比度、高清晰度，提升画面层次感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画面快速响应，真正无拖影</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自动消除残影功能，保护液晶屏的长期使用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专业散热设计，延长设备使用寿命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内置高性能电源设计，能耗低，静音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面板尺寸：49英寸；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亮度：350cd/m²；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安装方式：底座/壁挂；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供电方式：100–240VAC，50/60Hz；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工作温度：0℃～+40℃；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信号输入标配：HDMI×2、USB×1、VGA×1、SPDIF×1、Audio×1、RS232×1</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A6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海信、创维、TCL</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CA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221C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C3BE">
            <w:pPr>
              <w:jc w:val="center"/>
              <w:rPr>
                <w:rFonts w:hint="eastAsia" w:ascii="宋体" w:hAnsi="宋体" w:eastAsia="宋体" w:cs="宋体"/>
                <w:i w:val="0"/>
                <w:iCs w:val="0"/>
                <w:color w:val="000000"/>
                <w:sz w:val="24"/>
                <w:szCs w:val="24"/>
                <w:u w:val="none"/>
              </w:rPr>
            </w:pPr>
          </w:p>
        </w:tc>
      </w:tr>
      <w:tr w14:paraId="5F2B0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167B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3)入侵报警子系统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2C6F7">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5146">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E3D5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8E13C">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114B">
            <w:pPr>
              <w:jc w:val="center"/>
              <w:rPr>
                <w:rFonts w:hint="eastAsia" w:ascii="宋体" w:hAnsi="宋体" w:eastAsia="宋体" w:cs="宋体"/>
                <w:i w:val="0"/>
                <w:iCs w:val="0"/>
                <w:color w:val="000000"/>
                <w:sz w:val="24"/>
                <w:szCs w:val="24"/>
                <w:u w:val="none"/>
              </w:rPr>
            </w:pPr>
          </w:p>
        </w:tc>
      </w:tr>
      <w:tr w14:paraId="1A60B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CDA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FEC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壁挂幕帘式探测器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FF77A">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1、产品内置双元热释红外传感器，有效提高报警准确率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8m(壁挂)/4m(吸顶)；探测角度：15°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报警输出NC/NO可选，适应不同项目需求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探测器内置防拆开关，防拆报警输出，更加安全可靠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支持双向数字温度补偿技术，确保高温环境下探测距离不衰减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支持数字抗白光技术，专用滤光镜片，抗白光等级20000Lux</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抗EMC、RFI干扰,适应基站、货仓等较为恶劣的使用环境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支持报警延时功能，可设置5S报警延时，满足不同项目需求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建议2.2m的安装高度，产品性能能够发挥最优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支持壁挂安装，可搭配配套支架安装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509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04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2F5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F3FFF">
            <w:pPr>
              <w:jc w:val="center"/>
              <w:rPr>
                <w:rFonts w:hint="eastAsia" w:ascii="宋体" w:hAnsi="宋体" w:eastAsia="宋体" w:cs="宋体"/>
                <w:i w:val="0"/>
                <w:iCs w:val="0"/>
                <w:color w:val="000000"/>
                <w:sz w:val="24"/>
                <w:szCs w:val="24"/>
                <w:u w:val="none"/>
              </w:rPr>
            </w:pPr>
          </w:p>
        </w:tc>
      </w:tr>
      <w:tr w14:paraId="60FAB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3AB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51F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吸顶红外双鉴探测器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5280A">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1、支持红外、微波、人工智能复合报警，报警准确率更高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高性能菲涅耳透镜，提高探测灵敏度，有效降低漏报现象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探测器探测距离(直径）8m，探测角度360°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微波频率10.525GHz，微波探测范围可调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报警输出NC/NO可选，适应不同项目需求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探测器内置防拆开关，防拆报警输出，更加安全可靠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具有自动温度补偿功能，确保高温环境下探测距离不衰减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抗EMC、RFI干扰,适应基站、货仓等较为恶劣的使用环境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采用人工智能技术，能够辨别入侵者和干扰信号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支持2.5-3.6m的安装高度，满足不同项目需求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支持吸顶安装，自带固定支架，螺丝固定</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64E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1E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546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DF7ED">
            <w:pPr>
              <w:jc w:val="center"/>
              <w:rPr>
                <w:rFonts w:hint="eastAsia" w:ascii="宋体" w:hAnsi="宋体" w:eastAsia="宋体" w:cs="宋体"/>
                <w:i w:val="0"/>
                <w:iCs w:val="0"/>
                <w:color w:val="000000"/>
                <w:sz w:val="24"/>
                <w:szCs w:val="24"/>
                <w:u w:val="none"/>
              </w:rPr>
            </w:pPr>
          </w:p>
        </w:tc>
      </w:tr>
      <w:tr w14:paraId="78E29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89E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1B6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壁挂探测器支架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EB205">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定制</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F79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8F5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1C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506D5">
            <w:pPr>
              <w:jc w:val="center"/>
              <w:rPr>
                <w:rFonts w:hint="eastAsia" w:ascii="宋体" w:hAnsi="宋体" w:eastAsia="宋体" w:cs="宋体"/>
                <w:i w:val="0"/>
                <w:iCs w:val="0"/>
                <w:color w:val="000000"/>
                <w:sz w:val="24"/>
                <w:szCs w:val="24"/>
                <w:u w:val="none"/>
              </w:rPr>
            </w:pPr>
          </w:p>
        </w:tc>
      </w:tr>
      <w:tr w14:paraId="2CCB5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66F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EE6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手动报警按钮</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A501">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1、支持常开/常闭的触点模式，一键紧急报警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支持86盒安装方式，螺丝固定</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支持电压≤250VDC，电流≤300mA的环境下工作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设备无需供电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自带配套复位钥匙，出警确认警情，通过钥匙复位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性能稳定，经久耐用</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6D1B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760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6170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DD5FA">
            <w:pPr>
              <w:jc w:val="center"/>
              <w:rPr>
                <w:rFonts w:hint="eastAsia" w:ascii="宋体" w:hAnsi="宋体" w:eastAsia="宋体" w:cs="宋体"/>
                <w:i w:val="0"/>
                <w:iCs w:val="0"/>
                <w:color w:val="000000"/>
                <w:sz w:val="24"/>
                <w:szCs w:val="24"/>
                <w:u w:val="none"/>
              </w:rPr>
            </w:pPr>
          </w:p>
        </w:tc>
      </w:tr>
      <w:tr w14:paraId="32C06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4B7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424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声光报警器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54F1E">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1、声光报警一体式报警；ABS材质；报警联动配件；额定电压：12VDC；工作电压范围：9~15VDC；额定电流≤140mA；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2、安装环境：室内安装；闪动次数/分钟：300±30次；声压：108±3dB（30cm处）</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3D6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713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963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C5901">
            <w:pPr>
              <w:jc w:val="center"/>
              <w:rPr>
                <w:rFonts w:hint="eastAsia" w:ascii="宋体" w:hAnsi="宋体" w:eastAsia="宋体" w:cs="宋体"/>
                <w:i w:val="0"/>
                <w:iCs w:val="0"/>
                <w:color w:val="000000"/>
                <w:sz w:val="24"/>
                <w:szCs w:val="24"/>
                <w:u w:val="none"/>
              </w:rPr>
            </w:pPr>
          </w:p>
        </w:tc>
      </w:tr>
      <w:tr w14:paraId="3A6AF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588C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79C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16防区网络报警主机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3DD9F">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1、支持本地16路报警输入，最大可扩展到256路；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支持接入常开或常闭型探测器；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支持探测器防拆、防短、防遮挡功能;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支持本地4路报警输出，最大可扩展到256路；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支持强制开启、强制关闭、自动控制功能，支持报警联动;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支持最多64个网络模块接入(ARM982模块最多32个，ARM2C0模块最多32个，ARM922模块最多64个)；支持最多64个无线设备接入，最多扩展64个无线防区;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支持即时防区、延时防区、24小时无声等多种防区类型;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支持报警输入输出接口电路保护功能;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支持异常报警，包括主机防拆报警、键盘防拆报警、主电掉电报警、蓄电池掉电报警、蓄电池欠压报警、PSTN掉线报警、网络断开报警、IP冲突报警、MAC冲突报警等; 支持2路RS-485接口，支持最大32路键盘接入，支持打印机接入;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支持火警、医疗、胁迫等紧急报警; 支持CID（Contact ID protocol），支持话机复用（拨打个人电话功能需定制PSTN硬件模块）;</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可选4G模块，支持短信报警，设置个人电话后TTS语音报警，支持4G电话反控，无线网络支持主动注册;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支持键盘、WEB多种配置方式，支持快速配置向导，支持远程配置及查询;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支持最多8个子系统，支持单防区和子系统布撤防，支持键盘、遥控器、IC卡等多种布撤防方式;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支持多个接警中心和报警数据上传策略;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支持海量日志查询功能; 支持远程升级;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支持多种设备恢复方式;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支持双网口，2个有线中心;</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AF3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EF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AF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45DF2">
            <w:pPr>
              <w:jc w:val="center"/>
              <w:rPr>
                <w:rFonts w:hint="eastAsia" w:ascii="宋体" w:hAnsi="宋体" w:eastAsia="宋体" w:cs="宋体"/>
                <w:i w:val="0"/>
                <w:iCs w:val="0"/>
                <w:color w:val="000000"/>
                <w:sz w:val="24"/>
                <w:szCs w:val="24"/>
                <w:u w:val="none"/>
              </w:rPr>
            </w:pPr>
          </w:p>
        </w:tc>
      </w:tr>
      <w:tr w14:paraId="7DEAB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FF50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4)电子巡查子系统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293EA">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0A34">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C817C">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D6BF">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C0D27">
            <w:pPr>
              <w:jc w:val="center"/>
              <w:rPr>
                <w:rFonts w:hint="eastAsia" w:ascii="宋体" w:hAnsi="宋体" w:eastAsia="宋体" w:cs="宋体"/>
                <w:i w:val="0"/>
                <w:iCs w:val="0"/>
                <w:color w:val="000000"/>
                <w:sz w:val="24"/>
                <w:szCs w:val="24"/>
                <w:u w:val="none"/>
              </w:rPr>
            </w:pPr>
          </w:p>
        </w:tc>
      </w:tr>
      <w:tr w14:paraId="50F1D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47D3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FFF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巡更钮</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2CFED">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1、巡更点；读卡反应时间≤0.3s；简体中文；明装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7BA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0BC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63B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8AEA">
            <w:pPr>
              <w:jc w:val="center"/>
              <w:rPr>
                <w:rFonts w:hint="eastAsia" w:ascii="宋体" w:hAnsi="宋体" w:eastAsia="宋体" w:cs="宋体"/>
                <w:i w:val="0"/>
                <w:iCs w:val="0"/>
                <w:color w:val="000000"/>
                <w:sz w:val="24"/>
                <w:szCs w:val="24"/>
                <w:u w:val="none"/>
              </w:rPr>
            </w:pPr>
          </w:p>
        </w:tc>
      </w:tr>
      <w:tr w14:paraId="2FD00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9A0E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78DC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信息采集器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AE956">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1、存储记录数，65000条；读卡反应时间≤0.3s；通讯线: USB ；简体中文；3.67V充电电池 ；IP55等级；</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649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9E2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6B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148C7">
            <w:pPr>
              <w:jc w:val="center"/>
              <w:rPr>
                <w:rFonts w:hint="eastAsia" w:ascii="宋体" w:hAnsi="宋体" w:eastAsia="宋体" w:cs="宋体"/>
                <w:i w:val="0"/>
                <w:iCs w:val="0"/>
                <w:color w:val="000000"/>
                <w:sz w:val="24"/>
                <w:szCs w:val="24"/>
                <w:u w:val="none"/>
              </w:rPr>
            </w:pPr>
          </w:p>
        </w:tc>
      </w:tr>
      <w:tr w14:paraId="35046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1DB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069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人员钮</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C3DB7">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1、依据巡逻人员具体名称赋予人员钮相对应的名称，巡逻人员在巡逻地点前接触一下代表自己的人名钮证明本次为本人在巡逻。</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29E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24B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6F7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ADF81">
            <w:pPr>
              <w:jc w:val="center"/>
              <w:rPr>
                <w:rFonts w:hint="eastAsia" w:ascii="宋体" w:hAnsi="宋体" w:eastAsia="宋体" w:cs="宋体"/>
                <w:i w:val="0"/>
                <w:iCs w:val="0"/>
                <w:color w:val="000000"/>
                <w:sz w:val="24"/>
                <w:szCs w:val="24"/>
                <w:u w:val="none"/>
              </w:rPr>
            </w:pPr>
          </w:p>
        </w:tc>
      </w:tr>
      <w:tr w14:paraId="6D685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8E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3F8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通讯座</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9E62B">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1、功能：通过USB与计算机通讯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2、材料：金属合金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3、物理接口：USB2.0 * 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4、操作温度：-40-85℃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5、防水等级：不防水</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687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4F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572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3727A">
            <w:pPr>
              <w:jc w:val="center"/>
              <w:rPr>
                <w:rFonts w:hint="eastAsia" w:ascii="宋体" w:hAnsi="宋体" w:eastAsia="宋体" w:cs="宋体"/>
                <w:i w:val="0"/>
                <w:iCs w:val="0"/>
                <w:color w:val="000000"/>
                <w:sz w:val="24"/>
                <w:szCs w:val="24"/>
                <w:u w:val="none"/>
              </w:rPr>
            </w:pPr>
          </w:p>
        </w:tc>
      </w:tr>
      <w:tr w14:paraId="6C869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C41FE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5)出入口控制子系统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BD455">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5029">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066FF">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10E8E">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AD5E1">
            <w:pPr>
              <w:jc w:val="center"/>
              <w:rPr>
                <w:rFonts w:hint="eastAsia" w:ascii="宋体" w:hAnsi="宋体" w:eastAsia="宋体" w:cs="宋体"/>
                <w:i w:val="0"/>
                <w:iCs w:val="0"/>
                <w:color w:val="000000"/>
                <w:sz w:val="24"/>
                <w:szCs w:val="24"/>
                <w:u w:val="none"/>
              </w:rPr>
            </w:pPr>
          </w:p>
        </w:tc>
      </w:tr>
      <w:tr w14:paraId="6F27C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4D9C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C17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车辆牌照识别一体机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0DDD7">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1、行业抓拍显示一体机集相机、LED屏、喇叭于一体，实现抓拍、显示、播报功能，施工维护更方便。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2、全天候深度提取结构化车辆信息，车辆捕获率和车牌识别率都达到99.9%；</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高性能CMOS图像传感器，低噪效果更佳；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可自由配置LED屏显示内容和语音播报内容，支持二维码收费信息显示；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显示屏尺寸：320.0mm×160.0mm×15.0mm（高×宽×厚）；</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传感器类型：1/3英寸CMOS；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图像分辨率：2688×1520（不包含OSD黑边）；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视频压缩标准：H.265；H.264B；H.264M；H.264H；MJPEG；</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二维码显示：支持；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抓拍距离：2.5m～6m；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除雾功能：支持自动除雾；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供电方式：AC110–230V；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镜头类型：变焦；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镜头焦距：2.7mm～13.5mm</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73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F55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854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2C3F7">
            <w:pPr>
              <w:jc w:val="center"/>
              <w:rPr>
                <w:rFonts w:hint="eastAsia" w:ascii="宋体" w:hAnsi="宋体" w:eastAsia="宋体" w:cs="宋体"/>
                <w:i w:val="0"/>
                <w:iCs w:val="0"/>
                <w:color w:val="000000"/>
                <w:sz w:val="24"/>
                <w:szCs w:val="24"/>
                <w:u w:val="none"/>
              </w:rPr>
            </w:pPr>
          </w:p>
        </w:tc>
      </w:tr>
      <w:tr w14:paraId="14542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921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00F4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百叶式道闸</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6F556">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1、采用24V直流无刷电机，低功耗、效率高、运行稳定、安全且噪声小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道闸起落杆速度可调（2~6S）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数码管面板显示，支持设备故障码、设备运行状态显示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可通过485接口连接相机，通过相机web端可读取道闸状态包括运行次数和运行状态。并且可以读取道闸运行日志</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支持外接雷达、线圈防砸功能，内置 DC12V输出，可用于外接单雷达供电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标配遇阻反弹功能，当杆子下落过程中受阻时会自动反弹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无线摇控功能，采用学习码遥控技术，方便且保密性高，最大遥控距离50米（空旷无干扰）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支持遥控一键车队模式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支持道闸计数模式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电机寿命：≥300万次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弹簧寿命：≥80万次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防护等级：≥IP54</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A78A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3F5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2F67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BE21A">
            <w:pPr>
              <w:jc w:val="center"/>
              <w:rPr>
                <w:rFonts w:hint="eastAsia" w:ascii="宋体" w:hAnsi="宋体" w:eastAsia="宋体" w:cs="宋体"/>
                <w:i w:val="0"/>
                <w:iCs w:val="0"/>
                <w:color w:val="000000"/>
                <w:sz w:val="24"/>
                <w:szCs w:val="24"/>
                <w:u w:val="none"/>
              </w:rPr>
            </w:pPr>
          </w:p>
        </w:tc>
      </w:tr>
      <w:tr w14:paraId="10391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D98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3F49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小安全岛</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BFE23">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道闸及抓拍机小型安全岛，刷黄灰地面漆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(含水泥、砂石、地面油漆等)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5ED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953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A8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EE119">
            <w:pPr>
              <w:jc w:val="center"/>
              <w:rPr>
                <w:rFonts w:hint="eastAsia" w:ascii="宋体" w:hAnsi="宋体" w:eastAsia="宋体" w:cs="宋体"/>
                <w:i w:val="0"/>
                <w:iCs w:val="0"/>
                <w:color w:val="000000"/>
                <w:sz w:val="24"/>
                <w:szCs w:val="24"/>
                <w:u w:val="none"/>
              </w:rPr>
            </w:pPr>
          </w:p>
        </w:tc>
      </w:tr>
      <w:tr w14:paraId="12230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C0DA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6)门禁子系统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CD213">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3A2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BAF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D80F7">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22D42">
            <w:pPr>
              <w:jc w:val="center"/>
              <w:rPr>
                <w:rFonts w:hint="eastAsia" w:ascii="宋体" w:hAnsi="宋体" w:eastAsia="宋体" w:cs="宋体"/>
                <w:i w:val="0"/>
                <w:iCs w:val="0"/>
                <w:color w:val="000000"/>
                <w:sz w:val="24"/>
                <w:szCs w:val="24"/>
                <w:u w:val="none"/>
              </w:rPr>
            </w:pPr>
          </w:p>
        </w:tc>
      </w:tr>
      <w:tr w14:paraId="1E731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0217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63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单机芯人行摆闸</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2D89B">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1、机箱采用国标304不锈钢材质，机箱厚度0.8mm；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标配4对红外检测；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采用直流无刷电机；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支持开门超时自动复位功能；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支持蜂鸣器和指示灯报警提示；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通道尺寸亚克力支持：600mm-900mm，不锈钢支持：600mm-900mm；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平均无故障使用次数（MCBF）大于等于300万次；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支持消防应急常开功能；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支持机械防夹、红外防夹功能；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支持防冲撞功能；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支持三种安全等级设置，适用不同安全级别的场景；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支持九种通行模式组合：授权通行、禁止通行、自由通行等组合；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支持开关门速度调节；支持通行时间设置；支持延时关闸时间设置；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支持二次开启功能，人员在通道内可以授权；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支持出入口记忆功能，可以连续授权过人；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支持非法闯入、尾随、反向闯入、滞留、异常开门、非法翻越、门翼故障、红外异常等声光报警提示；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支持选配“读卡板、人脸、指纹、CPU读卡器、身份证阅读模块”等扩展模块集成，实现多种认证方式组合应用；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6BD3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389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35B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3711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地下室2校门6图书馆2</w:t>
            </w:r>
          </w:p>
        </w:tc>
      </w:tr>
      <w:tr w14:paraId="69551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F42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E03C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双机芯人行摆闸</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0B063">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1、机箱采用国标304不锈钢材质，机箱厚度0.8mm；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标配4对红外检测；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采用直流无刷电机；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支持开门超时自动复位功能；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支持蜂鸣器和指示灯报警提示；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通道尺寸亚克力支持：600mm-900mm，不锈钢支持：600mm-900mm；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平均无故障使用次数（MCBF）大于等于300万次；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支持消防应急常开功能；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支持机械防夹、红外防夹功能；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支持防冲撞功能；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支持三种安全等级设置，适用不同安全级别的场景；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支持九种通行模式组合：授权通行、禁止通行、自由通行等组合；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支持开关门速度调节；支持通行时间设置；支持延时关闸时间设置；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支持二次开启功能，人员在通道内可以授权；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支持出入口记忆功能，可以连续授权过人；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支持非法闯入、尾随、反向闯入、滞留、异常开门、非法翻越、门翼故障、红外异常等声光报警提示；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支持选配“读卡板、人脸、指纹、CPU读卡器、身份证阅读模块”等扩展模块集成，实现多种认证方式组合应用；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794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05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9A0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AB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地下室5校门6</w:t>
            </w:r>
          </w:p>
        </w:tc>
      </w:tr>
      <w:tr w14:paraId="15A33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C78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86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摆闸人脸识别模块</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1EF73">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1、采用2.5D曲面IPS屏，时尚大方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采用≥7英寸液晶屏，屏幕显示分辨率≥1024x600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采用≥ 200万双目摄像头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采用国产芯片和国产化操作系统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支持≥6人同时进行人脸识别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采用高性能图像传感器，无需白光补光，在暗光或无光环境下也能识别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支持≥IP65防护等级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支持自动补光，可有效降低环境光污染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支持≥10万个用户(最大支持不超过50个管理员)、10万张人脸、10万个密码、50万张卡片、30万条记录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支持人脸、IC卡、CPU卡（需另购PSAM卡）、CPU卡序列号、身份证序列号、密码、二维码（支持2.2cm*2.2cm~5cm*5cm大小且内容小于128字节的二维码）等多种识别方式，并支持多种组合识别鉴权方式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支持显示人脸框，并实时检测最大人脸，支持识别区域及人脸目标大小设置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支持面部识别距离0.3m-3.0m；适应0.9m～2.4m身高范围(镜头安装高度1.4米)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人脸识别速度≤0.1秒，可实现无感通行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支持多种比对结果呈现模式及多种语音提示信息，适应多种场景，有效保障用户隐私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支持未佩戴口罩检测模式，实现未佩戴口罩异常事件告警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支持活体检测功能，支持手机照片、打印照片和视频防假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支持口罩检测、安全帽检测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 支持逆光、顺光等强光场景的稳定识别，场景适应性更广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 支持门控安全模块扩展，防止暴力开门，提升通行安全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 支持胁迫报警、 防拆报警、 闯入报警、 门超时报警、非法卡超次报警、非法密码超次报警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 支持来宾用户下发、巡逻用户下发、黑名单用户下发、VIP用户下发、普通用户下发、其它用户下发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 支持与室内机、管理机、手机APP可视对讲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23、 支持TCP/IP和WiFi接入网络，支持主动注册、P2P注册、DHCP</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24、 支持在线升级，USB升级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25、 支持3.5mm音频接口，可扩展外接音箱</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26、 支持下模块扩展功能（指纹、二维码、人证、人证+二维码、指纹+二维码）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27、 支持自定义语音，验证成功后可叠加播报姓名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28、 支持本机WEB人员管理，支持人员新增、删除和修改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29、 支持本地考勤管理和考勤报表导出功能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30、 支持语音识别，开启后可通过语音唤醒并语音控制设备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31、 支持视频和图片广告播放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32、 支持戴口罩人证比对（需配置含身份证下模块）、人脸识别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33、 支持消防报警联动（需接入报警输入接口，并配置对应联动）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34、 支持手机NFC刷卡，且可配置使能开关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35、 支持电源输出，给锁供电（输出DC12V/1A）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36、 支持呼吸灯及三色状态提示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37、设备关键器件均为国产品牌，包括主控芯片、内存、EMMC。系统采用国产化鸿蒙 V4.1 版本操作系统。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38、设备应支持通过U盘导出和导入人员信息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39、设备应支持通过WEB导出和导入人员信息，导入导出方式可支持模板方式及人员信息压缩包方式，压缩包导入导出支持数据加密。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40、设备应支持最多6人同时进行人脸识别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41、认证结果语音自定义：集成文字转语音（TTS）和语音合成技术，认证成功和认证失败的语音可以分别配置不少于6个时间段进行自定义播报，同时认证成功的语音可叠加播报姓名；支持导入外部自定义语音文件进行播报。</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1F6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海康、大华、宇视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4D42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639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652F7">
            <w:pPr>
              <w:jc w:val="center"/>
              <w:rPr>
                <w:rFonts w:hint="eastAsia" w:ascii="宋体" w:hAnsi="宋体" w:eastAsia="宋体" w:cs="宋体"/>
                <w:i w:val="0"/>
                <w:iCs w:val="0"/>
                <w:color w:val="000000"/>
                <w:sz w:val="24"/>
                <w:szCs w:val="24"/>
                <w:u w:val="none"/>
              </w:rPr>
            </w:pPr>
          </w:p>
        </w:tc>
      </w:tr>
      <w:tr w14:paraId="197C7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31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26D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壁装人脸门禁一体机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B532">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1、采用2.5D曲面IPS屏，时尚大方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采用≥7英寸液晶屏，屏幕显示分辨率≥1024x600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采用≥ 200万双目摄像头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采用国产芯片和国产化操作系统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支持≥6人同时进行人脸识别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采用高性能图像传感器，无需白光补光，在暗光或无光环境下也能识别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支持≥IP65防护等级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支持自动补光，可有效降低环境光污染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支持≥10万个用户(最大支持不超过50个管理员)、10万张人脸、10万个密码、50万张卡片、30万条记录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支持人脸、IC卡、CPU卡（需另购PSAM卡）、CPU卡序列号、身份证序列号、密码、二维码（支持2.2cm*2.2cm~5cm*5cm大小且内容小于128字节的二维码）等多种识别方式，并支持多种组合识别鉴权方式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支持显示人脸框，并实时检测最大人脸，支持识别区域及人脸目标大小设置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支持面部识别距离0.3m-3.0m；适应0.9m～2.4m身高范围(镜头安装高度1.4米)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人脸识别速度≤0.1秒，可实现无感通行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支持多种比对结果呈现模式及多种语音提示信息，适应多种场景，有效保障用户隐私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支持未佩戴口罩检测模式，实现未佩戴口罩异常事件告警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 支持活体检测功能，支持手机照片、打印照片和视频防假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 支持口罩检测、安全帽检测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 支持逆光、顺光等强光场景的稳定识别，场景适应性更广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 支持门控安全模块扩展，防止暴力开门，提升通行安全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 支持胁迫报警、 防拆报警、 闯入报警、 门超时报警、非法卡超次报警、非法密码超次报警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 支持来宾用户下发、巡逻用户下发、黑名单用户下发、VIP用户下发、普通用户下发、其它用户下发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 支持与室内机、管理机、手机APP可视对讲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23、 支持TCP/IP和WiFi接入网络，支持主动注册、P2P注册、DHCP</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24、 支持在线升级，USB升级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25、 支持3.5mm音频接口，可扩展外接音箱</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26、 支持下模块扩展功能（指纹、二维码、人证、人证+二维码、指纹+二维码）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27、 支持自定义语音，验证成功后可叠加播报姓名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28、 支持本机WEB人员管理，支持人员新增、删除和修改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29、 支持本地考勤管理和考勤报表导出功能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30、 支持语音识别，开启后可通过语音唤醒并语音控制设备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31、 支持视频和图片广告播放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32、 支持戴口罩人证比对（需配置含身份证下模块）、人脸识别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33、 支持消防报警联动（需接入报警输入接口，并配置对应联动）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34、 支持手机NFC刷卡，且可配置使能开关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35、 支持电源输出，给锁供电（输出DC12V/1A）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36、 支持呼吸灯及三色状态提示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37、设备关键器件均为国产品牌，包括主控芯片、内存、EMMC。系统采用国产化鸿蒙 V4.1 版本操作系统。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38、设备应支持通过U盘导出和导入人员信息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39、设备应支持通过WEB导出和导入人员信息，导入导出方式可支持模板方式及人员信息压缩包方式，压缩包导入导出支持数据加密。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40、设备应支持最多6人同时进行人脸识别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41、认证结果语音自定义：集成文字转语音（TTS）和语音合成技术，认证成功和认证失败的语音可以分别配置不少于6个时间段进行自定义播报，同时认证成功的语音可叠加播报姓名；支持导入外部自定义语音文件进行播报。</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B62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大华、海康威视、宇视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23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3E9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115EE">
            <w:pPr>
              <w:jc w:val="center"/>
              <w:rPr>
                <w:rFonts w:hint="eastAsia" w:ascii="宋体" w:hAnsi="宋体" w:eastAsia="宋体" w:cs="宋体"/>
                <w:i w:val="0"/>
                <w:iCs w:val="0"/>
                <w:color w:val="000000"/>
                <w:sz w:val="24"/>
                <w:szCs w:val="24"/>
                <w:u w:val="none"/>
              </w:rPr>
            </w:pPr>
          </w:p>
        </w:tc>
      </w:tr>
      <w:tr w14:paraId="1289D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285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6A9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电源</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D4F0">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1、插墙式电源适配器AC100V~240V-12V2A-V级-ADS-25FSG-1212024GPCN-国标-Φ5.5×Φ2.1×10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46D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大华、海康威视、宇视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FA0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1F2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4BB30">
            <w:pPr>
              <w:jc w:val="center"/>
              <w:rPr>
                <w:rFonts w:hint="eastAsia" w:ascii="宋体" w:hAnsi="宋体" w:eastAsia="宋体" w:cs="宋体"/>
                <w:i w:val="0"/>
                <w:iCs w:val="0"/>
                <w:color w:val="000000"/>
                <w:sz w:val="24"/>
                <w:szCs w:val="24"/>
                <w:u w:val="none"/>
              </w:rPr>
            </w:pPr>
          </w:p>
        </w:tc>
      </w:tr>
      <w:tr w14:paraId="13289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CCA0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E5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人脸采集终端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FB08">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1、采用PC+ABS材质成型，高端整洁，科技感浓郁；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采用嵌入式系统，搭配国际领先的核心算法，性能强劲，安全稳定；</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采用≥4.3英寸触摸液晶屏，分辨率480(H)*272(V)；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采用≥200万高清双目摄像头，支持自动白光补光和自动红外补光；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支持人证核验模式、自助采集在线模式、自助采集离线模式、协同采集模式；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支持采集4000张人脸照片；人脸比对时间0.2S/人，识别成功率99.8%；</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支持人脸、身份证、IC卡、CPU卡(需另配PSAM卡)、密码等多种识别认证方式；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 支持人脸活体检测，照片视频有效防假；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 支持脱机运行，采集数据存储和上传功能，网络恢复后，支持设备和平台数据同步；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 支持语音提示功能；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 支持有线和WIFI两种网络通信方式，通信数据采用加密处理，更安全；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 支持主动注册/P2P注册/DHCP；</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 支持网络升级；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 支持≥1路USB、1个网口（10M/100M自适应）；</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 支持看门狗守护机制，保障设备运行稳定性；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20DE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大华、海康威视、宇视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35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4A2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F5673">
            <w:pPr>
              <w:jc w:val="center"/>
              <w:rPr>
                <w:rFonts w:hint="eastAsia" w:ascii="宋体" w:hAnsi="宋体" w:eastAsia="宋体" w:cs="宋体"/>
                <w:i w:val="0"/>
                <w:iCs w:val="0"/>
                <w:color w:val="000000"/>
                <w:sz w:val="24"/>
                <w:szCs w:val="24"/>
                <w:u w:val="none"/>
              </w:rPr>
            </w:pPr>
          </w:p>
        </w:tc>
      </w:tr>
      <w:tr w14:paraId="10921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FAC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4FE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开门按钮</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5027B">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1、外壳材料：ABS；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电气性能：最大电流：3A 36VDC；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耐用测试：五十万次老化测试合格；</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接点输出：NO/COM接点；</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0A1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大华、海康威视、宇视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E3F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4FD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A5F5">
            <w:pPr>
              <w:jc w:val="center"/>
              <w:rPr>
                <w:rFonts w:hint="eastAsia" w:ascii="宋体" w:hAnsi="宋体" w:eastAsia="宋体" w:cs="宋体"/>
                <w:i w:val="0"/>
                <w:iCs w:val="0"/>
                <w:color w:val="000000"/>
                <w:sz w:val="24"/>
                <w:szCs w:val="24"/>
                <w:u w:val="none"/>
              </w:rPr>
            </w:pPr>
          </w:p>
        </w:tc>
      </w:tr>
      <w:tr w14:paraId="28FEC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B003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A591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双门磁力锁及支架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3E043">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1、产品款式：磁力锁；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外壳材料：铝合金；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表面工艺：电镀拉丝；</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信号输出：COM/NO/NC；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门状态检测：1路，继电器；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安全类型：断电开门；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最大拉力：280kg×2（600Lbs×2）直线拉力；</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D2C5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大华、海康威视、宇视</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BEA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F4F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22827">
            <w:pPr>
              <w:jc w:val="center"/>
              <w:rPr>
                <w:rFonts w:hint="eastAsia" w:ascii="宋体" w:hAnsi="宋体" w:eastAsia="宋体" w:cs="宋体"/>
                <w:i w:val="0"/>
                <w:iCs w:val="0"/>
                <w:color w:val="000000"/>
                <w:sz w:val="24"/>
                <w:szCs w:val="24"/>
                <w:u w:val="none"/>
              </w:rPr>
            </w:pPr>
          </w:p>
        </w:tc>
      </w:tr>
      <w:tr w14:paraId="35EE1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nil"/>
              <w:right w:val="single" w:color="000000" w:sz="4" w:space="0"/>
            </w:tcBorders>
            <w:shd w:val="clear" w:color="auto" w:fill="auto"/>
            <w:vAlign w:val="center"/>
          </w:tcPr>
          <w:p w14:paraId="191B43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nil"/>
              <w:right w:val="single" w:color="000000" w:sz="4" w:space="0"/>
            </w:tcBorders>
            <w:shd w:val="clear" w:color="auto" w:fill="auto"/>
            <w:vAlign w:val="center"/>
          </w:tcPr>
          <w:p w14:paraId="1D5B2A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单门磁力锁及支架</w:t>
            </w:r>
          </w:p>
        </w:tc>
        <w:tc>
          <w:tcPr>
            <w:tcW w:w="3704" w:type="dxa"/>
            <w:tcBorders>
              <w:top w:val="single" w:color="000000" w:sz="4" w:space="0"/>
              <w:left w:val="single" w:color="000000" w:sz="4" w:space="0"/>
              <w:bottom w:val="nil"/>
              <w:right w:val="single" w:color="000000" w:sz="4" w:space="0"/>
            </w:tcBorders>
            <w:shd w:val="clear" w:color="auto" w:fill="auto"/>
            <w:vAlign w:val="center"/>
          </w:tcPr>
          <w:p w14:paraId="36334498">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1、产品款式：磁力锁；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 外壳材料：铝合金；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 表面工艺：电镀拉丝；</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 信号输出：COM/NO/NC；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 门状态检测：1路，继电器；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 安全类型：断电开门；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 最大拉力：280kg（600Lbs）直线拉力；</w:t>
            </w:r>
          </w:p>
        </w:tc>
        <w:tc>
          <w:tcPr>
            <w:tcW w:w="1552" w:type="dxa"/>
            <w:tcBorders>
              <w:top w:val="single" w:color="000000" w:sz="4" w:space="0"/>
              <w:left w:val="single" w:color="000000" w:sz="4" w:space="0"/>
              <w:bottom w:val="nil"/>
              <w:right w:val="single" w:color="000000" w:sz="4" w:space="0"/>
            </w:tcBorders>
            <w:shd w:val="clear" w:color="auto" w:fill="auto"/>
            <w:vAlign w:val="center"/>
          </w:tcPr>
          <w:p w14:paraId="32C9F7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大华、海康威视、宇视</w:t>
            </w:r>
          </w:p>
        </w:tc>
        <w:tc>
          <w:tcPr>
            <w:tcW w:w="761" w:type="dxa"/>
            <w:tcBorders>
              <w:top w:val="single" w:color="000000" w:sz="4" w:space="0"/>
              <w:left w:val="single" w:color="000000" w:sz="4" w:space="0"/>
              <w:bottom w:val="nil"/>
              <w:right w:val="single" w:color="000000" w:sz="4" w:space="0"/>
            </w:tcBorders>
            <w:shd w:val="clear" w:color="auto" w:fill="auto"/>
            <w:vAlign w:val="center"/>
          </w:tcPr>
          <w:p w14:paraId="4AFDD7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nil"/>
              <w:right w:val="single" w:color="000000" w:sz="4" w:space="0"/>
            </w:tcBorders>
            <w:shd w:val="clear" w:color="auto" w:fill="auto"/>
            <w:vAlign w:val="center"/>
          </w:tcPr>
          <w:p w14:paraId="3E5FFBC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nil"/>
              <w:right w:val="single" w:color="000000" w:sz="4" w:space="0"/>
            </w:tcBorders>
            <w:shd w:val="clear" w:color="auto" w:fill="auto"/>
            <w:vAlign w:val="center"/>
          </w:tcPr>
          <w:p w14:paraId="0322E8AD">
            <w:pPr>
              <w:jc w:val="center"/>
              <w:rPr>
                <w:rFonts w:hint="eastAsia" w:ascii="宋体" w:hAnsi="宋体" w:eastAsia="宋体" w:cs="宋体"/>
                <w:i w:val="0"/>
                <w:iCs w:val="0"/>
                <w:color w:val="000000"/>
                <w:sz w:val="24"/>
                <w:szCs w:val="24"/>
                <w:u w:val="none"/>
              </w:rPr>
            </w:pPr>
          </w:p>
        </w:tc>
      </w:tr>
      <w:tr w14:paraId="62EBF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5171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4校园广播系统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5CFC">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12BA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9093E">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77127">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F2519">
            <w:pPr>
              <w:jc w:val="center"/>
              <w:rPr>
                <w:rFonts w:hint="eastAsia" w:ascii="宋体" w:hAnsi="宋体" w:eastAsia="宋体" w:cs="宋体"/>
                <w:i w:val="0"/>
                <w:iCs w:val="0"/>
                <w:color w:val="000000"/>
                <w:sz w:val="24"/>
                <w:szCs w:val="24"/>
                <w:u w:val="none"/>
              </w:rPr>
            </w:pPr>
          </w:p>
        </w:tc>
      </w:tr>
      <w:tr w14:paraId="7D900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0A3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1)广播机房</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CD90F">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2CD77">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67858">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DE71A">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D7FAA">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784A6">
            <w:pPr>
              <w:jc w:val="center"/>
              <w:rPr>
                <w:rFonts w:hint="eastAsia" w:ascii="宋体" w:hAnsi="宋体" w:eastAsia="宋体" w:cs="宋体"/>
                <w:i w:val="0"/>
                <w:iCs w:val="0"/>
                <w:color w:val="000000"/>
                <w:sz w:val="24"/>
                <w:szCs w:val="24"/>
                <w:u w:val="none"/>
              </w:rPr>
            </w:pPr>
          </w:p>
        </w:tc>
      </w:tr>
      <w:tr w14:paraId="10F48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F067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A45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网络广播中心</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E41D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1)老校区搬迁至广播机房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★2)为保证该系统设备与本项目整体维保周期保持一致，搬迁的广播子系统设备原厂维保需延期至5年 需出具维保延期相关证明。</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32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2A5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项</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824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25FB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广播子系统搬迁 费用+维保延期费用</w:t>
            </w:r>
          </w:p>
        </w:tc>
      </w:tr>
      <w:tr w14:paraId="1A26D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C4C9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483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专业电容式会议麦克风</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A44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1.结构形式：卡龙插拔倒扣式结构</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2.底座材质：锌基合金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3.产品类别：9.7背极电容式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4.指向类型：超心型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5.灵敏度：-35dB±3dB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6.频率响应：100-12000Hz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7.输出抗阻：200Ω平衡式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8.输出量：15mV(1KHz/94dB)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9.供电：DC1.5V/48V自动切换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10.拾音距离：(20-50)cm</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365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A98F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2E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17CCD">
            <w:pPr>
              <w:jc w:val="center"/>
              <w:rPr>
                <w:rFonts w:hint="eastAsia" w:ascii="宋体" w:hAnsi="宋体" w:eastAsia="宋体" w:cs="宋体"/>
                <w:i w:val="0"/>
                <w:iCs w:val="0"/>
                <w:color w:val="000000"/>
                <w:sz w:val="24"/>
                <w:szCs w:val="24"/>
                <w:u w:val="none"/>
              </w:rPr>
            </w:pPr>
          </w:p>
        </w:tc>
      </w:tr>
      <w:tr w14:paraId="4F3E9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CFA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09D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网络化调音台</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D6E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1.设备采用高速工业级芯片，嵌入式处理器，运行稳定可靠。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2.自带7英寸触摸屏，图文式菜单操作，人性化人机操作界面，操作更简单。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3.具有8个可编程按键，每个按键可在主机上预设分区，实现意见开启本地或分区的音量播放与喊话功能。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4.带有USB与蓝牙播放功能，支持与本地输入音源混音推送到需要的分区。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5.通过网络可对其他IP音频终端远程播放服务器节目音源控制，调节终端播放音乐音量大小。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6.高保真录音功能，可以将话筒及线路输入的信号进行高质量录音。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49C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A0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F47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1CCD">
            <w:pPr>
              <w:jc w:val="center"/>
              <w:rPr>
                <w:rFonts w:hint="eastAsia" w:ascii="宋体" w:hAnsi="宋体" w:eastAsia="宋体" w:cs="宋体"/>
                <w:i w:val="0"/>
                <w:iCs w:val="0"/>
                <w:color w:val="000000"/>
                <w:sz w:val="24"/>
                <w:szCs w:val="24"/>
                <w:u w:val="none"/>
              </w:rPr>
            </w:pPr>
          </w:p>
        </w:tc>
      </w:tr>
      <w:tr w14:paraId="2C026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DE9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81CF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三十二路消防联动网络模块</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A4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1.本模块为网络化公共广播系统与消防中心之间的接口。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2.当接收到由消防中心发来之警报信号时，会自动激活网络化公共广播系统相应工作区进入强行插入紧急广播状态。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3.每台机有32个消防触发通道，通过主机设置，每个通道的告警分区可任意组合。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4.每个告警通道均含寻路故障检测功能，自动排查系统线路故障。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5.同一系统可以有多台机连接于网络，可任意扩展控制区域。</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53D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8AA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26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35C46">
            <w:pPr>
              <w:jc w:val="center"/>
              <w:rPr>
                <w:rFonts w:hint="eastAsia" w:ascii="宋体" w:hAnsi="宋体" w:eastAsia="宋体" w:cs="宋体"/>
                <w:i w:val="0"/>
                <w:iCs w:val="0"/>
                <w:color w:val="000000"/>
                <w:sz w:val="24"/>
                <w:szCs w:val="24"/>
                <w:u w:val="none"/>
              </w:rPr>
            </w:pPr>
          </w:p>
        </w:tc>
      </w:tr>
      <w:tr w14:paraId="17EF7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AD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1.2)数模备份系统</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69A9">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2EF2">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A5E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818B0">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BBE59">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61DAB">
            <w:pPr>
              <w:jc w:val="center"/>
              <w:rPr>
                <w:rFonts w:hint="eastAsia" w:ascii="宋体" w:hAnsi="宋体" w:eastAsia="宋体" w:cs="宋体"/>
                <w:i w:val="0"/>
                <w:iCs w:val="0"/>
                <w:color w:val="000000"/>
                <w:sz w:val="24"/>
                <w:szCs w:val="24"/>
                <w:u w:val="none"/>
              </w:rPr>
            </w:pPr>
          </w:p>
        </w:tc>
      </w:tr>
      <w:tr w14:paraId="01C32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E23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ABE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纯后级广播功放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64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1.额定输出功率≥1050W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2.最小源电动势≤1100mV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3.额定输出电压P1，70V，100V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4.信噪比≥82dB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5.频率响应80Hz-15KHz（±3dB）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6.总谐波失真≤1%（1KHz，正常工作条件）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7.指示灯“电源”，“削顶”，“信号”，“保护”和“超温”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8.保护功能高温，直流，短路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9.额定功耗1800W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10.额定电源电压AC220V/50Hz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A02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69C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DE90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2D87B">
            <w:pPr>
              <w:jc w:val="center"/>
              <w:rPr>
                <w:rFonts w:hint="eastAsia" w:ascii="宋体" w:hAnsi="宋体" w:eastAsia="宋体" w:cs="宋体"/>
                <w:i w:val="0"/>
                <w:iCs w:val="0"/>
                <w:color w:val="000000"/>
                <w:sz w:val="24"/>
                <w:szCs w:val="24"/>
                <w:u w:val="none"/>
              </w:rPr>
            </w:pPr>
          </w:p>
        </w:tc>
      </w:tr>
      <w:tr w14:paraId="4651F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0B07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9CD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UPS主机10KVA</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601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1、10KVA在线式单进单出ups主机；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2、输入功率因数：30%负载：≥0.980；50%负载：≥0.990；100%负载：≥0.998；</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3、输出波形失真度：≤0.5%（线性负载）；≤1.4%（非线性负载）；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4、输出功率因素：1；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5、系统效率：≥95%；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6、以上技术性能要求提供产品彩页；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7、UPS电源主机具备泰尔、节能认证；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8、为避免误操作，UPS的开、关机采用双键组合的形式来实现开关机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9、UPS主机具备面板设定功能：可以通过面板设置UPS输出电压，ECO模式、EPO模式、变频模式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BD8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F7C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5F3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7683">
            <w:pPr>
              <w:jc w:val="center"/>
              <w:rPr>
                <w:rFonts w:hint="eastAsia" w:ascii="宋体" w:hAnsi="宋体" w:eastAsia="宋体" w:cs="宋体"/>
                <w:i w:val="0"/>
                <w:iCs w:val="0"/>
                <w:color w:val="000000"/>
                <w:sz w:val="24"/>
                <w:szCs w:val="24"/>
                <w:u w:val="none"/>
              </w:rPr>
            </w:pPr>
          </w:p>
        </w:tc>
      </w:tr>
      <w:tr w14:paraId="44CB3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13D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CDC1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蓄电池</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541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1、免维护铅酸蓄电池容量12V-100Ah，要求主机同品牌；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2、蓄电池应具有泰尔、抗震检测认证。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3、蓄电池应采用镶嵌式内螺纹铜芯端子，确保无金属铅或铅合金外露。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4、蓄电池槽、盖应采用高强度ABS材料制造，并具有阻燃性，正常工作条件下不出现鼓胀或收缩变形。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5、端电压均衡性：开路电压压差不应超出25mV，进入浮充状态24h后端电压差不应超出30mV，放电状态端电压差不应超出0.2V。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6、蓄电池密封反应效率应在98.7%以上。</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7、蓄电池在环境温度25±5℃的条件下，储存24h，通过安全阀向蓄电池充气在内外压差为50Kpa时并持续不少于5s时，能够不破裂、不开胶、压力释放后壳体无残余变形；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8、同组蓄电池10h率容量实验时，其蓄电池组中的最大最小其容量差值应小于2%。</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253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AD3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节</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0B7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CD68">
            <w:pPr>
              <w:jc w:val="center"/>
              <w:rPr>
                <w:rFonts w:hint="eastAsia" w:ascii="宋体" w:hAnsi="宋体" w:eastAsia="宋体" w:cs="宋体"/>
                <w:i w:val="0"/>
                <w:iCs w:val="0"/>
                <w:color w:val="000000"/>
                <w:sz w:val="24"/>
                <w:szCs w:val="24"/>
                <w:u w:val="none"/>
              </w:rPr>
            </w:pPr>
          </w:p>
        </w:tc>
      </w:tr>
      <w:tr w14:paraId="4F683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47C7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5EF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电池箱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DF59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1、整机经磷化喷塑，耐磨防蚀；</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2、侧面板采用1.0mm钢板制成，底部安装板厚度为2.8mm；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3、采用优质金属成型，受力均匀。</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202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855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8D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FDC45">
            <w:pPr>
              <w:jc w:val="center"/>
              <w:rPr>
                <w:rFonts w:hint="eastAsia" w:ascii="宋体" w:hAnsi="宋体" w:eastAsia="宋体" w:cs="宋体"/>
                <w:i w:val="0"/>
                <w:iCs w:val="0"/>
                <w:color w:val="000000"/>
                <w:sz w:val="24"/>
                <w:szCs w:val="24"/>
                <w:u w:val="none"/>
              </w:rPr>
            </w:pPr>
          </w:p>
        </w:tc>
      </w:tr>
      <w:tr w14:paraId="37915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7CD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2)6#体育馆2F(广播室)</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BCE14">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042B5">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A6D24">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102D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30F25">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A1C1F">
            <w:pPr>
              <w:jc w:val="center"/>
              <w:rPr>
                <w:rFonts w:hint="eastAsia" w:ascii="宋体" w:hAnsi="宋体" w:eastAsia="宋体" w:cs="宋体"/>
                <w:i w:val="0"/>
                <w:iCs w:val="0"/>
                <w:color w:val="000000"/>
                <w:sz w:val="24"/>
                <w:szCs w:val="24"/>
                <w:u w:val="none"/>
              </w:rPr>
            </w:pPr>
          </w:p>
        </w:tc>
      </w:tr>
      <w:tr w14:paraId="62428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AED7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E68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一路音频输出终端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0C5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2路RJ45网络通讯接口，≥1路EMC音频输入接口，带输入电平调节旋钮，≥1路EMC音频输出接口，≥1路线路音频6.35输出接口，≥1路告警24V电源凤凰插输出接口，≥1路告警SC短路信号凤凰插输出接口，内置≥1路监听喇叭，带监听开关旋钮和监听音量电位器调节旋钮。（提供设备前后面板高清截图佐证对应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2.支持通过web端设置中英文语言、离线定时点功能启用或失能、设置本地网络音源优先选择，提供本地、网络、混合≥3种选择。（提供软件功能界面截图佐证）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3.具有接受主机的控制命令，并实施相应操作的功能，实现分区广播、定时广播、分区寻呼、分区告警等功能。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4.内置≥1路网络硬件音频解码模块，可连接功放拓展功率，有信号输出时指示灯亮。</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C2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89A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1EF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0AF2">
            <w:pPr>
              <w:jc w:val="center"/>
              <w:rPr>
                <w:rFonts w:hint="eastAsia" w:ascii="宋体" w:hAnsi="宋体" w:eastAsia="宋体" w:cs="宋体"/>
                <w:i w:val="0"/>
                <w:iCs w:val="0"/>
                <w:color w:val="000000"/>
                <w:sz w:val="24"/>
                <w:szCs w:val="24"/>
                <w:u w:val="none"/>
              </w:rPr>
            </w:pPr>
          </w:p>
        </w:tc>
      </w:tr>
      <w:tr w14:paraId="1E283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05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C92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8路模拟调音台</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6B9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1.6路XLR平衡单声道输入,2路立体声输入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2.具备4路独立PAD衰减按键输入通道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3.每个输入通道设计独立NOISE-Gate噪声门开关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4.每个输入通道设计独立48V幻相电源开关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5.各个输入通道支持3段均衡调节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6.2组AUXSEND辅助输出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7.内置100种DSP数字效果器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8.4个话筒输入通道支持独立1*10段LED电平信号指示表，用于通道电平监视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9.内置USB音频播放功能，格式包含:WAV,WMA,APE,FLAC,MP3等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10.双通道耳机监听</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11.2*10段点距LED电平表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12.2路GROUPOUT编组输出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13.双通道MAINOUT立体声输出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14.高可靠性的,平滑60MM行程推子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75A9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090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550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B5A5">
            <w:pPr>
              <w:jc w:val="center"/>
              <w:rPr>
                <w:rFonts w:hint="eastAsia" w:ascii="宋体" w:hAnsi="宋体" w:eastAsia="宋体" w:cs="宋体"/>
                <w:i w:val="0"/>
                <w:iCs w:val="0"/>
                <w:color w:val="000000"/>
                <w:sz w:val="24"/>
                <w:szCs w:val="24"/>
                <w:u w:val="none"/>
              </w:rPr>
            </w:pPr>
          </w:p>
        </w:tc>
      </w:tr>
      <w:tr w14:paraId="21C31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4D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E1DB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网络化室内音箱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04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业主自备利旧老校区搬迁来 在1)-1网络广播中心 整体综合考虑 此项无需报价</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A13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578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644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2E54B">
            <w:pPr>
              <w:jc w:val="center"/>
              <w:rPr>
                <w:rFonts w:hint="eastAsia" w:ascii="宋体" w:hAnsi="宋体" w:eastAsia="宋体" w:cs="宋体"/>
                <w:i w:val="0"/>
                <w:iCs w:val="0"/>
                <w:color w:val="000000"/>
                <w:sz w:val="24"/>
                <w:szCs w:val="24"/>
                <w:u w:val="none"/>
              </w:rPr>
            </w:pPr>
          </w:p>
        </w:tc>
      </w:tr>
      <w:tr w14:paraId="22BEF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989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FE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时序电源控制器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6A6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1.电源插座输出总容量3.5kVA，16A，16通道；每个插座最大输出为220V，10A；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2.定时器控制信号交流220伏，0.01A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3.动作间隔时间0.4秒-0.5秒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4.保护AC保险丝</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5.耗电AC220V/50Hz/16A</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5D2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9B9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603F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49930">
            <w:pPr>
              <w:jc w:val="center"/>
              <w:rPr>
                <w:rFonts w:hint="eastAsia" w:ascii="宋体" w:hAnsi="宋体" w:eastAsia="宋体" w:cs="宋体"/>
                <w:i w:val="0"/>
                <w:iCs w:val="0"/>
                <w:color w:val="000000"/>
                <w:sz w:val="24"/>
                <w:szCs w:val="24"/>
                <w:u w:val="none"/>
              </w:rPr>
            </w:pPr>
          </w:p>
        </w:tc>
      </w:tr>
      <w:tr w14:paraId="20D0D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B80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9A1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真分集无线话筒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46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1.波段范围（UHF）：632MHz～695MHz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2.PLL双频道锁相环回路设计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3.UHF200频道PLL数字锁定自动通讯功能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4.显示屏显示功能(显示频率.频道.静噪.电平等)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5.发射功率调节，高功率14dBm; 低功率6dBm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6.频率响应：120Hz-16KHz(±3dB)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7.综合信噪比：&gt;73dB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8.综合失真度：≤1%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9.发射机工作时间8小时以上</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D7BD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CB0A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0DE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437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2只手持麦 模拟无延迟</w:t>
            </w:r>
          </w:p>
        </w:tc>
      </w:tr>
      <w:tr w14:paraId="29A51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A53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8CA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网络化真分集无线话筒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50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1.频率范围：632-661.25MHz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2.通道数量：100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3.接收灵敏度：≥-102dBm，信噪比≥60dB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4.接收距离：≥200m（空旷地方）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5.配备一支有9个按键话筒遥控网络化主机，一支普通手持话筒发言</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6.天线输出接口BNC，天线阻抗50欧姆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7.音频输出口：音频莲花座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8.带音量调节和红外对频功能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9.带网络连接功能：可通过网络传输音频及话筒遥控命令功能；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10.电源电压DC12V ,1000mA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11.工作温度范围：-10℃―+40℃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E0B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113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6E6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CFE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2只手持麦</w:t>
            </w:r>
          </w:p>
        </w:tc>
      </w:tr>
      <w:tr w14:paraId="76531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F8B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960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八路天线分配器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461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1.频率范围：500MHz--950MHz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2.具备频谱扫描功能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3.扫描范围：500MHz--950MHz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4.具备18个独立频段，每个频段可独立调节增益，增益范围：5dB，10dB,15dB,20dB(±2dB)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5.输入/出阻抗：50欧姆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6.天线供电：+12VDC/150mA 中央点为正极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7.直流输出：12VDC/3A（MAX）*4组 中央点为正极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8.电源：100--240VAC，50/60Hz，12VDC/3A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9.连接器端口：BNC</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A50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7111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284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9735">
            <w:pPr>
              <w:jc w:val="center"/>
              <w:rPr>
                <w:rFonts w:hint="eastAsia" w:ascii="宋体" w:hAnsi="宋体" w:eastAsia="宋体" w:cs="宋体"/>
                <w:i w:val="0"/>
                <w:iCs w:val="0"/>
                <w:color w:val="000000"/>
                <w:sz w:val="24"/>
                <w:szCs w:val="24"/>
                <w:u w:val="none"/>
              </w:rPr>
            </w:pPr>
          </w:p>
        </w:tc>
      </w:tr>
      <w:tr w14:paraId="7448B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2C1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4D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室外防水天线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61F8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1.天线极化方式：线性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2.天线驻波比：&lt;2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3.放大器增益：四档可调（-6dB/0dB/6dB/12dB)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4.放大器低噪：&lt;2.6dB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5.外部供电：6-12DCV 电流：80mA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6.连接器端口：BNC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指向性功能特点采用对数周期偶极振子阵列,能够在面向所需的覆盖区域时提供最佳接收效果。集成式放大器具有四档增益设置,用于补偿不同级别的同轴线缆信号损失。电路板有防水保护效果，可将天线翼叶子固定在话筒支架上或者使用集成式可旋转支架固定在墙壁上.</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8.射频频率范围:470-950MHz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6382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27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56B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905C">
            <w:pPr>
              <w:jc w:val="center"/>
              <w:rPr>
                <w:rFonts w:hint="eastAsia" w:ascii="宋体" w:hAnsi="宋体" w:eastAsia="宋体" w:cs="宋体"/>
                <w:i w:val="0"/>
                <w:iCs w:val="0"/>
                <w:color w:val="000000"/>
                <w:sz w:val="24"/>
                <w:szCs w:val="24"/>
                <w:u w:val="none"/>
              </w:rPr>
            </w:pPr>
          </w:p>
        </w:tc>
      </w:tr>
      <w:tr w14:paraId="44A16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695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2.1)田径场前端</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8C27E">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9CB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66178">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B7FF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98304">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33230">
            <w:pPr>
              <w:jc w:val="center"/>
              <w:rPr>
                <w:rFonts w:hint="eastAsia" w:ascii="宋体" w:hAnsi="宋体" w:eastAsia="宋体" w:cs="宋体"/>
                <w:i w:val="0"/>
                <w:iCs w:val="0"/>
                <w:color w:val="000000"/>
                <w:sz w:val="24"/>
                <w:szCs w:val="24"/>
                <w:u w:val="none"/>
              </w:rPr>
            </w:pPr>
          </w:p>
        </w:tc>
      </w:tr>
      <w:tr w14:paraId="015E5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FB5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2F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纯后级广播功放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D2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1.100V、70V定压输出和P1输出（平衡、不接地），额定输出功率≥650W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2.最小源电动势≤1000mV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3.信噪比≥77dB（宽带）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4.频率响应80Hz—16kHz（±3dB）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5.总谐波失真≤1%（1kHz，正常工作条件）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6.指示灯“电源”，“削顶”，“信号”，“保护”和“超温”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7.保护高温，直流，短路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8.电源AC220V/50Hz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9.额定功耗1000W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744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C14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4084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1A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体育场看台</w:t>
            </w:r>
          </w:p>
        </w:tc>
      </w:tr>
      <w:tr w14:paraId="7A30E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63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F25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室外音柱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2BA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1.频响范围：等于或优于140Hz-14KHz;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2.灵敏度：≥90dB；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3.最大声压级：≥106dB；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4.额定功率：≥40W;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5.输入电压：70V/100V。</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E2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4F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2E2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91C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体育场看台</w:t>
            </w:r>
          </w:p>
        </w:tc>
      </w:tr>
      <w:tr w14:paraId="39D76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3C8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4FF3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纯后级广播功放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AD89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1.额定输出功率≥1050W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2.最小源电动势≤1100mV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3.额定输出电压P1，70V，100V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4.信噪比≥82dB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5.频率响应80Hz-15KHz（±3dB）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6.总谐波失真≤1%（1KHz，正常工作条件）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7.指示灯“电源”，“削顶”，“信号”，“保护”和“超温”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8.保护功能高温，直流，短路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9.额定功耗1800W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10.额定电源电压AC220V/50Hz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A4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D42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DEE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B9EA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田径场</w:t>
            </w:r>
          </w:p>
        </w:tc>
      </w:tr>
      <w:tr w14:paraId="771B0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811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DB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室外音柱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308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1.频响范围：等于或优于80Hz-16KHz;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2.灵敏度：≥90dB；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3.最大声压级：≥111dB；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4.额定功率：≥120W;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5.输入电压：70V/100V。</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A46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3D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03A3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9B6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田径场</w:t>
            </w:r>
          </w:p>
        </w:tc>
      </w:tr>
      <w:tr w14:paraId="31724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207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501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纯后级广播功放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C30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1.100V、70V定压输出和P1输出（平衡、不接地），额定输出功率≥450W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2.最小源电动势≤1000mV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3.信噪比≥77dB（宽带）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4.频率响应80Hz—16kHz（±3dB）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5.总谐波失真≤1%（1kHz，正常工作条件）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6.指示灯“电源”，“削顶”，“信号”，“保护”和“超温”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7.保护高温，直流，短路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8.电源AC220V/50Hz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9.额定功耗850W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95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F00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4AB5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6FA7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室外篮球场</w:t>
            </w:r>
          </w:p>
        </w:tc>
      </w:tr>
      <w:tr w14:paraId="4FE86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06F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D0E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室外音柱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F6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1.频响范围：等于或优于140Hz-14KHz;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2.灵敏度：≥90dB；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3.最大声压级：≥106dB；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4.额定功率：≥40W;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5.输入电压：70V/100V。</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4DF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E3E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89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E26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室外篮球场</w:t>
            </w:r>
          </w:p>
        </w:tc>
      </w:tr>
      <w:tr w14:paraId="4FEE6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7F0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3)南校门1F(消控室)</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66938">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8DC3B">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9196C">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D8C28">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ACA0F">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A11E5">
            <w:pPr>
              <w:jc w:val="center"/>
              <w:rPr>
                <w:rFonts w:hint="eastAsia" w:ascii="宋体" w:hAnsi="宋体" w:eastAsia="宋体" w:cs="宋体"/>
                <w:i w:val="0"/>
                <w:iCs w:val="0"/>
                <w:color w:val="000000"/>
                <w:sz w:val="24"/>
                <w:szCs w:val="24"/>
                <w:u w:val="none"/>
              </w:rPr>
            </w:pPr>
          </w:p>
        </w:tc>
      </w:tr>
      <w:tr w14:paraId="607C1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65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A68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auto"/>
                <w:kern w:val="0"/>
                <w:sz w:val="24"/>
                <w:szCs w:val="24"/>
                <w:highlight w:val="none"/>
                <w:u w:val="none"/>
                <w:lang w:val="en-US" w:eastAsia="zh-CN" w:bidi="ar"/>
              </w:rPr>
              <w:t>网络化智能寻呼站</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C7784">
            <w:pPr>
              <w:keepNext w:val="0"/>
              <w:keepLines w:val="0"/>
              <w:widowControl/>
              <w:suppressLineNumbers w:val="0"/>
              <w:jc w:val="center"/>
              <w:textAlignment w:val="center"/>
              <w:rPr>
                <w:rFonts w:ascii="宋体" w:hAnsi="宋体" w:eastAsia="宋体" w:cs="宋体"/>
                <w:i w:val="0"/>
                <w:iCs w:val="0"/>
                <w:color w:val="FF0000"/>
                <w:kern w:val="0"/>
                <w:sz w:val="24"/>
                <w:szCs w:val="24"/>
                <w:highlight w:val="yellow"/>
                <w:u w:val="none"/>
                <w:lang w:val="en-US" w:eastAsia="zh-CN" w:bidi="ar"/>
              </w:rPr>
            </w:pPr>
            <w:r>
              <w:rPr>
                <w:rFonts w:ascii="宋体" w:hAnsi="宋体" w:eastAsia="宋体" w:cs="宋体"/>
                <w:b/>
                <w:bCs/>
                <w:i w:val="0"/>
                <w:iCs w:val="0"/>
                <w:color w:val="auto"/>
                <w:kern w:val="0"/>
                <w:sz w:val="24"/>
                <w:szCs w:val="24"/>
                <w:highlight w:val="none"/>
                <w:u w:val="none"/>
                <w:lang w:val="en-US" w:eastAsia="zh-CN" w:bidi="ar"/>
              </w:rPr>
              <w:t>本次广播子系统新增设备需无缝接入原迪士普网络广播中心</w:t>
            </w:r>
          </w:p>
          <w:p w14:paraId="34F7F5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1.采用桌面式摆放设计，铝合金高档拉丝工业面板，7英寸真彩液晶显示屏，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2.图形化界面实时显示分区状态，电容式触摸屏轻松操控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3.具有网络数据交换接口，支持100/10Mbps自适应TCP/IP网络传输协议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4.内置3W监听扬声器，方便预听节目与对讲使用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5.内置线路输入接口，线路输出接口，3.5mm耳机输出接口，支持拓展外部节目源和无线话筒功能，支持本机脱离网络实现寻呼本地扩声功能，支持本地监听功能，监听音量可调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6.内置节目播放器，同步更新主机上的节目源，支持本地预听主机上的节目源，支持选择任意分区播放主机上的节目歌曲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7.具有手动快捷按键“CALL ALL”一键全开功能，实现紧急情况一键打开全部分区，快速寻呼</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8.具有分区编辑功能，能对全部终端设备进行分组编辑，也可以选择显示或者隐藏任意分区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9.具有对讲功能，智能寻呼台之间.智能寻呼台和求助对讲终端之间可实现对讲功能，支持语音提示.闪光提示等功能</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F992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467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38DD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BB8D6">
            <w:pPr>
              <w:jc w:val="center"/>
              <w:rPr>
                <w:rFonts w:hint="eastAsia" w:ascii="宋体" w:hAnsi="宋体" w:eastAsia="宋体" w:cs="宋体"/>
                <w:i w:val="0"/>
                <w:iCs w:val="0"/>
                <w:color w:val="000000"/>
                <w:sz w:val="24"/>
                <w:szCs w:val="24"/>
                <w:u w:val="none"/>
              </w:rPr>
            </w:pPr>
          </w:p>
        </w:tc>
      </w:tr>
      <w:tr w14:paraId="64190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EED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4)2号楼2F广播室</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F70A8">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684F3">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CE964">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79D8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2D700">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3C732">
            <w:pPr>
              <w:jc w:val="center"/>
              <w:rPr>
                <w:rFonts w:hint="eastAsia" w:ascii="宋体" w:hAnsi="宋体" w:eastAsia="宋体" w:cs="宋体"/>
                <w:i w:val="0"/>
                <w:iCs w:val="0"/>
                <w:color w:val="000000"/>
                <w:sz w:val="24"/>
                <w:szCs w:val="24"/>
                <w:u w:val="none"/>
              </w:rPr>
            </w:pPr>
          </w:p>
        </w:tc>
      </w:tr>
      <w:tr w14:paraId="5CC64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7E2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13C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网络化智能寻呼站</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3077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1.采用桌面式摆放设计，铝合金高档拉丝工业面板，7英寸真彩液晶显示屏，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2.图形化界面实时显示分区状态，电容式触摸屏轻松操控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3.具有网络数据交换接口，支持100/10Mbps自适应TCP/IP网络传输协议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4.内置3W监听扬声器，方便预听节目与对讲使用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5.内置线路输入接口，线路输出接口，3.5mm耳机输出接口，支持拓展外部节目源和无线话筒功能，支持本机脱离网络实现寻呼本地扩声功能，支持本地监听功能，监听音量可调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6.内置节目播放器，同步更新主机上的节目源，支持本地预听主机上的节目源，支持选择任意分区播放主机上的节目歌曲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7.具有手动快捷按键“CALL ALL”一键全开功能，实现紧急情况一键打开全部分区，快速寻呼</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8.具有分区编辑功能，能对全部终端设备进行分组编辑，也可以选择显示或者隐藏任意分区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9.具有对讲功能，智能寻呼台之间.智能寻呼台和求助对讲终端之间可实现对讲功能，支持语音提示.闪光提示等功能</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61A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ADC9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D6B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C8923">
            <w:pPr>
              <w:jc w:val="center"/>
              <w:rPr>
                <w:rFonts w:hint="eastAsia" w:ascii="宋体" w:hAnsi="宋体" w:eastAsia="宋体" w:cs="宋体"/>
                <w:i w:val="0"/>
                <w:iCs w:val="0"/>
                <w:color w:val="000000"/>
                <w:sz w:val="24"/>
                <w:szCs w:val="24"/>
                <w:u w:val="none"/>
              </w:rPr>
            </w:pPr>
          </w:p>
        </w:tc>
      </w:tr>
      <w:tr w14:paraId="6AA0D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66B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5)前端设备</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384FA">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8C1CB">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1C57C">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A9A01">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577F1">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AA5AD">
            <w:pPr>
              <w:jc w:val="center"/>
              <w:rPr>
                <w:rFonts w:hint="eastAsia" w:ascii="宋体" w:hAnsi="宋体" w:eastAsia="宋体" w:cs="宋体"/>
                <w:i w:val="0"/>
                <w:iCs w:val="0"/>
                <w:color w:val="000000"/>
                <w:sz w:val="24"/>
                <w:szCs w:val="24"/>
                <w:u w:val="none"/>
              </w:rPr>
            </w:pPr>
          </w:p>
        </w:tc>
      </w:tr>
      <w:tr w14:paraId="66504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F039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5.1)室外校园广播</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10A35">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5E4D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B26DE">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99671">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134A6">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5D7A">
            <w:pPr>
              <w:jc w:val="center"/>
              <w:rPr>
                <w:rFonts w:hint="eastAsia" w:ascii="宋体" w:hAnsi="宋体" w:eastAsia="宋体" w:cs="宋体"/>
                <w:i w:val="0"/>
                <w:iCs w:val="0"/>
                <w:color w:val="000000"/>
                <w:sz w:val="24"/>
                <w:szCs w:val="24"/>
                <w:u w:val="none"/>
              </w:rPr>
            </w:pPr>
          </w:p>
        </w:tc>
      </w:tr>
      <w:tr w14:paraId="11F17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23A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F872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一路音频输出终端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F01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2路RJ45网络通讯接口，≥1路EMC音频输入接口，带输入电平调节旋钮，≥1路EMC音频输出接口，≥1路线路音频6.35输出接口，≥1路告警24V电源凤凰插输出接口，≥1路告警SC短路信号凤凰插输出接口，内置≥1路监听喇叭，带监听开关旋钮和监听音量电位器调节旋钮。（提供设备前后面板高清截图佐证对应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2.支持通过web端设置中英文语言、离线定时点功能启用或失能、设置本地网络音源优先选择，提供本地、网络、混合≥3种选择。（提供软件功能界面截图佐证）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3.具有接受主机的控制命令，并实施相应操作的功能，实现分区广播、定时广播、分区寻呼、分区告警等功能。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4.内置≥1路网络硬件音频解码模块，可连接功放拓展功率，有信号输出时指示灯亮。</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843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B8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37C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9949">
            <w:pPr>
              <w:jc w:val="center"/>
              <w:rPr>
                <w:rFonts w:hint="eastAsia" w:ascii="宋体" w:hAnsi="宋体" w:eastAsia="宋体" w:cs="宋体"/>
                <w:i w:val="0"/>
                <w:iCs w:val="0"/>
                <w:color w:val="000000"/>
                <w:sz w:val="24"/>
                <w:szCs w:val="24"/>
                <w:u w:val="none"/>
              </w:rPr>
            </w:pPr>
          </w:p>
        </w:tc>
      </w:tr>
      <w:tr w14:paraId="218D9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8D0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47E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前置放大器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BC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1.支持5个话筒口输入，3个辅助口音频输入，2个优先口输入，4个输出口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2.支持各通道音量独立控制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3.支持高音和低音音调控制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4.支持强插功能</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ACE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5E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60E7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7EE01">
            <w:pPr>
              <w:jc w:val="center"/>
              <w:rPr>
                <w:rFonts w:hint="eastAsia" w:ascii="宋体" w:hAnsi="宋体" w:eastAsia="宋体" w:cs="宋体"/>
                <w:i w:val="0"/>
                <w:iCs w:val="0"/>
                <w:color w:val="000000"/>
                <w:sz w:val="24"/>
                <w:szCs w:val="24"/>
                <w:u w:val="none"/>
              </w:rPr>
            </w:pPr>
          </w:p>
        </w:tc>
      </w:tr>
      <w:tr w14:paraId="3691B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A2F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090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纯后级广播功放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C72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1.100V、70V定压输出和P1输出（平衡、不接地），额定输出功率≥450W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2.最小源电动势≤1000mV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3.信噪比≥77dB（宽带）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4.频率响应80Hz—16kHz（±3dB）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5.总谐波失真≤1%（1kHz，正常工作条件）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6.指示灯“电源”，“削顶”，“信号”，“保护”和“超温”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7.保护高温，直流，短路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8.电源AC220V/50Hz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9.额定功耗850W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64E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C9D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DC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F6546">
            <w:pPr>
              <w:jc w:val="center"/>
              <w:rPr>
                <w:rFonts w:hint="eastAsia" w:ascii="宋体" w:hAnsi="宋体" w:eastAsia="宋体" w:cs="宋体"/>
                <w:i w:val="0"/>
                <w:iCs w:val="0"/>
                <w:color w:val="000000"/>
                <w:sz w:val="24"/>
                <w:szCs w:val="24"/>
                <w:u w:val="none"/>
              </w:rPr>
            </w:pPr>
          </w:p>
        </w:tc>
      </w:tr>
      <w:tr w14:paraId="165C6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166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709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石头形草地音箱（灰）</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CFCE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1.频响范围：等于或优于100Hz-15KHz;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2.灵敏度：≥84dB；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3.最大声压级：≥97dB；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4.额定功率：≥20W;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5.输入电压：70V/100V;</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F85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BC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F741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FCBB9">
            <w:pPr>
              <w:jc w:val="center"/>
              <w:rPr>
                <w:rFonts w:hint="eastAsia" w:ascii="宋体" w:hAnsi="宋体" w:eastAsia="宋体" w:cs="宋体"/>
                <w:i w:val="0"/>
                <w:iCs w:val="0"/>
                <w:color w:val="000000"/>
                <w:sz w:val="24"/>
                <w:szCs w:val="24"/>
                <w:u w:val="none"/>
              </w:rPr>
            </w:pPr>
          </w:p>
        </w:tc>
      </w:tr>
      <w:tr w14:paraId="2133D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E6C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5.2)1#综合楼</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EAE10">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A35E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CBEFC">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5002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37D54">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71F2C">
            <w:pPr>
              <w:jc w:val="center"/>
              <w:rPr>
                <w:rFonts w:hint="eastAsia" w:ascii="宋体" w:hAnsi="宋体" w:eastAsia="宋体" w:cs="宋体"/>
                <w:i w:val="0"/>
                <w:iCs w:val="0"/>
                <w:color w:val="000000"/>
                <w:sz w:val="24"/>
                <w:szCs w:val="24"/>
                <w:u w:val="none"/>
              </w:rPr>
            </w:pPr>
          </w:p>
        </w:tc>
      </w:tr>
      <w:tr w14:paraId="35ADB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AD4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6AE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B17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6E4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639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E03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28915">
            <w:pPr>
              <w:jc w:val="center"/>
              <w:rPr>
                <w:rFonts w:hint="eastAsia" w:ascii="宋体" w:hAnsi="宋体" w:eastAsia="宋体" w:cs="宋体"/>
                <w:i w:val="0"/>
                <w:iCs w:val="0"/>
                <w:color w:val="000000"/>
                <w:sz w:val="24"/>
                <w:szCs w:val="24"/>
                <w:u w:val="none"/>
              </w:rPr>
            </w:pPr>
          </w:p>
        </w:tc>
      </w:tr>
      <w:tr w14:paraId="442DC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845B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68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D1F2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3.内置DSP音效处理芯片，支持≥48KHZ采样率≥16bit的音频流数据解码，额定输出功率≥60W。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45D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F5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76C9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EE0A8">
            <w:pPr>
              <w:jc w:val="center"/>
              <w:rPr>
                <w:rFonts w:hint="eastAsia" w:ascii="宋体" w:hAnsi="宋体" w:eastAsia="宋体" w:cs="宋体"/>
                <w:i w:val="0"/>
                <w:iCs w:val="0"/>
                <w:color w:val="000000"/>
                <w:sz w:val="24"/>
                <w:szCs w:val="24"/>
                <w:u w:val="none"/>
              </w:rPr>
            </w:pPr>
          </w:p>
        </w:tc>
      </w:tr>
      <w:tr w14:paraId="36327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AED1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4F9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61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0E0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D52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D73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F878">
            <w:pPr>
              <w:jc w:val="center"/>
              <w:rPr>
                <w:rFonts w:hint="eastAsia" w:ascii="宋体" w:hAnsi="宋体" w:eastAsia="宋体" w:cs="宋体"/>
                <w:i w:val="0"/>
                <w:iCs w:val="0"/>
                <w:color w:val="000000"/>
                <w:sz w:val="24"/>
                <w:szCs w:val="24"/>
                <w:u w:val="none"/>
              </w:rPr>
            </w:pPr>
          </w:p>
        </w:tc>
      </w:tr>
      <w:tr w14:paraId="6BE86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56E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5.3)2#创新中心</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AD352">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32BD7">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62B37">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84752">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49EFD">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BFFE9">
            <w:pPr>
              <w:jc w:val="center"/>
              <w:rPr>
                <w:rFonts w:hint="eastAsia" w:ascii="宋体" w:hAnsi="宋体" w:eastAsia="宋体" w:cs="宋体"/>
                <w:i w:val="0"/>
                <w:iCs w:val="0"/>
                <w:color w:val="000000"/>
                <w:sz w:val="24"/>
                <w:szCs w:val="24"/>
                <w:u w:val="none"/>
              </w:rPr>
            </w:pPr>
          </w:p>
        </w:tc>
      </w:tr>
      <w:tr w14:paraId="7B75D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EDA2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EA2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EF6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DC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97C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2C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2AA03">
            <w:pPr>
              <w:jc w:val="center"/>
              <w:rPr>
                <w:rFonts w:hint="eastAsia" w:ascii="宋体" w:hAnsi="宋体" w:eastAsia="宋体" w:cs="宋体"/>
                <w:i w:val="0"/>
                <w:iCs w:val="0"/>
                <w:color w:val="000000"/>
                <w:sz w:val="24"/>
                <w:szCs w:val="24"/>
                <w:u w:val="none"/>
              </w:rPr>
            </w:pPr>
          </w:p>
        </w:tc>
      </w:tr>
      <w:tr w14:paraId="0BADE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490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963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6A2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CD2B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8C4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E9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C4C50">
            <w:pPr>
              <w:jc w:val="center"/>
              <w:rPr>
                <w:rFonts w:hint="eastAsia" w:ascii="宋体" w:hAnsi="宋体" w:eastAsia="宋体" w:cs="宋体"/>
                <w:i w:val="0"/>
                <w:iCs w:val="0"/>
                <w:color w:val="000000"/>
                <w:sz w:val="24"/>
                <w:szCs w:val="24"/>
                <w:u w:val="none"/>
              </w:rPr>
            </w:pPr>
          </w:p>
        </w:tc>
      </w:tr>
      <w:tr w14:paraId="7D473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4085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5.4)3#教学楼北楼</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98BAC">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57075">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1CA51">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5F06E">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E18A6">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75B33">
            <w:pPr>
              <w:jc w:val="center"/>
              <w:rPr>
                <w:rFonts w:hint="eastAsia" w:ascii="宋体" w:hAnsi="宋体" w:eastAsia="宋体" w:cs="宋体"/>
                <w:i w:val="0"/>
                <w:iCs w:val="0"/>
                <w:color w:val="000000"/>
                <w:sz w:val="24"/>
                <w:szCs w:val="24"/>
                <w:u w:val="none"/>
              </w:rPr>
            </w:pPr>
          </w:p>
        </w:tc>
      </w:tr>
      <w:tr w14:paraId="006C1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3A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CBC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F9E1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F7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9F9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E7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64BCB">
            <w:pPr>
              <w:jc w:val="center"/>
              <w:rPr>
                <w:rFonts w:hint="eastAsia" w:ascii="宋体" w:hAnsi="宋体" w:eastAsia="宋体" w:cs="宋体"/>
                <w:i w:val="0"/>
                <w:iCs w:val="0"/>
                <w:color w:val="000000"/>
                <w:sz w:val="24"/>
                <w:szCs w:val="24"/>
                <w:u w:val="none"/>
              </w:rPr>
            </w:pPr>
          </w:p>
        </w:tc>
      </w:tr>
      <w:tr w14:paraId="02FAA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2C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014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F3F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3.内置DSP音效处理芯片，支持≥48KHZ采样率≥16bit的音频流数据解码，额定输出功率≥60W。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4F9D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38C7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88B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68AD">
            <w:pPr>
              <w:jc w:val="center"/>
              <w:rPr>
                <w:rFonts w:hint="eastAsia" w:ascii="宋体" w:hAnsi="宋体" w:eastAsia="宋体" w:cs="宋体"/>
                <w:i w:val="0"/>
                <w:iCs w:val="0"/>
                <w:color w:val="000000"/>
                <w:sz w:val="24"/>
                <w:szCs w:val="24"/>
                <w:u w:val="none"/>
              </w:rPr>
            </w:pPr>
          </w:p>
        </w:tc>
      </w:tr>
      <w:tr w14:paraId="42762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F935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999B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9E5A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CF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F41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E07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D634">
            <w:pPr>
              <w:jc w:val="center"/>
              <w:rPr>
                <w:rFonts w:hint="eastAsia" w:ascii="宋体" w:hAnsi="宋体" w:eastAsia="宋体" w:cs="宋体"/>
                <w:i w:val="0"/>
                <w:iCs w:val="0"/>
                <w:color w:val="000000"/>
                <w:sz w:val="24"/>
                <w:szCs w:val="24"/>
                <w:u w:val="none"/>
              </w:rPr>
            </w:pPr>
          </w:p>
        </w:tc>
      </w:tr>
      <w:tr w14:paraId="70937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408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5.5)3#教学楼中楼</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0BD1B">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7F6AB">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DC842">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DF088">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4602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23694">
            <w:pPr>
              <w:jc w:val="center"/>
              <w:rPr>
                <w:rFonts w:hint="eastAsia" w:ascii="宋体" w:hAnsi="宋体" w:eastAsia="宋体" w:cs="宋体"/>
                <w:i w:val="0"/>
                <w:iCs w:val="0"/>
                <w:color w:val="000000"/>
                <w:sz w:val="24"/>
                <w:szCs w:val="24"/>
                <w:u w:val="none"/>
              </w:rPr>
            </w:pPr>
          </w:p>
        </w:tc>
      </w:tr>
      <w:tr w14:paraId="41BC3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4EE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A0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93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0B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412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9CE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6EE6B">
            <w:pPr>
              <w:jc w:val="center"/>
              <w:rPr>
                <w:rFonts w:hint="eastAsia" w:ascii="宋体" w:hAnsi="宋体" w:eastAsia="宋体" w:cs="宋体"/>
                <w:i w:val="0"/>
                <w:iCs w:val="0"/>
                <w:color w:val="000000"/>
                <w:sz w:val="24"/>
                <w:szCs w:val="24"/>
                <w:u w:val="none"/>
              </w:rPr>
            </w:pPr>
          </w:p>
        </w:tc>
      </w:tr>
      <w:tr w14:paraId="09186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005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0965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D017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3.内置DSP音效处理芯片，支持≥48KHZ采样率≥16bit的音频流数据解码，额定输出功率≥60W。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BCE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F3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052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192E">
            <w:pPr>
              <w:jc w:val="center"/>
              <w:rPr>
                <w:rFonts w:hint="eastAsia" w:ascii="宋体" w:hAnsi="宋体" w:eastAsia="宋体" w:cs="宋体"/>
                <w:i w:val="0"/>
                <w:iCs w:val="0"/>
                <w:color w:val="000000"/>
                <w:sz w:val="24"/>
                <w:szCs w:val="24"/>
                <w:u w:val="none"/>
              </w:rPr>
            </w:pPr>
          </w:p>
        </w:tc>
      </w:tr>
      <w:tr w14:paraId="0BA77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04F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9A5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334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57E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72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130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0963">
            <w:pPr>
              <w:jc w:val="center"/>
              <w:rPr>
                <w:rFonts w:hint="eastAsia" w:ascii="宋体" w:hAnsi="宋体" w:eastAsia="宋体" w:cs="宋体"/>
                <w:i w:val="0"/>
                <w:iCs w:val="0"/>
                <w:color w:val="000000"/>
                <w:sz w:val="24"/>
                <w:szCs w:val="24"/>
                <w:u w:val="none"/>
              </w:rPr>
            </w:pPr>
          </w:p>
        </w:tc>
      </w:tr>
      <w:tr w14:paraId="007C3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DEB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5.6)3#教学楼南楼</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140C1">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9AF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3D99F">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CE0E9">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65642">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B4EF3">
            <w:pPr>
              <w:jc w:val="center"/>
              <w:rPr>
                <w:rFonts w:hint="eastAsia" w:ascii="宋体" w:hAnsi="宋体" w:eastAsia="宋体" w:cs="宋体"/>
                <w:i w:val="0"/>
                <w:iCs w:val="0"/>
                <w:color w:val="000000"/>
                <w:sz w:val="24"/>
                <w:szCs w:val="24"/>
                <w:u w:val="none"/>
              </w:rPr>
            </w:pPr>
          </w:p>
        </w:tc>
      </w:tr>
      <w:tr w14:paraId="754A6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20D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CF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B8D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0DB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97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111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C2D0">
            <w:pPr>
              <w:jc w:val="center"/>
              <w:rPr>
                <w:rFonts w:hint="eastAsia" w:ascii="宋体" w:hAnsi="宋体" w:eastAsia="宋体" w:cs="宋体"/>
                <w:i w:val="0"/>
                <w:iCs w:val="0"/>
                <w:color w:val="000000"/>
                <w:sz w:val="24"/>
                <w:szCs w:val="24"/>
                <w:u w:val="none"/>
              </w:rPr>
            </w:pPr>
          </w:p>
        </w:tc>
      </w:tr>
      <w:tr w14:paraId="5D5F4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E7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46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D1F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0B5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478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B3D7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94F6">
            <w:pPr>
              <w:jc w:val="center"/>
              <w:rPr>
                <w:rFonts w:hint="eastAsia" w:ascii="宋体" w:hAnsi="宋体" w:eastAsia="宋体" w:cs="宋体"/>
                <w:i w:val="0"/>
                <w:iCs w:val="0"/>
                <w:color w:val="000000"/>
                <w:sz w:val="24"/>
                <w:szCs w:val="24"/>
                <w:u w:val="none"/>
              </w:rPr>
            </w:pPr>
          </w:p>
        </w:tc>
      </w:tr>
      <w:tr w14:paraId="5C72B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C06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5.7)4#图书馆</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B4133">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B0FB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AFB7F">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2B2E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4D187">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EC3DB">
            <w:pPr>
              <w:jc w:val="center"/>
              <w:rPr>
                <w:rFonts w:hint="eastAsia" w:ascii="宋体" w:hAnsi="宋体" w:eastAsia="宋体" w:cs="宋体"/>
                <w:i w:val="0"/>
                <w:iCs w:val="0"/>
                <w:color w:val="000000"/>
                <w:sz w:val="24"/>
                <w:szCs w:val="24"/>
                <w:u w:val="none"/>
              </w:rPr>
            </w:pPr>
          </w:p>
        </w:tc>
      </w:tr>
      <w:tr w14:paraId="79349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40A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06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0C8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309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3A22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E11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8593">
            <w:pPr>
              <w:jc w:val="center"/>
              <w:rPr>
                <w:rFonts w:hint="eastAsia" w:ascii="宋体" w:hAnsi="宋体" w:eastAsia="宋体" w:cs="宋体"/>
                <w:i w:val="0"/>
                <w:iCs w:val="0"/>
                <w:color w:val="000000"/>
                <w:sz w:val="24"/>
                <w:szCs w:val="24"/>
                <w:u w:val="none"/>
              </w:rPr>
            </w:pPr>
          </w:p>
        </w:tc>
      </w:tr>
      <w:tr w14:paraId="5028E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3B7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3B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AEB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CE1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3D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138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F410F">
            <w:pPr>
              <w:jc w:val="center"/>
              <w:rPr>
                <w:rFonts w:hint="eastAsia" w:ascii="宋体" w:hAnsi="宋体" w:eastAsia="宋体" w:cs="宋体"/>
                <w:i w:val="0"/>
                <w:iCs w:val="0"/>
                <w:color w:val="000000"/>
                <w:sz w:val="24"/>
                <w:szCs w:val="24"/>
                <w:u w:val="none"/>
              </w:rPr>
            </w:pPr>
          </w:p>
        </w:tc>
      </w:tr>
      <w:tr w14:paraId="0C42B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12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30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壁挂扬声器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C0A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1.频响范围：等于或优于180Hz-18KHz;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2.灵敏度：≥88dB；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3.最大声压级：≥95dB；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4.额定功率：≥6W;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5.输入电压：70V/100V;</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2F7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DAD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D71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DB66">
            <w:pPr>
              <w:jc w:val="center"/>
              <w:rPr>
                <w:rFonts w:hint="eastAsia" w:ascii="宋体" w:hAnsi="宋体" w:eastAsia="宋体" w:cs="宋体"/>
                <w:i w:val="0"/>
                <w:iCs w:val="0"/>
                <w:color w:val="000000"/>
                <w:sz w:val="24"/>
                <w:szCs w:val="24"/>
                <w:u w:val="none"/>
              </w:rPr>
            </w:pPr>
          </w:p>
        </w:tc>
      </w:tr>
      <w:tr w14:paraId="48447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B8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1348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网络化室内音箱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609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1.双网络接口冗余设计，可跨网段工作。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2.内置2×15W数字功放。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3.具有MP3解码播放功能。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4.支持最大48kHz采样率16bit数字音频码流解码。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5.可播放来自系统主机的背景音乐、紧急寻呼、告警信号等。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6.具有一路辅助音频输入口，一路辅助音频输出口，一路话筒输入和一路EMC紧急输出口，1路短路输出（同时控制100V音频输入与本机音频信号的切换）。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7.本地输出音量及本地播放状态可控。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8.工作状态及信息变化数码显示。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9.可接受红外线遥控器的操控。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8628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5F7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389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4E6EE">
            <w:pPr>
              <w:jc w:val="center"/>
              <w:rPr>
                <w:rFonts w:hint="eastAsia" w:ascii="宋体" w:hAnsi="宋体" w:eastAsia="宋体" w:cs="宋体"/>
                <w:i w:val="0"/>
                <w:iCs w:val="0"/>
                <w:color w:val="000000"/>
                <w:sz w:val="24"/>
                <w:szCs w:val="24"/>
                <w:u w:val="none"/>
              </w:rPr>
            </w:pPr>
          </w:p>
        </w:tc>
      </w:tr>
      <w:tr w14:paraId="343C6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3261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1DA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网络化副音箱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B8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1.额定阻抗≥4Ω，额定功率≥15W；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2.灵敏度≥87dB，最大声压级≥99dB，有效频率范围等于或优于100Hz-16kHz。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175E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5631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BCC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A1B7">
            <w:pPr>
              <w:jc w:val="center"/>
              <w:rPr>
                <w:rFonts w:hint="eastAsia" w:ascii="宋体" w:hAnsi="宋体" w:eastAsia="宋体" w:cs="宋体"/>
                <w:i w:val="0"/>
                <w:iCs w:val="0"/>
                <w:color w:val="000000"/>
                <w:sz w:val="24"/>
                <w:szCs w:val="24"/>
                <w:u w:val="none"/>
              </w:rPr>
            </w:pPr>
          </w:p>
        </w:tc>
      </w:tr>
      <w:tr w14:paraId="6DFE4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29F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5.8)5#社团活动用房</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448D1">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A53E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89434">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BF206">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51934">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C9864">
            <w:pPr>
              <w:jc w:val="center"/>
              <w:rPr>
                <w:rFonts w:hint="eastAsia" w:ascii="宋体" w:hAnsi="宋体" w:eastAsia="宋体" w:cs="宋体"/>
                <w:i w:val="0"/>
                <w:iCs w:val="0"/>
                <w:color w:val="000000"/>
                <w:sz w:val="24"/>
                <w:szCs w:val="24"/>
                <w:u w:val="none"/>
              </w:rPr>
            </w:pPr>
          </w:p>
        </w:tc>
      </w:tr>
      <w:tr w14:paraId="7314B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969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B2C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FE43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5BB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A9C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6F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5BD1F">
            <w:pPr>
              <w:jc w:val="center"/>
              <w:rPr>
                <w:rFonts w:hint="eastAsia" w:ascii="宋体" w:hAnsi="宋体" w:eastAsia="宋体" w:cs="宋体"/>
                <w:i w:val="0"/>
                <w:iCs w:val="0"/>
                <w:color w:val="000000"/>
                <w:sz w:val="24"/>
                <w:szCs w:val="24"/>
                <w:u w:val="none"/>
              </w:rPr>
            </w:pPr>
          </w:p>
        </w:tc>
      </w:tr>
      <w:tr w14:paraId="21FFD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439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274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77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06C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E0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17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EFDA">
            <w:pPr>
              <w:jc w:val="center"/>
              <w:rPr>
                <w:rFonts w:hint="eastAsia" w:ascii="宋体" w:hAnsi="宋体" w:eastAsia="宋体" w:cs="宋体"/>
                <w:i w:val="0"/>
                <w:iCs w:val="0"/>
                <w:color w:val="000000"/>
                <w:sz w:val="24"/>
                <w:szCs w:val="24"/>
                <w:u w:val="none"/>
              </w:rPr>
            </w:pPr>
          </w:p>
        </w:tc>
      </w:tr>
      <w:tr w14:paraId="35BE8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78A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40F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壁挂扬声器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99E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1.频响范围：等于或优于180Hz-18KHz;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2.灵敏度：≥88dB；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3.最大声压级：≥95dB；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4.额定功率：≥6W;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5.输入电压：70V/100V;</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25C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94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06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23F6C">
            <w:pPr>
              <w:jc w:val="center"/>
              <w:rPr>
                <w:rFonts w:hint="eastAsia" w:ascii="宋体" w:hAnsi="宋体" w:eastAsia="宋体" w:cs="宋体"/>
                <w:i w:val="0"/>
                <w:iCs w:val="0"/>
                <w:color w:val="000000"/>
                <w:sz w:val="24"/>
                <w:szCs w:val="24"/>
                <w:u w:val="none"/>
              </w:rPr>
            </w:pPr>
          </w:p>
        </w:tc>
      </w:tr>
      <w:tr w14:paraId="1E868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E6CF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2FA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网络化室内音箱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0C0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1.双网络接口冗余设计，可跨网段工作。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2.内置2×15W数字功放。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3.具有MP3解码播放功能。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4.支持最大48kHz采样率16bit数字音频码流解码。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5.可播放来自系统主机的背景音乐、紧急寻呼、告警信号等。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6.具有一路辅助音频输入口，一路辅助音频输出口，一路话筒输入和一路EMC紧急输出口，1路短路输出（同时控制100V音频输入与本机音频信号的切换）。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7.本地输出音量及本地播放状态可控。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8.工作状态及信息变化数码显示。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9.可接受红外线遥控器的操控。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48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896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0EC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E2746">
            <w:pPr>
              <w:jc w:val="center"/>
              <w:rPr>
                <w:rFonts w:hint="eastAsia" w:ascii="宋体" w:hAnsi="宋体" w:eastAsia="宋体" w:cs="宋体"/>
                <w:i w:val="0"/>
                <w:iCs w:val="0"/>
                <w:color w:val="000000"/>
                <w:sz w:val="24"/>
                <w:szCs w:val="24"/>
                <w:u w:val="none"/>
              </w:rPr>
            </w:pPr>
          </w:p>
        </w:tc>
      </w:tr>
      <w:tr w14:paraId="227C1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A9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AE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网络化副音箱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71D1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1.额定阻抗≥4Ω，额定功率≥15W；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2.灵敏度≥87dB，最大声压级≥99dB，有效频率范围等于或优于100Hz-16kHz。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DF5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C2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AA9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7C6D">
            <w:pPr>
              <w:jc w:val="center"/>
              <w:rPr>
                <w:rFonts w:hint="eastAsia" w:ascii="宋体" w:hAnsi="宋体" w:eastAsia="宋体" w:cs="宋体"/>
                <w:i w:val="0"/>
                <w:iCs w:val="0"/>
                <w:color w:val="000000"/>
                <w:sz w:val="24"/>
                <w:szCs w:val="24"/>
                <w:u w:val="none"/>
              </w:rPr>
            </w:pPr>
          </w:p>
        </w:tc>
      </w:tr>
      <w:tr w14:paraId="2B836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692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5.9)6#体育馆</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39AE4">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471C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B2B8C">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FFBB">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1DA18">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70D08">
            <w:pPr>
              <w:jc w:val="center"/>
              <w:rPr>
                <w:rFonts w:hint="eastAsia" w:ascii="宋体" w:hAnsi="宋体" w:eastAsia="宋体" w:cs="宋体"/>
                <w:i w:val="0"/>
                <w:iCs w:val="0"/>
                <w:color w:val="000000"/>
                <w:sz w:val="24"/>
                <w:szCs w:val="24"/>
                <w:u w:val="none"/>
              </w:rPr>
            </w:pPr>
          </w:p>
        </w:tc>
      </w:tr>
      <w:tr w14:paraId="51CA7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FD8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0487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1B5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5D3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199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48B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714E">
            <w:pPr>
              <w:jc w:val="center"/>
              <w:rPr>
                <w:rFonts w:hint="eastAsia" w:ascii="宋体" w:hAnsi="宋体" w:eastAsia="宋体" w:cs="宋体"/>
                <w:i w:val="0"/>
                <w:iCs w:val="0"/>
                <w:color w:val="000000"/>
                <w:sz w:val="24"/>
                <w:szCs w:val="24"/>
                <w:u w:val="none"/>
              </w:rPr>
            </w:pPr>
          </w:p>
        </w:tc>
      </w:tr>
      <w:tr w14:paraId="55032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99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DD7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EA73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3.内置DSP音效处理芯片，支持≥48KHZ采样率≥16bit的音频流数据解码，额定输出功率≥60W。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B8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8A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D1A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AEC3B">
            <w:pPr>
              <w:jc w:val="center"/>
              <w:rPr>
                <w:rFonts w:hint="eastAsia" w:ascii="宋体" w:hAnsi="宋体" w:eastAsia="宋体" w:cs="宋体"/>
                <w:i w:val="0"/>
                <w:iCs w:val="0"/>
                <w:color w:val="000000"/>
                <w:sz w:val="24"/>
                <w:szCs w:val="24"/>
                <w:u w:val="none"/>
              </w:rPr>
            </w:pPr>
          </w:p>
        </w:tc>
      </w:tr>
      <w:tr w14:paraId="22AB1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2DA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A9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97F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3.内置DSP音效处理芯片，支持≥48KHZ采样率≥16bit的音频流数据解码，额定输出功率≥250W。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6B7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238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BBFE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34A0B">
            <w:pPr>
              <w:jc w:val="center"/>
              <w:rPr>
                <w:rFonts w:hint="eastAsia" w:ascii="宋体" w:hAnsi="宋体" w:eastAsia="宋体" w:cs="宋体"/>
                <w:i w:val="0"/>
                <w:iCs w:val="0"/>
                <w:color w:val="000000"/>
                <w:sz w:val="24"/>
                <w:szCs w:val="24"/>
                <w:u w:val="none"/>
              </w:rPr>
            </w:pPr>
          </w:p>
        </w:tc>
      </w:tr>
      <w:tr w14:paraId="2C4FB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BB8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C83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壁挂扬声器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A25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1.频响范围：等于或优于180Hz-18KHz;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2.灵敏度：≥88dB；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3.最大声压级：≥95dB；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4.额定功率：≥6W;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5.输入电压：70V/100V;</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96F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C0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E98E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A77AE">
            <w:pPr>
              <w:jc w:val="center"/>
              <w:rPr>
                <w:rFonts w:hint="eastAsia" w:ascii="宋体" w:hAnsi="宋体" w:eastAsia="宋体" w:cs="宋体"/>
                <w:i w:val="0"/>
                <w:iCs w:val="0"/>
                <w:color w:val="000000"/>
                <w:sz w:val="24"/>
                <w:szCs w:val="24"/>
                <w:u w:val="none"/>
              </w:rPr>
            </w:pPr>
          </w:p>
        </w:tc>
      </w:tr>
      <w:tr w14:paraId="5DFDC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89EB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58F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9F2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3A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9D5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A0D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CCABF">
            <w:pPr>
              <w:jc w:val="center"/>
              <w:rPr>
                <w:rFonts w:hint="eastAsia" w:ascii="宋体" w:hAnsi="宋体" w:eastAsia="宋体" w:cs="宋体"/>
                <w:i w:val="0"/>
                <w:iCs w:val="0"/>
                <w:color w:val="000000"/>
                <w:sz w:val="24"/>
                <w:szCs w:val="24"/>
                <w:u w:val="none"/>
              </w:rPr>
            </w:pPr>
          </w:p>
        </w:tc>
      </w:tr>
      <w:tr w14:paraId="1866A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8DE8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5.10)7#食堂</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AD5A5">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1568">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A5674">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8A69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2E0B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6F147">
            <w:pPr>
              <w:jc w:val="center"/>
              <w:rPr>
                <w:rFonts w:hint="eastAsia" w:ascii="宋体" w:hAnsi="宋体" w:eastAsia="宋体" w:cs="宋体"/>
                <w:i w:val="0"/>
                <w:iCs w:val="0"/>
                <w:color w:val="000000"/>
                <w:sz w:val="24"/>
                <w:szCs w:val="24"/>
                <w:u w:val="none"/>
              </w:rPr>
            </w:pPr>
          </w:p>
        </w:tc>
      </w:tr>
      <w:tr w14:paraId="3B4F1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70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DB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B27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3.内置DSP音效处理芯片，支持≥48KHZ采样率≥16bit的音频流数据解码，额定输出功率≥60W。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6C1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168E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A48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4DEE3">
            <w:pPr>
              <w:jc w:val="center"/>
              <w:rPr>
                <w:rFonts w:hint="eastAsia" w:ascii="宋体" w:hAnsi="宋体" w:eastAsia="宋体" w:cs="宋体"/>
                <w:i w:val="0"/>
                <w:iCs w:val="0"/>
                <w:color w:val="000000"/>
                <w:sz w:val="24"/>
                <w:szCs w:val="24"/>
                <w:u w:val="none"/>
              </w:rPr>
            </w:pPr>
          </w:p>
        </w:tc>
      </w:tr>
      <w:tr w14:paraId="08398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0E4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748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E4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3.内置DSP音效处理芯片，支持≥48KHZ采样率≥16bit的音频流数据解码，额定输出功率≥250W。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84E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F52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0C0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27DC7">
            <w:pPr>
              <w:jc w:val="center"/>
              <w:rPr>
                <w:rFonts w:hint="eastAsia" w:ascii="宋体" w:hAnsi="宋体" w:eastAsia="宋体" w:cs="宋体"/>
                <w:i w:val="0"/>
                <w:iCs w:val="0"/>
                <w:color w:val="000000"/>
                <w:sz w:val="24"/>
                <w:szCs w:val="24"/>
                <w:u w:val="none"/>
              </w:rPr>
            </w:pPr>
          </w:p>
        </w:tc>
      </w:tr>
      <w:tr w14:paraId="5D4BB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77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AE3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882A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F83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2BAB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9F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FF626">
            <w:pPr>
              <w:jc w:val="center"/>
              <w:rPr>
                <w:rFonts w:hint="eastAsia" w:ascii="宋体" w:hAnsi="宋体" w:eastAsia="宋体" w:cs="宋体"/>
                <w:i w:val="0"/>
                <w:iCs w:val="0"/>
                <w:color w:val="000000"/>
                <w:sz w:val="24"/>
                <w:szCs w:val="24"/>
                <w:u w:val="none"/>
              </w:rPr>
            </w:pPr>
          </w:p>
        </w:tc>
      </w:tr>
      <w:tr w14:paraId="4A1C5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114E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5.11)8#宿舍楼</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8044B">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01D7F">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8D9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6009B">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901BE">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A82C5">
            <w:pPr>
              <w:jc w:val="center"/>
              <w:rPr>
                <w:rFonts w:hint="eastAsia" w:ascii="宋体" w:hAnsi="宋体" w:eastAsia="宋体" w:cs="宋体"/>
                <w:i w:val="0"/>
                <w:iCs w:val="0"/>
                <w:color w:val="000000"/>
                <w:sz w:val="24"/>
                <w:szCs w:val="24"/>
                <w:u w:val="none"/>
              </w:rPr>
            </w:pPr>
          </w:p>
        </w:tc>
      </w:tr>
      <w:tr w14:paraId="5AA9C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FF7B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18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CE0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11B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3BC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3C6F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A1E83">
            <w:pPr>
              <w:jc w:val="center"/>
              <w:rPr>
                <w:rFonts w:hint="eastAsia" w:ascii="宋体" w:hAnsi="宋体" w:eastAsia="宋体" w:cs="宋体"/>
                <w:i w:val="0"/>
                <w:iCs w:val="0"/>
                <w:color w:val="000000"/>
                <w:sz w:val="24"/>
                <w:szCs w:val="24"/>
                <w:u w:val="none"/>
              </w:rPr>
            </w:pPr>
          </w:p>
        </w:tc>
      </w:tr>
      <w:tr w14:paraId="52DEC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80F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D2D4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60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1B9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F3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4DB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96A97">
            <w:pPr>
              <w:jc w:val="center"/>
              <w:rPr>
                <w:rFonts w:hint="eastAsia" w:ascii="宋体" w:hAnsi="宋体" w:eastAsia="宋体" w:cs="宋体"/>
                <w:i w:val="0"/>
                <w:iCs w:val="0"/>
                <w:color w:val="000000"/>
                <w:sz w:val="24"/>
                <w:szCs w:val="24"/>
                <w:u w:val="none"/>
              </w:rPr>
            </w:pPr>
          </w:p>
        </w:tc>
      </w:tr>
      <w:tr w14:paraId="01CD8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6D69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5.12)地下室（地下1区）</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5E3E">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F6DFB">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8A1C8">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1B2F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794AD">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FEC9C">
            <w:pPr>
              <w:jc w:val="center"/>
              <w:rPr>
                <w:rFonts w:hint="eastAsia" w:ascii="宋体" w:hAnsi="宋体" w:eastAsia="宋体" w:cs="宋体"/>
                <w:i w:val="0"/>
                <w:iCs w:val="0"/>
                <w:color w:val="000000"/>
                <w:sz w:val="24"/>
                <w:szCs w:val="24"/>
                <w:u w:val="none"/>
              </w:rPr>
            </w:pPr>
          </w:p>
        </w:tc>
      </w:tr>
      <w:tr w14:paraId="60014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0972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803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F1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373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080E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AB04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A6C2">
            <w:pPr>
              <w:jc w:val="center"/>
              <w:rPr>
                <w:rFonts w:hint="eastAsia" w:ascii="宋体" w:hAnsi="宋体" w:eastAsia="宋体" w:cs="宋体"/>
                <w:i w:val="0"/>
                <w:iCs w:val="0"/>
                <w:color w:val="000000"/>
                <w:sz w:val="24"/>
                <w:szCs w:val="24"/>
                <w:u w:val="none"/>
              </w:rPr>
            </w:pPr>
          </w:p>
        </w:tc>
      </w:tr>
      <w:tr w14:paraId="7899B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003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0E9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F8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AB9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51AD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6DC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29</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F20BD">
            <w:pPr>
              <w:jc w:val="center"/>
              <w:rPr>
                <w:rFonts w:hint="eastAsia" w:ascii="宋体" w:hAnsi="宋体" w:eastAsia="宋体" w:cs="宋体"/>
                <w:i w:val="0"/>
                <w:iCs w:val="0"/>
                <w:color w:val="000000"/>
                <w:sz w:val="24"/>
                <w:szCs w:val="24"/>
                <w:u w:val="none"/>
              </w:rPr>
            </w:pPr>
          </w:p>
        </w:tc>
      </w:tr>
      <w:tr w14:paraId="6DC43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371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5.13)地下室（地下2区）</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02353">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FC23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2311F">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F597B">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5C724">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6FB01">
            <w:pPr>
              <w:jc w:val="center"/>
              <w:rPr>
                <w:rFonts w:hint="eastAsia" w:ascii="宋体" w:hAnsi="宋体" w:eastAsia="宋体" w:cs="宋体"/>
                <w:i w:val="0"/>
                <w:iCs w:val="0"/>
                <w:color w:val="000000"/>
                <w:sz w:val="24"/>
                <w:szCs w:val="24"/>
                <w:u w:val="none"/>
              </w:rPr>
            </w:pPr>
          </w:p>
        </w:tc>
      </w:tr>
      <w:tr w14:paraId="1266A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8D8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0D5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9B7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AC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F2E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CF2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525D5">
            <w:pPr>
              <w:jc w:val="center"/>
              <w:rPr>
                <w:rFonts w:hint="eastAsia" w:ascii="宋体" w:hAnsi="宋体" w:eastAsia="宋体" w:cs="宋体"/>
                <w:i w:val="0"/>
                <w:iCs w:val="0"/>
                <w:color w:val="000000"/>
                <w:sz w:val="24"/>
                <w:szCs w:val="24"/>
                <w:u w:val="none"/>
              </w:rPr>
            </w:pPr>
          </w:p>
        </w:tc>
      </w:tr>
      <w:tr w14:paraId="0225D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E3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A1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2C5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A77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876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CB8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52F54">
            <w:pPr>
              <w:jc w:val="center"/>
              <w:rPr>
                <w:rFonts w:hint="eastAsia" w:ascii="宋体" w:hAnsi="宋体" w:eastAsia="宋体" w:cs="宋体"/>
                <w:i w:val="0"/>
                <w:iCs w:val="0"/>
                <w:color w:val="000000"/>
                <w:sz w:val="24"/>
                <w:szCs w:val="24"/>
                <w:u w:val="none"/>
              </w:rPr>
            </w:pPr>
          </w:p>
        </w:tc>
      </w:tr>
      <w:tr w14:paraId="52FF8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26DE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5.14)地下室（地下3区）</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1E3BB">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9C1C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77D70">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5CB84">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7A54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DC616">
            <w:pPr>
              <w:jc w:val="center"/>
              <w:rPr>
                <w:rFonts w:hint="eastAsia" w:ascii="宋体" w:hAnsi="宋体" w:eastAsia="宋体" w:cs="宋体"/>
                <w:i w:val="0"/>
                <w:iCs w:val="0"/>
                <w:color w:val="000000"/>
                <w:sz w:val="24"/>
                <w:szCs w:val="24"/>
                <w:u w:val="none"/>
              </w:rPr>
            </w:pPr>
          </w:p>
        </w:tc>
      </w:tr>
      <w:tr w14:paraId="34E53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D0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BC5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85B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3.内置DSP音效处理芯片，支持≥48KHZ采样率≥16bit的音频流数据解码，额定输出功率≥250W。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695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B0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12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F027">
            <w:pPr>
              <w:jc w:val="center"/>
              <w:rPr>
                <w:rFonts w:hint="eastAsia" w:ascii="宋体" w:hAnsi="宋体" w:eastAsia="宋体" w:cs="宋体"/>
                <w:i w:val="0"/>
                <w:iCs w:val="0"/>
                <w:color w:val="000000"/>
                <w:sz w:val="24"/>
                <w:szCs w:val="24"/>
                <w:u w:val="none"/>
              </w:rPr>
            </w:pPr>
          </w:p>
        </w:tc>
      </w:tr>
      <w:tr w14:paraId="09CC3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D2D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D2C8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57B1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398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D94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FC5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151F">
            <w:pPr>
              <w:jc w:val="center"/>
              <w:rPr>
                <w:rFonts w:hint="eastAsia" w:ascii="宋体" w:hAnsi="宋体" w:eastAsia="宋体" w:cs="宋体"/>
                <w:i w:val="0"/>
                <w:iCs w:val="0"/>
                <w:color w:val="000000"/>
                <w:sz w:val="24"/>
                <w:szCs w:val="24"/>
                <w:u w:val="none"/>
              </w:rPr>
            </w:pPr>
          </w:p>
        </w:tc>
      </w:tr>
      <w:tr w14:paraId="17504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98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011E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壁挂扬声器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8CE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1.频响范围：等于或优于180Hz-18KHz;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2.灵敏度：≥88dB；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3.最大声压级：≥95dB；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4.额定功率：≥6W;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5.输入电压：70V/100V;</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14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108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231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2932">
            <w:pPr>
              <w:jc w:val="center"/>
              <w:rPr>
                <w:rFonts w:hint="eastAsia" w:ascii="宋体" w:hAnsi="宋体" w:eastAsia="宋体" w:cs="宋体"/>
                <w:i w:val="0"/>
                <w:iCs w:val="0"/>
                <w:color w:val="000000"/>
                <w:sz w:val="24"/>
                <w:szCs w:val="24"/>
                <w:u w:val="none"/>
              </w:rPr>
            </w:pPr>
          </w:p>
        </w:tc>
      </w:tr>
      <w:tr w14:paraId="71295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8B1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5.15)地下室（地下4区）</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CF93E">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9EE68">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CD324">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E8F2B">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9FE76">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08B14">
            <w:pPr>
              <w:jc w:val="center"/>
              <w:rPr>
                <w:rFonts w:hint="eastAsia" w:ascii="宋体" w:hAnsi="宋体" w:eastAsia="宋体" w:cs="宋体"/>
                <w:i w:val="0"/>
                <w:iCs w:val="0"/>
                <w:color w:val="000000"/>
                <w:sz w:val="24"/>
                <w:szCs w:val="24"/>
                <w:u w:val="none"/>
              </w:rPr>
            </w:pPr>
          </w:p>
        </w:tc>
      </w:tr>
      <w:tr w14:paraId="7EBE7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D27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DF5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271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3.内置DSP音效处理芯片，支持≥48KHZ采样率≥16bit的音频流数据解码，额定输出功率≥250W。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B92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E8B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E9D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ABB8">
            <w:pPr>
              <w:jc w:val="center"/>
              <w:rPr>
                <w:rFonts w:hint="eastAsia" w:ascii="宋体" w:hAnsi="宋体" w:eastAsia="宋体" w:cs="宋体"/>
                <w:i w:val="0"/>
                <w:iCs w:val="0"/>
                <w:color w:val="000000"/>
                <w:sz w:val="24"/>
                <w:szCs w:val="24"/>
                <w:u w:val="none"/>
              </w:rPr>
            </w:pPr>
          </w:p>
        </w:tc>
      </w:tr>
      <w:tr w14:paraId="3A4D6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E90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88C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86C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608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F79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7EA3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B1022">
            <w:pPr>
              <w:jc w:val="center"/>
              <w:rPr>
                <w:rFonts w:hint="eastAsia" w:ascii="宋体" w:hAnsi="宋体" w:eastAsia="宋体" w:cs="宋体"/>
                <w:i w:val="0"/>
                <w:iCs w:val="0"/>
                <w:color w:val="000000"/>
                <w:sz w:val="24"/>
                <w:szCs w:val="24"/>
                <w:u w:val="none"/>
              </w:rPr>
            </w:pPr>
          </w:p>
        </w:tc>
      </w:tr>
      <w:tr w14:paraId="3E98A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12C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5.16)地下室（人防1区）</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AE8FF">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A627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8DA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A35CC">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10886">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C0DCC">
            <w:pPr>
              <w:jc w:val="center"/>
              <w:rPr>
                <w:rFonts w:hint="eastAsia" w:ascii="宋体" w:hAnsi="宋体" w:eastAsia="宋体" w:cs="宋体"/>
                <w:i w:val="0"/>
                <w:iCs w:val="0"/>
                <w:color w:val="000000"/>
                <w:sz w:val="24"/>
                <w:szCs w:val="24"/>
                <w:u w:val="none"/>
              </w:rPr>
            </w:pPr>
          </w:p>
        </w:tc>
      </w:tr>
      <w:tr w14:paraId="32BC6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CC2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951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网络化播放功放（1U）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B8A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块数码显示屏，≥2个RJ45通讯接口，≥1路SD卡接口，≥1路USB接口，≥1路100V音频输入口，≥1路100V音频输出口，≥1路麦克风6.35输入接口，≥1路现场监听麦克风输入口，≥1路线路输入RCA接口，≥1路线路输出RCA接口，≥1路24V触发信号凤凰插输出接口，≥1路SC触发信号凤凰插输出接口，≥1组扩展凤凰插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2.具有≥6个面板状态指示灯，实时显示设备状态，≥8个快捷按键，实现播放暂停、上下曲选择、音量加减调节、USB播放、音源切换，设置IP等功能。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3.内置DSP音效处理芯片，支持≥48KHZ采样率≥16bit的音频流数据解码，额定输出功率≥120W。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4.支持播放系统主机的背景音乐、紧急寻呼、告警信号，可设置≥7级优先级管理功能。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通过web端设置中英文语言、离线定时点功能启用或失能、100V输入（常开/备份）启用或失能、设置电容或动圈话筒类型、选择常开或自动的功放模式、设置音源优先级≥（1-3级）和默音深度范围，可设置麦克风、线路输入、网络/U盘≥3种音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6.具有定压备份功能，内置有主备切换检测模块，在断网或断电的故障情况下，可自动切换到100V定压备份通道，主备切换过程不掉字、不卡顿。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7.支持点播功能：可以通过网络化点播面板进行点播播放网络化广播中心的音源。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DBC6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E39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762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BB957">
            <w:pPr>
              <w:jc w:val="center"/>
              <w:rPr>
                <w:rFonts w:hint="eastAsia" w:ascii="宋体" w:hAnsi="宋体" w:eastAsia="宋体" w:cs="宋体"/>
                <w:i w:val="0"/>
                <w:iCs w:val="0"/>
                <w:color w:val="000000"/>
                <w:sz w:val="24"/>
                <w:szCs w:val="24"/>
                <w:u w:val="none"/>
              </w:rPr>
            </w:pPr>
          </w:p>
        </w:tc>
      </w:tr>
      <w:tr w14:paraId="429E9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D53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B14E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天花扬声器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A9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1.喇叭单元：4.5''×1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2.额定功率：3W/6W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3.额定输入：70/100V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4.灵敏度(1m,1W)：91dB±2dB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5.最大声压级(1m)：96dB±2dB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6.频率响应：75Hz-20kHz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F64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6C5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A9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B85A">
            <w:pPr>
              <w:jc w:val="center"/>
              <w:rPr>
                <w:rFonts w:hint="eastAsia" w:ascii="宋体" w:hAnsi="宋体" w:eastAsia="宋体" w:cs="宋体"/>
                <w:i w:val="0"/>
                <w:iCs w:val="0"/>
                <w:color w:val="000000"/>
                <w:sz w:val="24"/>
                <w:szCs w:val="24"/>
                <w:u w:val="none"/>
              </w:rPr>
            </w:pPr>
          </w:p>
        </w:tc>
      </w:tr>
      <w:tr w14:paraId="229B6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C7B07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5信息发布系统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7CA3">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D5FC8">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EF10">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2B5A5">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ECF03">
            <w:pPr>
              <w:jc w:val="center"/>
              <w:rPr>
                <w:rFonts w:hint="eastAsia" w:ascii="宋体" w:hAnsi="宋体" w:eastAsia="宋体" w:cs="宋体"/>
                <w:i w:val="0"/>
                <w:iCs w:val="0"/>
                <w:color w:val="000000"/>
                <w:sz w:val="24"/>
                <w:szCs w:val="24"/>
                <w:u w:val="none"/>
              </w:rPr>
            </w:pPr>
          </w:p>
        </w:tc>
      </w:tr>
      <w:tr w14:paraId="5651E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A6CA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1)信息发布屏</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327F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3D63">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D9C6">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F6686">
            <w:pPr>
              <w:jc w:val="center"/>
              <w:rPr>
                <w:rFonts w:hint="eastAsia" w:ascii="宋体" w:hAnsi="宋体" w:eastAsia="宋体" w:cs="宋体"/>
                <w:i w:val="0"/>
                <w:iCs w:val="0"/>
                <w:color w:val="000000"/>
                <w:sz w:val="24"/>
                <w:szCs w:val="24"/>
                <w:u w:val="none"/>
              </w:rPr>
            </w:pP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B183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管理软件见智慧校园系统</w:t>
            </w:r>
          </w:p>
        </w:tc>
      </w:tr>
      <w:tr w14:paraId="2932A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F0D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4A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49寸液晶发布一体机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159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产品尺寸参数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1.屏幕显示尺寸：50 英寸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屏幕参数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1.屏幕分辨率：标配 1920*1080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2.HDR 显示：支持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3.屏幕比例：16:9</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4.屏幕类别：TFT-LED</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5.屏幕等级：A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6.背光源：直下式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7.3D 显示：/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8.刷新率：≥60Hz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9.响应时间：≤8ms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10.扫描方式：逐行扫描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11.支持高清格式：1080P</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12.水平视角：±178°</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13.垂直视角：±178°</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扬声器参数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1.扬声器数量：≥2 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2.输出功率：2X5W (8Ω) @1khz.THD+N &lt; 10%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五、接口配置参数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1.耳机端口：无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2.USB 接口：USB2.0*3（其中内置 1 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3.HDMI 接口：输入 * 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4.RJ45 接口：1 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5.USB 支持视频格式：mpg /avi/ts /mov/mkv /dat/mp4 /vob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6.USB 支持图片格式：JPG/JEPG/PNG</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7.1 路 HDMI1.4 输入接口：最高支持 1080P@60Hz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8.网络连接：支持有线和无线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9.连接方式：有线 / WIFI（2.4G）</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10.喇叭接口：最高支持两个 8Ω 5W，双声道喇叭输出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11.蓝牙：可选配</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92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信特安、特思特、大通</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DF8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D04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87017">
            <w:pPr>
              <w:jc w:val="center"/>
              <w:rPr>
                <w:rFonts w:hint="eastAsia" w:ascii="宋体" w:hAnsi="宋体" w:eastAsia="宋体" w:cs="宋体"/>
                <w:i w:val="0"/>
                <w:iCs w:val="0"/>
                <w:color w:val="000000"/>
                <w:sz w:val="24"/>
                <w:szCs w:val="24"/>
                <w:u w:val="none"/>
              </w:rPr>
            </w:pPr>
          </w:p>
        </w:tc>
      </w:tr>
      <w:tr w14:paraId="73FC9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CA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AA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55寸液晶发布一体机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F35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屏幕显示尺寸：≥55 英寸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屏幕分辨率：标配 1920*1080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HDR 显示：支持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屏幕比例：16:9</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屏幕类别：TFT-LED</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屏幕等级：A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背光源：直下式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3D 显示：无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刷新率：≥60Hz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响应时间：≤8ms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扫描方式：逐行扫描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支持格式（高清）：1080P</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水平视角（度）：±178°</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垂直视角（度）：±178°</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扬声器数量：≥2 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输出功率：2X5W (8Ω) @1khz.THD+N &lt; 10%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耳机端口：无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USB 接口：USB2.0*3（其中内置 1 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HDMI 接口：输入 * 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RJ45 接口：1 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USB 支持视频格式：mpg /avi/ts /mov/mkv /dat/mp4 /vob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USB 支持图片格式：JPG/JEPG/PNG</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 路 HDMI1.4 输入接口：最高支持 1080P@60Hz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网络连接：支持有线和无线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连接方式：有线 / WIFI（2.4G）</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喇叭接口：最高支持两个 8Ω 5W，双声道喇叭输出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蓝牙：可选配</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43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信特安、特思特、大通</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81FC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63F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w:t>
            </w: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9F978">
            <w:pPr>
              <w:jc w:val="center"/>
              <w:rPr>
                <w:rFonts w:hint="eastAsia" w:ascii="宋体" w:hAnsi="宋体" w:eastAsia="宋体" w:cs="宋体"/>
                <w:i w:val="0"/>
                <w:iCs w:val="0"/>
                <w:color w:val="000000"/>
                <w:sz w:val="24"/>
                <w:szCs w:val="24"/>
                <w:u w:val="none"/>
              </w:rPr>
            </w:pPr>
          </w:p>
        </w:tc>
      </w:tr>
      <w:tr w14:paraId="5C5E7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9FDE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2)电子班牌</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D24A7">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57B3F">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EA5B8">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780E">
            <w:pPr>
              <w:jc w:val="center"/>
              <w:rPr>
                <w:rFonts w:hint="eastAsia" w:ascii="宋体" w:hAnsi="宋体" w:eastAsia="宋体" w:cs="宋体"/>
                <w:i w:val="0"/>
                <w:iCs w:val="0"/>
                <w:color w:val="000000"/>
                <w:sz w:val="24"/>
                <w:szCs w:val="24"/>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683C0">
            <w:pPr>
              <w:jc w:val="center"/>
              <w:rPr>
                <w:rFonts w:hint="eastAsia" w:ascii="宋体" w:hAnsi="宋体" w:eastAsia="宋体" w:cs="宋体"/>
                <w:i w:val="0"/>
                <w:iCs w:val="0"/>
                <w:color w:val="000000"/>
                <w:sz w:val="24"/>
                <w:szCs w:val="24"/>
                <w:u w:val="none"/>
              </w:rPr>
            </w:pPr>
          </w:p>
        </w:tc>
      </w:tr>
      <w:tr w14:paraId="7D5B9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F9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973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液晶触摸一体机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AF4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CPU 4核，1.6GHz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RAM 2GB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ROM 16GB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视频解码 支持2路1080P@30fps或1路4K@25fps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NFC刷卡 2个NFC刷卡，左右2边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面板尺寸 21.5英寸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背光类型 LED</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屏幕比例 16:9</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响应时间 8ms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亮度 500cd/m²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对比度 1000：1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分辨率 1920×1080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可视角度 水平：178°，垂直：178°</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网络接口 1个RJ-45 10M/100M/1000M以太网口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Wi-Fi 支持2.4G&amp;5G双频WiFi</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TF卡槽 1个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USB接口 2个USB2.0接口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其他接口 1个OTG接口，1个3.5mm音频口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传感器类型 1/4英寸6 E+IR M9xP0.35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镜头类型 2.4mm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视场角 2.4mm：对角：121.7°，水平：101.56°，垂直：61.61°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低畸变 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最低照度 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电子快门 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电子增益 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视频压缩标准 支持H.264/MJPEG/YUY2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视频帧率 1920×1080@30fps/1280×1024@30fps/1280×720@30fps/800×600@30fps/640×480@30fps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信噪比 ≥41dB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摄像头像素 200万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触摸屏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触摸技术 电容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响应时间 ＜5ms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触摸点数 G+G 10点触摸，可实现放大缩小图片等多点触摸功能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触摸有效识别 &gt;1.5mm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书写方式 手指/触摸笔/其他非透明物体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扫描频率 200Hz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触摸分辨率 32768×32768</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扫描精度 4096×4096</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通信方式 USB2.0协议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抗光干扰 阳光、白炽灯、日光灯等强光变化时正常使用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触摸数据输出方式 坐标输出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表面硬度 ≥6H</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固件 可升级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驱动 免驱，即插即用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防眩光 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防雾膜 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内置扬声器 2个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供电方式 12VDC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功耗 ≤ 36W；待机功耗：≤0.5W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工作温度 -5℃~+55℃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储存温度 -20℃～+60℃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工作湿度 10%～90%RH（无凝结）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储存湿度 10%～90%RH（无凝结）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防护等级 IP30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4F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信特安、特思特、大通</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2B3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34DF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w:t>
            </w: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9EED4">
            <w:pPr>
              <w:jc w:val="center"/>
              <w:rPr>
                <w:rFonts w:hint="eastAsia" w:ascii="宋体" w:hAnsi="宋体" w:eastAsia="宋体" w:cs="宋体"/>
                <w:i w:val="0"/>
                <w:iCs w:val="0"/>
                <w:color w:val="000000"/>
                <w:sz w:val="24"/>
                <w:szCs w:val="24"/>
                <w:u w:val="none"/>
              </w:rPr>
            </w:pPr>
          </w:p>
        </w:tc>
      </w:tr>
      <w:tr w14:paraId="37E97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B911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3)后端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B20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83D72">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FF88B">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DC1C">
            <w:pPr>
              <w:jc w:val="center"/>
              <w:rPr>
                <w:rFonts w:hint="eastAsia" w:ascii="宋体" w:hAnsi="宋体" w:eastAsia="宋体" w:cs="宋体"/>
                <w:i w:val="0"/>
                <w:iCs w:val="0"/>
                <w:color w:val="000000"/>
                <w:sz w:val="24"/>
                <w:szCs w:val="24"/>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BFA60">
            <w:pPr>
              <w:jc w:val="center"/>
              <w:rPr>
                <w:rFonts w:hint="eastAsia" w:ascii="宋体" w:hAnsi="宋体" w:eastAsia="宋体" w:cs="宋体"/>
                <w:i w:val="0"/>
                <w:iCs w:val="0"/>
                <w:color w:val="000000"/>
                <w:sz w:val="24"/>
                <w:szCs w:val="24"/>
                <w:u w:val="none"/>
              </w:rPr>
            </w:pPr>
          </w:p>
        </w:tc>
      </w:tr>
      <w:tr w14:paraId="1AB8A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E53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2EB3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工作站</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493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业主自备利旧老校区搬迁来 在13项其他 中整体综合考虑 此项无需报价</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195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业主</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90B3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0B5E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46AFF">
            <w:pPr>
              <w:jc w:val="center"/>
              <w:rPr>
                <w:rFonts w:hint="eastAsia" w:ascii="宋体" w:hAnsi="宋体" w:eastAsia="宋体" w:cs="宋体"/>
                <w:i w:val="0"/>
                <w:iCs w:val="0"/>
                <w:color w:val="000000"/>
                <w:sz w:val="24"/>
                <w:szCs w:val="24"/>
                <w:u w:val="none"/>
              </w:rPr>
            </w:pPr>
          </w:p>
        </w:tc>
      </w:tr>
      <w:tr w14:paraId="668AF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AEA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6电梯五方通话系统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29647">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652D">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179F3">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909F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9A175">
            <w:pPr>
              <w:jc w:val="center"/>
              <w:rPr>
                <w:rFonts w:hint="eastAsia" w:ascii="宋体" w:hAnsi="宋体" w:eastAsia="宋体" w:cs="宋体"/>
                <w:i w:val="0"/>
                <w:iCs w:val="0"/>
                <w:color w:val="000000"/>
                <w:sz w:val="24"/>
                <w:szCs w:val="24"/>
                <w:u w:val="none"/>
              </w:rPr>
            </w:pPr>
          </w:p>
        </w:tc>
      </w:tr>
      <w:tr w14:paraId="2B27E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7574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379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五方通话屏蔽线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D8DB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rvvp4*1.0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321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C70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644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1439</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7C883">
            <w:pPr>
              <w:jc w:val="center"/>
              <w:rPr>
                <w:rFonts w:hint="eastAsia" w:ascii="宋体" w:hAnsi="宋体" w:eastAsia="宋体" w:cs="宋体"/>
                <w:i w:val="0"/>
                <w:iCs w:val="0"/>
                <w:color w:val="000000"/>
                <w:sz w:val="24"/>
                <w:szCs w:val="24"/>
                <w:u w:val="none"/>
              </w:rPr>
            </w:pPr>
          </w:p>
        </w:tc>
      </w:tr>
      <w:tr w14:paraId="6D3C8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EA99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7多媒体会议系统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E6F9C">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4F4E">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AD3F0">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3BF7B">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636A">
            <w:pPr>
              <w:jc w:val="center"/>
              <w:rPr>
                <w:rFonts w:hint="eastAsia" w:ascii="宋体" w:hAnsi="宋体" w:eastAsia="宋体" w:cs="宋体"/>
                <w:i w:val="0"/>
                <w:iCs w:val="0"/>
                <w:color w:val="000000"/>
                <w:sz w:val="24"/>
                <w:szCs w:val="24"/>
                <w:u w:val="none"/>
              </w:rPr>
            </w:pPr>
          </w:p>
        </w:tc>
      </w:tr>
      <w:tr w14:paraId="6B247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4DA8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1)大报告厅多媒体子系统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A509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A600">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746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2928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61BBD">
            <w:pPr>
              <w:jc w:val="center"/>
              <w:rPr>
                <w:rFonts w:hint="eastAsia" w:ascii="宋体" w:hAnsi="宋体" w:eastAsia="宋体" w:cs="宋体"/>
                <w:i w:val="0"/>
                <w:iCs w:val="0"/>
                <w:color w:val="000000"/>
                <w:sz w:val="24"/>
                <w:szCs w:val="24"/>
                <w:u w:val="none"/>
              </w:rPr>
            </w:pPr>
          </w:p>
        </w:tc>
      </w:tr>
      <w:tr w14:paraId="4AB7E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708F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1.1)显示系统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82FDB">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9A906">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3EA92">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AF20">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84A2A">
            <w:pPr>
              <w:jc w:val="center"/>
              <w:rPr>
                <w:rFonts w:hint="eastAsia" w:ascii="宋体" w:hAnsi="宋体" w:eastAsia="宋体" w:cs="宋体"/>
                <w:i w:val="0"/>
                <w:iCs w:val="0"/>
                <w:color w:val="000000"/>
                <w:sz w:val="24"/>
                <w:szCs w:val="24"/>
                <w:u w:val="none"/>
              </w:rPr>
            </w:pPr>
          </w:p>
        </w:tc>
      </w:tr>
      <w:tr w14:paraId="45EAB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E54DB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1.1.1)主显示系统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3341C">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35284">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9B83A">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DFAA4">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3580">
            <w:pPr>
              <w:jc w:val="center"/>
              <w:rPr>
                <w:rFonts w:hint="eastAsia" w:ascii="宋体" w:hAnsi="宋体" w:eastAsia="宋体" w:cs="宋体"/>
                <w:i w:val="0"/>
                <w:iCs w:val="0"/>
                <w:color w:val="000000"/>
                <w:sz w:val="24"/>
                <w:szCs w:val="24"/>
                <w:u w:val="none"/>
              </w:rPr>
            </w:pPr>
          </w:p>
        </w:tc>
      </w:tr>
      <w:tr w14:paraId="7A6D3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3E6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234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户内全彩LED屏预埋线缆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492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YJV3*16+1*10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AC1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078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A23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28E9">
            <w:pPr>
              <w:jc w:val="center"/>
              <w:rPr>
                <w:rFonts w:hint="eastAsia" w:ascii="宋体" w:hAnsi="宋体" w:eastAsia="宋体" w:cs="宋体"/>
                <w:i w:val="0"/>
                <w:iCs w:val="0"/>
                <w:color w:val="000000"/>
                <w:sz w:val="24"/>
                <w:szCs w:val="24"/>
                <w:u w:val="none"/>
              </w:rPr>
            </w:pPr>
          </w:p>
        </w:tc>
      </w:tr>
      <w:tr w14:paraId="249A7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63101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1.1.2会标屏</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27F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D3C3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3B7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FC8C">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9D10A">
            <w:pPr>
              <w:jc w:val="center"/>
              <w:rPr>
                <w:rFonts w:hint="eastAsia" w:ascii="宋体" w:hAnsi="宋体" w:eastAsia="宋体" w:cs="宋体"/>
                <w:i w:val="0"/>
                <w:iCs w:val="0"/>
                <w:color w:val="000000"/>
                <w:sz w:val="24"/>
                <w:szCs w:val="24"/>
                <w:u w:val="none"/>
              </w:rPr>
            </w:pPr>
          </w:p>
        </w:tc>
      </w:tr>
      <w:tr w14:paraId="4CD84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F8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9D1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户内双色LED屏预埋线缆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CCD3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RVV3*4</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F08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8AE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23D7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D3353">
            <w:pPr>
              <w:jc w:val="center"/>
              <w:rPr>
                <w:rFonts w:hint="eastAsia" w:ascii="宋体" w:hAnsi="宋体" w:eastAsia="宋体" w:cs="宋体"/>
                <w:i w:val="0"/>
                <w:iCs w:val="0"/>
                <w:color w:val="000000"/>
                <w:sz w:val="24"/>
                <w:szCs w:val="24"/>
                <w:u w:val="none"/>
              </w:rPr>
            </w:pPr>
          </w:p>
        </w:tc>
      </w:tr>
      <w:tr w14:paraId="7F0DE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1D8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1.1.3)控制设备以及配套设备</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9BCF">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98226">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A7D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04432">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CA24">
            <w:pPr>
              <w:jc w:val="center"/>
              <w:rPr>
                <w:rFonts w:hint="eastAsia" w:ascii="宋体" w:hAnsi="宋体" w:eastAsia="宋体" w:cs="宋体"/>
                <w:i w:val="0"/>
                <w:iCs w:val="0"/>
                <w:color w:val="000000"/>
                <w:sz w:val="24"/>
                <w:szCs w:val="24"/>
                <w:u w:val="none"/>
              </w:rPr>
            </w:pPr>
          </w:p>
        </w:tc>
      </w:tr>
      <w:tr w14:paraId="74615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15A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0F0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高清无缝混插矩阵主机箱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B703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一款专门为音视频信号的切换而设计的高性能智能矩阵开关设备，可兼容不同信号类型输入/输出信号卡；插入搭配的信号卡包括：HDMI、DVI、VGA、SDI、AV无缝输入/输出信号卡，结合不同信号卡功能可以解决综合视听的问题。支持多个信号输入输出交叉矩阵切换，提供独立的视频信号和音频输入、输出端子；每路视频信号、音视频信号单独传输、单独切换，使信号传输衰减降至最低，图像和声音信号能高保真输出，可以与输入、输出信号卡任意搭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本产品带有断电现场保护、音视频同步或单独切换等功能，并具备RS232通讯接口和TCP/IP（可选功能）控制，可方便与个人电脑、遥控系统或各种远端控制设备配合使用。它主要应用于广播电视工程、多媒体会议厅、大屏幕显示工程、电视教学、指挥控制中心等场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3.内置无缝切换卡，切换无黑屏，无闪屏，无需特效过渡。无缝输出支持VGA/SDI/HDMI/DVI/AV信号格式，HDMI完美支持隔行和逐行扫描输出。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4.采用触摸屏操控，内置7寸LCD真彩色显示屏和电容触摸屏；所有功能项及设置操作信息一目了然，让人机互交极具人性化</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5.插卡式箱体结构：输入卡支持：AV、VGA、DVI、HDMI、SDI；输出卡支持：AV、VGA、DVI、HDMI、SDI，卡片式结构，极其容易扩展或更换。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6.视频处理能力：完全支持无缝切换；全彩色处理，无任何色彩丢失；支持帧率适配，内建图像缩放引擎，输入缩放到输出的任意分辨率转换。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7.音频处理能力：AV、VGA等输入支持模拟音频输入混合；DVI、HDMI、SDI输入支持模拟音频/数字音频选择混合；混合后的信号经切换后，支持内嵌音频输出（HDMI、SDI、DVI）</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8.支持各种输入分辨率：800*600、1024*768、1280*720、1280*768、1280*800、1280*1024、1360*768、1366*768、1440*900、1400*1050、1600*900、1680*1050、1920*1080@60Hz、1920*1080@50Hz、1920*1080@30Hz、1920*1080@25Hz、1920*1200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9.支持切换状态和记忆功能：远程网络控制矩阵切换、RS232切换、面板切换功能；具有掉电记忆功能和现场记忆功能：带有断电现场保护功能；并可保存和调用10个切换场景。需提供证明文件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10.低功耗设计：持续老化7*24小时无异常。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11.支持协议：支持3D、HDMI1.4（部分）、HDCP、与及DVI1.0协议。支持高色深，以及高达3.25Gbps速率；支持一路RJ45网络口,一路RS-232通讯接口。</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62D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淳中科技、小鸟、嗨动视觉</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F4C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FE1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EA683">
            <w:pPr>
              <w:jc w:val="center"/>
              <w:rPr>
                <w:rFonts w:hint="eastAsia" w:ascii="宋体" w:hAnsi="宋体" w:eastAsia="宋体" w:cs="宋体"/>
                <w:i w:val="0"/>
                <w:iCs w:val="0"/>
                <w:color w:val="000000"/>
                <w:sz w:val="24"/>
                <w:szCs w:val="24"/>
                <w:u w:val="none"/>
              </w:rPr>
            </w:pPr>
          </w:p>
        </w:tc>
      </w:tr>
      <w:tr w14:paraId="4D4AC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29E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58F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数字高清音视频输入卡</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0F4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1.支持HDMI1.3标准，兼容DVI信号；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2.最高分辨率支持1080p@60Hz；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3.输入信号卡具有字符叠加功能，可通过指令更改字符相关属性，相关指令详见指令表；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4.输入信号卡与其他输出分辨率不可调信号卡配合使用时，也可通过指令调节每路输入对应输出分辨率：1360x768、1024x768、1280x720、1280x800、1920x1080、1920x1200、1600x1200；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5.支持音视频HDMI内置同传与视频HDMI传输；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6.触摸屏选择输入音频为HDMI内置音频/外接模拟音频，默认为HDMI内置音频，外接输出音频凤凰端子输出为选择的音源，且具有断电记忆功能；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7.可通过触摸屏设置输出模拟音频内置/外接，默认内置；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8.HDMI无缝输出信号卡与其他输入信号卡进行无缝切换时，切换通道连接的输入信号源分辨率需保持一致。</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CA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淳中科技、小鸟、嗨动视觉</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23EF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张</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339A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25C40">
            <w:pPr>
              <w:jc w:val="center"/>
              <w:rPr>
                <w:rFonts w:hint="eastAsia" w:ascii="宋体" w:hAnsi="宋体" w:eastAsia="宋体" w:cs="宋体"/>
                <w:i w:val="0"/>
                <w:iCs w:val="0"/>
                <w:color w:val="000000"/>
                <w:sz w:val="24"/>
                <w:szCs w:val="24"/>
                <w:u w:val="none"/>
              </w:rPr>
            </w:pPr>
          </w:p>
        </w:tc>
      </w:tr>
      <w:tr w14:paraId="0B632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3E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30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数字高清音视频输出卡</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3B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1.支持HDMI1.3标准，兼容DVI信号；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2.最高分辨率支持1080p@60Hz；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输出信号卡的每路输出分辨率可调：720x480i@60Hz、720x576i@50Hz、720x480p@60Hz、720x576p@50Hz、1280x720p@60Hz、1280x720p@59Hz、1280x720p@50Hz、1280x720p@30Hz、1280x720p@25Hz、1280x720p@24Hz、1920x1080i@60Hz、1920x1080i@59Hz、1920x1080i@50Hz、1920x1080p@60Hz、1920x1080p@59Hz、1920x1080p@50Hz、1920x1080p@30Hz、1920x1080p@29Hz、1920x1080p@25Hz、1920x1080p@24Hz、640x480p@60Hz、640x480p@75Hz、800x600p@60Hz、800x600p@75Hz、1024x768p@60Hz、1024x768p@75Hz、1280x1024p@60Hz、1280x1024p@75Hz、1360x768p@60Hz、1366x768p@60Hz、1400x1050p@60Hz、1600x1200p@60Hz、1440x900p@60Hz、1440x900p@75Hz、1680x1050p@60Hz、1920x1200p@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4.支持音视频HDMI内置同传与视频HDMI传输；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5.触摸屏选择输入音频为HDMI内置音频/外接模拟音频，默认为HDMI内置音频，外接输出音频凤凰端子输出为选择的音源，且具有断电记忆功能；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6.可通过触摸屏设置输出模拟音频内置/外接，默认内置；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7.HDMI无缝输出信号卡与其他输入信号卡进行无缝切换时，切换通道连接的输入信号源分辨率需保持一致。</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FFE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淳中科技、小鸟、嗨动视觉</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F73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张</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90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1DA81">
            <w:pPr>
              <w:jc w:val="center"/>
              <w:rPr>
                <w:rFonts w:hint="eastAsia" w:ascii="宋体" w:hAnsi="宋体" w:eastAsia="宋体" w:cs="宋体"/>
                <w:i w:val="0"/>
                <w:iCs w:val="0"/>
                <w:color w:val="000000"/>
                <w:sz w:val="24"/>
                <w:szCs w:val="24"/>
                <w:u w:val="none"/>
              </w:rPr>
            </w:pPr>
          </w:p>
        </w:tc>
      </w:tr>
      <w:tr w14:paraId="642D4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6CE2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9D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数字高清音视频输入卡</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2D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1.输入信号卡：4路SDI输入；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2.信号格式支持SDI、HD-SDI、3G-SDI；</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3.输入分辨率自动识别；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4.输入信号卡具有倍线功能，默认将低输入分辨率倍线成1080P输出；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5.输入信号卡具有字符叠加功能，可通过指令更改字符相关属性，相关指令详见指令表；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6.输入信号卡可对视频信号源增加字符，输出时，显示屏右上角默认显示“通道”，可发送指令编辑字符、设置字符显示方位和关闭字符显示，详情可见指令表；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7.输入信号卡与其他输出分辨率不可调信号卡配合使用时，也可通过指令调节每路输入对应输出分辨率：1360x768、1024x768、1280x720、1280x800、1920x1080、1920x1200、1600x1200；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A0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淳中科技、小鸟、嗨动视觉</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238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张</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D2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8FF14">
            <w:pPr>
              <w:jc w:val="center"/>
              <w:rPr>
                <w:rFonts w:hint="eastAsia" w:ascii="宋体" w:hAnsi="宋体" w:eastAsia="宋体" w:cs="宋体"/>
                <w:i w:val="0"/>
                <w:iCs w:val="0"/>
                <w:color w:val="000000"/>
                <w:sz w:val="24"/>
                <w:szCs w:val="24"/>
                <w:u w:val="none"/>
              </w:rPr>
            </w:pPr>
          </w:p>
        </w:tc>
      </w:tr>
      <w:tr w14:paraId="065DD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06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8A4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数字高清音视频输出卡</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4EC1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1.输出信号卡：4路SDI输出；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2.信号格式支持SDI、HD-SDI、3G-SDI；</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3.SDI输出使用同轴线缆传输可支持最远60m（1080P信号）传输距离；</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4.输出信号卡的输出分辨率可调，支持1280x720p@60Hz、1280x720p@50Hz、1920x1080i@60Hz、1920x1080i@50Hz、1920x1080p@60Hz、1920x1080p@50Hz、1920x1080p@30Hz。</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202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淳中科技、小鸟、嗨动视觉</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4FFB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张</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C2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6774">
            <w:pPr>
              <w:jc w:val="center"/>
              <w:rPr>
                <w:rFonts w:hint="eastAsia" w:ascii="宋体" w:hAnsi="宋体" w:eastAsia="宋体" w:cs="宋体"/>
                <w:i w:val="0"/>
                <w:iCs w:val="0"/>
                <w:color w:val="000000"/>
                <w:sz w:val="24"/>
                <w:szCs w:val="24"/>
                <w:u w:val="none"/>
              </w:rPr>
            </w:pPr>
          </w:p>
        </w:tc>
      </w:tr>
      <w:tr w14:paraId="13B37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0037D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1.2)WIFI会议系统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E71D">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D90E">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6271">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4238C">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D0220">
            <w:pPr>
              <w:jc w:val="center"/>
              <w:rPr>
                <w:rFonts w:hint="eastAsia" w:ascii="宋体" w:hAnsi="宋体" w:eastAsia="宋体" w:cs="宋体"/>
                <w:i w:val="0"/>
                <w:iCs w:val="0"/>
                <w:color w:val="000000"/>
                <w:sz w:val="24"/>
                <w:szCs w:val="24"/>
                <w:u w:val="none"/>
              </w:rPr>
            </w:pPr>
          </w:p>
        </w:tc>
      </w:tr>
      <w:tr w14:paraId="62936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A1B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550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全数字会议系统主机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91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1.会议系统控制主机是整个会议系统核心设备，可以实现会议控制、单元设置、讨论发言、会议签到、音效控制、会议全程录音、摄像跟踪、音频输入输出、远程控制等功能。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4.3寸液晶显示触摸屏，≥1路USB接口用于外接录音U盘接入，≥2路音频XLR平衡输出口，≥2路告警音频输入RCA接口，≥2路线路音频输入RCA接口，≥2路混合音频RCA输出口，≥4路可独立开关的百兆48V供电RJ45网络接口，用于连接会议话筒单元，≥2路百兆RJ45网络接口，用于PC端远程控制，≥1路RS422控制凤凰插接口，≥1路消防告警联动触发凤凰插接口，≥1路DB九针中控串口，可连接中控系统控制，≥6路HDMI视频输入口，≥1路HDMI视频输出口，≥1路UHF段天线输入插口，用于监听信息的发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3.具有热备份功能，当主机出现意外时，备用主机会自动启用，保证会议无间断顺利进行，可备份主机设置的发言数量、会议模式、音效控制、摄像设置、录音控制、话筒单元编号和优先权功能参数。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4.具有一键关机所有无线单元功能，可修改UHF段无线发射频率、AP服务器网关和密码。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5.具有+5V告警触发电压输入接口，与报警音频输入接口结合实现紧急告警强插功能。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6.具有自动跟踪功能，支持≥6个HDMI高清接口输入，实现≥6个高清摄像头接入跟踪，摄像头跟踪定位可在主机软件上设置上下左右放大缩小、旋转速度、通讯协议等，设置完成可存储或后期调用。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7.具有≥4个百兆+48V供电RJ45网络接口，对连接的会议单元进行网络传输协议及+48V网络供电，≥2个TCP/IP网络协议的百兆RJ45接口，连接网络后通过PC端软件控制系统的全部功能。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具有≥1个RS232串口，可实现与中控系统的无缝连接;≥1个RS422串口，连接摄像头控制线，实现对≥6个摄像头的集中控制，具有发言定时和定时发言结束提醒倒计时功能，发言定时功能可以设置单元的发言时间，也可关闭发言定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9.可设定VIP代表发言单元，VIP单元在已开启的话筒总数≥6台的情况下可以自由开启而不受会议模式限制，可设置≥32台VIP单元。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10.具有先进先出、正常模式、声控模式、自由模式、申请模式≥5种会议模式，声控模式触发灵敏度支持≥5级声压调节，支持≥6个单元同时讲话。</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11.具有音效设置功能，支持通过会议主机设置低频切除和≥14段图示均衡器，可保存≥6种均衡模式；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具有录音功能，可以实现全程会议录音，有自动录音和手动录音≥2种方式可选，录音界面可实时查看录音时间进度、录音生成的文件名和存储磁盘剩余的录制时间，录音过程可控，可停止或开始录音，录音结束可从主机上卸载U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13.具有会议单元检测功能：在会议开始之前可对每个会议单元进行检测，检测的单元指标包含：话筒、LCD屏、操作按键、LED指示灯、扬声器，检测方式可选择自动检测和手动开始检测，也可任意选择上一单元或下一单元检测，单元检测时间可提供自定义选择，从而保障会议单元每个部件处于正常工作状态。具有单元设置功能，可通过主机同时打开≥2个主席单元，可设置开启单元讲台模式、优先权功能、表决结果显示、投票表决默音的独立开关功能，同时支持单元主题设定，可设置≥3套主题，单元主题模式可选择锁定和自由≥2种模式，方便用户针对不同会议场景选择个性化主题。</w:t>
            </w:r>
            <w:r>
              <w:rPr>
                <w:rFonts w:ascii="宋体" w:hAnsi="宋体" w:eastAsia="宋体" w:cs="宋体"/>
                <w:i w:val="0"/>
                <w:iCs w:val="0"/>
                <w:color w:val="auto"/>
                <w:kern w:val="0"/>
                <w:sz w:val="24"/>
                <w:szCs w:val="24"/>
                <w:highlight w:val="none"/>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14.支持发言定时和定时发言结束</w:t>
            </w:r>
            <w:r>
              <w:rPr>
                <w:rFonts w:ascii="宋体" w:hAnsi="宋体" w:eastAsia="宋体" w:cs="宋体"/>
                <w:i w:val="0"/>
                <w:iCs w:val="0"/>
                <w:color w:val="000000"/>
                <w:kern w:val="0"/>
                <w:sz w:val="24"/>
                <w:szCs w:val="24"/>
                <w:u w:val="none"/>
                <w:lang w:val="en-US" w:eastAsia="zh-CN" w:bidi="ar"/>
              </w:rPr>
              <w:t>提醒倒计时：发言定时时间设置范围1-300分钟，定时发言结束提醒倒计时时间设置范围为1-60秒。（提供主机软件该功能界面截图佐证）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15.具有数据备份和恢复功能，可导出配置文件到U盘，或导入配置文件到系统，防止数据丢失，具有软件升级功能，支持U盘升级和PC远程升级，或自定义运行程序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系统内置全数字会议系统主机软件，由于软件决定着本产品功能的完整性,为确保设备稳定运行，需提供中国软件评测中心出具的全数字会议系统主机软件测试报告，报告上需体现（软件容错性、安全保密性、运行稳定性）等相关安全稳定选型的检测内容，确保软件安全稳定运行。</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15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2D9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5B0A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53777">
            <w:pPr>
              <w:jc w:val="center"/>
              <w:rPr>
                <w:rFonts w:hint="eastAsia" w:ascii="宋体" w:hAnsi="宋体" w:eastAsia="宋体" w:cs="宋体"/>
                <w:i w:val="0"/>
                <w:iCs w:val="0"/>
                <w:color w:val="000000"/>
                <w:sz w:val="24"/>
                <w:szCs w:val="24"/>
                <w:u w:val="none"/>
              </w:rPr>
            </w:pPr>
          </w:p>
        </w:tc>
      </w:tr>
      <w:tr w14:paraId="7D713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A86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1F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5G WiFi无线路由器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50A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1.采用WPA/WPA2数字加密技术的WiFi信号传输，确保了会议私密性，避免窃听和恶意干扰；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2.符合IEEE802.11acWave-2/a/b/g/n无线标准；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3.多个2.4GHZ、5GHZ频点选择；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4.具有两路RJ45接口，1路连接D73015GWiFi加密无线发射主机，另一路连接AP,可扩展单元，连接线缆建议使用高质量的交叉CAT6线缆；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5.在空旷受干扰弱的情况下信号覆盖面积可达到半径为30米的圆面积，一般为半径25米的圆面积；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6.内置四天线设计使数据传输更加的稳定；</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7.最大功耗：15W；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FF0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C1D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C15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C51B">
            <w:pPr>
              <w:jc w:val="center"/>
              <w:rPr>
                <w:rFonts w:hint="eastAsia" w:ascii="宋体" w:hAnsi="宋体" w:eastAsia="宋体" w:cs="宋体"/>
                <w:i w:val="0"/>
                <w:iCs w:val="0"/>
                <w:color w:val="000000"/>
                <w:sz w:val="24"/>
                <w:szCs w:val="24"/>
                <w:u w:val="none"/>
              </w:rPr>
            </w:pPr>
          </w:p>
        </w:tc>
      </w:tr>
      <w:tr w14:paraId="16E53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AC4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9EDD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5G WiFi加密无线会议发言表决主席单元</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52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1.集发言、投票表决功能于一体的5GWiFi无线会议发言单元；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2.支持≥128位AES加密技术，支持WPA/WPA2无线安全技术，防止窃听和非授权访问；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3.支持漫游功能，可以在多个AP之间漫游,增加Wi-Fi覆盖范围；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4.具有≥2.4寸OLED显示屏，可实时显示：本会议单元的ID号码、申请发言人数、表决结果、签到人数、WiFi信号强度、电池电量、单元信息，以及发言计时等状态；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5.具有≥1路3.5mm的立体声耳机插口输出，可连接耳机，音量可调；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6.支持本地监听功能，具有内磁式高保真扬声器，打开话筒后自动静音，不易产生啸叫；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7.支持投票表决功能，≥5个投票表决键；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8.支持按键签到功能，内置数字会议带签到终端软件；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9.支持发言功能，支持话筒按键开关，内置数字会议讨论终端软件；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10.支持批准代表的申请发言功能；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11.支持优先权功能，可将所有代表单元静音或关闭，全权控制会议秩序；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12.支持讲台模式，开启讲台模式时，主席单元上的开关按键操作无效；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13.支持≥7段EQ调节功能，可针对发言者的声音特点调节不同的音效；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14.配合摄像头，使用数字会议系统主机或PC控制软件设置后可进行摄像自动跟踪；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15.配合控制主机，单元有自我检测功能。检测的项有：按键、话筒、LED指示灯、LCD屏；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2A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E731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1D4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C12CD">
            <w:pPr>
              <w:jc w:val="center"/>
              <w:rPr>
                <w:rFonts w:hint="eastAsia" w:ascii="宋体" w:hAnsi="宋体" w:eastAsia="宋体" w:cs="宋体"/>
                <w:i w:val="0"/>
                <w:iCs w:val="0"/>
                <w:color w:val="000000"/>
                <w:sz w:val="24"/>
                <w:szCs w:val="24"/>
                <w:u w:val="none"/>
              </w:rPr>
            </w:pPr>
          </w:p>
        </w:tc>
      </w:tr>
      <w:tr w14:paraId="5D1C8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CA7C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62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5G WiFi加密无线会议发言表决代表单元</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9D1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1.集发言、投票表决功能于一体的5GWiFi无线会议发言单元；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2.支持≥128位AES加密技术，支持WPA/WPA2无线安全技术，防止窃听和非授权访问；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3.支持漫游功能，可以在多个AP之间漫游,增加Wi-Fi覆盖范围；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4.具有≥2.4寸OLED显示屏，可实时显示：本会议单元的ID号码、申请发言人数、表决结果、签到人数、WiFi信号强度、电池电量、单元信息，以及发言计时等状态；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5.具有≥1路3.5mm的立体声耳机插口输出，可连接耳机，音量可调；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6.支持本地监听功能，具有内磁式高保真扬声器，打开话筒后自动静音，不易产生啸叫；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7.支持投票表决功能，≥5个投票表决键；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8.支持按键签到功能，内置数字会议带签到终端软件；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9.支持发言功能，支持话筒按键开关，内置数字会议讨论终端软件；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10.支持≥7段EQ调节功能，可针对发言者的声音特点调节不同的音效；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11.配合摄像头，使用数字会议系统主机或PC控制软件设置后可进行摄像自动跟踪；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12.配合控制主机，单元有自我检测功能。检测的项有：按键、话筒、LED指示灯、LCD屏；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CD5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908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4F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1AD91">
            <w:pPr>
              <w:jc w:val="center"/>
              <w:rPr>
                <w:rFonts w:hint="eastAsia" w:ascii="宋体" w:hAnsi="宋体" w:eastAsia="宋体" w:cs="宋体"/>
                <w:i w:val="0"/>
                <w:iCs w:val="0"/>
                <w:color w:val="000000"/>
                <w:sz w:val="24"/>
                <w:szCs w:val="24"/>
                <w:u w:val="none"/>
              </w:rPr>
            </w:pPr>
          </w:p>
        </w:tc>
      </w:tr>
      <w:tr w14:paraId="60136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5B4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73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5G WiFi无线会议单元专用充电箱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AC92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1.宽电压输入100V-240VAC：50/60Hz；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2.支持快充慢充，快充USB口输出9V,慢充输出5V；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3.锂电池为1000mAH,充满小于3.5小时；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4.能同时给10个单元充电；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5.满足充电QC3.0协议。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6.最大功耗：200W；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4DC4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E00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A9C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01A9F">
            <w:pPr>
              <w:jc w:val="center"/>
              <w:rPr>
                <w:rFonts w:hint="eastAsia" w:ascii="宋体" w:hAnsi="宋体" w:eastAsia="宋体" w:cs="宋体"/>
                <w:i w:val="0"/>
                <w:iCs w:val="0"/>
                <w:color w:val="000000"/>
                <w:sz w:val="24"/>
                <w:szCs w:val="24"/>
                <w:u w:val="none"/>
              </w:rPr>
            </w:pPr>
          </w:p>
        </w:tc>
      </w:tr>
      <w:tr w14:paraId="48D14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5155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1.3)扩声系统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F90A">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C41FE">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94F6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3D2B9">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52532">
            <w:pPr>
              <w:jc w:val="center"/>
              <w:rPr>
                <w:rFonts w:hint="eastAsia" w:ascii="宋体" w:hAnsi="宋体" w:eastAsia="宋体" w:cs="宋体"/>
                <w:i w:val="0"/>
                <w:iCs w:val="0"/>
                <w:color w:val="000000"/>
                <w:sz w:val="24"/>
                <w:szCs w:val="24"/>
                <w:u w:val="none"/>
              </w:rPr>
            </w:pPr>
          </w:p>
        </w:tc>
      </w:tr>
      <w:tr w14:paraId="3D540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4902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CA0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无源线阵列全频音箱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345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1.额定功率：≥400W；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2.灵敏度：≥95dB；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3.单元组成：内置≥2个低音单元尺寸≥8寸，≥1个高音单元尺寸≥1.75寸；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4.水平覆盖角≥120°；垂直覆盖角≥20°；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5.额定阻抗：≥8Ω；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6.频率响应范围：优于或等于70Hz-18kHz；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7.最大声压级：≥121dB；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12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2BDD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3FC7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517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左右线阵主扩音箱</w:t>
            </w:r>
          </w:p>
        </w:tc>
      </w:tr>
      <w:tr w14:paraId="4ED11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46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73AB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专业立体声功放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7D2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1.双声道立体声专业数字功率放大器，每声道音量可调；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5.各通道均配备LED工作状态指示；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6.多个功率级别的设计满足于不同场合的应用需求,每声道（8Ω）额定输出≥650W，每声道（4Ω）额定输出≥950W，桥接（8Ω）额定输出≥1900W；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系统安全稳定运行需满足以下要求:失真限制的输出功率：CH1≥692W，CH2≥708W；增益限制的有效频率范围：CH1优于或等于10-25k，CH2优于或等于10-25k；总谐波失真：CH1≤0.13%，CH2≤0.11%；最小源电动势：CH1≤1070mV，CH2≤1070mV；信噪比（线路输入）：CH1≥100.1dB，CH2≥98.6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04B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E39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715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06D4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线阵功放</w:t>
            </w:r>
          </w:p>
        </w:tc>
      </w:tr>
      <w:tr w14:paraId="52A04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00A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B7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无源超低频音箱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98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1.驱动单元LF18"×2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2.频率响应35Hz-300Hz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3.灵敏度106±2dB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4.最大声压级137±2dB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5.额定阻抗4Ω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6.额定功率≥1200W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2AF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F45C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843D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D4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超低音</w:t>
            </w:r>
          </w:p>
        </w:tc>
      </w:tr>
      <w:tr w14:paraId="4465D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CEB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9E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专业立体声功放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B42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1.采用独特的全对称浮地设计，功放的失真能相互抵消，使功放失真更小，声音更准确；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2.具有电源自动转换系统，在小功率时，电源并联工作，使输出电流能力提高，输出阻抗更低；在大功率时，电压自动升高，使输出功率更大；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3.有输入电源滤波器，抗干扰能力更强，放大电路外加屏蔽罩，变压器增加屏蔽环，这样使噪音更小，声音更干净；</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4.独立封蔽风道冷却，使散热更快，即使长时间使用也很干净。；</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5.具有完善的保护功能，开机缓冲，延时接通扬声器，还有限幅功能，过电流保护，过热保护，短路保护，输出直流保护等功能；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6.输出功率(8Ω)≥2×1400W，输出功率(4Ω)≥2×2100W，输出功率(2Ω)≥2×3000W；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7.桥接方式(8Ω)4200W，桥接方式(4Ω)6000W；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8.输入阻抗20KΩ，频率响应20Hz~20KHz，THD总谐波失真20Hz~20KHz(8Ω)0.05%；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9.转换速度80V/usec，信噪比:≥103dB，阻尼系数(8Ω)＞500；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10.散热方式：高/低自动控制，保护方式：直流保护/过载保护/软启动/短路保护；</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4ED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65EA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1DD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0E9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超低音功放</w:t>
            </w:r>
          </w:p>
        </w:tc>
      </w:tr>
      <w:tr w14:paraId="64B7D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5A7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70BF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同轴返听音箱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2E6D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1.倒相式二分频全频系统，系统组成12″同轴单元×1；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2.设有不同放置角度，可适用于近场与远场；高效，高质量同轴单元配置，专为现场返听设计；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3.频响范围(-10dB)90Hz–18,000Hz；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4.灵敏度98±2dB；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5.最大声压级123±2dB；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6.输入阻抗8Ω持续功率350W；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7.指向性（H×V）60°×60°（2kHz）；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8.尺寸（高×宽×深）490mm×455mm×310mm；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9.重量23kg</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92EF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9B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449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CA84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返听</w:t>
            </w:r>
          </w:p>
        </w:tc>
      </w:tr>
      <w:tr w14:paraId="0DAC6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60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3F1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专业立体声功放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0C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1.双声道立体声专业数字功率放大器，每声道音量可调；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5.各通道均配备LED工作状态指示；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6.多个功率级别的设计满足于不同场合的应用需求,每声道（8Ω）额定输出≥650W，每声道（4Ω）额定输出≥950W，桥接（8Ω）额定输出≥1900W；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系统安全稳定运行需满足以下要求:失真限制的输出功率：CH1≥692W，CH2≥708W；增益限制的有效频率范围：CH1优于或等于10-25k，CH2优于或等于10-25k；总谐波失真：CH1≤0.13%，CH2≤0.11%；最小源电动势：CH1≤1070mV，CH2≤1070mV；信噪比（线路输入）：CH1≥100.1dB，CH2≥98.6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4E4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6F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35F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704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返听功放</w:t>
            </w:r>
          </w:p>
        </w:tc>
      </w:tr>
      <w:tr w14:paraId="14AA9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500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742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专业会议音箱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228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1.倒相式低频辐射的二分频扬声器系统;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2.音箱顶部配备吊挂孔，可用吊环加绳索类配件配合后背吊挂孔竖直吊挂安装;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3.系统组成：12"×1,1.75"×1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4.阻抗：8Ω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5.额定功率：350W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6.频率范围：55Hz-18KHz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7.灵敏度：98±2dB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8.最大声压级：123±2dB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9.尺寸（高*宽*深）：600×386×415mm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10.重量：22.0kg</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4C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E20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6CF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5D8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辅助</w:t>
            </w:r>
          </w:p>
        </w:tc>
      </w:tr>
      <w:tr w14:paraId="20050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B8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BB9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专业立体声功放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CA6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1.双声道立体声专业数字功率放大器，每声道音量可调；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5.各通道均配备LED工作状态指示；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6.多个功率级别的设计满足于不同场合的应用需求,每声道（8Ω）额定输出≥650W，每声道（4Ω）额定输出≥950W，桥接（8Ω）额定输出≥1900W；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系统安全稳定运行需满足以下要求:失真限制的输出功率：CH1≥692W，CH2≥708W；增益限制的有效频率范围：CH1优于或等于10-25k，CH2优于或等于10-25k；总谐波失真：CH1≤0.13%，CH2≤0.11%；最小源电动势：CH1≤1070mV，CH2≤1070mV；信噪比（线路输入）：CH1≥100.1dB，CH2≥98.6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6E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2AA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A3F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008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辅助功放</w:t>
            </w:r>
          </w:p>
        </w:tc>
      </w:tr>
      <w:tr w14:paraId="65A46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87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28C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专业会议音箱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C1A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1.倒相式低频辐射的二分频扬声器系统;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2.音箱顶部配备吊挂孔，可用吊环加绳索类配件配合后背吊挂孔竖直吊挂安装;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3.系统组成：12"×1,1.75"×1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4.阻抗：8Ω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5.额定功率：350W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6.频率范围：55Hz-18KHz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7.灵敏度：98±2dB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8.最大声压级：123±2dB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9.尺寸（高*宽*深）：600×386×415mm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10.重量：22.0kg</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DDE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E5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1EE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DB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台唇</w:t>
            </w:r>
          </w:p>
        </w:tc>
      </w:tr>
      <w:tr w14:paraId="76DE9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B391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94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专业立体声功放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544F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1.双声道立体声专业数字功率放大器，每声道音量可调；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5.各通道均配备LED工作状态指示；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6.多个功率级别的设计满足于不同场合的应用需求,每声道（8Ω）额定输出≥650W，每声道（4Ω）额定输出≥950W，桥接（8Ω）额定输出≥1900W；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系统安全稳定运行需满足以下要求:失真限制的输出功率：CH1≥692W，CH2≥708W；增益限制的有效频率范围：CH1优于或等于10-25k，CH2优于或等于10-25k；总谐波失真：CH1≤0.13%，CH2≤0.11%；最小源电动势：CH1≤1070mV，CH2≤1070mV；信噪比（线路输入）：CH1≥100.1dB，CH2≥98.6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9039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F98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93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A8E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台唇功放</w:t>
            </w:r>
          </w:p>
        </w:tc>
      </w:tr>
      <w:tr w14:paraId="21829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330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197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专业会议音箱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197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1.倒相式低频辐射的二分频扬声器系统;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2.音箱顶部配备吊挂孔，可用吊环加绳索类配件配合后背吊挂孔竖直吊挂安装;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3.系统组成：15"×1,1.75"×1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4.阻抗：8Ω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5.额定功率：450W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6.频率范围：55Hz-18KHz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7.灵敏度：99±2dB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8.最大声压级：126±2dB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9.尺寸（高*宽*深）：690×435×450mm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10.重量：26.5kg</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A1D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F417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FE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A82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拉声像</w:t>
            </w:r>
          </w:p>
        </w:tc>
      </w:tr>
      <w:tr w14:paraId="39462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AC5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AF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专业立体声功放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E20F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1.双声道立体声专业数字功率放大器，每声道音量可调；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5.各通道均配备LED工作状态指示；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6.多个功率级别的设计满足于不同场合的应用需求,每声道（8Ω）额定输出≥800W，每声道（4Ω）额定输出≥1200W，桥接（8Ω）额定输出≥2400W；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系统安全稳定运行需满足以下要求:失真限制的输出功率：CH1≥820W，CH2≥816W；增益限制的有效频率范围：CH1优于或等于10-25k，CH2优于或等于10-25k；总谐波失真：CH1≤0.08%，CH2≤0.07%；最小源电动势：CH1≤1080mV，CH2≤1080mV；信噪比（线路输入）：CH1≥110.3dB，CH2≥108.5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BE3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0F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A5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A06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拉声像功放</w:t>
            </w:r>
          </w:p>
        </w:tc>
      </w:tr>
      <w:tr w14:paraId="5FE49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189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B64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数字音频处理器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9A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1.16路平衡式话筒／线路输入，采用裸线接口端子。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2.16路平衡式输出，采用裸线接口端子。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3.120db的A/D与D/A转换，最高可达96kHz/48K采样率；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4.高速DSP处理芯片Ti450MHzFLOPSDSP处理内核；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5.通道拷贝、粘贴、联控功能；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6.DSP音频处理，输入每通道：前级放大、信号发生器、扩展器、压缩器、5段参量均衡、自动混音台、AFC、AEC、ANC；每输出通道：音箱管理器（8段参量均衡器、延时器、分频器、高低通滤波器、限幅器）。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7.全功能矩阵混音功能。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8.内置自动混音台功能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9.AEC自适应回声消除功能，可以处理超宽带的语音和音频信号，提供完美的听觉效果；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10.采用子带算法，具有很少的MIPS消耗；</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11.可支持的最大回声脱尾高达512ms，适合在各种大、中、小型视频会议室使用；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12.使用稳定的双方同时讲话（DoubleTalk）检测方法，即使在强背景噪声和非线性失真环境下也有效，并且在双方同时讲话期间残余回声不会增加；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13.收敛速度和终端扬声器非线性失真时的回声抑制比（ERLE）高；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14.ANC自动适应噪音消除功能，可以消除噪声环境下的附加噪声；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15.Enternet多用途数据传输及控制端口；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16.内置自动摄像跟踪功能；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17.RS-232双向串行控制接口用于控制外部其它设备如：视频矩阵等RS-232设备，或接收第三方RS－232控制，如AMX、Crestron，</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18.RS-485摄像机控制端口；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19.GPIO可编程控制接口（8组，可自定义输入输出）；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20.支持平板界面操作控制。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21.支持最少8~100组场景预设功能；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22.直观、图形化软件控制界面，可工作在WindowsNT4.0／2000／XP/Windows7系统环境下</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0FF0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FEF2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BF5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6FB5C">
            <w:pPr>
              <w:jc w:val="center"/>
              <w:rPr>
                <w:rFonts w:hint="eastAsia" w:ascii="宋体" w:hAnsi="宋体" w:eastAsia="宋体" w:cs="宋体"/>
                <w:i w:val="0"/>
                <w:iCs w:val="0"/>
                <w:color w:val="000000"/>
                <w:sz w:val="24"/>
                <w:szCs w:val="24"/>
                <w:u w:val="none"/>
              </w:rPr>
            </w:pPr>
          </w:p>
        </w:tc>
      </w:tr>
      <w:tr w14:paraId="7BF02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0F9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16A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一拖四接收机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D8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1.PLL四频道锁相环回路设计；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2.频道间隔250KHz；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3.UHF200频道PLL数字锁定自动通讯功能；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4.采用红外线对频；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5.显示屏显示功能(显示频率、频道、静噪、电平等)；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6.每通道有音量调节；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7.AF输出（采用“XLR”型插座分别输出，混合输出）；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8.具有8路平衡输出接口，1路平衡混合输出，1路非平衡量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混合输出；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9.带有真分集功能；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10.有效使用范围150-200米(空旷环境下）。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11.单台一拖四接收机</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0FC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564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E4A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444C7">
            <w:pPr>
              <w:jc w:val="center"/>
              <w:rPr>
                <w:rFonts w:hint="eastAsia" w:ascii="宋体" w:hAnsi="宋体" w:eastAsia="宋体" w:cs="宋体"/>
                <w:i w:val="0"/>
                <w:iCs w:val="0"/>
                <w:color w:val="000000"/>
                <w:sz w:val="24"/>
                <w:szCs w:val="24"/>
                <w:u w:val="none"/>
              </w:rPr>
            </w:pPr>
          </w:p>
        </w:tc>
      </w:tr>
      <w:tr w14:paraId="11984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70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A64C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手持式无线话筒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D4A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1.波段范围（UHF）：632MHz～695MHz；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2.发射功率调节，高功率14dBm;低功率6dBm；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3.2节5号1.5V碱性电池；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4.采用红外线对频；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5.具有音量调节；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6.关机零功耗；</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7.工作时间8小时以上；</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8.单只手持式话筒</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1EB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38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AF10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821D0">
            <w:pPr>
              <w:jc w:val="center"/>
              <w:rPr>
                <w:rFonts w:hint="eastAsia" w:ascii="宋体" w:hAnsi="宋体" w:eastAsia="宋体" w:cs="宋体"/>
                <w:i w:val="0"/>
                <w:iCs w:val="0"/>
                <w:color w:val="000000"/>
                <w:sz w:val="24"/>
                <w:szCs w:val="24"/>
                <w:u w:val="none"/>
              </w:rPr>
            </w:pPr>
          </w:p>
        </w:tc>
      </w:tr>
      <w:tr w14:paraId="7FD18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223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4E3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头戴式无线话筒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ED6E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1.波段范围（UHF）：632MHz～695MHz；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2.2节5号1.5V碱性电池；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3.采用红外线对频；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4.具有音量调节；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5.关机零功耗；</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6.工作时间8小时以上；</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7.单只头戴式话筒</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28B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05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D0F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247E">
            <w:pPr>
              <w:jc w:val="center"/>
              <w:rPr>
                <w:rFonts w:hint="eastAsia" w:ascii="宋体" w:hAnsi="宋体" w:eastAsia="宋体" w:cs="宋体"/>
                <w:i w:val="0"/>
                <w:iCs w:val="0"/>
                <w:color w:val="000000"/>
                <w:sz w:val="24"/>
                <w:szCs w:val="24"/>
                <w:u w:val="none"/>
              </w:rPr>
            </w:pPr>
          </w:p>
        </w:tc>
      </w:tr>
      <w:tr w14:paraId="02D72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941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7D1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十六路天线分配器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789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1.工作频率：470-950MHz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2.工作电流：DCMAX:3000mA±100mA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3.工作电压：DC12-15V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4.偏置电压：DC12V±1V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5.偏置电流：DC150mA±10mA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6.DC输出口：4个，最大2.5A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7.增益：0db±1db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8.天线接口：SMA*16</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9.偏压接口：BNC*2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10.阻抗：50Ω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AB3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E0B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5FD4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CF5C8">
            <w:pPr>
              <w:jc w:val="center"/>
              <w:rPr>
                <w:rFonts w:hint="eastAsia" w:ascii="宋体" w:hAnsi="宋体" w:eastAsia="宋体" w:cs="宋体"/>
                <w:i w:val="0"/>
                <w:iCs w:val="0"/>
                <w:color w:val="000000"/>
                <w:sz w:val="24"/>
                <w:szCs w:val="24"/>
                <w:u w:val="none"/>
              </w:rPr>
            </w:pPr>
          </w:p>
        </w:tc>
      </w:tr>
      <w:tr w14:paraId="7A40C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25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F51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指向性天线（鱼骨型）</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3B9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1.射频频率范围:470-950MHz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2.阻抗：50Ω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3.极化方式：垂直极化与水平极化</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4.连接方式：BNC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5.供电方式：+12VDC/150mA</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5C7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F41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56A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AEE5A">
            <w:pPr>
              <w:jc w:val="center"/>
              <w:rPr>
                <w:rFonts w:hint="eastAsia" w:ascii="宋体" w:hAnsi="宋体" w:eastAsia="宋体" w:cs="宋体"/>
                <w:i w:val="0"/>
                <w:iCs w:val="0"/>
                <w:color w:val="000000"/>
                <w:sz w:val="24"/>
                <w:szCs w:val="24"/>
                <w:u w:val="none"/>
              </w:rPr>
            </w:pPr>
          </w:p>
        </w:tc>
      </w:tr>
      <w:tr w14:paraId="671CF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70E7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36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专业自动反馈抑制器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722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1.2路线路/话筒输入，2路线路/话筒输出；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2.内置高端高速浮点数字信号处理器和自适应反馈陷波处理算法技术；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3.面板带有4*8段实时电平显示指示灯，精准显示输入/输出信号电平的大小；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4.面板带有通道静音，旁路和滤波器重置的快速按钮；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5.每路输入带15个自适应陷波滤波器，可按需配置动态/固定滤波器数量；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6.TCP/IP控制协议，连接PC电脑进行网页端进行各种详细参数的控制调节；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7.支持多档位模拟音量调节(-18dBV~12dBV)，最大输入电平(1%失真)10V，信噪比(0dBv)≥93dB；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8.设备供电范围：AC100V---240V 50/60Hz，功耗≤10W；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307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226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6F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F9C04">
            <w:pPr>
              <w:jc w:val="center"/>
              <w:rPr>
                <w:rFonts w:hint="eastAsia" w:ascii="宋体" w:hAnsi="宋体" w:eastAsia="宋体" w:cs="宋体"/>
                <w:i w:val="0"/>
                <w:iCs w:val="0"/>
                <w:color w:val="FF0000"/>
                <w:sz w:val="24"/>
                <w:szCs w:val="24"/>
                <w:u w:val="none"/>
              </w:rPr>
            </w:pPr>
          </w:p>
        </w:tc>
      </w:tr>
      <w:tr w14:paraId="769FA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9A3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C6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32路数字调音台</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166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1.配置10.1英寸电容触摸屏，分辨率达1280x800，可清晰呈现各项音频参数与通道状态，触屏操作便捷高效。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本机标配34路信号输入，最大可扩展至50路输入，其中本地接口包含：32路可自定义的XLR模拟输入通道（均带话放功能，含8个COMBO接口），可灵活适配各类麦克风等音源；另设1组立体声USB播放输入通道，支持直接读取USB设备中的音频文件进行播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3.最大支持16路扩展信号输入，分为16路扩展箱输入与2路数字扩展信号输入两类，两者需二选一使用，适配不同规模的扩声需求。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4.扩展模块支持多元化选配，可按需搭载Dante2X2、AES、蓝牙、立体声声卡及HMLINK接口箱等多种扩展卡，拓展设备适配场景。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5.接口箱支持100M网线直连，且可通过交换机延长连接距离；同一局域网内，最多可连接两台扩展箱，满足多设备协同需求。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6.32路XLR输入通道集成丰富功能：含2个GEQ插入模块，支持48V幻象电源独立开关、相位调节、数字增益调节、0-500MS延时调节，同时具备声像调节、音量控制功能；可自定义通道名称及颜色、自定义RTA实时频谱颜色；配备5段参量均衡（可选参量均衡、高架、低架模式），支持高通、低通滤波，支持相邻通道联调，还涵盖噪声门、侧链静音、侧链压缩功能，提供4档反馈抑制模式供选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7.每路输入与输出通道均独立设置通道选择键、监听键及静音键，简化现场操作流程，提升调试效率。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8.本机共设24路信号输出接口：含16路XLR模拟输出通道、1组立体声USB录音输出通道、2路XLR监听输出通道、1组立体声TRS监听耳机输出通道；2路数字扩展信号输出通道需接入扩展卡后方可启用。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9.16路XLR模拟输出通道功能完备：含4个GEQ插入模块，支持0-500MS延时调节、声像调节、音量控制，可自定义通道名称及颜色；配备9段参量均衡（可选参量均衡、高架、低架模式），支持高通、低通滤波。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10.搭载25个行程为100mm的推子，便于精准调节音量等参数。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11.拥有21条混音总线，包含16路单声道总线、4路效果器总线以及1组立体声主输出总线，适配复杂混音场景。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12.内置4条效果总线，涵盖混响、回声、合唱、哇音、颤音、失真、变调、镶边8种音频效果，可自由搭配组合；支持保存100组自定义效果模式，满足不同场景音效需求。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13.配备6个31段GEQ模块，其中输入通道分配2个，输出通道分配4个，保障音频频段精细调节。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14.支持对讲话筒输入的Talkback功能，配套设置两个独立控制按键，方便现场实时沟通与调试指令传达。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15.具备8个DCA编组与5个静音编组功能，便于对多路通道集中管控，提升操作便捷性。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16.支持保存100组调音场景，且设有5个场景快捷调用按键，可快速切换不同演出或会议的调音参数。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17.集成USB立体声播放与录音功能，实现音频播放、录制一体化操作。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18.支持无线网络控制，可兼容IOS、安卓移动端及PC端设备进行远程操控，灵活适配不同操作场景。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19.配备串口中控接口，支持对接第三方智能控制设备，提供3种常用波特率可选，适配多设备联动控制。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20.设有12V台灯供电接口，支持亮度调节，可提供现场操作照明，提升昏暗环境下的调试便利性。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21.采用可编程逻辑门阵列（FPGA）技术进行音频处理，保障音频信号处理的高效性与稳定性。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22.支持中英文语言切换，配套APP可自适应系统语言，适配不同用户的操作习惯。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23.设计两级面板锁，有效防止误触操作导致的参数错乱，保障调音过程稳定。</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24.支持双机热备份功能，可避免单设备故障造成的音频中断，提升系统运行的可靠性。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8D6F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F4E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CEAA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9CB65">
            <w:pPr>
              <w:jc w:val="center"/>
              <w:rPr>
                <w:rFonts w:hint="eastAsia" w:ascii="宋体" w:hAnsi="宋体" w:eastAsia="宋体" w:cs="宋体"/>
                <w:i w:val="0"/>
                <w:iCs w:val="0"/>
                <w:color w:val="000000"/>
                <w:sz w:val="24"/>
                <w:szCs w:val="24"/>
                <w:u w:val="none"/>
              </w:rPr>
            </w:pPr>
          </w:p>
        </w:tc>
      </w:tr>
      <w:tr w14:paraId="468BE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F24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C93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舞台接口箱卡连接卡</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77A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音频通道支持32进32出，用于PDM-24/32数字调音台与接口箱的网络音频通讯</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A0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B0F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1F6F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8BEB">
            <w:pPr>
              <w:jc w:val="center"/>
              <w:rPr>
                <w:rFonts w:hint="eastAsia" w:ascii="宋体" w:hAnsi="宋体" w:eastAsia="宋体" w:cs="宋体"/>
                <w:i w:val="0"/>
                <w:iCs w:val="0"/>
                <w:color w:val="000000"/>
                <w:sz w:val="24"/>
                <w:szCs w:val="24"/>
                <w:u w:val="none"/>
              </w:rPr>
            </w:pPr>
          </w:p>
        </w:tc>
      </w:tr>
      <w:tr w14:paraId="45050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AEF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386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16路舞台接口箱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C7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1.具有16路模拟平衡输入接口和8路模拟平衡输出接口；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2.具有4路AES/EBU输出通道；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3.16路XLR输入通道，具备48V幻象电源、噪声门、压缩器、相位功能；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4.三档开关+3个绿色LED灯，用来给接口箱设置一个独有的ID（1-3）；</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5.使用开关电源模块，AC100-240V（50/60HZ），前面板有电源开关控制和指示灯；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6.可以配接PDM-24和PDM-32数字调音台使用，实现接口扩展；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7.支持跨平台APP控制，通过主调音台控制接口箱工作；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8.标准2U接口箱，支持机架式安装；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103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73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B58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58B67">
            <w:pPr>
              <w:jc w:val="center"/>
              <w:rPr>
                <w:rFonts w:hint="eastAsia" w:ascii="宋体" w:hAnsi="宋体" w:eastAsia="宋体" w:cs="宋体"/>
                <w:i w:val="0"/>
                <w:iCs w:val="0"/>
                <w:color w:val="000000"/>
                <w:sz w:val="24"/>
                <w:szCs w:val="24"/>
                <w:u w:val="none"/>
              </w:rPr>
            </w:pPr>
          </w:p>
        </w:tc>
      </w:tr>
      <w:tr w14:paraId="3696A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D2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C7DE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告警联动监听音箱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3BF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1.采用全数字化、高保真语音设计，内置DSP音效处理芯片，支持最大48kHz采样率16bit数字音频码流解码，语音传输指数高。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2.≥2路网络接口备份设计，具有网络线路故障检测与自动选择功能，支持100M/10M 自适应TCP/IP网络传输协议，支持跨网段工作。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3.具有≥1路AUX线路输入、≥1路话筒输入、≥1路AUX线路输出，可拓展外部节目源和无线话筒实现本地扩声，可外接功放拓展播放功率。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4.内置≥2*25W高保真数字功放，低功耗设计，声音优美。</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为保证系统安全稳定运行需满足以下要求:最大不失真输出功率：≥33W；总谐波失真：≤0.05%；增益限制的有效频率范围：10-25000Hz；信噪比：≥81dB；线路输入最小源电动势：≤1.0V；话筒输入域最小源电动势：≤10.4m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6.为避免紧急情况发生时报告厅演出声音过大导致无法听到告警，设备需具备接受校园广播主机告警的控制命令，并实施相应操作的功能，实现区域告警。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3A9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77C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5A31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0D5D">
            <w:pPr>
              <w:jc w:val="center"/>
              <w:rPr>
                <w:rFonts w:hint="eastAsia" w:ascii="宋体" w:hAnsi="宋体" w:eastAsia="宋体" w:cs="宋体"/>
                <w:i w:val="0"/>
                <w:iCs w:val="0"/>
                <w:color w:val="000000"/>
                <w:sz w:val="24"/>
                <w:szCs w:val="24"/>
                <w:u w:val="none"/>
              </w:rPr>
            </w:pPr>
          </w:p>
        </w:tc>
      </w:tr>
      <w:tr w14:paraId="3F674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CB1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8C5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十六路远程智能时序器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E2A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1.机器采用工业级触控液晶显示屏，可实时显示当前每一通道的电能指标，日期、时间、星期、通道开关状态及定时点信息，每通道可设定延时开/关机（1~999秒），屏幕带触控功能；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2.每路通道均可设定定时开关时间，设置多个定时方案，并可单次开/关或循环开关及周期定时开关设定，内置高精度时钟芯片，可根据日期时间设定，无需人为操作，自动联网校时功能，让设备管理更简单；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配备专业的网口Web页面（电脑，安卓手机，苹果手机，IPAD）登陆管理控制操作，在系统集成中使产品具备更强的管理功能，RS-232串口控制协议，支持外部中央控制设备控制，RJ45固定一进一出联机口，不需要ID号即可实现系统安装从前到后，按顺序开机，从后向前关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4.采用万能插座，能兼容全部产品电源接口；单机16路时序电源，已配备电源滤波器，2U机身高度，带空气开关装置，外观精美，做工精细；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5.特设过流检测及报警功能，为您的设备提供了可靠的保障,最大输入电流63A，单路最大输出电流16A，工作电压95V-240V；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6.可实现远程集中控制，每台设备可设置IP,服务器IP,端口，设备在线ID；每组名字可自定义；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7.可选择三种工作模式，手动模式，联级模式，定时模式，在手动模式，还可添加场景模式；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8.设备电源输入采用接线柱接线方式，配置63A大电流空气开关及标配10平方大电缆输入；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9.配备有多种接口，包括中控RS232公头1个，USB供电口1个，RJ45网口一个，RJ45直连口一进一出，支持无线WIFI的AP模式可联级手机，平板，电脑等终端设备进行web控制；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10.支持web管控页面密码登录，密码可改，方便权限接入；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11.该机采集使用了专业工业级电源检测方案，采用专业电能算法校准，参数更加实时，让误差控制在最小范围，电压，电流，功率，功率因数一目了然；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12.输出电源插座：后面板16只受控万用插座适应不同标准要求（万能座、欧标座、美标座）；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13.插座标准:兼容国标6A、10A，最大电流可达16A；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14.开关间隔时间:可随意设定1-999s；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15.可以实时显示当前电流，功率，电压参数，可以远程更加方便监控电能系统；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16.可通过8字插电源口输入触发16路电源口时序开关；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17.设备自带一个电源直通口；</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66A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B90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CE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E4C7F">
            <w:pPr>
              <w:jc w:val="center"/>
              <w:rPr>
                <w:rFonts w:hint="eastAsia" w:ascii="宋体" w:hAnsi="宋体" w:eastAsia="宋体" w:cs="宋体"/>
                <w:i w:val="0"/>
                <w:iCs w:val="0"/>
                <w:color w:val="000000"/>
                <w:sz w:val="24"/>
                <w:szCs w:val="24"/>
                <w:u w:val="none"/>
              </w:rPr>
            </w:pPr>
          </w:p>
        </w:tc>
      </w:tr>
      <w:tr w14:paraId="6CE20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4C5E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1.4)中控管理系统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E7AC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2BF13">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478A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C5A7A">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D4F18">
            <w:pPr>
              <w:jc w:val="center"/>
              <w:rPr>
                <w:rFonts w:hint="eastAsia" w:ascii="宋体" w:hAnsi="宋体" w:eastAsia="宋体" w:cs="宋体"/>
                <w:i w:val="0"/>
                <w:iCs w:val="0"/>
                <w:color w:val="000000"/>
                <w:sz w:val="24"/>
                <w:szCs w:val="24"/>
                <w:u w:val="none"/>
              </w:rPr>
            </w:pPr>
          </w:p>
        </w:tc>
      </w:tr>
      <w:tr w14:paraId="62857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016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49E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中控主机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76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自带≥4.3寸液晶显示触摸屏，可显示时间，播放器状态，查看定时，音乐，具有≥1个USB接口，≥4路线路音频输出接口，≥1张网络模块内置≥3个RJ45网络接口，≥1张弱继电器模块卡内置≥8组接口，≥1张IR红外控制模块卡内置≥8组接口，≥2张串行通信控制模块卡内置≥4组串口，≥2张串行通信扩展模块卡内置≥4组凤凰插口，各功能模块卡配合拓展盒子可分布式放置通过网络与主机连接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2.采用ARMCortex-A9Quad-Core，主频达1.6GHz，内置≥1GBDDRRAM，≥8GBEMMCFLASH；</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3.内置节目播放器，支持WMA/AAC/APE/MP3/FLAC/M4A/M4R/OGG/WAV/WV等无损格式的节目；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4.具有查看定时点功能，可查看定时点名称、时间、周期、命令类型、歌曲播放模式、歌曲数量和歌曲名称；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语句式和图形化≥2种编程方式，语句式编程方式：提供功能函数进行自定义编程，用户可以通过编程界面编写控制代码；图形化编程方式：用户可通过图形化编程软件内的模块使用信号连接方式构建程序逻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6.支持插卡式弱继电器控制功能，具有≥8路弱电继电器控制口，承受≥1A输出，功能卡既可插在主机后面板工作，也可分布式放置通过网络与主机连接工作；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7.支持插卡式IR红外控制功能，具有≥8路红外控制口，支持红外学习功能，可同时控制≥8台红外功能设备，功能卡既可插在主机后面板工作，也可分布式放置通过网络与主机连接工作；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8.支持插卡式串行通信控制功能，同时兼容RS232、RS422、RS485通讯协议，功能卡既可插在主机后面板工作，也可分布式放置通过网络与主机连接工作；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9.支持定时控制功能，可编≥200个定时点，定时操控节目及受控设备；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10.支持语音识别功能，可通过语音控制面板远程控制设备；支持TCP、UDP协议控制方式。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11.支持远程网络控制，用户编程后可通过PC端、IOS、Andriod、Web客户端控制受控设备；可通过魔术包远程控制电脑开关机；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12.支持智能声压检测功能，通过采集会议主机或者其他前级音频设备的信号输出，在安卓平板端或者WEB端实时显示音频信号的dB值，实现实时检测会议室的声音大小变化情况；</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63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淳中科技、小鸟、嗨动视觉</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3E8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D57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1BF79">
            <w:pPr>
              <w:jc w:val="center"/>
              <w:rPr>
                <w:rFonts w:hint="eastAsia" w:ascii="宋体" w:hAnsi="宋体" w:eastAsia="宋体" w:cs="宋体"/>
                <w:i w:val="0"/>
                <w:iCs w:val="0"/>
                <w:color w:val="000000"/>
                <w:sz w:val="24"/>
                <w:szCs w:val="24"/>
                <w:u w:val="none"/>
              </w:rPr>
            </w:pPr>
          </w:p>
        </w:tc>
      </w:tr>
      <w:tr w14:paraId="68EC9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32AC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01C3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中控强力电源控制器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5DB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1.中控强力电源控制器主要是搭配各种中控使用，进行对各种设备电源的管理，起到保护设备的作用。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2.在机器的正前方，有8个按键开关，紧急情况下可以手动控制继电器的开关，比如在中控出现故障时可以使用这一功能，很好的保护其他的设备。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3.在机器的内部有8个IO接口，在没有中控的情况下也能使用，用途更广。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4.广泛兼容目前市面上的中控网络协议。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5.ID选择：旋转的ID切换设置网络ID身份代码。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6.每路继电器都有三连接点的接线柱，具有常开与常闭（可选）的功能。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7.载入容量：单路功率20A。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8.电源：DC24V网络供电。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9.通过独立的网络协议（选配），前面板按键和IO控制，网络协议包括RS485和RS232（其中RS485和RS232两个只能选一个）。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10.待机功耗3W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11.整机功耗8W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797B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淳中科技、小鸟、嗨动视觉</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33C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A681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B2888">
            <w:pPr>
              <w:jc w:val="center"/>
              <w:rPr>
                <w:rFonts w:hint="eastAsia" w:ascii="宋体" w:hAnsi="宋体" w:eastAsia="宋体" w:cs="宋体"/>
                <w:i w:val="0"/>
                <w:iCs w:val="0"/>
                <w:color w:val="000000"/>
                <w:sz w:val="24"/>
                <w:szCs w:val="24"/>
                <w:u w:val="none"/>
              </w:rPr>
            </w:pPr>
          </w:p>
        </w:tc>
      </w:tr>
      <w:tr w14:paraId="382E1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E12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60C3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平板电脑</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A8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运行内存：6GB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机身内存：128GB，支持最大512GBmicroSD储存卡扩展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操作系统：HarmonyOS2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屏幕：10.4英寸，2000x1200像素，225PPI</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摄像头：后置摄像头1300万像素，前置摄像头800万像素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USB：Type-C，支持USB2.0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WLAN:802.11a/b/g/n/ac/ax,2.4GH和5GHz，2x2MIMO</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蓝牙：支持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定位：GPS,GLONASS,北斗,GALILEO</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传感器：环境光传感器、重力传感器、色温传感器、指南针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充电：10V/2.25A充电器，兼容9V/2A或5V/2A输出，设备最大支持10V/2.25A超级快充，兼容9V/2A快充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电池：7250mAh（典型值）</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颜色：曜石灰</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5C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华为、小米、中兴</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BD8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177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59D0">
            <w:pPr>
              <w:jc w:val="center"/>
              <w:rPr>
                <w:rFonts w:hint="eastAsia" w:ascii="宋体" w:hAnsi="宋体" w:eastAsia="宋体" w:cs="宋体"/>
                <w:i w:val="0"/>
                <w:iCs w:val="0"/>
                <w:color w:val="000000"/>
                <w:sz w:val="24"/>
                <w:szCs w:val="24"/>
                <w:u w:val="none"/>
              </w:rPr>
            </w:pPr>
          </w:p>
        </w:tc>
      </w:tr>
      <w:tr w14:paraId="13139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BFA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18A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路由器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31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3000M高速双频wifi6 无线穿墙 路由 5G双频智能千兆无线路由，支持2x2 MIMO</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B43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华为、H3C、锐捷</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6C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AE6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F269D">
            <w:pPr>
              <w:jc w:val="center"/>
              <w:rPr>
                <w:rFonts w:hint="eastAsia" w:ascii="宋体" w:hAnsi="宋体" w:eastAsia="宋体" w:cs="宋体"/>
                <w:i w:val="0"/>
                <w:iCs w:val="0"/>
                <w:color w:val="000000"/>
                <w:sz w:val="24"/>
                <w:szCs w:val="24"/>
                <w:u w:val="none"/>
              </w:rPr>
            </w:pPr>
          </w:p>
        </w:tc>
      </w:tr>
      <w:tr w14:paraId="04F1F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A390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1.5)辅助材料</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ED767">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BD09F">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99274">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0B3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12497">
            <w:pPr>
              <w:jc w:val="center"/>
              <w:rPr>
                <w:rFonts w:hint="eastAsia" w:ascii="宋体" w:hAnsi="宋体" w:eastAsia="宋体" w:cs="宋体"/>
                <w:i w:val="0"/>
                <w:iCs w:val="0"/>
                <w:color w:val="000000"/>
                <w:sz w:val="24"/>
                <w:szCs w:val="24"/>
                <w:u w:val="none"/>
              </w:rPr>
            </w:pPr>
          </w:p>
        </w:tc>
      </w:tr>
      <w:tr w14:paraId="23878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3082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21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机柜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F8E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42U标准机柜落地安装：600*1000*2000，含底座，含接地，含PDU等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0B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1F4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3C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1968F">
            <w:pPr>
              <w:jc w:val="center"/>
              <w:rPr>
                <w:rFonts w:hint="eastAsia" w:ascii="宋体" w:hAnsi="宋体" w:eastAsia="宋体" w:cs="宋体"/>
                <w:i w:val="0"/>
                <w:iCs w:val="0"/>
                <w:color w:val="000000"/>
                <w:sz w:val="24"/>
                <w:szCs w:val="24"/>
                <w:u w:val="none"/>
              </w:rPr>
            </w:pPr>
          </w:p>
        </w:tc>
      </w:tr>
      <w:tr w14:paraId="60C1A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8C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38C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0F5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1.全金属音箱壁架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2.材料：钢材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3.承重30公斤</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4.架子伸缩长度：210MM~390MM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5.音箱支柱直径：35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6.可左右调节角度，中间杆子可伸缩调节，架子稳重扎实，稳定性强</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00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EEF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0A7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6196D">
            <w:pPr>
              <w:jc w:val="center"/>
              <w:rPr>
                <w:rFonts w:hint="eastAsia" w:ascii="宋体" w:hAnsi="宋体" w:eastAsia="宋体" w:cs="宋体"/>
                <w:i w:val="0"/>
                <w:iCs w:val="0"/>
                <w:color w:val="000000"/>
                <w:sz w:val="24"/>
                <w:szCs w:val="24"/>
                <w:u w:val="none"/>
              </w:rPr>
            </w:pPr>
          </w:p>
        </w:tc>
      </w:tr>
      <w:tr w14:paraId="276E6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263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5203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线阵吊架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4A48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材质选用优质碳钢材料，田字型设计，结构稳定可靠。</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2373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C74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BD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1618">
            <w:pPr>
              <w:jc w:val="center"/>
              <w:rPr>
                <w:rFonts w:hint="eastAsia" w:ascii="宋体" w:hAnsi="宋体" w:eastAsia="宋体" w:cs="宋体"/>
                <w:i w:val="0"/>
                <w:iCs w:val="0"/>
                <w:color w:val="000000"/>
                <w:sz w:val="24"/>
                <w:szCs w:val="24"/>
                <w:u w:val="none"/>
              </w:rPr>
            </w:pPr>
          </w:p>
        </w:tc>
      </w:tr>
      <w:tr w14:paraId="32AF9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B4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E1F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尼龙扁带</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CA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2吨2米尼龙扁带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ABB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9A88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D0D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EC92A">
            <w:pPr>
              <w:jc w:val="center"/>
              <w:rPr>
                <w:rFonts w:hint="eastAsia" w:ascii="宋体" w:hAnsi="宋体" w:eastAsia="宋体" w:cs="宋体"/>
                <w:i w:val="0"/>
                <w:iCs w:val="0"/>
                <w:color w:val="000000"/>
                <w:sz w:val="24"/>
                <w:szCs w:val="24"/>
                <w:u w:val="none"/>
              </w:rPr>
            </w:pPr>
          </w:p>
        </w:tc>
      </w:tr>
      <w:tr w14:paraId="76F51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CA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6B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卸扣</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4D09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2吨型22号卸扣</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8253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52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67F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AFA68">
            <w:pPr>
              <w:jc w:val="center"/>
              <w:rPr>
                <w:rFonts w:hint="eastAsia" w:ascii="宋体" w:hAnsi="宋体" w:eastAsia="宋体" w:cs="宋体"/>
                <w:i w:val="0"/>
                <w:iCs w:val="0"/>
                <w:color w:val="000000"/>
                <w:sz w:val="24"/>
                <w:szCs w:val="24"/>
                <w:u w:val="none"/>
              </w:rPr>
            </w:pPr>
          </w:p>
        </w:tc>
      </w:tr>
      <w:tr w14:paraId="6CE61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799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834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葫芦</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2A71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3吨6米葫芦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B39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0A5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AE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D5B0">
            <w:pPr>
              <w:jc w:val="center"/>
              <w:rPr>
                <w:rFonts w:hint="eastAsia" w:ascii="宋体" w:hAnsi="宋体" w:eastAsia="宋体" w:cs="宋体"/>
                <w:i w:val="0"/>
                <w:iCs w:val="0"/>
                <w:color w:val="000000"/>
                <w:sz w:val="24"/>
                <w:szCs w:val="24"/>
                <w:u w:val="none"/>
              </w:rPr>
            </w:pPr>
          </w:p>
        </w:tc>
      </w:tr>
      <w:tr w14:paraId="3711E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ADBC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C22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多媒体话筒地插盒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822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弹起式/2个卡侬口+5孔插座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277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9E6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0B2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0F18">
            <w:pPr>
              <w:jc w:val="center"/>
              <w:rPr>
                <w:rFonts w:hint="eastAsia" w:ascii="宋体" w:hAnsi="宋体" w:eastAsia="宋体" w:cs="宋体"/>
                <w:i w:val="0"/>
                <w:iCs w:val="0"/>
                <w:color w:val="000000"/>
                <w:sz w:val="24"/>
                <w:szCs w:val="24"/>
                <w:u w:val="none"/>
              </w:rPr>
            </w:pPr>
          </w:p>
        </w:tc>
      </w:tr>
      <w:tr w14:paraId="4B25D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AE3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36F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多媒体音箱地插盒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9647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弹起式/2个欧姆头+5孔插座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BE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19B3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CDE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BEEC7">
            <w:pPr>
              <w:jc w:val="center"/>
              <w:rPr>
                <w:rFonts w:hint="eastAsia" w:ascii="宋体" w:hAnsi="宋体" w:eastAsia="宋体" w:cs="宋体"/>
                <w:i w:val="0"/>
                <w:iCs w:val="0"/>
                <w:color w:val="000000"/>
                <w:sz w:val="24"/>
                <w:szCs w:val="24"/>
                <w:u w:val="none"/>
              </w:rPr>
            </w:pPr>
          </w:p>
        </w:tc>
      </w:tr>
      <w:tr w14:paraId="5F719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9C2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A7C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线缆辅材</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088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HDMI线缆 音频线缆 卡侬线缆及套管等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C2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CAE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3C8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95CB0">
            <w:pPr>
              <w:jc w:val="center"/>
              <w:rPr>
                <w:rFonts w:hint="eastAsia" w:ascii="宋体" w:hAnsi="宋体" w:eastAsia="宋体" w:cs="宋体"/>
                <w:i w:val="0"/>
                <w:iCs w:val="0"/>
                <w:color w:val="000000"/>
                <w:sz w:val="24"/>
                <w:szCs w:val="24"/>
                <w:u w:val="none"/>
              </w:rPr>
            </w:pPr>
          </w:p>
        </w:tc>
      </w:tr>
      <w:tr w14:paraId="446E4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D715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2)小报告厅多媒体子系统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B1378">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7222C">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E06AA">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0BF99">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EFC85">
            <w:pPr>
              <w:jc w:val="center"/>
              <w:rPr>
                <w:rFonts w:hint="eastAsia" w:ascii="宋体" w:hAnsi="宋体" w:eastAsia="宋体" w:cs="宋体"/>
                <w:i w:val="0"/>
                <w:iCs w:val="0"/>
                <w:color w:val="000000"/>
                <w:sz w:val="24"/>
                <w:szCs w:val="24"/>
                <w:u w:val="none"/>
              </w:rPr>
            </w:pPr>
          </w:p>
        </w:tc>
      </w:tr>
      <w:tr w14:paraId="78CA2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D010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2.1)显示系统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45D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CD5C3">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13D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E7526">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2735B">
            <w:pPr>
              <w:jc w:val="center"/>
              <w:rPr>
                <w:rFonts w:hint="eastAsia" w:ascii="宋体" w:hAnsi="宋体" w:eastAsia="宋体" w:cs="宋体"/>
                <w:i w:val="0"/>
                <w:iCs w:val="0"/>
                <w:color w:val="000000"/>
                <w:sz w:val="24"/>
                <w:szCs w:val="24"/>
                <w:u w:val="none"/>
              </w:rPr>
            </w:pPr>
          </w:p>
        </w:tc>
      </w:tr>
      <w:tr w14:paraId="3A7D2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C60A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5369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搬迁LED显示屏</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961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LED显示屏尺寸：7.04 × 3.84 = 27.03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从老校区报告厅搬迁来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原显示屏为利亚德P1.86像素LED屏 30.4平方米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本项含钢构框架重新制作 信号线缆重新布放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控制设备（电源箱）视频处理器等拆除安装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★为保证该系统设备与本项目整体维保周期保持一致，搬迁的LED屏设备原厂维保需延期至5年 需出具维保延期相关证明</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6FDD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利亚德</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E4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平方米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CA6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27.03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23C1">
            <w:pPr>
              <w:jc w:val="center"/>
              <w:rPr>
                <w:rFonts w:hint="eastAsia" w:ascii="宋体" w:hAnsi="宋体" w:eastAsia="宋体" w:cs="宋体"/>
                <w:i w:val="0"/>
                <w:iCs w:val="0"/>
                <w:color w:val="000000"/>
                <w:sz w:val="24"/>
                <w:szCs w:val="24"/>
                <w:u w:val="none"/>
              </w:rPr>
            </w:pPr>
          </w:p>
        </w:tc>
      </w:tr>
      <w:tr w14:paraId="7BDBC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032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68B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电源线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36E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YJV-3×10+1×6</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D8B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3B8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F55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AB88E">
            <w:pPr>
              <w:jc w:val="center"/>
              <w:rPr>
                <w:rFonts w:hint="eastAsia" w:ascii="宋体" w:hAnsi="宋体" w:eastAsia="宋体" w:cs="宋体"/>
                <w:i w:val="0"/>
                <w:iCs w:val="0"/>
                <w:color w:val="000000"/>
                <w:sz w:val="24"/>
                <w:szCs w:val="24"/>
                <w:u w:val="none"/>
              </w:rPr>
            </w:pPr>
          </w:p>
        </w:tc>
      </w:tr>
      <w:tr w14:paraId="52BBB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4D7E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2.2)WIFI会议系统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967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0C7C7">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B2F1">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44E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1C2C">
            <w:pPr>
              <w:jc w:val="center"/>
              <w:rPr>
                <w:rFonts w:hint="eastAsia" w:ascii="宋体" w:hAnsi="宋体" w:eastAsia="宋体" w:cs="宋体"/>
                <w:i w:val="0"/>
                <w:iCs w:val="0"/>
                <w:color w:val="000000"/>
                <w:sz w:val="24"/>
                <w:szCs w:val="24"/>
                <w:u w:val="none"/>
              </w:rPr>
            </w:pPr>
          </w:p>
        </w:tc>
      </w:tr>
      <w:tr w14:paraId="0A634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869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41D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全数字会议系统主机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979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1.会议系统控制主机是整个会议系统核心设备，可以实现会议控制、单元设置、讨论发言、会议签到、音效控制、会议全程录音、摄像跟踪、音频输入输出、远程控制等功能。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4.3寸液晶显示触摸屏，≥1路USB接口用于外接录音U盘接入，≥2路音频XLR平衡输出口，≥2路告警音频输入RCA接口，≥2路线路音频输入RCA接口，≥2路混合音频RCA输出口，≥4路可独立开关的百兆48V供电RJ45网络接口，用于连接会议话筒单元，≥2路百兆RJ45网络接口，用于PC端远程控制，≥1路RS422控制凤凰插接口，≥1路消防告警联动触发凤凰插接口，≥1路DB九针中控串口，可连接中控系统控制，≥6路HDMI视频输入口，≥1路HDMI视频输出口，≥1路UHF段天线输入插口，用于监听信息的发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3.具有热备份功能，当主机出现意外时，备用主机会自动启用，保证会议无间断顺利进行，可备份主机设置的发言数量、会议模式、音效控制、摄像设置、录音控制、话筒单元编号和优先权功能参数。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4.具有一键关机所有无线单元功能，可修改UHF段无线发射频率、AP服务器网关和密码。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5.具有+5V告警触发电压输入接口，与报警音频输入接口结合实现紧急告警强插功能。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6.具有自动跟踪功能，支持≥6个HDMI高清接口输入，实现≥6个高清摄像头接入跟踪，摄像头跟踪定位可在主机软件上设置上下左右放大缩小、旋转速度、通讯协议等，设置完成可存储或后期调用。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7.具有≥4个百兆+48V供电RJ45网络接口，对连接的会议单元进行网络传输协议及+48V网络供电，≥2个TCP/IP网络协议的百兆RJ45接口，连接网络后通过PC端软件控制系统的全部功能。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具有≥1个RS232串口，可实现与中控系统的无缝连接;≥1个RS422串口，连接摄像头控制线，实现对≥6个摄像头的集中控制，具有发言定时和定时发言结束提醒倒计时功能，发言定时功能可以设置单元的发言时间，也可关闭发言定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9.可设定VIP代表发言单元，VIP单元在已开启的话筒总数≥6台的情况下可以自由开启而不受会议模式限制，可设置≥32台VIP单元。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10.具有先进先出、正常模式、声控模式、自由模式、申请模式≥5种会议模式，声控模式触发灵敏度支持≥5级声压调节，支持≥6个单元同时讲话。</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11.具有音效设置功能，支持通过会议主机设置低频切除和≥14段图示均衡器，可保存≥6种均衡模式；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具有录音功能，可以实现全程会议录音，有自动录音和手动录音≥2种方式可选，录音界面可实时查看录音时间进度、录音生成的文件名和存储磁盘剩余的录制时间，录音过程可控，可停止或开始录音，录音结束可从主机上卸载U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具有会议单元检测功能：在会议开始之前可对每个会议单元进行检测，检测的单元指标包含：话筒、LCD屏、操作按键、LED指示灯、扬声器，检测方式可选择自动检测和手动开始检测，也可任意选择上一单元或下一单元检测，单元检测时间可提供自定义选择，从而保障会议单元每个部件处于正常工作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具有单元设置功能，可通过主机同时打开≥2个主席单元，可设置开启单元讲台模式、优先权功能、表决结果显示、投票表决默音的独立开关功能，同时支持单元主题设定，可设置≥3套主题，单元主题模式可选择锁定和自由≥2种模式，方便用户针对不同会议场景选择个性化主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15.支持发言定时和定时发言结束提醒倒计时：发言定时时间设置范围1-300分钟，定时发言结束提醒倒计时时间设置范围为1-60秒。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16.具有数据备份和恢复功能，可导出配置文件到U盘，或导入配置文件到系统，防止数据丢失，具有软件升级功能，支持U盘升级和PC远程升级，或自定义运行程序。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865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5F5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30FA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F9FF5">
            <w:pPr>
              <w:jc w:val="center"/>
              <w:rPr>
                <w:rFonts w:hint="eastAsia" w:ascii="宋体" w:hAnsi="宋体" w:eastAsia="宋体" w:cs="宋体"/>
                <w:i w:val="0"/>
                <w:iCs w:val="0"/>
                <w:color w:val="000000"/>
                <w:sz w:val="24"/>
                <w:szCs w:val="24"/>
                <w:u w:val="none"/>
              </w:rPr>
            </w:pPr>
          </w:p>
        </w:tc>
      </w:tr>
      <w:tr w14:paraId="32858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5F4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F03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5G WiFi无线路由器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0F8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1.采用WPA/WPA2数字加密技术的WiFi信号传输，确保了会议私密性，避免窃听和恶意干扰；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2.符合IEEE802.11acWave-2/a/b/g/n无线标准；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3.多个2.4GHZ、5GHZ频点选择；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4.具有两路RJ45接口，1路连接D73015GWiFi加密无线发射主机，另一路连接AP,可扩展单元，连接线缆建议使用高质量的交叉CAT6线缆；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5.在空旷受干扰弱的情况下信号覆盖面积可达到半径为30米的圆面积，一般为半径25米的圆面积；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6.内置四天线设计使数据传输更加的稳定；</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7.最大功耗：15W；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4148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BE3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196A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76061">
            <w:pPr>
              <w:jc w:val="center"/>
              <w:rPr>
                <w:rFonts w:hint="eastAsia" w:ascii="宋体" w:hAnsi="宋体" w:eastAsia="宋体" w:cs="宋体"/>
                <w:i w:val="0"/>
                <w:iCs w:val="0"/>
                <w:color w:val="000000"/>
                <w:sz w:val="24"/>
                <w:szCs w:val="24"/>
                <w:u w:val="none"/>
              </w:rPr>
            </w:pPr>
          </w:p>
        </w:tc>
      </w:tr>
      <w:tr w14:paraId="659D0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749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CBA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5G WiFi加密无线会议发言表决主席单元</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94C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1.集发言、投票表决功能于一体的5GWiFi无线会议发言单元；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2.支持≥128位AES加密技术，支持WPA/WPA2无线安全技术，防止窃听和非授权访问；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3.支持漫游功能，可以在多个AP之间漫游,增加Wi-Fi覆盖范围；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4.具有≥2.4寸OLED显示屏，可实时显示：本会议单元的ID号码、申请发言人数、表决结果、签到人数、WiFi信号强度、电池电量、单元信息，以及发言计时等状态；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5.具有≥1路3.5mm的立体声耳机插口输出，可连接耳机，音量可调；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6.支持本地监听功能，具有内磁式高保真扬声器，打开话筒后自动静音，不易产生啸叫；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7.支持投票表决功能，≥5个投票表决键；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8.支持按键签到功能，内置数字会议带签到终端软件；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9.支持发言功能，支持话筒按键开关，内置数字会议讨论终端软件；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10.支持批准代表的申请发言功能；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11.支持优先权功能，可将所有代表单元静音或关闭，全权控制会议秩序；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12.支持讲台模式，开启讲台模式时，主席单元上的开关按键操作无效；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13.支持≥7段EQ调节功能，可针对发言者的声音特点调节不同的音效；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14.配合摄像头，使用数字会议系统主机或PC控制软件设置后可进行摄像自动跟踪；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15.配合控制主机，单元有自我检测功能。检测的项有：按键、话筒、LED指示灯、LCD屏；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9D0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A10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6F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828F">
            <w:pPr>
              <w:jc w:val="center"/>
              <w:rPr>
                <w:rFonts w:hint="eastAsia" w:ascii="宋体" w:hAnsi="宋体" w:eastAsia="宋体" w:cs="宋体"/>
                <w:i w:val="0"/>
                <w:iCs w:val="0"/>
                <w:color w:val="000000"/>
                <w:sz w:val="24"/>
                <w:szCs w:val="24"/>
                <w:u w:val="none"/>
              </w:rPr>
            </w:pPr>
          </w:p>
        </w:tc>
      </w:tr>
      <w:tr w14:paraId="4026E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3F7C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B9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5G WiFi加密无线会议发言表决代表单元</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3C8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1.集发言、投票表决功能于一体的5GWiFi无线会议发言单元；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2.支持≥128位AES加密技术，支持WPA/WPA2无线安全技术，防止窃听和非授权访问；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3.支持漫游功能，可以在多个AP之间漫游,增加Wi-Fi覆盖范围；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4.具有≥2.4寸OLED显示屏，可实时显示：本会议单元的ID号码、申请发言人数、表决结果、签到人数、WiFi信号强度、电池电量、单元信息，以及发言计时等状态；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5.具有≥1路3.5mm的立体声耳机插口输出，可连接耳机，音量可调；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6.支持本地监听功能，具有内磁式高保真扬声器，打开话筒后自动静音，不易产生啸叫；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7.支持投票表决功能，≥5个投票表决键；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8.支持按键签到功能，内置数字会议带签到终端软件；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9.支持发言功能，支持话筒按键开关，内置数字会议讨论终端软件；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10.支持≥7段EQ调节功能，可针对发言者的声音特点调节不同的音效；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11.配合摄像头，使用数字会议系统主机或PC控制软件设置后可进行摄像自动跟踪；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12.配合控制主机，单元有自我检测功能。检测的项有：按键、话筒、LED指示灯、LCD屏；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749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FE1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17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CEBD">
            <w:pPr>
              <w:jc w:val="center"/>
              <w:rPr>
                <w:rFonts w:hint="eastAsia" w:ascii="宋体" w:hAnsi="宋体" w:eastAsia="宋体" w:cs="宋体"/>
                <w:i w:val="0"/>
                <w:iCs w:val="0"/>
                <w:color w:val="000000"/>
                <w:sz w:val="24"/>
                <w:szCs w:val="24"/>
                <w:u w:val="none"/>
              </w:rPr>
            </w:pPr>
          </w:p>
        </w:tc>
      </w:tr>
      <w:tr w14:paraId="143DB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661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E4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5G WiFi无线会议单元专用充电箱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58B3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1.宽电压输入100V-240VAC：50/60Hz；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2.支持快充慢充，快充USB口输出9V,慢充输出5V；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3.锂电池为1000mAH,充满小于3.5小时；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4.能同时给10个单元充电；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5.满足充电QC3.0协议。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6.最大功耗：200W；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817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ITC、迪士普、湖山</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39D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112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2A98">
            <w:pPr>
              <w:jc w:val="center"/>
              <w:rPr>
                <w:rFonts w:hint="eastAsia" w:ascii="宋体" w:hAnsi="宋体" w:eastAsia="宋体" w:cs="宋体"/>
                <w:i w:val="0"/>
                <w:iCs w:val="0"/>
                <w:color w:val="000000"/>
                <w:sz w:val="24"/>
                <w:szCs w:val="24"/>
                <w:u w:val="none"/>
              </w:rPr>
            </w:pPr>
          </w:p>
        </w:tc>
      </w:tr>
      <w:tr w14:paraId="432B4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60E5B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2.3)扩声系统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C12C8">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3EA0">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E9353">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347AC">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4A27C">
            <w:pPr>
              <w:jc w:val="center"/>
              <w:rPr>
                <w:rFonts w:hint="eastAsia" w:ascii="宋体" w:hAnsi="宋体" w:eastAsia="宋体" w:cs="宋体"/>
                <w:i w:val="0"/>
                <w:iCs w:val="0"/>
                <w:color w:val="000000"/>
                <w:sz w:val="24"/>
                <w:szCs w:val="24"/>
                <w:u w:val="none"/>
              </w:rPr>
            </w:pPr>
          </w:p>
        </w:tc>
      </w:tr>
      <w:tr w14:paraId="782D4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6DE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E09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会议音柱扬声器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46E3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1.频率响应范围：优于或等于95Hz-18KHz；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2.额定功率：≥240W；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3.灵敏度：≥90dB；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4.最大声压级：≥114dB；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5.单元组成：内置≥1个单元尺寸≥1寸，≥8个单元尺寸≥4.5寸；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6.额定阻抗：≥4Ω；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DBBF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084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9EE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415D">
            <w:pPr>
              <w:jc w:val="center"/>
              <w:rPr>
                <w:rFonts w:hint="eastAsia" w:ascii="宋体" w:hAnsi="宋体" w:eastAsia="宋体" w:cs="宋体"/>
                <w:i w:val="0"/>
                <w:iCs w:val="0"/>
                <w:color w:val="000000"/>
                <w:sz w:val="24"/>
                <w:szCs w:val="24"/>
                <w:u w:val="none"/>
              </w:rPr>
            </w:pPr>
          </w:p>
        </w:tc>
      </w:tr>
      <w:tr w14:paraId="07307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CFC5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2FF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双通道专业数字功放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594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1.双声道立体声专业数字功率放大器，每声道音量可调；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5.各通道均配备LED工作状态指示；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6.多个功率级别的设计满足于不同场合的应用需求,每声道（8Ω）额定输出≥230W，每声道（4Ω）额定输出≥350W，桥接（8Ω）额定输出≥700W；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系统安全稳定运行需满足以下要求:失真限制的输出功率：CH1≥231W，CH2≥231W；增益限制的有效频率范围：CH1优于或等于10-25k，CH2优于或等于10-25k；总谐波失真：CH1≤0.07%，CH2≤0.03%；最小源电动势：CH1≤1050mV，CH2≤1050mV；信噪比（线路输入）：CH1≥100.2dB，CH2≥100.1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34D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3FB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C6C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902F1">
            <w:pPr>
              <w:jc w:val="center"/>
              <w:rPr>
                <w:rFonts w:hint="eastAsia" w:ascii="宋体" w:hAnsi="宋体" w:eastAsia="宋体" w:cs="宋体"/>
                <w:i w:val="0"/>
                <w:iCs w:val="0"/>
                <w:color w:val="000000"/>
                <w:sz w:val="24"/>
                <w:szCs w:val="24"/>
                <w:u w:val="none"/>
              </w:rPr>
            </w:pPr>
          </w:p>
        </w:tc>
      </w:tr>
      <w:tr w14:paraId="7A6C7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E46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0407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会议吸顶音箱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31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1.频宽(-10dB):45Hz-20,000Hz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2.灵敏度（1m，1W）:92dB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3.最大声压级(1m):110dB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4.输入阻抗:8欧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5.系统输入功率:≥60W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6.结构组成:8′低音×1(低、中频)1.5′高音×1(高频)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7.适应环境温度:-10℃~+40℃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D1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7E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6E0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E7731">
            <w:pPr>
              <w:jc w:val="center"/>
              <w:rPr>
                <w:rFonts w:hint="eastAsia" w:ascii="宋体" w:hAnsi="宋体" w:eastAsia="宋体" w:cs="宋体"/>
                <w:i w:val="0"/>
                <w:iCs w:val="0"/>
                <w:color w:val="000000"/>
                <w:sz w:val="24"/>
                <w:szCs w:val="24"/>
                <w:u w:val="none"/>
              </w:rPr>
            </w:pPr>
          </w:p>
        </w:tc>
      </w:tr>
      <w:tr w14:paraId="036AC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731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0E3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双通道专业数字功放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1F1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1.双声道立体声专业数字功率放大器，每声道音量可调；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5.各通道均配备LED工作状态指示；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6.多个功率级别的设计满足于不同场合的应用需求,每声道（8Ω）额定输出≥150W，每声道（4Ω）额定输出≥250W，桥接（8Ω）额定输出≥500W；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系统安全稳定运行需满足以下要求:失真限制的输出功率：CH1≥162W，CH2≥157W；增益限制的有效频率范围：CH1优于或等于10-25k，CH2优于或等于10-25k；总谐波失真：CH1≤0.05%，CH2≤0.03%；最小源电动势：CH1≤1050mV，CH2≤1050mV；信噪比（线路输入）：CH1≥100.5dB，CH2≥100.2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89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867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23CC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7CC2B">
            <w:pPr>
              <w:jc w:val="center"/>
              <w:rPr>
                <w:rFonts w:hint="eastAsia" w:ascii="宋体" w:hAnsi="宋体" w:eastAsia="宋体" w:cs="宋体"/>
                <w:i w:val="0"/>
                <w:iCs w:val="0"/>
                <w:color w:val="000000"/>
                <w:sz w:val="24"/>
                <w:szCs w:val="24"/>
                <w:u w:val="none"/>
              </w:rPr>
            </w:pPr>
          </w:p>
        </w:tc>
      </w:tr>
      <w:tr w14:paraId="45F8C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BFC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B46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18路数字调音台</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8F0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1.输入(18ch）12路Mic/Line带全数控增益模拟前级处理(XLR母插头和¼"TRS组合输入接口)，2路立体声线路输入，1路USBMedia(U盘播音或蓝牙音频)立体声。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2.输出(14ch) 8路AUX，1路MainL/R，(均为XLR公插头接口，差分平衡输出)1路USB立体声录音，1路立体声监听。</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3.7"高清晰彩色TFT液晶显示屏，电容触摸屏。100mm行程电动智控.精度=1024档全电动推子(共9组)。</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超大1.44"彩色TFT导引屏(共9片)，实时提供通道参数信息，操作一目了然。用户可自定义的内容包括：(1).醒目的通道名称，支持中英文双语混排。(2).通道颜色9种可选其一。(3).预置了大量的通道图标，点选即可更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5.采用第四代双DSP高性能数字信号处理器(SIMDcore)，精确的450MHz/40bit浮点数学运算，114dBtyp.动态范围。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6.所有Mic/Line输入通道均采用专业级别的高品质话放：高动态.低失真，全数控63级模拟增益，轻松满足你的要求。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7.所有Mic/Line输入通道均独立配置：48V幻象电源.极性切换(Pol.).噪声门(Gate).压限器(Comp).四段参量频率均衡(PEQ)/含高低架滤波器.高通滤波器(HPF).低通滤波器(LPF)。</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8.所有输出通道均独立配置：延时器(Delay).图示频率均衡(GEQ).四段参量频率均衡(PEQ)/含高低架滤波器.高通滤波器(HPF).低通滤波器(LPF).压限器(Comp)。</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9.配置4个专业DSP效果器(FX)，6种效果类型：合唱(Chorus).回声(Echo).镶边(Flanger).变调(Pitch-Shift).混响(Reverb).立体声延时(StereoDelay)，合共一百多种的效果预置。带独立效果器总线，效果器库可用户自定义存储。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使用向导，信息指示和场景配置(Scenes).预设加载(Presets)及参数复制(Copyto)等功能帮助使用者轻松完成通道配置.增益设置.效果器选择等工作。用户场景记忆(Scenes)和预设加载(Presets)可以从调台内部或者外部U盘上存储或调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11.提供3个场景模式专用快捷按钮，可预先关联预设的场景模式，需要时一键快速调用新场景。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12.8个DCA音量编组和8个MUTEGroups静音编组，一键操作，轻松自如。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13.USBMedia播音，支持MP3﹑AAC﹑WAV﹑AIFF﹑APE或FLAC文件格式。直接使用外部U盘录音，无需外接电脑。支持中文歌曲文件名。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14.USB蓝牙接口，即插即用，随时连接你手机的蓝牙设备，实现无线音乐播放。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15.真彩绚丽LED照明灯，9种颜色可选，亮度可调节，场景变换参数设置自动更新。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16.通道参数（Gate/Comp./PEQ/PAN/Gain）关联外置物理旋钮，软件界面自动跟随，操作简便快捷，随心所得。</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17.总线AUX1~AUX8均可设置自动混音，输入通道包括CH01~CH12通道的话筒。具备权重分配和增益共享智能算法。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18.ISUeasyTM远程固件升级功能，支持从USB口引导升级包数据对系统进行全面升级(包括单片机程序)。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19.调音台提供无线WiFi热点，IOS苹果iPad或安卓平板电脑可无线连接调台进行远程遥控操作。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20.可编程中控遥控控制，使用设备的网口或WIFI热点，本调台可接受中控台的遥控指令。</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21.非常低的输出冗余噪声（-93dbu），音色好，噪声低，适合安静的会议环境使用。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22.专属的Overview全局数据链路总览界面，音频信号从输入到输出所经历的处理一目了然，单击节点即可进行参数设置。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23.完善的全电压工作范围(85Vac~240Vac)开关机“啪”声自动消除功能，绝无烦人的开关冲击声。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24.AP仪器实测系统参数（因应测试环境和机器差异，测试结果可能有±2%的偏差）：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【最大输入幅度】：+24dBu(12.28V) 【最大输出幅度】：+18dBu(6.15V) 【总谐波失真】：0.005% 【动态范围】：+103dB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【频率响应平坦度】：±0.15dB 【等效输入噪声】：-125dBu 【信噪比】：+110dB 【冗余噪声】：-93dBu</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DA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061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0B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FA0F">
            <w:pPr>
              <w:jc w:val="center"/>
              <w:rPr>
                <w:rFonts w:hint="eastAsia" w:ascii="宋体" w:hAnsi="宋体" w:eastAsia="宋体" w:cs="宋体"/>
                <w:i w:val="0"/>
                <w:iCs w:val="0"/>
                <w:color w:val="000000"/>
                <w:sz w:val="24"/>
                <w:szCs w:val="24"/>
                <w:u w:val="none"/>
              </w:rPr>
            </w:pPr>
          </w:p>
        </w:tc>
      </w:tr>
      <w:tr w14:paraId="1FE54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28E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BA3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数字音频处理器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919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1.8路平衡式话筒／线路输入，采用裸线接口端子。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2.8路平衡式输出，采用裸线接口端子。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3.120db的A/D与D/A转换，最高可达96kHz/48K采样率；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4.高速DSP处理芯片Ti450MHzFLOPSDSP处理内核；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5.通道拷贝、粘贴、联控功能；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6.DSP音频处理，输入每通道：前级放大、信号发生器、扩展器、压缩器、5段参量均衡、自动混音台、AFC、AEC、ANC；每输出通道：音箱管理器（8段参量均衡器、延时器、分频器、高低通滤波器、限幅器）。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7.全功能矩阵混音功能。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8.内置自动混音台功能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9.AEC自适应回声消除功能，可以处理超宽带的语音和音频信号，提供完美的听觉效果；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10.采用子带算法，具有很少的MIPS消耗；</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11.可支持的最大回声脱尾高达512ms，适合在各种大、中、小型视频会议室使用；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12.使用稳定的双方同时讲话（DoubleTalk）检测方法，即使在强背景噪声和非线性失真环境下也有效，并且在双方同时讲话期间残余回声不会增加；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13.收敛速度和终端扬声器非线性失真时的回声抑制比（ERLE）高；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14.ANC自动适应噪音消除功能，可以消除噪声环境下的附加噪声；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15.Enternet多用途数据传输及控制端口；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16.内置自动摄像跟踪功能；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17.RS-232双向串行控制接口用于控制外部其它设备如：视频矩阵等RS-232设备，或接收第三方RS－232控制，如AMX、Crestron，</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18.RS-485摄像机控制端口；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19.GPIO可编程控制接口（8组，可自定义输入输出）；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20.支持平板界面操作控制。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21.支持最少8~100组场景预设功能；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22.直观、图形化软件控制界面，可工作在WindowsNT4.0／2000／XP/Windows7系统环境下</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0FE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0BF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87E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3870">
            <w:pPr>
              <w:jc w:val="center"/>
              <w:rPr>
                <w:rFonts w:hint="eastAsia" w:ascii="宋体" w:hAnsi="宋体" w:eastAsia="宋体" w:cs="宋体"/>
                <w:i w:val="0"/>
                <w:iCs w:val="0"/>
                <w:color w:val="000000"/>
                <w:sz w:val="24"/>
                <w:szCs w:val="24"/>
                <w:u w:val="none"/>
              </w:rPr>
            </w:pPr>
          </w:p>
        </w:tc>
      </w:tr>
      <w:tr w14:paraId="75B04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823D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AEF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真分集无线话筒套装</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6707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1.波段范围（UHF）：632MHz～695MHz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2.PLL双频道锁相环回路设计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3.UHF200频道PLL数字锁定自动通讯功能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4.显示屏显示功能(显示频率.频道.静噪.电平等)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5.发射功率调节，高功率14dBm; 低功率6dBm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6.频率响应：120Hz-16KHz(±3dB)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7.综合信噪比：&gt;73dB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8.综合失真度：≤1%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9.发射机工作时间8小时以上</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C81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AE1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07F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4671">
            <w:pPr>
              <w:jc w:val="center"/>
              <w:rPr>
                <w:rFonts w:hint="eastAsia" w:ascii="宋体" w:hAnsi="宋体" w:eastAsia="宋体" w:cs="宋体"/>
                <w:i w:val="0"/>
                <w:iCs w:val="0"/>
                <w:color w:val="000000"/>
                <w:sz w:val="24"/>
                <w:szCs w:val="24"/>
                <w:u w:val="none"/>
              </w:rPr>
            </w:pPr>
          </w:p>
        </w:tc>
      </w:tr>
      <w:tr w14:paraId="4A006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E1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4D8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告警联动监听音箱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2A9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1.采用全数字化、高保真语音设计，内置DSP音效处理芯片，支持最大48kHz采样率16bit数字音频码流解码，语音传输指数高。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2.≥2路网络接口备份设计，具有网络线路故障检测与自动选择功能，支持100M/10M 自适应TCP/IP网络传输协议，支持跨网段工作。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3.具有≥1路AUX线路输入、≥1路话筒输入、≥1路AUX线路输出，可拓展外部节目源和无线话筒实现本地扩声，可外接功放拓展播放功率。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4.内置≥2*25W高保真数字功放，低功耗设计，声音优美。</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为保证系统安全稳定运行需满足以下要求:最大不失真输出功率：≥33W；总谐波失真：≤0.05%；增益限制的有效频率范围：10-25000Hz；信噪比：≥81dB；线路输入最小源电动势：≤1.0V；话筒输入域最小源电动势：≤10.4m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6.为避免紧急情况发生时报告厅演出声音过大导致无法听到告警，设备需具备接受校园广播主机告警的控制命令，并实施相应操作的功能，实现区域告警。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17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2A9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BE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8A8B5">
            <w:pPr>
              <w:jc w:val="center"/>
              <w:rPr>
                <w:rFonts w:hint="eastAsia" w:ascii="宋体" w:hAnsi="宋体" w:eastAsia="宋体" w:cs="宋体"/>
                <w:i w:val="0"/>
                <w:iCs w:val="0"/>
                <w:color w:val="000000"/>
                <w:sz w:val="24"/>
                <w:szCs w:val="24"/>
                <w:u w:val="none"/>
              </w:rPr>
            </w:pPr>
          </w:p>
        </w:tc>
      </w:tr>
      <w:tr w14:paraId="5707F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FD1F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908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十六路远程智能时序器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A5D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1.机器采用工业级触控液晶显示屏，可实时显示当前每一通道的电能指标，日期、时间、星期、通道开关状态及定时点信息，每通道可设定延时开/关机（1~999秒），屏幕带触控功能；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2.每路通道均可设定定时开关时间，设置多个定时方案，并可单次开/关或循环开关及周期定时开关设定，内置高精度时钟芯片，可根据日期时间设定，无需人为操作，自动联网校时功能，让设备管理更简单；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配备专业的网口Web页面（电脑，安卓手机，苹果手机，IPAD）登陆管理控制操作，在系统集成中使产品具备更强的管理功能，RS-232串口控制协议，支持外部中央控制设备控制，RJ45固定一进一出联机口，不需要ID号即可实现系统安装从前到后，按顺序开机，从后向前关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4.采用万能插座，能兼容全部产品电源接口；单机16路时序电源，已配备电源滤波器，2U机身高度，带空气开关装置，外观精美，做工精细；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5.特设过流检测及报警功能，为您的设备提供了可靠的保障,最大输入电流63A，单路最大输出电流16A，工作电压95V-240V；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6.可实现远程集中控制，每台设备可设置IP,服务器IP,端口，设备在线ID；每组名字可自定义；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7.可选择三种工作模式，手动模式，联级模式，定时模式，在手动模式，还可添加场景模式；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8.设备电源输入采用接线柱接线方式，配置63A大电流空气开关及标配10平方大电缆输入；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9.配备有多种接口，包括中控RS232公头1个，USB供电口1个，RJ45网口一个，RJ45直连口一进一出，支持无线WIFI的AP模式可联级手机，平板，电脑等终端设备进行web控制；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10.支持web管控页面密码登录，密码可改，方便权限接入；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11.该机采集使用了专业工业级电源检测方案，采用专业电能算法校准，参数更加实时，让误差控制在最小范围，电压，电流，功率，功率因数一目了然；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12.输出电源插座：后面板16只受控万用插座适应不同标准要求（万能座、欧标座、美标座）；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13.插座标准:兼容国标6A、10A，最大电流可达16A；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14.开关间隔时间:可随意设定1-999s；</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15.可以实时显示当前电流，功率，电压参数，可以远程更加方便监控电能系统；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16.可通过8字插电源口输入触发16路电源口时序开关；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17.设备自带一个电源直通口；</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B95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52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266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B89F2">
            <w:pPr>
              <w:jc w:val="center"/>
              <w:rPr>
                <w:rFonts w:hint="eastAsia" w:ascii="宋体" w:hAnsi="宋体" w:eastAsia="宋体" w:cs="宋体"/>
                <w:i w:val="0"/>
                <w:iCs w:val="0"/>
                <w:color w:val="000000"/>
                <w:sz w:val="24"/>
                <w:szCs w:val="24"/>
                <w:u w:val="none"/>
              </w:rPr>
            </w:pPr>
          </w:p>
        </w:tc>
      </w:tr>
      <w:tr w14:paraId="0C08E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B0A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BF6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八路天线分配器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AF2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1.频率范围：500MHz--950MHz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2.具备频谱扫描功能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3.扫描范围：500MHz--950MHz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4.具备18个独立频段，每个频段可独立调节增益，增益范围：5dB，10dB,15dB,20dB(±2dB)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5.输入/出阻抗：50欧姆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6.天线供电：+12VDC/150mA 中央点为正极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7.直流输出：12VDC/3A（MAX）*4组 中央点为正极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8.电源：100--240VAC，50/60Hz，12VDC/3A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9.连接器端口：BNC</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6E7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52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F8F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9ADC2">
            <w:pPr>
              <w:jc w:val="center"/>
              <w:rPr>
                <w:rFonts w:hint="eastAsia" w:ascii="宋体" w:hAnsi="宋体" w:eastAsia="宋体" w:cs="宋体"/>
                <w:i w:val="0"/>
                <w:iCs w:val="0"/>
                <w:color w:val="000000"/>
                <w:sz w:val="24"/>
                <w:szCs w:val="24"/>
                <w:u w:val="none"/>
              </w:rPr>
            </w:pPr>
          </w:p>
        </w:tc>
      </w:tr>
      <w:tr w14:paraId="59CE7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B92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6CA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指向性天线（鱼骨型）</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2D9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1.射频频率范围:470-950MHz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2.阻抗：50Ω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3.极化方式：垂直极化与水平极化</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4.连接方式：BNC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5.供电方式：+12VDC/150mA</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8662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EC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CC7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417E">
            <w:pPr>
              <w:jc w:val="center"/>
              <w:rPr>
                <w:rFonts w:hint="eastAsia" w:ascii="宋体" w:hAnsi="宋体" w:eastAsia="宋体" w:cs="宋体"/>
                <w:i w:val="0"/>
                <w:iCs w:val="0"/>
                <w:color w:val="000000"/>
                <w:sz w:val="24"/>
                <w:szCs w:val="24"/>
                <w:u w:val="none"/>
              </w:rPr>
            </w:pPr>
          </w:p>
        </w:tc>
      </w:tr>
      <w:tr w14:paraId="43ED4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261E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2.4)中控管理系统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FAD0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55A6">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5BC6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DFEB6">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25E2">
            <w:pPr>
              <w:jc w:val="center"/>
              <w:rPr>
                <w:rFonts w:hint="eastAsia" w:ascii="宋体" w:hAnsi="宋体" w:eastAsia="宋体" w:cs="宋体"/>
                <w:i w:val="0"/>
                <w:iCs w:val="0"/>
                <w:color w:val="000000"/>
                <w:sz w:val="24"/>
                <w:szCs w:val="24"/>
                <w:u w:val="none"/>
              </w:rPr>
            </w:pPr>
          </w:p>
        </w:tc>
      </w:tr>
      <w:tr w14:paraId="13E1E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7AA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ADE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网络中控主机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F9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自带≥4.3寸液晶显示触摸屏，可显示时间，播放器状态，查看定时，音乐，具有≥1个USB接口，≥4路线路音频输出接口，≥1张网络模块内置≥3个RJ45网络接口，≥1张弱继电器模块卡内置≥8组接口，≥1张IR红外控制模块卡内置≥8组接口，≥2张串行通信控制模块卡内置≥4组串口，≥2张串行通信扩展模块卡内置≥4组凤凰插口，各功能模块卡配合拓展盒子可分布式放置通过网络与主机连接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2.采用ARMCortex-A9Quad-Core，主频达1.6GHz，内置≥1GBDDRRAM，≥8GBEMMCFLASH；</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3.内置节目播放器，支持WMA/AAC/APE/MP3/FLAC/M4A/M4R/OGG/WAV/WV等无损格式的节目；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4.具有查看定时点功能，可查看定时点名称、时间、周期、命令类型、歌曲播放模式、歌曲数量和歌曲名称；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语句式和图形化≥2种编程方式，语句式编程方式：提供功能函数进行自定义编程，用户可以通过编程界面编写控制代码；图形化编程方式：用户可通过图形化编程软件内的模块使用信号连接方式构建程序逻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6.支持插卡式弱继电器控制功能，具有≥8路弱电继电器控制口，承受≥1A输出，功能卡既可插在主机后面板工作，也可分布式放置通过网络与主机连接工作；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7.支持插卡式IR红外控制功能，具有≥8路红外控制口，支持红外学习功能，可同时控制≥8台红外功能设备，功能卡既可插在主机后面板工作，也可分布式放置通过网络与主机连接工作；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8.支持插卡式串行通信控制功能，同时兼容RS232、RS422、RS485通讯协议，功能卡既可插在主机后面板工作，也可分布式放置通过网络与主机连接工作；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9.支持定时控制功能，可编≥200个定时点，定时操控节目及受控设备；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10.支持语音识别功能，可通过语音控制面板远程控制设备；支持TCP、UDP协议控制方式。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11.支持远程网络控制，用户编程后可通过PC端、IOS、Andriod、Web客户端控制受控设备；可通过魔术包远程控制电脑开关机；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12.支持智能声压检测功能，通过采集会议主机或者其他前级音频设备的信号输出，在安卓平板端或者WEB端实时显示音频信号的dB值，实现实时检测会议室的声音大小变化情况；</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A16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淳中科技、小鸟、嗨动视觉</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0E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3E8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CAF5B">
            <w:pPr>
              <w:jc w:val="center"/>
              <w:rPr>
                <w:rFonts w:hint="eastAsia" w:ascii="宋体" w:hAnsi="宋体" w:eastAsia="宋体" w:cs="宋体"/>
                <w:i w:val="0"/>
                <w:iCs w:val="0"/>
                <w:color w:val="000000"/>
                <w:sz w:val="24"/>
                <w:szCs w:val="24"/>
                <w:u w:val="none"/>
              </w:rPr>
            </w:pPr>
          </w:p>
        </w:tc>
      </w:tr>
      <w:tr w14:paraId="3C12C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994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32F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中控强力电源控制器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3E4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1.中控强力电源控制器主要是搭配各种中控使用，进行对各种设备电源的管理，起到保护设备的作用。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2.在机器的正前方，有8个按键开关，紧急情况下可以手动控制继电器的开关，比如在中控出现故障时可以使用这一功能，很好的保护其他的设备。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3.在机器的内部有8个IO接口，在没有中控的情况下也能使用，用途更广。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4.广泛兼容目前市面上的中控网络协议。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5.ID选择：旋转的ID切换设置网络ID身份代码。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6.每路继电器都有三连接点的接线柱，具有常开与常闭（可选）的功能。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7.载入容量：单路功率20A。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8.电源：DC24V网络供电。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9.通过独立的网络协议（选配），前面板按键和IO控制，网络协议包括RS485和RS232（其中RS485和RS232两个只能选一个）。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10.待机功耗3W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11.整机功耗8W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26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淳中科技、小鸟、嗨动视觉</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172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8F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1DFC8">
            <w:pPr>
              <w:jc w:val="center"/>
              <w:rPr>
                <w:rFonts w:hint="eastAsia" w:ascii="宋体" w:hAnsi="宋体" w:eastAsia="宋体" w:cs="宋体"/>
                <w:i w:val="0"/>
                <w:iCs w:val="0"/>
                <w:color w:val="000000"/>
                <w:sz w:val="24"/>
                <w:szCs w:val="24"/>
                <w:u w:val="none"/>
              </w:rPr>
            </w:pPr>
          </w:p>
        </w:tc>
      </w:tr>
      <w:tr w14:paraId="6ABBC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04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3D0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平板电脑</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DE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1.运行内存：≥6GB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2.机身内存：≥128GB，支持最大512GBmicroSD储存卡扩展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2.操作系统：HarmonyOS2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3.屏幕：≥10.4英寸，2000x1200像素，225PPI</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4.摄像头：后置摄像头1300万像素，前置摄像头800万像素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5.USB：Type-C，支持USB2.0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6.WLAN:802.11a/b/g/n/ac/ax,2.4GH和5GHz，2x2MIMO</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7.蓝牙：支持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8.定位：GPS,GLONASS,北斗,GALILEO</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9.传感器：环境光传感器、重力传感器、色温传感器、指南针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10.充电：10V/2.25A充电器，兼容9V/2A或5V/2A输出，设备最大支持10V/2.25A超级快充，兼容9V/2A快充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11.电池：≥7250mAh</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DD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华为、小米、中兴</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1D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B29C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E6A50">
            <w:pPr>
              <w:jc w:val="center"/>
              <w:rPr>
                <w:rFonts w:hint="eastAsia" w:ascii="宋体" w:hAnsi="宋体" w:eastAsia="宋体" w:cs="宋体"/>
                <w:i w:val="0"/>
                <w:iCs w:val="0"/>
                <w:color w:val="000000"/>
                <w:sz w:val="24"/>
                <w:szCs w:val="24"/>
                <w:u w:val="none"/>
              </w:rPr>
            </w:pPr>
          </w:p>
        </w:tc>
      </w:tr>
      <w:tr w14:paraId="5722B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4A2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B6B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路由器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1E8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3000M高速双频wifi6 无线穿墙 路由 5G双频智能千兆无线路由，支持2x2 MIMO</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C39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华为、H3C、锐捷</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60B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28B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76287">
            <w:pPr>
              <w:jc w:val="center"/>
              <w:rPr>
                <w:rFonts w:hint="eastAsia" w:ascii="宋体" w:hAnsi="宋体" w:eastAsia="宋体" w:cs="宋体"/>
                <w:i w:val="0"/>
                <w:iCs w:val="0"/>
                <w:color w:val="000000"/>
                <w:sz w:val="24"/>
                <w:szCs w:val="24"/>
                <w:u w:val="none"/>
              </w:rPr>
            </w:pPr>
          </w:p>
        </w:tc>
      </w:tr>
      <w:tr w14:paraId="40ED8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2B1A2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2.5)辅助材料</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D2C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B1C3C">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5EC3">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0A1DA">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A1F7">
            <w:pPr>
              <w:jc w:val="center"/>
              <w:rPr>
                <w:rFonts w:hint="eastAsia" w:ascii="宋体" w:hAnsi="宋体" w:eastAsia="宋体" w:cs="宋体"/>
                <w:i w:val="0"/>
                <w:iCs w:val="0"/>
                <w:color w:val="000000"/>
                <w:sz w:val="24"/>
                <w:szCs w:val="24"/>
                <w:u w:val="none"/>
              </w:rPr>
            </w:pPr>
          </w:p>
        </w:tc>
      </w:tr>
      <w:tr w14:paraId="7CC56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1B2F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6D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机柜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75C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42U标准机柜落地安装：600*1000*2000，含底座，含接地，含PDU等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981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77E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1B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90DD5">
            <w:pPr>
              <w:jc w:val="center"/>
              <w:rPr>
                <w:rFonts w:hint="eastAsia" w:ascii="宋体" w:hAnsi="宋体" w:eastAsia="宋体" w:cs="宋体"/>
                <w:i w:val="0"/>
                <w:iCs w:val="0"/>
                <w:color w:val="000000"/>
                <w:sz w:val="24"/>
                <w:szCs w:val="24"/>
                <w:u w:val="none"/>
              </w:rPr>
            </w:pPr>
          </w:p>
        </w:tc>
      </w:tr>
      <w:tr w14:paraId="003F4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72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8F3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多媒体话筒地插盒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C9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弹起式/2个卡侬口+5孔插座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547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33C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6AEE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A50E4">
            <w:pPr>
              <w:jc w:val="center"/>
              <w:rPr>
                <w:rFonts w:hint="eastAsia" w:ascii="宋体" w:hAnsi="宋体" w:eastAsia="宋体" w:cs="宋体"/>
                <w:i w:val="0"/>
                <w:iCs w:val="0"/>
                <w:color w:val="000000"/>
                <w:sz w:val="24"/>
                <w:szCs w:val="24"/>
                <w:u w:val="none"/>
              </w:rPr>
            </w:pPr>
          </w:p>
        </w:tc>
      </w:tr>
      <w:tr w14:paraId="27860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BC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A007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多媒体音箱地插盒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73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弹起式/2个欧姆头+5孔插座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10B9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2C4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6DB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0EA9A">
            <w:pPr>
              <w:jc w:val="center"/>
              <w:rPr>
                <w:rFonts w:hint="eastAsia" w:ascii="宋体" w:hAnsi="宋体" w:eastAsia="宋体" w:cs="宋体"/>
                <w:i w:val="0"/>
                <w:iCs w:val="0"/>
                <w:color w:val="000000"/>
                <w:sz w:val="24"/>
                <w:szCs w:val="24"/>
                <w:u w:val="none"/>
              </w:rPr>
            </w:pPr>
          </w:p>
        </w:tc>
      </w:tr>
      <w:tr w14:paraId="3C9F0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778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AFB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线缆辅材</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A43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HDMI线缆 音频线缆 卡侬线缆及套管等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C4DB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F9C9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0F19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70F4B">
            <w:pPr>
              <w:jc w:val="center"/>
              <w:rPr>
                <w:rFonts w:hint="eastAsia" w:ascii="宋体" w:hAnsi="宋体" w:eastAsia="宋体" w:cs="宋体"/>
                <w:i w:val="0"/>
                <w:iCs w:val="0"/>
                <w:color w:val="000000"/>
                <w:sz w:val="24"/>
                <w:szCs w:val="24"/>
                <w:u w:val="none"/>
              </w:rPr>
            </w:pPr>
          </w:p>
        </w:tc>
      </w:tr>
      <w:tr w14:paraId="4D151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BF7C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3)大会议室多媒体子系统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82C9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38E4">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4A7FF">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1F2DA">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2E204">
            <w:pPr>
              <w:jc w:val="center"/>
              <w:rPr>
                <w:rFonts w:hint="eastAsia" w:ascii="宋体" w:hAnsi="宋体" w:eastAsia="宋体" w:cs="宋体"/>
                <w:i w:val="0"/>
                <w:iCs w:val="0"/>
                <w:color w:val="000000"/>
                <w:sz w:val="24"/>
                <w:szCs w:val="24"/>
                <w:u w:val="none"/>
              </w:rPr>
            </w:pPr>
          </w:p>
        </w:tc>
      </w:tr>
      <w:tr w14:paraId="39D5F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B73D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3.1)显示系统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95EF3">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97AC">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0AD6B">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AE305">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2FBC">
            <w:pPr>
              <w:jc w:val="center"/>
              <w:rPr>
                <w:rFonts w:hint="eastAsia" w:ascii="宋体" w:hAnsi="宋体" w:eastAsia="宋体" w:cs="宋体"/>
                <w:i w:val="0"/>
                <w:iCs w:val="0"/>
                <w:color w:val="000000"/>
                <w:sz w:val="24"/>
                <w:szCs w:val="24"/>
                <w:u w:val="none"/>
              </w:rPr>
            </w:pPr>
          </w:p>
        </w:tc>
      </w:tr>
      <w:tr w14:paraId="6294A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77A8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F6B7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搬迁LED显示屏</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DFD1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LED显示屏3.2米*1.92米=6.14平方米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从老校区合班教室搬迁来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原显示屏为大华P1.86像素LED屏 6.67平方米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本项含钢构框架重新制作 信号线缆重新布放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控制设备（电源箱）视频处理器等拆除安装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★为保证该系统设备与本项目整体维保周期保持一致，搬迁的LED屏设备原厂维保需延期至5年 需出具维保延期相关证明</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EE9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大华</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621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平方米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683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6.14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D53F">
            <w:pPr>
              <w:jc w:val="center"/>
              <w:rPr>
                <w:rFonts w:hint="eastAsia" w:ascii="宋体" w:hAnsi="宋体" w:eastAsia="宋体" w:cs="宋体"/>
                <w:i w:val="0"/>
                <w:iCs w:val="0"/>
                <w:color w:val="000000"/>
                <w:sz w:val="24"/>
                <w:szCs w:val="24"/>
                <w:u w:val="none"/>
              </w:rPr>
            </w:pPr>
          </w:p>
        </w:tc>
      </w:tr>
      <w:tr w14:paraId="79120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C0D2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9B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电源线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F169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RVV3*4</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B98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58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37B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C67B2">
            <w:pPr>
              <w:jc w:val="center"/>
              <w:rPr>
                <w:rFonts w:hint="eastAsia" w:ascii="宋体" w:hAnsi="宋体" w:eastAsia="宋体" w:cs="宋体"/>
                <w:i w:val="0"/>
                <w:iCs w:val="0"/>
                <w:color w:val="000000"/>
                <w:sz w:val="24"/>
                <w:szCs w:val="24"/>
                <w:u w:val="none"/>
              </w:rPr>
            </w:pPr>
          </w:p>
        </w:tc>
      </w:tr>
      <w:tr w14:paraId="58178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9F548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3.2)扩声系统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9AD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27FA">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09E4A">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29191">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5124B">
            <w:pPr>
              <w:jc w:val="center"/>
              <w:rPr>
                <w:rFonts w:hint="eastAsia" w:ascii="宋体" w:hAnsi="宋体" w:eastAsia="宋体" w:cs="宋体"/>
                <w:i w:val="0"/>
                <w:iCs w:val="0"/>
                <w:color w:val="000000"/>
                <w:sz w:val="24"/>
                <w:szCs w:val="24"/>
                <w:u w:val="none"/>
              </w:rPr>
            </w:pPr>
          </w:p>
        </w:tc>
      </w:tr>
      <w:tr w14:paraId="726BA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D08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37A1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会议音柱扬声器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719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1.频率响应范围：优于或等于95Hz-18KHz；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2.额定功率：≥240W；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3.灵敏度：≥90dB；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4.最大声压级：≥114dB；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5.单元组成：内置≥1个单元尺寸≥1寸，≥8个单元尺寸≥4.5寸；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6.额定阻抗：≥4Ω；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31E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835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A3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9B2BC">
            <w:pPr>
              <w:jc w:val="center"/>
              <w:rPr>
                <w:rFonts w:hint="eastAsia" w:ascii="宋体" w:hAnsi="宋体" w:eastAsia="宋体" w:cs="宋体"/>
                <w:i w:val="0"/>
                <w:iCs w:val="0"/>
                <w:color w:val="000000"/>
                <w:sz w:val="24"/>
                <w:szCs w:val="24"/>
                <w:u w:val="none"/>
              </w:rPr>
            </w:pPr>
          </w:p>
        </w:tc>
      </w:tr>
      <w:tr w14:paraId="0BC62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F5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B53A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双通道专业数字功放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94F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1.双声道立体声专业数字功率放大器，每声道音量可调；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5.各通道均配备LED工作状态指示；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6.多个功率级别的设计满足于不同场合的应用需求,每声道（8Ω）额定输出≥230W，每声道（4Ω）额定输出≥350W，桥接（8Ω）额定输出≥700W；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系统安全稳定运行需满足以下要求:失真限制的输出功率：CH1≥231W，CH2≥231W；增益限制的有效频率范围：CH1优于或等于10-25k，CH2优于或等于10-25k；总谐波失真：CH1≤0.07%，CH2≤0.03%；最小源电动势：CH1≤1050mV，CH2≤1050mV；信噪比（线路输入）：CH1≥100.2dB，CH2≥100.1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1A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E981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50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C2857">
            <w:pPr>
              <w:jc w:val="center"/>
              <w:rPr>
                <w:rFonts w:hint="eastAsia" w:ascii="宋体" w:hAnsi="宋体" w:eastAsia="宋体" w:cs="宋体"/>
                <w:i w:val="0"/>
                <w:iCs w:val="0"/>
                <w:color w:val="000000"/>
                <w:sz w:val="24"/>
                <w:szCs w:val="24"/>
                <w:u w:val="none"/>
              </w:rPr>
            </w:pPr>
          </w:p>
        </w:tc>
      </w:tr>
      <w:tr w14:paraId="430C2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000B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BA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会议吸顶音箱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131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1.频宽(-10dB):45Hz-20,000Hz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2.灵敏度（1m，1W）:92dB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3.最大声压级(1m):110dB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4.输入阻抗:8欧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5.系统输入功率:≥60W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6.结构组成:8′低音×1(低、中频)1.5′高音×1(高频)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7.适应环境温度:-10℃~+40℃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115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FFCF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2E7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B5D0">
            <w:pPr>
              <w:jc w:val="center"/>
              <w:rPr>
                <w:rFonts w:hint="eastAsia" w:ascii="宋体" w:hAnsi="宋体" w:eastAsia="宋体" w:cs="宋体"/>
                <w:i w:val="0"/>
                <w:iCs w:val="0"/>
                <w:color w:val="000000"/>
                <w:sz w:val="24"/>
                <w:szCs w:val="24"/>
                <w:u w:val="none"/>
              </w:rPr>
            </w:pPr>
          </w:p>
        </w:tc>
      </w:tr>
      <w:tr w14:paraId="2A46C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52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53C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双通道专业数字功放</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84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1.双声道立体声专业数字功率放大器，每声道音量可调；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2.支持≥2路XLR接口音频信号输入，≥2路XLR接口音频信号输出，更适合专业设备的应用习惯；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3.内置先进的电压压限，可以避免输入电压出现异常或过大导致功率输出异常，出现削波失真影响听音体验以及危害音箱的高音单元；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4.支持≥3种输出方式可选：双声道、单声道和BTL桥接，≥1路功放工作方式选择开关；支持常用接线柱和专业SPEAKON扬声器插座（仅限于立体声工作模式）≥2种方式功率输出；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5.各通道均配备LED工作状态指示；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6.多个功率级别的设计满足于不同场合的应用需求,每声道（8Ω）额定输出≥150W，每声道（4Ω）额定输出≥250W，桥接（8Ω）额定输出≥500W；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系统安全稳定运行需满足以下要求:失真限制的输出功率：CH1≥162W，CH2≥157W；增益限制的有效频率范围：CH1优于或等于10-25k，CH2优于或等于10-25k；总谐波失真：CH1≤0.05%，CH2≤0.03%；最小源电动势：CH1≤1050mV，CH2≤1050mV；信噪比（线路输入）：CH1≥100.5dB，CH2≥100.2dB；</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64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D49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84A1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A8191">
            <w:pPr>
              <w:jc w:val="center"/>
              <w:rPr>
                <w:rFonts w:hint="eastAsia" w:ascii="宋体" w:hAnsi="宋体" w:eastAsia="宋体" w:cs="宋体"/>
                <w:i w:val="0"/>
                <w:iCs w:val="0"/>
                <w:color w:val="000000"/>
                <w:sz w:val="24"/>
                <w:szCs w:val="24"/>
                <w:u w:val="none"/>
              </w:rPr>
            </w:pPr>
          </w:p>
        </w:tc>
      </w:tr>
      <w:tr w14:paraId="78016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C99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0A1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调音台</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7B3EB">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B72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89A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C9F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337F0">
            <w:pPr>
              <w:jc w:val="center"/>
              <w:rPr>
                <w:rFonts w:hint="eastAsia" w:ascii="宋体" w:hAnsi="宋体" w:eastAsia="宋体" w:cs="宋体"/>
                <w:i w:val="0"/>
                <w:iCs w:val="0"/>
                <w:color w:val="000000"/>
                <w:sz w:val="24"/>
                <w:szCs w:val="24"/>
                <w:u w:val="none"/>
              </w:rPr>
            </w:pPr>
          </w:p>
        </w:tc>
      </w:tr>
      <w:tr w14:paraId="4991E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56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499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真分集无线话筒套装</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D84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1.波段范围（UHF）：632MHz～695MHz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2.PLL双频道锁相环回路设计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3.UHF200频道PLL数字锁定自动通讯功能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4.显示屏显示功能(显示频率.频道.静噪.电平等)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5.发射功率调节，高功率14dBm; 低功率6dBm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6.频率响应：120Hz-16KHz(±3dB)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7.综合信噪比：&gt;73dB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8.综合失真度：≤1%</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9.发射机工作时间8小时以上</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B9FF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69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B3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A97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2只手持麦</w:t>
            </w:r>
          </w:p>
        </w:tc>
      </w:tr>
      <w:tr w14:paraId="521BF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FE3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B6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智能时序电源管理器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2341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1.具有≥2.4寸LCD彩色显示屏，可显示电源电压状态、≥8路电源通道开关状态、日期和时间；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2.具有≥2路10A直通万能电源插座,≥8路16A电源输出插座，≥1路RJ45接口，≥2路RS485接口，≥1路RELAY干接点输出，≥1路I/O短路触发输入；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3.支持通道时间设置功能，可设置通道开启延时时间和通道关闭延时时间，调节延时时间范围为0-999秒；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4.支持定时设置功能，定时可设置循环与非循环≥2种模式，循坏模式按周循坏，非循坏模式按时间段开启/关闭；</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5.支持外设按键面板和触摸控制面板远程控制智能电源管理器开关机；（提供软件功能界面截图佐证</w:t>
            </w:r>
            <w:r>
              <w:rPr>
                <w:rFonts w:hint="eastAsia" w:ascii="宋体" w:hAnsi="宋体" w:eastAsia="宋体" w:cs="宋体"/>
                <w:i w:val="0"/>
                <w:iCs w:val="0"/>
                <w:color w:val="auto"/>
                <w:kern w:val="0"/>
                <w:sz w:val="24"/>
                <w:szCs w:val="24"/>
                <w:highlight w:val="none"/>
                <w:u w:val="none"/>
                <w:lang w:val="en-US" w:eastAsia="zh-CN" w:bidi="ar"/>
              </w:rPr>
              <w:t>并加盖投标单位公章</w:t>
            </w:r>
            <w:r>
              <w:rPr>
                <w:rFonts w:ascii="宋体" w:hAnsi="宋体" w:eastAsia="宋体" w:cs="宋体"/>
                <w:i w:val="0"/>
                <w:iCs w:val="0"/>
                <w:color w:val="auto"/>
                <w:kern w:val="0"/>
                <w:sz w:val="24"/>
                <w:szCs w:val="24"/>
                <w:highlight w:val="none"/>
                <w:u w:val="none"/>
                <w:lang w:val="en-US" w:eastAsia="zh-CN" w:bidi="ar"/>
              </w:rPr>
              <w:t>）</w:t>
            </w:r>
            <w:r>
              <w:rPr>
                <w:rFonts w:ascii="宋体" w:hAnsi="宋体" w:eastAsia="宋体" w:cs="宋体"/>
                <w:i w:val="0"/>
                <w:iCs w:val="0"/>
                <w:color w:val="auto"/>
                <w:kern w:val="0"/>
                <w:sz w:val="24"/>
                <w:szCs w:val="24"/>
                <w:highlight w:val="none"/>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6.支持输入密码进入设置界面，此功能可按需要设置为开启或关闭；</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7.支持外置短路触发信号控制，其他设备可触发控制智能电源管理器开机；也可由智能电源管理器触发控制其他设备工作；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8.支持通过飞梭旋钮对设备进行设置或查看当前设备信息，支持中控系统控制，实现与中控系统的无缝连接；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9.支持设备ID号设置，可设置≥16个ID号；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10.支持RS485串口级联，可实现≥16台智能电源管理器远程集中控制；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11.支持通过触摸控制面板远程控制智能电源管理器通道全开、定时点开、编辑当前ID号，定时可设置循环与非循环≥2种模式，循坏模式按周循坏，可设置开始和结束时间，非循坏模式按时间段开启。</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F8E4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锐丰LAX、贝塔斯瑞Beta Three、惠威</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AD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0284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9D323">
            <w:pPr>
              <w:jc w:val="center"/>
              <w:rPr>
                <w:rFonts w:hint="eastAsia" w:ascii="宋体" w:hAnsi="宋体" w:eastAsia="宋体" w:cs="宋体"/>
                <w:i w:val="0"/>
                <w:iCs w:val="0"/>
                <w:color w:val="000000"/>
                <w:sz w:val="24"/>
                <w:szCs w:val="24"/>
                <w:u w:val="none"/>
              </w:rPr>
            </w:pPr>
          </w:p>
        </w:tc>
      </w:tr>
      <w:tr w14:paraId="25683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5B0C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3.3)辅助材料</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0AB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9273C">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499E2">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6DEC">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47AA">
            <w:pPr>
              <w:jc w:val="center"/>
              <w:rPr>
                <w:rFonts w:hint="eastAsia" w:ascii="宋体" w:hAnsi="宋体" w:eastAsia="宋体" w:cs="宋体"/>
                <w:i w:val="0"/>
                <w:iCs w:val="0"/>
                <w:color w:val="000000"/>
                <w:sz w:val="24"/>
                <w:szCs w:val="24"/>
                <w:u w:val="none"/>
              </w:rPr>
            </w:pPr>
          </w:p>
        </w:tc>
      </w:tr>
      <w:tr w14:paraId="49CA2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26A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B16C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机柜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35A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1.规格：22U，19 英寸标准机柜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2.尺寸：宽 600mm × 深 800mm × 高 1166mm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3.材质：SPCC 优质冷轧钢板，立柱≥2.0mm，安装梁≥1.5mm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4.防护等级：IP2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5.表面处理：脱脂 / 磷化 / 静电喷塑，方孔条镀铝锌长沙政府采购网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6.承重：静态≥700kg</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7.结构：前门钢化玻璃 / 网孔门，后门网孔门，双侧可开</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8.散热：顶部通风 + 底部进风，配散热风扇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9.走线：顶部 / 侧面 / 底部多方位出线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10.标配：托盘 1 个、螺丝套件、门锁钥匙 2 套</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C2E3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5BB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256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2E98">
            <w:pPr>
              <w:jc w:val="center"/>
              <w:rPr>
                <w:rFonts w:hint="eastAsia" w:ascii="宋体" w:hAnsi="宋体" w:eastAsia="宋体" w:cs="宋体"/>
                <w:i w:val="0"/>
                <w:iCs w:val="0"/>
                <w:color w:val="000000"/>
                <w:sz w:val="24"/>
                <w:szCs w:val="24"/>
                <w:u w:val="none"/>
              </w:rPr>
            </w:pPr>
          </w:p>
        </w:tc>
      </w:tr>
      <w:tr w14:paraId="3660B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8A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1EB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线缆辅材</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8F8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HDMI线缆 音频线缆 卡侬线缆及套管等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22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6367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808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DB2A">
            <w:pPr>
              <w:jc w:val="center"/>
              <w:rPr>
                <w:rFonts w:hint="eastAsia" w:ascii="宋体" w:hAnsi="宋体" w:eastAsia="宋体" w:cs="宋体"/>
                <w:i w:val="0"/>
                <w:iCs w:val="0"/>
                <w:color w:val="000000"/>
                <w:sz w:val="24"/>
                <w:szCs w:val="24"/>
                <w:u w:val="none"/>
              </w:rPr>
            </w:pPr>
          </w:p>
        </w:tc>
      </w:tr>
      <w:tr w14:paraId="1135F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4F30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8舞台机械幕布灯光系统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8866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DFF20">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107BC">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CA6DC">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DFD3">
            <w:pPr>
              <w:jc w:val="center"/>
              <w:rPr>
                <w:rFonts w:hint="eastAsia" w:ascii="宋体" w:hAnsi="宋体" w:eastAsia="宋体" w:cs="宋体"/>
                <w:i w:val="0"/>
                <w:iCs w:val="0"/>
                <w:color w:val="000000"/>
                <w:sz w:val="24"/>
                <w:szCs w:val="24"/>
                <w:u w:val="none"/>
              </w:rPr>
            </w:pPr>
          </w:p>
        </w:tc>
      </w:tr>
      <w:tr w14:paraId="26E4C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7CE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1)大报告厅机械幕布系统</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BE5CB">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476FF">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5A8BD">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C993">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0827E">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D7D9B">
            <w:pPr>
              <w:jc w:val="center"/>
              <w:rPr>
                <w:rFonts w:hint="eastAsia" w:ascii="宋体" w:hAnsi="宋体" w:eastAsia="宋体" w:cs="宋体"/>
                <w:i w:val="0"/>
                <w:iCs w:val="0"/>
                <w:color w:val="000000"/>
                <w:sz w:val="24"/>
                <w:szCs w:val="24"/>
                <w:u w:val="none"/>
              </w:rPr>
            </w:pPr>
          </w:p>
        </w:tc>
      </w:tr>
      <w:tr w14:paraId="0BAA0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B5D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E84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舞台灯光幕布基础架构</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09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1.钢结构轮廓式若干12号槽钢主承重大梁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2.5道100*100方钢吊点梁                     3.栅顶钢结构完全吊挂在舞台建筑屋架下</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A4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中邦智能/北特圣迪/宁波大丰</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030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项</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BDFB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1E064">
            <w:pPr>
              <w:jc w:val="center"/>
              <w:rPr>
                <w:rFonts w:hint="eastAsia" w:ascii="宋体" w:hAnsi="宋体" w:eastAsia="宋体" w:cs="宋体"/>
                <w:i w:val="0"/>
                <w:iCs w:val="0"/>
                <w:color w:val="000000"/>
                <w:sz w:val="24"/>
                <w:szCs w:val="24"/>
                <w:u w:val="none"/>
              </w:rPr>
            </w:pPr>
          </w:p>
        </w:tc>
      </w:tr>
      <w:tr w14:paraId="70285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BDA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F65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固定面光灯吊杆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112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1.50焊管工字形制作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2.多点钢丝绳吊挂在建筑屋架下方</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75D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中邦智能/北特圣迪/宁波大丰</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390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道</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FB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980B3">
            <w:pPr>
              <w:jc w:val="center"/>
              <w:rPr>
                <w:rFonts w:hint="eastAsia" w:ascii="宋体" w:hAnsi="宋体" w:eastAsia="宋体" w:cs="宋体"/>
                <w:i w:val="0"/>
                <w:iCs w:val="0"/>
                <w:color w:val="000000"/>
                <w:sz w:val="24"/>
                <w:szCs w:val="24"/>
                <w:u w:val="none"/>
              </w:rPr>
            </w:pPr>
          </w:p>
        </w:tc>
      </w:tr>
      <w:tr w14:paraId="00B5C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D547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DECD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固定幕布吊杆（1道前檐幕,3道横条幕）</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3C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1.50焊管工字形制作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2.5点钢丝绳吊挂在舞台栅顶下方</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7B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中邦智能/北特圣迪/宁波大丰</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0B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道</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09F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BEF20">
            <w:pPr>
              <w:jc w:val="center"/>
              <w:rPr>
                <w:rFonts w:hint="eastAsia" w:ascii="宋体" w:hAnsi="宋体" w:eastAsia="宋体" w:cs="宋体"/>
                <w:i w:val="0"/>
                <w:iCs w:val="0"/>
                <w:color w:val="000000"/>
                <w:sz w:val="24"/>
                <w:szCs w:val="24"/>
                <w:u w:val="none"/>
              </w:rPr>
            </w:pPr>
          </w:p>
        </w:tc>
      </w:tr>
      <w:tr w14:paraId="3A95A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2E8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75E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变频调速对开大幕系统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EFCE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1.滚筒式变频调速对开幕机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2.最大牵引：500N</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3.运行速度：0.01-1.0m/s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4.噪    音：≤50db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5.电机功率：1100W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6.电源：AC380/50Hz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7.L40×4 架结构轨道含滑轮、跑车、挂钩、限位等 轨道固定吊挂在舞台栅顶下方</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FB9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中邦智能/北特圣迪/宁波大丰</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3C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E9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347AB">
            <w:pPr>
              <w:jc w:val="center"/>
              <w:rPr>
                <w:rFonts w:hint="eastAsia" w:ascii="宋体" w:hAnsi="宋体" w:eastAsia="宋体" w:cs="宋体"/>
                <w:i w:val="0"/>
                <w:iCs w:val="0"/>
                <w:color w:val="000000"/>
                <w:sz w:val="24"/>
                <w:szCs w:val="24"/>
                <w:u w:val="none"/>
              </w:rPr>
            </w:pPr>
          </w:p>
        </w:tc>
      </w:tr>
      <w:tr w14:paraId="2CAE4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5E2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A5C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固定灯光吊杆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3661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1.50焊管工字形制作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2.5点钢丝绳吊挂在舞台栅顶下方</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A17E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中邦智能/北特圣迪/宁波大丰</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9BB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道</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C18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C382F">
            <w:pPr>
              <w:jc w:val="center"/>
              <w:rPr>
                <w:rFonts w:hint="eastAsia" w:ascii="宋体" w:hAnsi="宋体" w:eastAsia="宋体" w:cs="宋体"/>
                <w:i w:val="0"/>
                <w:iCs w:val="0"/>
                <w:color w:val="000000"/>
                <w:sz w:val="24"/>
                <w:szCs w:val="24"/>
                <w:u w:val="none"/>
              </w:rPr>
            </w:pPr>
          </w:p>
        </w:tc>
      </w:tr>
      <w:tr w14:paraId="6D847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A74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0E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匀速对开底幕系统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34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1.滚筒式铝合金匀速对开幕机（机限位）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2.最大牵引：500N</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3.运行速度：0.35m/s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4.噪    音：≤50db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5.电机功率：1100W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6.电源：AC380/50Hz                       7.L40×4 架结构轨道含滑轮、跑车、挂钩、限位等 轨道固定吊挂在舞台栅顶下方</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72D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中邦智能/北特圣迪/宁波大丰</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C3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C1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030CD">
            <w:pPr>
              <w:jc w:val="center"/>
              <w:rPr>
                <w:rFonts w:hint="eastAsia" w:ascii="宋体" w:hAnsi="宋体" w:eastAsia="宋体" w:cs="宋体"/>
                <w:i w:val="0"/>
                <w:iCs w:val="0"/>
                <w:color w:val="000000"/>
                <w:sz w:val="24"/>
                <w:szCs w:val="24"/>
                <w:u w:val="none"/>
              </w:rPr>
            </w:pPr>
          </w:p>
        </w:tc>
      </w:tr>
      <w:tr w14:paraId="35A2F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564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52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舞台机械控制系统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8917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1.WDK-2L，模拟点控，控制大幕和底幕对开，含电源指示，相序保护装置，含大幕变频调速</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3B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中邦智能/北特圣迪/宁波大丰</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E5C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项</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BDF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B5762">
            <w:pPr>
              <w:jc w:val="center"/>
              <w:rPr>
                <w:rFonts w:hint="eastAsia" w:ascii="宋体" w:hAnsi="宋体" w:eastAsia="宋体" w:cs="宋体"/>
                <w:i w:val="0"/>
                <w:iCs w:val="0"/>
                <w:color w:val="000000"/>
                <w:sz w:val="24"/>
                <w:szCs w:val="24"/>
                <w:u w:val="none"/>
              </w:rPr>
            </w:pPr>
          </w:p>
        </w:tc>
      </w:tr>
      <w:tr w14:paraId="7B663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37D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C4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航空钢丝绳</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8C06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Φ4.2mm 6*19结构</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22C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国标</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E63F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4FC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1972">
            <w:pPr>
              <w:jc w:val="center"/>
              <w:rPr>
                <w:rFonts w:hint="eastAsia" w:ascii="宋体" w:hAnsi="宋体" w:eastAsia="宋体" w:cs="宋体"/>
                <w:i w:val="0"/>
                <w:iCs w:val="0"/>
                <w:color w:val="000000"/>
                <w:sz w:val="24"/>
                <w:szCs w:val="24"/>
                <w:u w:val="none"/>
              </w:rPr>
            </w:pPr>
          </w:p>
        </w:tc>
      </w:tr>
      <w:tr w14:paraId="77FF5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FD9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902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前檐幕</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3A23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1.材质：金丝绒                         2.推荐颜色：玫红色（颜色可选）                 3.尺寸：宽20米x高1.2米x4褶1x1幅</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4.其他：满足国家消防装备质量B1级阻燃要求             5.衬里和面料同材质同颜色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177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中邦/金华冠/河北万里</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0629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29F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F99AE">
            <w:pPr>
              <w:jc w:val="center"/>
              <w:rPr>
                <w:rFonts w:hint="eastAsia" w:ascii="宋体" w:hAnsi="宋体" w:eastAsia="宋体" w:cs="宋体"/>
                <w:i w:val="0"/>
                <w:iCs w:val="0"/>
                <w:color w:val="000000"/>
                <w:sz w:val="24"/>
                <w:szCs w:val="24"/>
                <w:u w:val="none"/>
              </w:rPr>
            </w:pPr>
          </w:p>
        </w:tc>
      </w:tr>
      <w:tr w14:paraId="156FA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638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E1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大幕</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F51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1.材质：金丝绒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2.推荐颜色：玫红色（颜色可选）                 3.尺寸：宽11米x高6.5米x4褶1x2片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4.其他：满足国家消防装备质量B1级阻燃要求             5.衬里和面料同材质同颜色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FCC1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中邦/金华冠/河北万里</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C00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CB9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572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C8368">
            <w:pPr>
              <w:jc w:val="center"/>
              <w:rPr>
                <w:rFonts w:hint="eastAsia" w:ascii="宋体" w:hAnsi="宋体" w:eastAsia="宋体" w:cs="宋体"/>
                <w:i w:val="0"/>
                <w:iCs w:val="0"/>
                <w:color w:val="000000"/>
                <w:sz w:val="24"/>
                <w:szCs w:val="24"/>
                <w:u w:val="none"/>
              </w:rPr>
            </w:pPr>
          </w:p>
        </w:tc>
      </w:tr>
      <w:tr w14:paraId="57B39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09F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8B9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横条幕1</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040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1.材质：金丝绒                         2.推荐颜色：玫红色 （颜色可选）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3.尺寸：宽19米x高1.2米x4褶1x1道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4.其他：满足国家消防装备质量B1级阻燃要求            5.衬里和面料同材质同颜色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4B1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中邦/金华冠/河北万里</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D4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59B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91.2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470BF">
            <w:pPr>
              <w:jc w:val="center"/>
              <w:rPr>
                <w:rFonts w:hint="eastAsia" w:ascii="宋体" w:hAnsi="宋体" w:eastAsia="宋体" w:cs="宋体"/>
                <w:i w:val="0"/>
                <w:iCs w:val="0"/>
                <w:color w:val="000000"/>
                <w:sz w:val="24"/>
                <w:szCs w:val="24"/>
                <w:u w:val="none"/>
              </w:rPr>
            </w:pPr>
          </w:p>
        </w:tc>
      </w:tr>
      <w:tr w14:paraId="34AE9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DE6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703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横条幕2</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2B0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1.材质：金丝绒                         2.推荐颜色：玫红色 （颜色可选）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3.尺寸：宽15.7米x高1.2米x4褶1x2道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4.其他：满足国家消防装备质量B1级阻燃要求            5.衬里和面料同材质同颜色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E48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中邦/金华冠/河北万里</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8A2C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D56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150.72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796A5">
            <w:pPr>
              <w:jc w:val="center"/>
              <w:rPr>
                <w:rFonts w:hint="eastAsia" w:ascii="宋体" w:hAnsi="宋体" w:eastAsia="宋体" w:cs="宋体"/>
                <w:i w:val="0"/>
                <w:iCs w:val="0"/>
                <w:color w:val="000000"/>
                <w:sz w:val="24"/>
                <w:szCs w:val="24"/>
                <w:u w:val="none"/>
              </w:rPr>
            </w:pPr>
          </w:p>
        </w:tc>
      </w:tr>
      <w:tr w14:paraId="45FFE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9E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633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底幕</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9AB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1.材质：金丝绒                         2.推荐颜色：浅驼色（颜色可选）                 3.尺寸：宽9米x高6.5米x4褶1x2片                 4.其他：满足国家消防装备质量B1级阻燃要求            5.衬里和面料同材质同颜色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F65E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中邦/金华冠/河北万里</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F8D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2975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468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D8383">
            <w:pPr>
              <w:jc w:val="center"/>
              <w:rPr>
                <w:rFonts w:hint="eastAsia" w:ascii="宋体" w:hAnsi="宋体" w:eastAsia="宋体" w:cs="宋体"/>
                <w:i w:val="0"/>
                <w:iCs w:val="0"/>
                <w:color w:val="000000"/>
                <w:sz w:val="24"/>
                <w:szCs w:val="24"/>
                <w:u w:val="none"/>
              </w:rPr>
            </w:pPr>
          </w:p>
        </w:tc>
      </w:tr>
      <w:tr w14:paraId="5F1B7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EE9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2)大报告厅舞台灯光系统</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06F8">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A3A7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A91D3">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477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8322">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3F31F">
            <w:pPr>
              <w:jc w:val="center"/>
              <w:rPr>
                <w:rFonts w:hint="eastAsia" w:ascii="宋体" w:hAnsi="宋体" w:eastAsia="宋体" w:cs="宋体"/>
                <w:i w:val="0"/>
                <w:iCs w:val="0"/>
                <w:color w:val="000000"/>
                <w:sz w:val="24"/>
                <w:szCs w:val="24"/>
                <w:u w:val="none"/>
              </w:rPr>
            </w:pPr>
          </w:p>
        </w:tc>
      </w:tr>
      <w:tr w14:paraId="41401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1547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D7CB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LED影视会议灯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D3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1.输入电压：AC100-240V/50/60HZ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2.消耗功率：260W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3.光源：432颗0.5W5730LED</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4.光源寿命：50000小时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5.色温：3200K/5600K单色或3200K-5600K双色可选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6.显色指数：Ra≥95 TLCI&gt;95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7.发光角度：120°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8.调光：0~100%线性电子调光（16bit无闪烁调光）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9.频闪：快速电子频闪,1~30次/秒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10.控制模式:标准DMX512信号，手动调光、频闪，主从模式同步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11.控制通道：单色2CH,双色4CH</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12.显示屏:LCD显示屏+四个按键面板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13.散热系统:无风机(静音)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14.保护：内置NTC温度控测功能，当LED工作过热时，降低LED的输出功率。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15.驱动方式：恒流驱动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16.灯体温度：≥55℃</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17.防护等级：IP20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903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浩洋电子、珠江、彩熠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8F1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A6C3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4ADA2">
            <w:pPr>
              <w:jc w:val="center"/>
              <w:rPr>
                <w:rFonts w:hint="eastAsia" w:ascii="宋体" w:hAnsi="宋体" w:eastAsia="宋体" w:cs="宋体"/>
                <w:i w:val="0"/>
                <w:iCs w:val="0"/>
                <w:color w:val="000000"/>
                <w:sz w:val="24"/>
                <w:szCs w:val="24"/>
                <w:u w:val="none"/>
              </w:rPr>
            </w:pPr>
          </w:p>
        </w:tc>
      </w:tr>
      <w:tr w14:paraId="4EB7C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075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BF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200W LED定焦成像灯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5D1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1.电压：AC90V-260V50-60Hz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2.消耗功率：260W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3.光源：LED200W/300W（可选）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4.寿命：≥50,000小时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5.色温：5600K冷白,3200K暖白（可选）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6.显色指数(CRI):Ra≥95，最高可达97</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7.发光角度:19°（26°/36°/50°可选）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8.9.调光：0-100%线性电子调光，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9.调光曲线：4种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10.调距：可手动调节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11.频闪:1-25次/秒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12.控制模式：RDM,DMX512，主从机同步，单机自走程序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13.通道：2/4CH（单色），3/6CH（双色）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14.控制面板：LCD显示屏+4个轻触开关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15.散热：静音风机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16.保护：内置NTC温度控测功能，当LED工作过热时，降低LED的输出功率。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17.工作温度:-30~40℃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18.外壳材料：压铸铝，塑料，铁</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B3A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浩洋电子、珠江、彩熠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D4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104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FE80">
            <w:pPr>
              <w:jc w:val="center"/>
              <w:rPr>
                <w:rFonts w:hint="eastAsia" w:ascii="宋体" w:hAnsi="宋体" w:eastAsia="宋体" w:cs="宋体"/>
                <w:i w:val="0"/>
                <w:iCs w:val="0"/>
                <w:color w:val="000000"/>
                <w:sz w:val="24"/>
                <w:szCs w:val="24"/>
                <w:u w:val="none"/>
              </w:rPr>
            </w:pPr>
          </w:p>
        </w:tc>
      </w:tr>
      <w:tr w14:paraId="21C12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F0CC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40F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LED染色灯（帕灯定焦）</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134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1.电压:AC100-240V50/60Hz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2.消耗功率：180W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3.LED光源:54颗*3WRGBWLED</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4.颜色：红绿蓝白(R14,G14,B14,W12)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5.透镜角度:25°（15°、45°可选）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6.色温：3200K-7800K可线性调节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7.调光：0-100%线性电子调光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8.频闪：1-25次/秒稳定平滑，&gt;256线性频闪调节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9.控制模式:DMX512,主从，自走,声控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10.通道:8CH</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11.可承温度：可承受40°C最大环境使用温度，可承受60°最大灯体温度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12.性能特点：内置自走功能，60000-100000小时灯珠寿命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13.散热：定制风扇，智能调节转速和噪音</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14.保护：内置NTC温度测控功能，当LED工作过热时，降低LED的输出功率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15.灯珠高亮、透镜采用黑色不易漏光,适用舞台演出场合。</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1FF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浩洋电子、珠江、彩熠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E1F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8DD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197B5">
            <w:pPr>
              <w:jc w:val="center"/>
              <w:rPr>
                <w:rFonts w:hint="eastAsia" w:ascii="宋体" w:hAnsi="宋体" w:eastAsia="宋体" w:cs="宋体"/>
                <w:i w:val="0"/>
                <w:iCs w:val="0"/>
                <w:color w:val="000000"/>
                <w:sz w:val="24"/>
                <w:szCs w:val="24"/>
                <w:u w:val="none"/>
              </w:rPr>
            </w:pPr>
          </w:p>
        </w:tc>
      </w:tr>
      <w:tr w14:paraId="1BCB5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254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E173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295W光束灯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C8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1.电压:AC100-240V50/60Hz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2.消耗功率：450W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3.光源规格:OSRAM295W灯泡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4.额定寿命:4500小时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5.光束角度:1.8°</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6.出光镜头:165mm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7.图案:一个固定图案盘，带17个图案+白圆，可实现流水，抖动效果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8.颜色:14个颜色+白光，具备半色及线性调节功能及双向彩虹效果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一个彩虹盘:6个颜色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9.棱镜:2个独立棱镜，12棱鏡，(8+16+24)棱镜，可独立双向旋转，可叠加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10.调焦：电子调焦（自动对焦）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11.调光:0-100%线性调光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12.频闪:随机频闪，脉冲频闪，1-25次/秒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13.雾化:1个独立雾化片，独立雾化效果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14.散热系统：SUNON静音风机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15.显示屏:LCD液晶触摸显示屏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16.软件:通过DMX连接更新软件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17.控制模式：DMX512,自走，主从，声控，内置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18.灯体旋转角度：水平540度;垂直270度；自动回位纠正功能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19.通道:17CH</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20.防护等级:IP20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C0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浩洋电子、珠江、彩熠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3C0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8AF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050D2">
            <w:pPr>
              <w:jc w:val="center"/>
              <w:rPr>
                <w:rFonts w:hint="eastAsia" w:ascii="宋体" w:hAnsi="宋体" w:eastAsia="宋体" w:cs="宋体"/>
                <w:i w:val="0"/>
                <w:iCs w:val="0"/>
                <w:color w:val="000000"/>
                <w:sz w:val="24"/>
                <w:szCs w:val="24"/>
                <w:u w:val="none"/>
              </w:rPr>
            </w:pPr>
          </w:p>
        </w:tc>
      </w:tr>
      <w:tr w14:paraId="2C7D5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943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287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LED 350W三合一摇头灯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(带CMY、CTO)</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589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1.电源:AC100-240V，50/60Hz</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2.消耗功率：450W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3.LED光源:350WLED模组灯珠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4.寿命：≥20000小时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5.图案图案:一个固定图案盘，带9个图案+白圆，可实现流水、抖动效果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一个旋转图案盘，带7个图案片(可插拨式)+白圆，可实现流水、抖动效果，图案自转定位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6.颜色:6色+白光，带半色和彩虹流水效果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7.CTO:线性CTO,线性色温调节(2800K-7800K)</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8.CMY盘:独立CMY，线性切入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9.棱镜:8棱镜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10.放大角度:4.5°-30°线性放大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11.调光:0-100%线性调光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12.频闪:1-22HZ,多种频闪效果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13.雾化:1个独立雾化片，独立雾化效果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14.调焦:电子调焦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15.显示屏:LCD液晶触摸显示屏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16.软件:通过DMX连接更新软件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17.通道:22CH</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18.控制模式:DMX512,自走，主从，声控，内置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19.灯体旋转角度:水平540度;垂直270度;16Bit精度微调及</w:t>
            </w:r>
            <w:r>
              <w:rPr>
                <w:rFonts w:hint="eastAsia" w:ascii="宋体" w:hAnsi="宋体" w:eastAsia="宋体" w:cs="宋体"/>
                <w:i w:val="0"/>
                <w:iCs w:val="0"/>
                <w:color w:val="000000"/>
                <w:kern w:val="0"/>
                <w:sz w:val="24"/>
                <w:szCs w:val="24"/>
                <w:u w:val="none"/>
                <w:lang w:val="en-US" w:eastAsia="zh-CN" w:bidi="ar"/>
              </w:rPr>
              <w:t>⾃</w:t>
            </w:r>
            <w:r>
              <w:rPr>
                <w:rFonts w:ascii="宋体" w:hAnsi="宋体" w:eastAsia="宋体" w:cs="宋体"/>
                <w:i w:val="0"/>
                <w:iCs w:val="0"/>
                <w:color w:val="000000"/>
                <w:kern w:val="0"/>
                <w:sz w:val="24"/>
                <w:szCs w:val="24"/>
                <w:u w:val="none"/>
                <w:lang w:val="en-US" w:eastAsia="zh-CN" w:bidi="ar"/>
              </w:rPr>
              <w:t>动回位纠正功能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20.防护等级:IP20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E3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浩洋电子、珠江、彩熠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F2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7B1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D54E">
            <w:pPr>
              <w:jc w:val="center"/>
              <w:rPr>
                <w:rFonts w:hint="eastAsia" w:ascii="宋体" w:hAnsi="宋体" w:eastAsia="宋体" w:cs="宋体"/>
                <w:i w:val="0"/>
                <w:iCs w:val="0"/>
                <w:color w:val="000000"/>
                <w:sz w:val="24"/>
                <w:szCs w:val="24"/>
                <w:u w:val="none"/>
              </w:rPr>
            </w:pPr>
          </w:p>
        </w:tc>
      </w:tr>
      <w:tr w14:paraId="60DEE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789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76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灯光控制台</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1CE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1.DMX512/1990标准，最大2048个DMX控制通道，四路光电隔离信号输出。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2.最大控制200台电脑灯或200路调光。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3.新增Art-net,内置模拟器功能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4.新增RDM双向输出,可在控台设置灯的地址码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5.使用珍珠灯库（R20格式灯库），且控台上可自行编写灯库。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6.带背光的LCD显示屏，首创的中英文显示可切换界面。面板中英文可选。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7.内置图形轨迹发生器，有227个内置图形，方便用户对电脑灯进行图形轨迹控制，如画圆、螺旋、彩虹、追逐等多种效果。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8.图形参数（如：振幅、速度、间隔、波浪、方向）均可独立设置，更方便快捷的做出想要的造型和场景。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9.每个场景可保存图形数量5个；同时可运行图形数量10个。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10.有节目录制功能，最多可储存100个节目，灯光秀演示一劳永逸。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11.有内置时间码和外置MIDI触发功能,让您轻松实现一键声光同步的炫丽灯光秀。</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12.场景能够实现交叠功能，图形有宽度参数，能够更快速的编程。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13.具有高级编组功。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14.可储存100个素材，素材共享或者独立素材均可随心设置。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15.素材储存模式有四种，素材储存和调用灵活便捷。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16.可储存150个重演场景，用于储存多步场景和单步场景。每个多步场景最多可储存600个单步。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17.可同时输出和运行15个重演场景。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18.带15根集控推杆。按键点控和推杆集控兼容。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19.支持重新配节地址码、垂直水平交换、通道输出反向等功能。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20.关机或者突发断电等情况数据可记忆保持。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21.U盘可备份控台数据，并支持重新导入到控台使用，同型号控台数据可共享。</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22.支持远程软件升级，随时随地增加新的功能。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23.具有预编程功能，离线事先编程，省事省心。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24.预置推杆可控制电脑灯的属性，属性控制更方便快捷。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25.支持立即黑场、场景互锁。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26.专业鹅颈工作灯，适合室内外演出使用。（选配）</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CB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浩洋电子、珠江、彩熠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AC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5980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BDA83">
            <w:pPr>
              <w:jc w:val="center"/>
              <w:rPr>
                <w:rFonts w:hint="eastAsia" w:ascii="宋体" w:hAnsi="宋体" w:eastAsia="宋体" w:cs="宋体"/>
                <w:i w:val="0"/>
                <w:iCs w:val="0"/>
                <w:color w:val="000000"/>
                <w:sz w:val="24"/>
                <w:szCs w:val="24"/>
                <w:u w:val="none"/>
              </w:rPr>
            </w:pPr>
          </w:p>
        </w:tc>
      </w:tr>
      <w:tr w14:paraId="09A43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FE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C5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8路光电隔离放大器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152C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1.1U设计，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2.支持RDM功能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3.1个DMX输入口，8个DMX输出口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4.DMX信号优化和整形放大，延长DMX信号传输距离</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5.DMX信号分配功能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6.采用高压光电隔离技术，隔离电压＞1000V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7.宽电压AC100V~240V50/60Hz，电源线可串联</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086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浩洋电子、珠江、彩熠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770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E50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1BB6E">
            <w:pPr>
              <w:jc w:val="center"/>
              <w:rPr>
                <w:rFonts w:hint="eastAsia" w:ascii="宋体" w:hAnsi="宋体" w:eastAsia="宋体" w:cs="宋体"/>
                <w:i w:val="0"/>
                <w:iCs w:val="0"/>
                <w:color w:val="000000"/>
                <w:sz w:val="24"/>
                <w:szCs w:val="24"/>
                <w:u w:val="none"/>
              </w:rPr>
            </w:pPr>
          </w:p>
        </w:tc>
      </w:tr>
      <w:tr w14:paraId="325C7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6D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A82E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油性薄雾机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162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1.电压：AC220-230V/AC110-120V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2.功率：750W</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3.保险：5A/10A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4.首次预热时间：无需</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5.温控方式：电子恒温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6.雾量调节：不支持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7.烟雾输出量：3500Cuft/min</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8.是否可持续输出：是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9.耗油量：约25小时/升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10.油桶容量：3.2升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11.风速调节：支持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12.风向调节：支持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13.机器自带手动控制方式：LCD液晶显示面板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14.随机附含控制器：遥控器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15.控制协议：DMX512</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16.DMX通道：2CH</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17.DMX输入和输出：3针XLR和5针XLR</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9A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浩洋电子、珠江、彩熠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09B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EAA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A4966">
            <w:pPr>
              <w:jc w:val="center"/>
              <w:rPr>
                <w:rFonts w:hint="eastAsia" w:ascii="宋体" w:hAnsi="宋体" w:eastAsia="宋体" w:cs="宋体"/>
                <w:i w:val="0"/>
                <w:iCs w:val="0"/>
                <w:color w:val="000000"/>
                <w:sz w:val="24"/>
                <w:szCs w:val="24"/>
                <w:u w:val="none"/>
              </w:rPr>
            </w:pPr>
          </w:p>
        </w:tc>
      </w:tr>
      <w:tr w14:paraId="4AB0E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CAF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12E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油性雾油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（1L）</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72C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1L/瓶 6瓶/箱</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B97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浩洋电子、珠江、彩熠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D3C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153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13E75">
            <w:pPr>
              <w:jc w:val="center"/>
              <w:rPr>
                <w:rFonts w:hint="eastAsia" w:ascii="宋体" w:hAnsi="宋体" w:eastAsia="宋体" w:cs="宋体"/>
                <w:i w:val="0"/>
                <w:iCs w:val="0"/>
                <w:color w:val="000000"/>
                <w:sz w:val="24"/>
                <w:szCs w:val="24"/>
                <w:u w:val="none"/>
              </w:rPr>
            </w:pPr>
          </w:p>
        </w:tc>
      </w:tr>
      <w:tr w14:paraId="4A915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EDA9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669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24路DMX控制直通柜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EAD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1.供电:三相五线制AC380V，频率50Hz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2.输入:200A犀牛插，UK-35N端子。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3.输出:AC220v，设有24*32A胶木插每路4kw适用于任何负载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4.带有德力西/63A/3P总空开2个，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5.支路配备德力西32A/1P二级保护开关24个</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6.主电箱采用4x20mm铜排连接，分电箱主线为16mm²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7.每路带LED通电指示灯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8.三相智能数字电流电压表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9.带有DMX512控制，外加一个网口连接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10.箱内带有信号输出都为128网屏蔽线更稳定</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11.显示屏为液晶TTL彩屏.显示更加直观</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CA8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浩洋电子、珠江、彩熠</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6E8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75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9070D">
            <w:pPr>
              <w:jc w:val="center"/>
              <w:rPr>
                <w:rFonts w:hint="eastAsia" w:ascii="宋体" w:hAnsi="宋体" w:eastAsia="宋体" w:cs="宋体"/>
                <w:i w:val="0"/>
                <w:iCs w:val="0"/>
                <w:color w:val="000000"/>
                <w:sz w:val="24"/>
                <w:szCs w:val="24"/>
                <w:u w:val="none"/>
              </w:rPr>
            </w:pPr>
          </w:p>
        </w:tc>
      </w:tr>
      <w:tr w14:paraId="1C9FE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07A8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9能耗监测系统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B305">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72DE0">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368FC">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A3F12">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16932">
            <w:pPr>
              <w:jc w:val="center"/>
              <w:rPr>
                <w:rFonts w:hint="eastAsia" w:ascii="宋体" w:hAnsi="宋体" w:eastAsia="宋体" w:cs="宋体"/>
                <w:i w:val="0"/>
                <w:iCs w:val="0"/>
                <w:color w:val="000000"/>
                <w:sz w:val="24"/>
                <w:szCs w:val="24"/>
                <w:u w:val="none"/>
              </w:rPr>
            </w:pPr>
          </w:p>
        </w:tc>
      </w:tr>
      <w:tr w14:paraId="0385D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613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CDD1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工作站</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69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业主自备利旧老校区搬迁来 在13项其他 中整体综合考虑 此项无需报价</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063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业主</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729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1B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B2396">
            <w:pPr>
              <w:jc w:val="center"/>
              <w:rPr>
                <w:rFonts w:hint="eastAsia" w:ascii="宋体" w:hAnsi="宋体" w:eastAsia="宋体" w:cs="宋体"/>
                <w:i w:val="0"/>
                <w:iCs w:val="0"/>
                <w:color w:val="000000"/>
                <w:sz w:val="24"/>
                <w:szCs w:val="24"/>
                <w:u w:val="none"/>
              </w:rPr>
            </w:pPr>
          </w:p>
        </w:tc>
      </w:tr>
      <w:tr w14:paraId="34075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62E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B6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能源管理系统软件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CD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数据监测网络版，标准能耗模块，BS系统，数据库Mysql，数据保存时间无限制。平台需具备能耗数据实时采集、远程通讯 、数据清洗、数据储存、数据分析、数据可视化、数据上传等基本功能，另须满足以下要求： 1.配电分析：实时和定时采集现场设备的各电参量及开关量状态（包括三相电压、电流、功率、功率因数、频率、电能、开关位置、设备运行状态等），监测输入电量和输出电量，系统实时监测整个配电系统的不平衡率; 2.能耗监测：支持用能概况、能耗趋势、同比分析、环比分析、分项概况、分项同比分析、分项统计、能耗排名、峰谷电统计、实时抄表等功能; 3.实时数据监测：能够快速检索到表具，并清晰的展示单个水电表当前的读数，比如电表对应的当前总用电量，并且显示读数对应的最新采集时间; 4.预警分析功能：对仪表的实时状态进行监控，发现异常时立即进行告警提示；可以设定能耗阈值一旦超过或低于阈值时触发预警或告警，并通过平台播报/短信/邮箱等形式通知; 5.碳排管理： 支持建筑运行阶段碳排放统计; 6.报表管理：支持多种维度的统计，如对各类能耗进行统计，可按照日、月、年等进行筛选统计，并生成报表。</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D07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南京清优、上海科博瑞、重庆特锐斯</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EFD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572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4351">
            <w:pPr>
              <w:jc w:val="center"/>
              <w:rPr>
                <w:rFonts w:hint="eastAsia" w:ascii="宋体" w:hAnsi="宋体" w:eastAsia="宋体" w:cs="宋体"/>
                <w:i w:val="0"/>
                <w:iCs w:val="0"/>
                <w:color w:val="000000"/>
                <w:sz w:val="24"/>
                <w:szCs w:val="24"/>
                <w:u w:val="none"/>
              </w:rPr>
            </w:pPr>
          </w:p>
        </w:tc>
      </w:tr>
      <w:tr w14:paraId="6A936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9B4B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4EF3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终端数据采集器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45F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1.符合《国家机关办公建筑及大型公共建筑分项能耗数据采集技术导则》要求；数据上行支持XML、MQTT等物联网协议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2.数据采集器应具备远传数据包添加能耗类型、时间、行政区划代码编码、建筑类别编码、建筑识别编码、分类能耗指编码、分项能耗编码等附加信息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3.数据采集器应具备根据数据中心命令采集和主动定时采集两种数据采集模式，且定时采集周期可以从1秒到1小时灵活配置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4.数据采集器应具备对数据采集子系统故障的定位和诊断，并支持向数据中心上报故障信息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5.工作电压DC12-24V，功率小于10W；不少于4路RS485通讯接口，1路工业以太网接口；支持网络远程配置，具有内嵌 WEBServer 服务功能且配置信息可以导出，采集接口协议：支持DL/T645-1997/2007协议、CJ/T188-2004协议、MODBUS(GB/T19582-2008)协议；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数据采集器应具备同时对不同用能种类的计量装置进行数据采集，包括电能表（含单相电能表、三相电能表、多功能电能表）、水表、燃气表、热（冷）量表等，支持解析协议，加、减、乘运算，支持非标协议定制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7.数据采集器应具备能耗数据加密（MD5加密、AES加密）、远程 SFTP/SSH/TELNET管理功能，支持多个服务器上传。 8.采集器应具备自动恢复功能，在无人值守情况下可以从故障中恢复正常工作状态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9.为保证数据完整性，数据采集器应配置不小于16G的专用存储空间，支持对能耗离线数据60天以上的存储。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10.采集器根据计量装置量程的最大值和最小值进行验证，累积能耗小于上一次的采集读数属于无效数据，不予录入数据库。</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11.数据采集器应具备能耗数据断点续传，如因传输网络故障等原因未能将数据定时远传，则待传输网络恢复正常后数据采集器应利用存储的数据进行断点续传。</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12.数据采集器应符合国家和行业的相关电磁兼容性标准要求，产品电磁兼容性符合GB/T17626《电磁兼容试验和测量技术 》要求。</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577A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南京清优、上海科博瑞、重庆特锐斯</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CA4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873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BA013">
            <w:pPr>
              <w:jc w:val="center"/>
              <w:rPr>
                <w:rFonts w:hint="eastAsia" w:ascii="宋体" w:hAnsi="宋体" w:eastAsia="宋体" w:cs="宋体"/>
                <w:i w:val="0"/>
                <w:iCs w:val="0"/>
                <w:color w:val="000000"/>
                <w:sz w:val="24"/>
                <w:szCs w:val="24"/>
                <w:u w:val="none"/>
              </w:rPr>
            </w:pPr>
          </w:p>
        </w:tc>
      </w:tr>
      <w:tr w14:paraId="5486B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80F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E85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能耗箱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17AD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400*300*200mm，含空开、电源开关等成套</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8B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南京清优、上海科博瑞、重庆特锐斯</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141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725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7381C">
            <w:pPr>
              <w:jc w:val="center"/>
              <w:rPr>
                <w:rFonts w:hint="eastAsia" w:ascii="宋体" w:hAnsi="宋体" w:eastAsia="宋体" w:cs="宋体"/>
                <w:i w:val="0"/>
                <w:iCs w:val="0"/>
                <w:color w:val="000000"/>
                <w:sz w:val="24"/>
                <w:szCs w:val="24"/>
                <w:u w:val="none"/>
              </w:rPr>
            </w:pPr>
          </w:p>
        </w:tc>
      </w:tr>
      <w:tr w14:paraId="09F8E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11D5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10机房系统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525F">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74C7">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A2E3C">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B025">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BB06">
            <w:pPr>
              <w:jc w:val="center"/>
              <w:rPr>
                <w:rFonts w:hint="eastAsia" w:ascii="宋体" w:hAnsi="宋体" w:eastAsia="宋体" w:cs="宋体"/>
                <w:i w:val="0"/>
                <w:iCs w:val="0"/>
                <w:color w:val="000000"/>
                <w:sz w:val="24"/>
                <w:szCs w:val="24"/>
                <w:u w:val="none"/>
              </w:rPr>
            </w:pPr>
          </w:p>
        </w:tc>
      </w:tr>
      <w:tr w14:paraId="7EBB7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17E07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1)机房装修</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2D0D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6B8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9A64">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ED9D">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4707">
            <w:pPr>
              <w:jc w:val="center"/>
              <w:rPr>
                <w:rFonts w:hint="eastAsia" w:ascii="宋体" w:hAnsi="宋体" w:eastAsia="宋体" w:cs="宋体"/>
                <w:i w:val="0"/>
                <w:iCs w:val="0"/>
                <w:color w:val="000000"/>
                <w:sz w:val="24"/>
                <w:szCs w:val="24"/>
                <w:u w:val="none"/>
              </w:rPr>
            </w:pPr>
          </w:p>
        </w:tc>
      </w:tr>
      <w:tr w14:paraId="1E059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97B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0E9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防静电地板含安装辅材</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5D34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1.规格：600*600*35mm，高耐磨1.0mm厚HPL贴面，底边采用0.5mm镀锌钢板封底，四周导电胶条封边并以合成条密封保护；</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2.板幅极限偏差：0-0.4mm；板厚极限偏差：±0.3mm；表面平整度：≤0.6mm；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3.集中荷载：≥567kg，挠度≤2mm；均布荷载：≥33000N/㎡，挠度≤2mm；极限荷载≥16650N；滚动荷载：≥4450N，滚动10000次，挠度≤2mm，永久变形≤0.5mm；表面电阻：106-1010Ω；耐磨：≥3000转；</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4.板基：硫酸钙防静电地板采用强化纤维的硫酸钙，属建筑物料A2等级（按DIN4102PART1标准）或A1等级（按DIN EN13501标准）地板的边位经磨滑处理，防止机械损坏及潮湿变形；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5.防火性能：不燃A级；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845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沈飞、创星、电盾</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4D5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平方米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045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2CE86">
            <w:pPr>
              <w:jc w:val="center"/>
              <w:rPr>
                <w:rFonts w:hint="eastAsia" w:ascii="宋体" w:hAnsi="宋体" w:eastAsia="宋体" w:cs="宋体"/>
                <w:i w:val="0"/>
                <w:iCs w:val="0"/>
                <w:color w:val="000000"/>
                <w:sz w:val="24"/>
                <w:szCs w:val="24"/>
                <w:u w:val="none"/>
              </w:rPr>
            </w:pPr>
          </w:p>
        </w:tc>
      </w:tr>
      <w:tr w14:paraId="3F213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C27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F1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微孔铝合金天棚 600*600</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0DC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1.规格：600×600mm（标准工程板）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2.类型：微孔冲孔（吸音 / 通风），背面常贴吸音无纺布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3.厚度：0.6mm / 0.7mm / 0.8mm / 1.0mm（主流 0.7–0.8mm）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4.表面：聚酯滚涂 / 粉末喷涂（白色为主）</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5.龙骨：配套 T 型主副龙骨（明架 / 暗架）</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4B1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力思龙、易博仕、豪亚</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77A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平方米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0997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EECBE">
            <w:pPr>
              <w:jc w:val="center"/>
              <w:rPr>
                <w:rFonts w:hint="eastAsia" w:ascii="宋体" w:hAnsi="宋体" w:eastAsia="宋体" w:cs="宋体"/>
                <w:i w:val="0"/>
                <w:iCs w:val="0"/>
                <w:color w:val="000000"/>
                <w:sz w:val="24"/>
                <w:szCs w:val="24"/>
                <w:u w:val="none"/>
              </w:rPr>
            </w:pPr>
          </w:p>
        </w:tc>
      </w:tr>
      <w:tr w14:paraId="34EA0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C74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AE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格栅灯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91E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600×600mmLED平板灯</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B7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美的、欧普、飞利浦</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23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FFA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DA0B8">
            <w:pPr>
              <w:jc w:val="center"/>
              <w:rPr>
                <w:rFonts w:hint="eastAsia" w:ascii="宋体" w:hAnsi="宋体" w:eastAsia="宋体" w:cs="宋体"/>
                <w:i w:val="0"/>
                <w:iCs w:val="0"/>
                <w:color w:val="000000"/>
                <w:sz w:val="24"/>
                <w:szCs w:val="24"/>
                <w:u w:val="none"/>
              </w:rPr>
            </w:pPr>
          </w:p>
        </w:tc>
      </w:tr>
      <w:tr w14:paraId="3076B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7D03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B4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灯开关</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D88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双联双控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02C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美的、欧普、飞利浦</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3FF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86F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A1CC">
            <w:pPr>
              <w:jc w:val="center"/>
              <w:rPr>
                <w:rFonts w:hint="eastAsia" w:ascii="宋体" w:hAnsi="宋体" w:eastAsia="宋体" w:cs="宋体"/>
                <w:i w:val="0"/>
                <w:iCs w:val="0"/>
                <w:color w:val="000000"/>
                <w:sz w:val="24"/>
                <w:szCs w:val="24"/>
                <w:u w:val="none"/>
              </w:rPr>
            </w:pPr>
          </w:p>
        </w:tc>
      </w:tr>
      <w:tr w14:paraId="5AF49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C3F5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5659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照明灯具电源线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E3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RVV3*1.5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4F81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3C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F71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04A0E">
            <w:pPr>
              <w:jc w:val="center"/>
              <w:rPr>
                <w:rFonts w:hint="eastAsia" w:ascii="宋体" w:hAnsi="宋体" w:eastAsia="宋体" w:cs="宋体"/>
                <w:i w:val="0"/>
                <w:iCs w:val="0"/>
                <w:color w:val="000000"/>
                <w:sz w:val="24"/>
                <w:szCs w:val="24"/>
                <w:u w:val="none"/>
              </w:rPr>
            </w:pPr>
          </w:p>
        </w:tc>
      </w:tr>
      <w:tr w14:paraId="76B75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E55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354A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UPS底座</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B3E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8#槽钢焊接制作，表面做磨平处理、刷防锈漆，高度与静电地板齐平，四周4#角钢焊接地板支撑脚，与地面固定，具体做法及尺寸依图纸施工或根据现场情况及设备品牌实际；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01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6E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02A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9F224">
            <w:pPr>
              <w:jc w:val="center"/>
              <w:rPr>
                <w:rFonts w:hint="eastAsia" w:ascii="宋体" w:hAnsi="宋体" w:eastAsia="宋体" w:cs="宋体"/>
                <w:i w:val="0"/>
                <w:iCs w:val="0"/>
                <w:color w:val="000000"/>
                <w:sz w:val="24"/>
                <w:szCs w:val="24"/>
                <w:u w:val="none"/>
              </w:rPr>
            </w:pPr>
          </w:p>
        </w:tc>
      </w:tr>
      <w:tr w14:paraId="7A787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631D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87B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电池散力支架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6FD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8#槽钢焊接制作，表面做磨平处理、刷防锈漆，高度与静电地板齐平，四周4#角钢焊接地板支撑脚，与地面固定，具体做法及尺寸依图纸施工或根据现场情况及设备品牌实际；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C1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5B3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FE4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CCEEF">
            <w:pPr>
              <w:jc w:val="center"/>
              <w:rPr>
                <w:rFonts w:hint="eastAsia" w:ascii="宋体" w:hAnsi="宋体" w:eastAsia="宋体" w:cs="宋体"/>
                <w:i w:val="0"/>
                <w:iCs w:val="0"/>
                <w:color w:val="000000"/>
                <w:sz w:val="24"/>
                <w:szCs w:val="24"/>
                <w:u w:val="none"/>
              </w:rPr>
            </w:pPr>
          </w:p>
        </w:tc>
      </w:tr>
      <w:tr w14:paraId="3774B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416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EA6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防火封堵</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67BE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桥架穿墙处防火泥封堵；</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193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C31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项</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C22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56B4B">
            <w:pPr>
              <w:jc w:val="center"/>
              <w:rPr>
                <w:rFonts w:hint="eastAsia" w:ascii="宋体" w:hAnsi="宋体" w:eastAsia="宋体" w:cs="宋体"/>
                <w:i w:val="0"/>
                <w:iCs w:val="0"/>
                <w:color w:val="000000"/>
                <w:sz w:val="24"/>
                <w:szCs w:val="24"/>
                <w:u w:val="none"/>
              </w:rPr>
            </w:pPr>
          </w:p>
        </w:tc>
      </w:tr>
      <w:tr w14:paraId="764F7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55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CCB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防鼠板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7731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具体尺寸根据现场情况；</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1D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CDB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项</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EA05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FA54F">
            <w:pPr>
              <w:jc w:val="center"/>
              <w:rPr>
                <w:rFonts w:hint="eastAsia" w:ascii="宋体" w:hAnsi="宋体" w:eastAsia="宋体" w:cs="宋体"/>
                <w:i w:val="0"/>
                <w:iCs w:val="0"/>
                <w:color w:val="000000"/>
                <w:sz w:val="24"/>
                <w:szCs w:val="24"/>
                <w:u w:val="none"/>
              </w:rPr>
            </w:pPr>
          </w:p>
        </w:tc>
      </w:tr>
      <w:tr w14:paraId="2F3FF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F6F06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2)综合配电</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D74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D851">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0021">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F0747">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C8F9E">
            <w:pPr>
              <w:jc w:val="center"/>
              <w:rPr>
                <w:rFonts w:hint="eastAsia" w:ascii="宋体" w:hAnsi="宋体" w:eastAsia="宋体" w:cs="宋体"/>
                <w:i w:val="0"/>
                <w:iCs w:val="0"/>
                <w:color w:val="000000"/>
                <w:sz w:val="24"/>
                <w:szCs w:val="24"/>
                <w:u w:val="none"/>
              </w:rPr>
            </w:pPr>
          </w:p>
        </w:tc>
      </w:tr>
      <w:tr w14:paraId="3F3BF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428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B31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UPS输出配电柜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384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具体依图纸配套定制</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447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德力西、正泰、施耐德</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8301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D9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0769E">
            <w:pPr>
              <w:jc w:val="center"/>
              <w:rPr>
                <w:rFonts w:hint="eastAsia" w:ascii="宋体" w:hAnsi="宋体" w:eastAsia="宋体" w:cs="宋体"/>
                <w:i w:val="0"/>
                <w:iCs w:val="0"/>
                <w:color w:val="000000"/>
                <w:sz w:val="24"/>
                <w:szCs w:val="24"/>
                <w:u w:val="none"/>
              </w:rPr>
            </w:pPr>
          </w:p>
        </w:tc>
      </w:tr>
      <w:tr w14:paraId="36029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4E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3E9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市电输入电缆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8293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WDZ-YJY-4*70+35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374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9FF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EB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3193">
            <w:pPr>
              <w:jc w:val="center"/>
              <w:rPr>
                <w:rFonts w:hint="eastAsia" w:ascii="宋体" w:hAnsi="宋体" w:eastAsia="宋体" w:cs="宋体"/>
                <w:i w:val="0"/>
                <w:iCs w:val="0"/>
                <w:color w:val="000000"/>
                <w:sz w:val="24"/>
                <w:szCs w:val="24"/>
                <w:u w:val="none"/>
              </w:rPr>
            </w:pPr>
          </w:p>
        </w:tc>
      </w:tr>
      <w:tr w14:paraId="2A96F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24C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A0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UPS输入电缆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71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WDZ-YJY-4x50+25</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F00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66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0C2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7480D">
            <w:pPr>
              <w:jc w:val="center"/>
              <w:rPr>
                <w:rFonts w:hint="eastAsia" w:ascii="宋体" w:hAnsi="宋体" w:eastAsia="宋体" w:cs="宋体"/>
                <w:i w:val="0"/>
                <w:iCs w:val="0"/>
                <w:color w:val="000000"/>
                <w:sz w:val="24"/>
                <w:szCs w:val="24"/>
                <w:u w:val="none"/>
              </w:rPr>
            </w:pPr>
          </w:p>
        </w:tc>
      </w:tr>
      <w:tr w14:paraId="0F7F0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65F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444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UPS输出电缆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43A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WDZ-YJY-4x35+16</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BE1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808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04A5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8FF69">
            <w:pPr>
              <w:jc w:val="center"/>
              <w:rPr>
                <w:rFonts w:hint="eastAsia" w:ascii="宋体" w:hAnsi="宋体" w:eastAsia="宋体" w:cs="宋体"/>
                <w:i w:val="0"/>
                <w:iCs w:val="0"/>
                <w:color w:val="000000"/>
                <w:sz w:val="24"/>
                <w:szCs w:val="24"/>
                <w:u w:val="none"/>
              </w:rPr>
            </w:pPr>
          </w:p>
        </w:tc>
      </w:tr>
      <w:tr w14:paraId="47090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305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8533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工业连接器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BB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220V，32A，三孔，IP44，与PDU专用插座配套安装。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02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15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47B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12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58BE">
            <w:pPr>
              <w:jc w:val="center"/>
              <w:rPr>
                <w:rFonts w:hint="eastAsia" w:ascii="宋体" w:hAnsi="宋体" w:eastAsia="宋体" w:cs="宋体"/>
                <w:i w:val="0"/>
                <w:iCs w:val="0"/>
                <w:color w:val="000000"/>
                <w:sz w:val="24"/>
                <w:szCs w:val="24"/>
                <w:u w:val="none"/>
              </w:rPr>
            </w:pPr>
          </w:p>
        </w:tc>
      </w:tr>
      <w:tr w14:paraId="47FD2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B1B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7552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信息地插</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FE1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插座安装:含六类非屏蔽信息模块*2、双孔面板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446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一舟、普天天纪、爱谱华顿</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AB1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739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3 </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7EDAB">
            <w:pPr>
              <w:jc w:val="center"/>
              <w:rPr>
                <w:rFonts w:hint="eastAsia" w:ascii="宋体" w:hAnsi="宋体" w:eastAsia="宋体" w:cs="宋体"/>
                <w:i w:val="0"/>
                <w:iCs w:val="0"/>
                <w:color w:val="000000"/>
                <w:sz w:val="24"/>
                <w:szCs w:val="24"/>
                <w:u w:val="none"/>
              </w:rPr>
            </w:pPr>
          </w:p>
        </w:tc>
      </w:tr>
      <w:tr w14:paraId="28D3C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56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CB48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金属槽式桥架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D93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镀锌封闭式金属桥架200*200mm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44B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固强、常禾、有能</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DD8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5C5E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1A663">
            <w:pPr>
              <w:jc w:val="center"/>
              <w:rPr>
                <w:rFonts w:hint="eastAsia" w:ascii="宋体" w:hAnsi="宋体" w:eastAsia="宋体" w:cs="宋体"/>
                <w:i w:val="0"/>
                <w:iCs w:val="0"/>
                <w:color w:val="000000"/>
                <w:sz w:val="24"/>
                <w:szCs w:val="24"/>
                <w:u w:val="none"/>
              </w:rPr>
            </w:pPr>
          </w:p>
        </w:tc>
      </w:tr>
      <w:tr w14:paraId="6D7CA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82D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24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金属软管</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DB9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Φ25mm 金属软管；</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C7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016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C59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E4A8B">
            <w:pPr>
              <w:jc w:val="center"/>
              <w:rPr>
                <w:rFonts w:hint="eastAsia" w:ascii="宋体" w:hAnsi="宋体" w:eastAsia="宋体" w:cs="宋体"/>
                <w:i w:val="0"/>
                <w:iCs w:val="0"/>
                <w:color w:val="000000"/>
                <w:sz w:val="24"/>
                <w:szCs w:val="24"/>
                <w:u w:val="none"/>
              </w:rPr>
            </w:pPr>
          </w:p>
        </w:tc>
      </w:tr>
      <w:tr w14:paraId="4D2F5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EB55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CD9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JDG25管</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9BE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JDG25，含配套镀锌金属86底盒及附件；</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06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ACB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5FE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02223">
            <w:pPr>
              <w:jc w:val="center"/>
              <w:rPr>
                <w:rFonts w:hint="eastAsia" w:ascii="宋体" w:hAnsi="宋体" w:eastAsia="宋体" w:cs="宋体"/>
                <w:i w:val="0"/>
                <w:iCs w:val="0"/>
                <w:color w:val="000000"/>
                <w:sz w:val="24"/>
                <w:szCs w:val="24"/>
                <w:u w:val="none"/>
              </w:rPr>
            </w:pPr>
          </w:p>
        </w:tc>
      </w:tr>
      <w:tr w14:paraId="63877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1D3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83F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配件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61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膨胀螺丝、固定螺丝、桥架支架；</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36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1733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711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6286D">
            <w:pPr>
              <w:jc w:val="center"/>
              <w:rPr>
                <w:rFonts w:hint="eastAsia" w:ascii="宋体" w:hAnsi="宋体" w:eastAsia="宋体" w:cs="宋体"/>
                <w:i w:val="0"/>
                <w:iCs w:val="0"/>
                <w:color w:val="000000"/>
                <w:sz w:val="24"/>
                <w:szCs w:val="24"/>
                <w:u w:val="none"/>
              </w:rPr>
            </w:pPr>
          </w:p>
        </w:tc>
      </w:tr>
      <w:tr w14:paraId="5C0A0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4BE2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3)防雷接地工程</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BF823">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5E67E">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95B9E">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FE0E">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D6CBA">
            <w:pPr>
              <w:jc w:val="center"/>
              <w:rPr>
                <w:rFonts w:hint="eastAsia" w:ascii="宋体" w:hAnsi="宋体" w:eastAsia="宋体" w:cs="宋体"/>
                <w:i w:val="0"/>
                <w:iCs w:val="0"/>
                <w:color w:val="000000"/>
                <w:sz w:val="24"/>
                <w:szCs w:val="24"/>
                <w:u w:val="none"/>
              </w:rPr>
            </w:pPr>
          </w:p>
        </w:tc>
      </w:tr>
      <w:tr w14:paraId="21E4C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17E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3C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电涌保护器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4041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限压型 , 四模块,20kA（In）,40kA（Imax）,Up＜1800VV</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9D0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施耐德、中光、欧宝</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C65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6D07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EEDE4">
            <w:pPr>
              <w:jc w:val="center"/>
              <w:rPr>
                <w:rFonts w:hint="eastAsia" w:ascii="宋体" w:hAnsi="宋体" w:eastAsia="宋体" w:cs="宋体"/>
                <w:i w:val="0"/>
                <w:iCs w:val="0"/>
                <w:color w:val="000000"/>
                <w:sz w:val="24"/>
                <w:szCs w:val="24"/>
                <w:u w:val="none"/>
              </w:rPr>
            </w:pPr>
          </w:p>
        </w:tc>
      </w:tr>
      <w:tr w14:paraId="0AE4A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290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FC2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铜排带</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121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4*40mm紫铜排；</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F62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A96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AE8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E523">
            <w:pPr>
              <w:jc w:val="center"/>
              <w:rPr>
                <w:rFonts w:hint="eastAsia" w:ascii="宋体" w:hAnsi="宋体" w:eastAsia="宋体" w:cs="宋体"/>
                <w:i w:val="0"/>
                <w:iCs w:val="0"/>
                <w:color w:val="000000"/>
                <w:sz w:val="24"/>
                <w:szCs w:val="24"/>
                <w:u w:val="none"/>
              </w:rPr>
            </w:pPr>
          </w:p>
        </w:tc>
      </w:tr>
      <w:tr w14:paraId="119C0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AC8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08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绝缘端子</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4DF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SM40绝缘子φ8内螺纹，φ8膨胀螺丝，φ8*150mm螺丝</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F3F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D61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付</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BA9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9457F">
            <w:pPr>
              <w:jc w:val="center"/>
              <w:rPr>
                <w:rFonts w:hint="eastAsia" w:ascii="宋体" w:hAnsi="宋体" w:eastAsia="宋体" w:cs="宋体"/>
                <w:i w:val="0"/>
                <w:iCs w:val="0"/>
                <w:color w:val="000000"/>
                <w:sz w:val="24"/>
                <w:szCs w:val="24"/>
                <w:u w:val="none"/>
              </w:rPr>
            </w:pPr>
          </w:p>
        </w:tc>
      </w:tr>
      <w:tr w14:paraId="4BFC5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D88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AE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等电位端子箱</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4C7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依图纸或现场实际施工；</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02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D5D9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E0A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E21C">
            <w:pPr>
              <w:jc w:val="center"/>
              <w:rPr>
                <w:rFonts w:hint="eastAsia" w:ascii="宋体" w:hAnsi="宋体" w:eastAsia="宋体" w:cs="宋体"/>
                <w:i w:val="0"/>
                <w:iCs w:val="0"/>
                <w:color w:val="000000"/>
                <w:sz w:val="24"/>
                <w:szCs w:val="24"/>
                <w:u w:val="none"/>
              </w:rPr>
            </w:pPr>
          </w:p>
        </w:tc>
      </w:tr>
      <w:tr w14:paraId="499C6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DCA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798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静电释放电缆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AB3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国标：ZB-BVR50mm2/ZB-BVR16mm2/ZB-BVR6mm2接地线缆；</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D3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ADB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批</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69D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4857B">
            <w:pPr>
              <w:jc w:val="center"/>
              <w:rPr>
                <w:rFonts w:hint="eastAsia" w:ascii="宋体" w:hAnsi="宋体" w:eastAsia="宋体" w:cs="宋体"/>
                <w:i w:val="0"/>
                <w:iCs w:val="0"/>
                <w:color w:val="000000"/>
                <w:sz w:val="24"/>
                <w:szCs w:val="24"/>
                <w:u w:val="none"/>
              </w:rPr>
            </w:pPr>
          </w:p>
        </w:tc>
      </w:tr>
      <w:tr w14:paraId="3888F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48E91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4)UPS备电</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2124B">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C74CE">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FD8E9">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FE54">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07916">
            <w:pPr>
              <w:jc w:val="center"/>
              <w:rPr>
                <w:rFonts w:hint="eastAsia" w:ascii="宋体" w:hAnsi="宋体" w:eastAsia="宋体" w:cs="宋体"/>
                <w:i w:val="0"/>
                <w:iCs w:val="0"/>
                <w:color w:val="000000"/>
                <w:sz w:val="24"/>
                <w:szCs w:val="24"/>
                <w:u w:val="none"/>
              </w:rPr>
            </w:pPr>
          </w:p>
        </w:tc>
      </w:tr>
      <w:tr w14:paraId="36496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BC9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4.1)中心机房UPS</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62A53">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7B3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D775C">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4031">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14AD">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33140">
            <w:pPr>
              <w:jc w:val="center"/>
              <w:rPr>
                <w:rFonts w:hint="eastAsia" w:ascii="宋体" w:hAnsi="宋体" w:eastAsia="宋体" w:cs="宋体"/>
                <w:i w:val="0"/>
                <w:iCs w:val="0"/>
                <w:color w:val="000000"/>
                <w:sz w:val="24"/>
                <w:szCs w:val="24"/>
                <w:u w:val="none"/>
              </w:rPr>
            </w:pPr>
          </w:p>
        </w:tc>
      </w:tr>
      <w:tr w14:paraId="7785D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1D41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D64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UPS主机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B40D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1、功率：40KVA 三进三出在线式ups主机；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2、主要技术参数：1）输入电压范围: 277～495Vac；2）输入频率变化范围: 40～70Hz、3）输入电流谐波成份: 带30%负载，输入电流谐波: ＜3%；带50%负载，输入电流谐波: ＜2.5%；带100%负载，输入电流谐波:＜3%、4）输出电压波形失真度：带线性负载＜1%；带非线性负载＜2%、5）系统效率：带30%负载：≥95.5%；带50%负载：≥96.5%；带100%负载：≥96%</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★3、UPS具备以下安全功能，以下安全功能提供产品彩页及同系列检测报告加盖</w:t>
            </w:r>
            <w:r>
              <w:rPr>
                <w:rFonts w:hint="eastAsia" w:ascii="宋体" w:hAnsi="宋体" w:eastAsia="宋体" w:cs="宋体"/>
                <w:i w:val="0"/>
                <w:iCs w:val="0"/>
                <w:color w:val="auto"/>
                <w:kern w:val="0"/>
                <w:sz w:val="24"/>
                <w:szCs w:val="24"/>
                <w:highlight w:val="none"/>
                <w:u w:val="none"/>
                <w:lang w:val="en-US" w:eastAsia="zh-CN" w:bidi="ar"/>
              </w:rPr>
              <w:t>投标单位</w:t>
            </w:r>
            <w:r>
              <w:rPr>
                <w:rFonts w:ascii="宋体" w:hAnsi="宋体" w:eastAsia="宋体" w:cs="宋体"/>
                <w:i w:val="0"/>
                <w:iCs w:val="0"/>
                <w:color w:val="auto"/>
                <w:kern w:val="0"/>
                <w:sz w:val="24"/>
                <w:szCs w:val="24"/>
                <w:highlight w:val="none"/>
                <w:u w:val="none"/>
                <w:lang w:val="en-US" w:eastAsia="zh-CN" w:bidi="ar"/>
              </w:rPr>
              <w:t>公章：</w:t>
            </w:r>
            <w:r>
              <w:rPr>
                <w:rFonts w:ascii="宋体" w:hAnsi="宋体" w:eastAsia="宋体" w:cs="宋体"/>
                <w:i w:val="0"/>
                <w:iCs w:val="0"/>
                <w:color w:val="auto"/>
                <w:kern w:val="0"/>
                <w:sz w:val="24"/>
                <w:szCs w:val="24"/>
                <w:highlight w:val="none"/>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1）UPS具有自老化功能；</w:t>
            </w:r>
            <w:r>
              <w:rPr>
                <w:rFonts w:ascii="宋体" w:hAnsi="宋体" w:eastAsia="宋体" w:cs="宋体"/>
                <w:i w:val="0"/>
                <w:iCs w:val="0"/>
                <w:color w:val="auto"/>
                <w:kern w:val="0"/>
                <w:sz w:val="24"/>
                <w:szCs w:val="24"/>
                <w:highlight w:val="none"/>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2）UPS具备风机智能调速功能；</w:t>
            </w:r>
            <w:r>
              <w:rPr>
                <w:rFonts w:ascii="宋体" w:hAnsi="宋体" w:eastAsia="宋体" w:cs="宋体"/>
                <w:i w:val="0"/>
                <w:iCs w:val="0"/>
                <w:color w:val="auto"/>
                <w:kern w:val="0"/>
                <w:sz w:val="24"/>
                <w:szCs w:val="24"/>
                <w:highlight w:val="none"/>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3）UPS具备休眠功能；</w:t>
            </w:r>
            <w:r>
              <w:rPr>
                <w:rFonts w:ascii="宋体" w:hAnsi="宋体" w:eastAsia="宋体" w:cs="宋体"/>
                <w:i w:val="0"/>
                <w:iCs w:val="0"/>
                <w:color w:val="auto"/>
                <w:kern w:val="0"/>
                <w:sz w:val="24"/>
                <w:szCs w:val="24"/>
                <w:highlight w:val="none"/>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4）UPS具备电池反接保护功能；</w:t>
            </w:r>
            <w:r>
              <w:rPr>
                <w:rFonts w:ascii="宋体" w:hAnsi="宋体" w:eastAsia="宋体" w:cs="宋体"/>
                <w:i w:val="0"/>
                <w:iCs w:val="0"/>
                <w:color w:val="auto"/>
                <w:kern w:val="0"/>
                <w:sz w:val="24"/>
                <w:szCs w:val="24"/>
                <w:highlight w:val="none"/>
                <w:u w:val="none"/>
                <w:lang w:val="en-US" w:eastAsia="zh-CN" w:bidi="ar"/>
              </w:rPr>
              <w:br w:type="textWrapping"/>
            </w:r>
            <w:r>
              <w:rPr>
                <w:rFonts w:ascii="宋体" w:hAnsi="宋体" w:eastAsia="宋体" w:cs="宋体"/>
                <w:i w:val="0"/>
                <w:iCs w:val="0"/>
                <w:color w:val="auto"/>
                <w:kern w:val="0"/>
                <w:sz w:val="24"/>
                <w:szCs w:val="24"/>
                <w:highlight w:val="none"/>
                <w:u w:val="none"/>
                <w:lang w:val="en-US" w:eastAsia="zh-CN" w:bidi="ar"/>
              </w:rPr>
              <w:t>5）UPS具备电池接地故障检测功能；</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1FF7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56EF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777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748EB">
            <w:pPr>
              <w:jc w:val="center"/>
              <w:rPr>
                <w:rFonts w:hint="eastAsia" w:ascii="宋体" w:hAnsi="宋体" w:eastAsia="宋体" w:cs="宋体"/>
                <w:i w:val="0"/>
                <w:iCs w:val="0"/>
                <w:color w:val="000000"/>
                <w:sz w:val="24"/>
                <w:szCs w:val="24"/>
                <w:u w:val="none"/>
              </w:rPr>
            </w:pPr>
          </w:p>
        </w:tc>
      </w:tr>
      <w:tr w14:paraId="78599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85B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775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UPS专用电池</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9345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1、免维护铅酸蓄电池容量12V-100Ah，要求主机同品牌；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2、蓄电池应具有三方检测认证。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3、蓄电池应采用镶嵌式内螺纹铜芯端子，确保无金属铅或铅合金外露。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4、蓄电池槽、盖应采用高强度ABS材料制造，并具有阻燃性，正常工作条件下不出现鼓胀或收缩变形。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5、端电压均衡性：开路电压压差不应超出25mV，进入浮充状态24h后端电压差不应超出30mV，放电状态端电压差不应超出0.2V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6、蓄电池密封反应效率应在98.7%以上 。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7、蓄电池在环境温度25±5℃的条件下，储存24h，通过安全阀向蓄电池充气在内外压差为50Kpa时并持续不少于5s时，能够不破裂、不开胶、压力释放后壳体无残余变形；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8、同组蓄电池10h率容量实验时，其蓄电池组中的最大最小其容量差值应小于2%。</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2C3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1B7B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节</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FD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C887">
            <w:pPr>
              <w:jc w:val="center"/>
              <w:rPr>
                <w:rFonts w:hint="eastAsia" w:ascii="宋体" w:hAnsi="宋体" w:eastAsia="宋体" w:cs="宋体"/>
                <w:i w:val="0"/>
                <w:iCs w:val="0"/>
                <w:color w:val="000000"/>
                <w:sz w:val="24"/>
                <w:szCs w:val="24"/>
                <w:u w:val="none"/>
              </w:rPr>
            </w:pPr>
          </w:p>
        </w:tc>
      </w:tr>
      <w:tr w14:paraId="513A6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1F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2F2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电池架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16AE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四层双边维护设计，可放置32节12V100Ah铅酸蓄电池,含串联铜排，含电池架接地线；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A5F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19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0429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6D161">
            <w:pPr>
              <w:jc w:val="center"/>
              <w:rPr>
                <w:rFonts w:hint="eastAsia" w:ascii="宋体" w:hAnsi="宋体" w:eastAsia="宋体" w:cs="宋体"/>
                <w:i w:val="0"/>
                <w:iCs w:val="0"/>
                <w:color w:val="000000"/>
                <w:sz w:val="24"/>
                <w:szCs w:val="24"/>
                <w:u w:val="none"/>
              </w:rPr>
            </w:pPr>
          </w:p>
        </w:tc>
      </w:tr>
      <w:tr w14:paraId="333D0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930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AB4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直流母线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F3E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蓄电池单组串联连接母线，蓄电池组到开关/到UPS主机所需要的串/并联连接线缆BVR50mm；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273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EB31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93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B76A3">
            <w:pPr>
              <w:jc w:val="center"/>
              <w:rPr>
                <w:rFonts w:hint="eastAsia" w:ascii="宋体" w:hAnsi="宋体" w:eastAsia="宋体" w:cs="宋体"/>
                <w:i w:val="0"/>
                <w:iCs w:val="0"/>
                <w:color w:val="000000"/>
                <w:sz w:val="24"/>
                <w:szCs w:val="24"/>
                <w:u w:val="none"/>
              </w:rPr>
            </w:pPr>
          </w:p>
        </w:tc>
      </w:tr>
      <w:tr w14:paraId="74CDB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3AF9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CE5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安装辅材</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EA8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铜鼻子、热缩管、电工胶布、扎带等；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ABC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38C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7F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059D">
            <w:pPr>
              <w:jc w:val="center"/>
              <w:rPr>
                <w:rFonts w:hint="eastAsia" w:ascii="宋体" w:hAnsi="宋体" w:eastAsia="宋体" w:cs="宋体"/>
                <w:i w:val="0"/>
                <w:iCs w:val="0"/>
                <w:color w:val="000000"/>
                <w:sz w:val="24"/>
                <w:szCs w:val="24"/>
                <w:u w:val="none"/>
              </w:rPr>
            </w:pPr>
          </w:p>
        </w:tc>
      </w:tr>
      <w:tr w14:paraId="6EC1F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EE0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4.2)前端机柜UPS</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C71F8">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4CB58">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F346">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D92E8">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D82AB">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A429">
            <w:pPr>
              <w:jc w:val="center"/>
              <w:rPr>
                <w:rFonts w:hint="eastAsia" w:ascii="宋体" w:hAnsi="宋体" w:eastAsia="宋体" w:cs="宋体"/>
                <w:i w:val="0"/>
                <w:iCs w:val="0"/>
                <w:color w:val="000000"/>
                <w:sz w:val="24"/>
                <w:szCs w:val="24"/>
                <w:u w:val="none"/>
              </w:rPr>
            </w:pPr>
          </w:p>
        </w:tc>
      </w:tr>
      <w:tr w14:paraId="1973C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DB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3B2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UPS主机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B84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1、功率：40KVA 三进三出在线式ups主机；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2、主要技术参数：1）输入电压范围: 277～495Vac；2）输入频率变化范围: 40～70Hz、3）输入电流谐波成份: 带30%负载，输入电流谐波: ＜3%；带50%负载，输入电流谐波: ＜2.5%；带100%负载，输入电流谐波:＜3%、4）输出电压波形失真度：带线性负载＜1%；带非线性负载＜2%、5）系统效率：带30%负载：≥95.5%；带50%负载：≥96.5%；带100%负载：≥96%； 需提供证明文件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3、UPS具有自老化功能，UPS具备风机智能调速功能，UPS具备休眠功能，UPS具备电池反接保护功能，UPS具备电池接地故障检测功能</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51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52A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89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F08C2">
            <w:pPr>
              <w:jc w:val="center"/>
              <w:rPr>
                <w:rFonts w:hint="eastAsia" w:ascii="宋体" w:hAnsi="宋体" w:eastAsia="宋体" w:cs="宋体"/>
                <w:i w:val="0"/>
                <w:iCs w:val="0"/>
                <w:color w:val="000000"/>
                <w:sz w:val="24"/>
                <w:szCs w:val="24"/>
                <w:u w:val="none"/>
              </w:rPr>
            </w:pPr>
          </w:p>
        </w:tc>
      </w:tr>
      <w:tr w14:paraId="08C18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DF4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2D0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UPS专用电池</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0F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1)免维护铅酸蓄电池容量12V-100Ah，要求主机同品牌；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2)蓄电池应具有三方检测认证。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3)蓄电池应采用镶嵌式内螺纹铜芯端子，确保无金属铅或铅合金外露。</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4)蓄电池槽、盖应采用高强度ABS材料制造，并具有阻燃性，正常工作条件下不出现鼓胀或收缩变形。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5)端电压均衡性：开路电压压差不应超出25mV，进入浮充状态24h后端电压差不应超出30mV，放电状态端电压差不应超出0.2V</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6)蓄电池密封反应效率应在98.7%以上 。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7)蓄电池在环境温度25±5℃的条件下，储存24h，通过安全阀向蓄电池充气在内外压差为50Kpa时并持续不少于5s时，能够不破裂、不开胶、压力释放后壳体无残余变形；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8)同组蓄电池10h率容量实验时，其蓄电池组中的最大最小其容量差值应小于2%。</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50CE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18C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节</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7D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76E0C">
            <w:pPr>
              <w:jc w:val="center"/>
              <w:rPr>
                <w:rFonts w:hint="eastAsia" w:ascii="宋体" w:hAnsi="宋体" w:eastAsia="宋体" w:cs="宋体"/>
                <w:i w:val="0"/>
                <w:iCs w:val="0"/>
                <w:color w:val="000000"/>
                <w:sz w:val="24"/>
                <w:szCs w:val="24"/>
                <w:u w:val="none"/>
              </w:rPr>
            </w:pPr>
          </w:p>
        </w:tc>
      </w:tr>
      <w:tr w14:paraId="12476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6BF6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ECB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电池架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1FCB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四层双边维护设计，可放置32节12V100Ah铅酸蓄电池,含串联铜排，含电池架接地线；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AF5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DD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E5A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85D9A">
            <w:pPr>
              <w:jc w:val="center"/>
              <w:rPr>
                <w:rFonts w:hint="eastAsia" w:ascii="宋体" w:hAnsi="宋体" w:eastAsia="宋体" w:cs="宋体"/>
                <w:i w:val="0"/>
                <w:iCs w:val="0"/>
                <w:color w:val="000000"/>
                <w:sz w:val="24"/>
                <w:szCs w:val="24"/>
                <w:u w:val="none"/>
              </w:rPr>
            </w:pPr>
          </w:p>
        </w:tc>
      </w:tr>
      <w:tr w14:paraId="11960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DE0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E9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直流母线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558A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蓄电池单组串联连接母线，蓄电池组到开关/到UPS主机所需要的串/并联连接线缆BVR50mm；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9F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CC9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84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3D394">
            <w:pPr>
              <w:jc w:val="center"/>
              <w:rPr>
                <w:rFonts w:hint="eastAsia" w:ascii="宋体" w:hAnsi="宋体" w:eastAsia="宋体" w:cs="宋体"/>
                <w:i w:val="0"/>
                <w:iCs w:val="0"/>
                <w:color w:val="000000"/>
                <w:sz w:val="24"/>
                <w:szCs w:val="24"/>
                <w:u w:val="none"/>
              </w:rPr>
            </w:pPr>
          </w:p>
        </w:tc>
      </w:tr>
      <w:tr w14:paraId="46A54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C2C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035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安装辅材</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DC0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铜鼻子、热缩管、电工胶布、扎带等；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B24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37D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BFD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18842">
            <w:pPr>
              <w:jc w:val="center"/>
              <w:rPr>
                <w:rFonts w:hint="eastAsia" w:ascii="宋体" w:hAnsi="宋体" w:eastAsia="宋体" w:cs="宋体"/>
                <w:i w:val="0"/>
                <w:iCs w:val="0"/>
                <w:color w:val="000000"/>
                <w:sz w:val="24"/>
                <w:szCs w:val="24"/>
                <w:u w:val="none"/>
              </w:rPr>
            </w:pPr>
          </w:p>
        </w:tc>
      </w:tr>
      <w:tr w14:paraId="3CEEF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693A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5)微模块机柜系统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9A315">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BD2DA">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B33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83C7D">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C849C">
            <w:pPr>
              <w:jc w:val="center"/>
              <w:rPr>
                <w:rFonts w:hint="eastAsia" w:ascii="宋体" w:hAnsi="宋体" w:eastAsia="宋体" w:cs="宋体"/>
                <w:i w:val="0"/>
                <w:iCs w:val="0"/>
                <w:color w:val="000000"/>
                <w:sz w:val="24"/>
                <w:szCs w:val="24"/>
                <w:u w:val="none"/>
              </w:rPr>
            </w:pPr>
          </w:p>
        </w:tc>
      </w:tr>
      <w:tr w14:paraId="61738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F70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DA4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一体柜主柜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33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1.尺寸：600*1400*2000mm，前后冷热通道全封闭，防护等级IP50；需满足后期机柜数量扩容需求。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1)前钢化玻璃，冷通道全封闭；</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2)1个声光告警器；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3)10块1U盲板；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4）其他：钣金线槽/盖板/桥架组件等；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2.基本要求：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为了减缓精密制冷单元发生故障时微模块内部的温升速度，机柜单元配备弹门装置，当柜内温度异常时前后门可自动弹开应急散热通风；当系统检测到发生火灾时，应启动灭火装置，灭火完成后启动弹门装置，前后门弹开，将通道中的烟雾排除；弹门装置的启动应与微模块内部温度设定阈值联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（2）内置智能灯光系统：配置有三色氛围灯及白光照明灯（开门亮灯、关门熄灯）；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（3）机柜前门应具有门禁控制系统功能，开启机柜前门，必须进行身份识别才能打开机柜的前门，并且进行记录开门次数与时间；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（4）配置1个声光告警器、4根导轨、10块1U盲板、2块承重板；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（5）前门单开钢化玻璃门配置安装10寸触摸屏，内部可预制供配电系统、监控系统等；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（6）机柜静态承载能力不小于2800kg，动态承重能力不小于1000kg,提供同系列产品的第三方检测报告。</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（7）为保证机柜等设备使用安全及空调制冷冷凝影响，机柜(含侧门、盲板、导轨、承重板)需提供同系列产品的国家认可（通过CMA或CNAS认证）的第三方检测机构出具的盐雾测试报告；</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3.技术规范要求：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(1)机柜单元应有很强的兼容性，所有符合EIA-310-D标准的设备都可以安装在机柜单元中；</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(2)机柜单元应满足欧盟RoHS环保指令，所有部件需可靠接地，确保操作安全，满足IEC60950-1-2005安规标准。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4.整体微模块系统需满足8、9烈度抗震要求 需提供证明文件</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4A9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69A8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28DB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D4BF">
            <w:pPr>
              <w:jc w:val="center"/>
              <w:rPr>
                <w:rFonts w:hint="eastAsia" w:ascii="宋体" w:hAnsi="宋体" w:eastAsia="宋体" w:cs="宋体"/>
                <w:i w:val="0"/>
                <w:iCs w:val="0"/>
                <w:color w:val="000000"/>
                <w:sz w:val="24"/>
                <w:szCs w:val="24"/>
                <w:u w:val="none"/>
              </w:rPr>
            </w:pPr>
          </w:p>
        </w:tc>
      </w:tr>
      <w:tr w14:paraId="2B8A5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BFF8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11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IT机柜</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DF8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1.一体化副柜；前后冷热通道全封闭，尺寸：600*1400*2000mm，防护等级IP50；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为了减缓精密制冷单元发生故障时微模块内部的温升速度，机柜单元配备弹门装置，当柜内温度异常时前后门可自动弹开应急散热通风；当系统检测到发生火灾时，应启动灭火装置，内部消防模块联动启动实行应急处理灭火，灭火完成后启动弹门装置，前门弹开，将通道中的烟雾排除；弹门装置的启动应与微模块内部温度设定阈值联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493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A7BB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4AE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3AF76">
            <w:pPr>
              <w:jc w:val="center"/>
              <w:rPr>
                <w:rFonts w:hint="eastAsia" w:ascii="宋体" w:hAnsi="宋体" w:eastAsia="宋体" w:cs="宋体"/>
                <w:i w:val="0"/>
                <w:iCs w:val="0"/>
                <w:color w:val="000000"/>
                <w:sz w:val="24"/>
                <w:szCs w:val="24"/>
                <w:u w:val="none"/>
              </w:rPr>
            </w:pPr>
          </w:p>
        </w:tc>
      </w:tr>
      <w:tr w14:paraId="0DB7F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2E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C94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机柜PDU</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BF2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输入电流32A,输出12位10A+4位16A国标插座, 指示灯,接线盒,垂直安装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4B8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D101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194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BBA6D">
            <w:pPr>
              <w:jc w:val="center"/>
              <w:rPr>
                <w:rFonts w:hint="eastAsia" w:ascii="宋体" w:hAnsi="宋体" w:eastAsia="宋体" w:cs="宋体"/>
                <w:i w:val="0"/>
                <w:iCs w:val="0"/>
                <w:color w:val="000000"/>
                <w:sz w:val="24"/>
                <w:szCs w:val="24"/>
                <w:u w:val="none"/>
              </w:rPr>
            </w:pPr>
          </w:p>
        </w:tc>
      </w:tr>
      <w:tr w14:paraId="65B45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A3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833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弹门支撑杆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F83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气弹簧)弹门支撑杆，为了减缓精密制冷单元发生故障时微模块内部的温升速度，机柜单元配备弹门装置，当柜内温度异常时前后门可自动弹开应急散热通风；当系统检测到发生火灾时，应启动灭火装置，灭火完成后启动弹门装置，前后门弹开，将通道中的烟雾排除；弹门装置的启动应与微模块内部温度设定阈值联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F5D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38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3BD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3FAA7">
            <w:pPr>
              <w:jc w:val="center"/>
              <w:rPr>
                <w:rFonts w:hint="eastAsia" w:ascii="宋体" w:hAnsi="宋体" w:eastAsia="宋体" w:cs="宋体"/>
                <w:i w:val="0"/>
                <w:iCs w:val="0"/>
                <w:color w:val="000000"/>
                <w:sz w:val="24"/>
                <w:szCs w:val="24"/>
                <w:u w:val="none"/>
              </w:rPr>
            </w:pPr>
          </w:p>
        </w:tc>
      </w:tr>
      <w:tr w14:paraId="36776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3DD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AD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转接模块</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68BF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常规,转接模块数据中心电源及信号转接模块</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E5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30D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99D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EE239">
            <w:pPr>
              <w:jc w:val="center"/>
              <w:rPr>
                <w:rFonts w:hint="eastAsia" w:ascii="宋体" w:hAnsi="宋体" w:eastAsia="宋体" w:cs="宋体"/>
                <w:i w:val="0"/>
                <w:iCs w:val="0"/>
                <w:color w:val="000000"/>
                <w:sz w:val="24"/>
                <w:szCs w:val="24"/>
                <w:u w:val="none"/>
              </w:rPr>
            </w:pPr>
          </w:p>
        </w:tc>
      </w:tr>
      <w:tr w14:paraId="40580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0B8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E13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固定层板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42F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固定层板,宽深483*650mm,承重80kg,1100mm深机柜用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B0C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1C9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E0E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A352F">
            <w:pPr>
              <w:jc w:val="center"/>
              <w:rPr>
                <w:rFonts w:hint="eastAsia" w:ascii="宋体" w:hAnsi="宋体" w:eastAsia="宋体" w:cs="宋体"/>
                <w:i w:val="0"/>
                <w:iCs w:val="0"/>
                <w:color w:val="000000"/>
                <w:sz w:val="24"/>
                <w:szCs w:val="24"/>
                <w:u w:val="none"/>
              </w:rPr>
            </w:pPr>
          </w:p>
        </w:tc>
      </w:tr>
      <w:tr w14:paraId="4CB5E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66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7C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2U塑胶盲板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319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2U塑胶盲板,免工具安装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D3F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E22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A6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EE133">
            <w:pPr>
              <w:jc w:val="center"/>
              <w:rPr>
                <w:rFonts w:hint="eastAsia" w:ascii="宋体" w:hAnsi="宋体" w:eastAsia="宋体" w:cs="宋体"/>
                <w:i w:val="0"/>
                <w:iCs w:val="0"/>
                <w:color w:val="000000"/>
                <w:sz w:val="24"/>
                <w:szCs w:val="24"/>
                <w:u w:val="none"/>
              </w:rPr>
            </w:pPr>
          </w:p>
        </w:tc>
      </w:tr>
      <w:tr w14:paraId="2DD63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2DE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BEB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1U水平理线器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CDC3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1U水平理线器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680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E6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E4BF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8E07E">
            <w:pPr>
              <w:jc w:val="center"/>
              <w:rPr>
                <w:rFonts w:hint="eastAsia" w:ascii="宋体" w:hAnsi="宋体" w:eastAsia="宋体" w:cs="宋体"/>
                <w:i w:val="0"/>
                <w:iCs w:val="0"/>
                <w:color w:val="000000"/>
                <w:sz w:val="24"/>
                <w:szCs w:val="24"/>
                <w:u w:val="none"/>
              </w:rPr>
            </w:pPr>
          </w:p>
        </w:tc>
      </w:tr>
      <w:tr w14:paraId="68C59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2B9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CE8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线槽封板</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D66A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电左右侧;强弱电线槽封板，单排一体柜使用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D5B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AB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69D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3A8B1">
            <w:pPr>
              <w:jc w:val="center"/>
              <w:rPr>
                <w:rFonts w:hint="eastAsia" w:ascii="宋体" w:hAnsi="宋体" w:eastAsia="宋体" w:cs="宋体"/>
                <w:i w:val="0"/>
                <w:iCs w:val="0"/>
                <w:color w:val="000000"/>
                <w:sz w:val="24"/>
                <w:szCs w:val="24"/>
                <w:u w:val="none"/>
              </w:rPr>
            </w:pPr>
          </w:p>
        </w:tc>
      </w:tr>
      <w:tr w14:paraId="18EA5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7221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A77F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线槽</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452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600宽柜位;单排产品用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774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4BA9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BA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096D0">
            <w:pPr>
              <w:jc w:val="center"/>
              <w:rPr>
                <w:rFonts w:hint="eastAsia" w:ascii="宋体" w:hAnsi="宋体" w:eastAsia="宋体" w:cs="宋体"/>
                <w:i w:val="0"/>
                <w:iCs w:val="0"/>
                <w:color w:val="000000"/>
                <w:sz w:val="24"/>
                <w:szCs w:val="24"/>
                <w:u w:val="none"/>
              </w:rPr>
            </w:pPr>
          </w:p>
        </w:tc>
      </w:tr>
      <w:tr w14:paraId="372F8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BAE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37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机架式配电模块</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C3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1.机架式配电单元；125A总输入，63A/3PUPS输入、输出、维修旁路；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2.空调开关63A/1P*3，市电输出9*32A/1P；UPS输出9*32A/1P；</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3.分路馈出配电模块，3路63A/1P空调开关，9路32A/1P市电分路、9路UPS输出端32A/1PUPS分路,带分路智能检测，含配电数据采集；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配电模块能监控主路输入电压电流、无功功率、有功功率、视在功率、频率、谐波、电能、开关状态、防雷器开关状态、防雷器状态、UPS开关状态，馈出支路电压、电流、无功功率、有功功率、视在功率、频率、谐波、电能、开关状态。</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71E4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6E68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D5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FBF76">
            <w:pPr>
              <w:jc w:val="center"/>
              <w:rPr>
                <w:rFonts w:hint="eastAsia" w:ascii="宋体" w:hAnsi="宋体" w:eastAsia="宋体" w:cs="宋体"/>
                <w:i w:val="0"/>
                <w:iCs w:val="0"/>
                <w:color w:val="000000"/>
                <w:sz w:val="24"/>
                <w:szCs w:val="24"/>
                <w:u w:val="none"/>
              </w:rPr>
            </w:pPr>
          </w:p>
        </w:tc>
      </w:tr>
      <w:tr w14:paraId="7A31C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5A7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F8B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LED照明灯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13E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1、LED照明灯，T5灯管，220Vac；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2、支持人体感应开关控制。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3、长度1200mm。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48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9A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0D2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6E40E">
            <w:pPr>
              <w:jc w:val="center"/>
              <w:rPr>
                <w:rFonts w:hint="eastAsia" w:ascii="宋体" w:hAnsi="宋体" w:eastAsia="宋体" w:cs="宋体"/>
                <w:i w:val="0"/>
                <w:iCs w:val="0"/>
                <w:color w:val="000000"/>
                <w:sz w:val="24"/>
                <w:szCs w:val="24"/>
                <w:u w:val="none"/>
              </w:rPr>
            </w:pPr>
          </w:p>
        </w:tc>
      </w:tr>
      <w:tr w14:paraId="2B736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C35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A1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全彩门框氛围灯组件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FC9D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 xml:space="preserve">1、含RGB三色LED灯带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2、含IO管理模块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3、可支持全彩灯带接入，支持监控联动告警变色，需要可变色的氛围灯时需选用。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02F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34F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4AB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6C736">
            <w:pPr>
              <w:jc w:val="center"/>
              <w:rPr>
                <w:rFonts w:hint="eastAsia" w:ascii="宋体" w:hAnsi="宋体" w:eastAsia="宋体" w:cs="宋体"/>
                <w:i w:val="0"/>
                <w:iCs w:val="0"/>
                <w:color w:val="000000"/>
                <w:sz w:val="24"/>
                <w:szCs w:val="24"/>
                <w:u w:val="none"/>
              </w:rPr>
            </w:pPr>
          </w:p>
        </w:tc>
      </w:tr>
      <w:tr w14:paraId="075BB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24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BEF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承重底座</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E41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机柜设备承重支架底座，采用优质钢材焊制而成，表面刷防锈漆，高度与机房静电地板一致。</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A3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B7A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053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8E1B0">
            <w:pPr>
              <w:jc w:val="center"/>
              <w:rPr>
                <w:rFonts w:hint="eastAsia" w:ascii="宋体" w:hAnsi="宋体" w:eastAsia="宋体" w:cs="宋体"/>
                <w:i w:val="0"/>
                <w:iCs w:val="0"/>
                <w:color w:val="000000"/>
                <w:sz w:val="24"/>
                <w:szCs w:val="24"/>
                <w:u w:val="none"/>
              </w:rPr>
            </w:pPr>
          </w:p>
        </w:tc>
      </w:tr>
      <w:tr w14:paraId="6127A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D02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028B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预制线缆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317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1、模块内天窗、照明、端门等产品预制弱电控制线缆</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359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56E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D2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CF1B0">
            <w:pPr>
              <w:jc w:val="center"/>
              <w:rPr>
                <w:rFonts w:hint="eastAsia" w:ascii="宋体" w:hAnsi="宋体" w:eastAsia="宋体" w:cs="宋体"/>
                <w:i w:val="0"/>
                <w:iCs w:val="0"/>
                <w:color w:val="000000"/>
                <w:sz w:val="24"/>
                <w:szCs w:val="24"/>
                <w:u w:val="none"/>
              </w:rPr>
            </w:pPr>
          </w:p>
        </w:tc>
      </w:tr>
      <w:tr w14:paraId="1A621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93C9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D8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列间精密空调</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2D2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1.本数据中心要求配置1套机架式空调，制冷量≥12.5KW，最大风量≥2200m3/h ，机架式安装，高度不大于10U。</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2.要求精密制冷单元采用变频压缩机，可根据机柜内部的实际热负荷在一定范围内动态调节冷量输出，以减少压缩机启停次数，延长压缩机寿命，并实现更精确的微模块内部温度控制；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3.投标的风冷型机架式精密空调应在-15℃～45℃的室外环境温度范围内保证正常制冷；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4.要求整机连续运行设计寿命不小于 10 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5.精密制冷单元的送回风方式为正面送风，背面回风；</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6.全系均可内置于机柜，有效提高机房利用面积；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7.独特气流组织，可选多种送风方式，能自然实现冷热通道遏制效果；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8.智能控制，配置RS485通讯接口；</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9.抽拉式模块化设计，后期可随IT服务器功率升级扩容；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10.制冷剂：投标机架式精密空调标准配置制冷剂型号应为 R410A；</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F6A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DC4C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3B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AF01">
            <w:pPr>
              <w:jc w:val="center"/>
              <w:rPr>
                <w:rFonts w:hint="eastAsia" w:ascii="宋体" w:hAnsi="宋体" w:eastAsia="宋体" w:cs="宋体"/>
                <w:i w:val="0"/>
                <w:iCs w:val="0"/>
                <w:color w:val="000000"/>
                <w:sz w:val="24"/>
                <w:szCs w:val="24"/>
                <w:u w:val="none"/>
              </w:rPr>
            </w:pPr>
          </w:p>
        </w:tc>
      </w:tr>
      <w:tr w14:paraId="53772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514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47D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室内外机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B48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配套12.5kw精密空调室外机，静音型室外机设计，散热量≥16kw</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78B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E9D5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365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E473D">
            <w:pPr>
              <w:jc w:val="center"/>
              <w:rPr>
                <w:rFonts w:hint="eastAsia" w:ascii="宋体" w:hAnsi="宋体" w:eastAsia="宋体" w:cs="宋体"/>
                <w:i w:val="0"/>
                <w:iCs w:val="0"/>
                <w:color w:val="000000"/>
                <w:sz w:val="24"/>
                <w:szCs w:val="24"/>
                <w:u w:val="none"/>
              </w:rPr>
            </w:pPr>
          </w:p>
        </w:tc>
      </w:tr>
      <w:tr w14:paraId="497D2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FF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F81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铜管、保温管</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5D3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Ø19、Ø22，铜管气管、液管、保温管，内外机电源线、信号线、存油弯、弯头、PVC线管、开孔、铜管支架等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837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F5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DF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4E911">
            <w:pPr>
              <w:jc w:val="center"/>
              <w:rPr>
                <w:rFonts w:hint="eastAsia" w:ascii="宋体" w:hAnsi="宋体" w:eastAsia="宋体" w:cs="宋体"/>
                <w:i w:val="0"/>
                <w:iCs w:val="0"/>
                <w:color w:val="000000"/>
                <w:sz w:val="24"/>
                <w:szCs w:val="24"/>
                <w:u w:val="none"/>
              </w:rPr>
            </w:pPr>
          </w:p>
        </w:tc>
      </w:tr>
      <w:tr w14:paraId="43FD0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9D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43F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制冷剂</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AE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环保制冷剂，R410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30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0E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0C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00BD">
            <w:pPr>
              <w:jc w:val="center"/>
              <w:rPr>
                <w:rFonts w:hint="eastAsia" w:ascii="宋体" w:hAnsi="宋体" w:eastAsia="宋体" w:cs="宋体"/>
                <w:i w:val="0"/>
                <w:iCs w:val="0"/>
                <w:color w:val="000000"/>
                <w:sz w:val="24"/>
                <w:szCs w:val="24"/>
                <w:u w:val="none"/>
              </w:rPr>
            </w:pPr>
          </w:p>
        </w:tc>
      </w:tr>
      <w:tr w14:paraId="4DC9B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8B6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7A5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空调进水、排水材料供货及安装</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AEB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定做</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1B8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6AC1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A6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3F1CB">
            <w:pPr>
              <w:jc w:val="center"/>
              <w:rPr>
                <w:rFonts w:hint="eastAsia" w:ascii="宋体" w:hAnsi="宋体" w:eastAsia="宋体" w:cs="宋体"/>
                <w:i w:val="0"/>
                <w:iCs w:val="0"/>
                <w:color w:val="000000"/>
                <w:sz w:val="24"/>
                <w:szCs w:val="24"/>
                <w:u w:val="none"/>
              </w:rPr>
            </w:pPr>
          </w:p>
        </w:tc>
      </w:tr>
      <w:tr w14:paraId="0FB60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BE7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903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空调底座</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4F6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定制，根据设备定做内、外机承重底座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7C4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F6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B53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99364">
            <w:pPr>
              <w:jc w:val="center"/>
              <w:rPr>
                <w:rFonts w:hint="eastAsia" w:ascii="宋体" w:hAnsi="宋体" w:eastAsia="宋体" w:cs="宋体"/>
                <w:i w:val="0"/>
                <w:iCs w:val="0"/>
                <w:color w:val="000000"/>
                <w:sz w:val="24"/>
                <w:szCs w:val="24"/>
                <w:u w:val="none"/>
              </w:rPr>
            </w:pPr>
          </w:p>
        </w:tc>
      </w:tr>
      <w:tr w14:paraId="1819A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6907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6)动环监控子系统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CD94E">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F49D2">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9C9EB">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6C1C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2D5D7">
            <w:pPr>
              <w:jc w:val="center"/>
              <w:rPr>
                <w:rFonts w:hint="eastAsia" w:ascii="宋体" w:hAnsi="宋体" w:eastAsia="宋体" w:cs="宋体"/>
                <w:i w:val="0"/>
                <w:iCs w:val="0"/>
                <w:color w:val="000000"/>
                <w:sz w:val="24"/>
                <w:szCs w:val="24"/>
                <w:u w:val="none"/>
              </w:rPr>
            </w:pPr>
          </w:p>
        </w:tc>
      </w:tr>
      <w:tr w14:paraId="157B2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5ADF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61B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一体化动环监控主机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883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1.一体化环境监控主机要求能独立自成系统， 具有数据采集、数据处理、协议转换、联动控制、报警管理、存储等功能，内嵌 WEB 服务，支持远程 IE 访问；友好的人机界面，满足用户个性化需求。内置 WEB 服务为系统管理人员提供远程设置、远程监控、远程维护及远程报警等专业管理功能；网络中断时动环采集单元仍可独立运行、存储数据及联动控制。数据采集终端将采集的数据和处理后的结果、报警信息等上传至集中监控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具备本地化管理功能，无需借助上端动环监控软件平台，采集器自带组态图形化、列表等多种形式进行数据监测呈现，所有的显示模块（含导航栏）、数据监测组态页面及内容均可由用户自定义，支持机房能耗数据（PUE）展示；满足不同应用场景不同需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3.支持3D组态、支持本地TTS语音播报，支持联动及权限管理。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注意：如采集器选用带HDMI接口+触控屏显示，则无法显示3D界面。</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CA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1652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F88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BA08">
            <w:pPr>
              <w:jc w:val="center"/>
              <w:rPr>
                <w:rFonts w:hint="eastAsia" w:ascii="宋体" w:hAnsi="宋体" w:eastAsia="宋体" w:cs="宋体"/>
                <w:i w:val="0"/>
                <w:iCs w:val="0"/>
                <w:color w:val="000000"/>
                <w:sz w:val="24"/>
                <w:szCs w:val="24"/>
                <w:u w:val="none"/>
              </w:rPr>
            </w:pPr>
          </w:p>
        </w:tc>
      </w:tr>
      <w:tr w14:paraId="66717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A957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975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监控系统软件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CF2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1.嵌入式动环监控系统， 纯B/S架构， 支持WEB管理。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2.集中监控管理软件，用于监控环境设备、UPS、配电、空调等设备数据统一采集、分析、管理。</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DC7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64A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99D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3B2CF">
            <w:pPr>
              <w:jc w:val="center"/>
              <w:rPr>
                <w:rFonts w:hint="eastAsia" w:ascii="宋体" w:hAnsi="宋体" w:eastAsia="宋体" w:cs="宋体"/>
                <w:i w:val="0"/>
                <w:iCs w:val="0"/>
                <w:color w:val="000000"/>
                <w:sz w:val="24"/>
                <w:szCs w:val="24"/>
                <w:u w:val="none"/>
              </w:rPr>
            </w:pPr>
          </w:p>
        </w:tc>
      </w:tr>
      <w:tr w14:paraId="1DED7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63F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12C1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显示终端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D77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HDMI触摸显示屏,10.1寸，搭配环控主机</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9E2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141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38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D125D">
            <w:pPr>
              <w:jc w:val="center"/>
              <w:rPr>
                <w:rFonts w:hint="eastAsia" w:ascii="宋体" w:hAnsi="宋体" w:eastAsia="宋体" w:cs="宋体"/>
                <w:i w:val="0"/>
                <w:iCs w:val="0"/>
                <w:color w:val="000000"/>
                <w:sz w:val="24"/>
                <w:szCs w:val="24"/>
                <w:u w:val="none"/>
              </w:rPr>
            </w:pPr>
          </w:p>
        </w:tc>
      </w:tr>
      <w:tr w14:paraId="66CFD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BA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BD9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温湿度传感器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890A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LCD液晶显示温湿度传感器，RS485通讯,RJ45口</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77FE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5E1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968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99116">
            <w:pPr>
              <w:jc w:val="center"/>
              <w:rPr>
                <w:rFonts w:hint="eastAsia" w:ascii="宋体" w:hAnsi="宋体" w:eastAsia="宋体" w:cs="宋体"/>
                <w:i w:val="0"/>
                <w:iCs w:val="0"/>
                <w:color w:val="000000"/>
                <w:sz w:val="24"/>
                <w:szCs w:val="24"/>
                <w:u w:val="none"/>
              </w:rPr>
            </w:pPr>
          </w:p>
        </w:tc>
      </w:tr>
      <w:tr w14:paraId="7357F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81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136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烟雾感应器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8BC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1.光电式感烟探测器,工作电压：12VDC；待机电流：小于12mA，</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2.报警电流：小于18mA；工作温度：-10℃～50℃；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3.报警输出：常开/常闭可选，接点容量DC28V 100mA。</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517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0E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28A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8D3E">
            <w:pPr>
              <w:jc w:val="center"/>
              <w:rPr>
                <w:rFonts w:hint="eastAsia" w:ascii="宋体" w:hAnsi="宋体" w:eastAsia="宋体" w:cs="宋体"/>
                <w:i w:val="0"/>
                <w:iCs w:val="0"/>
                <w:color w:val="000000"/>
                <w:sz w:val="24"/>
                <w:szCs w:val="24"/>
                <w:u w:val="none"/>
              </w:rPr>
            </w:pPr>
          </w:p>
        </w:tc>
      </w:tr>
      <w:tr w14:paraId="035C8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BE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CA71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漏水传感器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29C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漏水传感器，声光报警，输出开关、常闭型号隔离信号，含漏水感应绳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CC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B94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DE5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F288">
            <w:pPr>
              <w:jc w:val="center"/>
              <w:rPr>
                <w:rFonts w:hint="eastAsia" w:ascii="宋体" w:hAnsi="宋体" w:eastAsia="宋体" w:cs="宋体"/>
                <w:i w:val="0"/>
                <w:iCs w:val="0"/>
                <w:color w:val="000000"/>
                <w:sz w:val="24"/>
                <w:szCs w:val="24"/>
                <w:u w:val="none"/>
              </w:rPr>
            </w:pPr>
          </w:p>
        </w:tc>
      </w:tr>
      <w:tr w14:paraId="621A7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8958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6C1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精密配电监测软件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C4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配电柜主路和支路数据、状态监测接口协议软件，采用配电监测模块或配电屏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7F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C52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DBA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3C7D">
            <w:pPr>
              <w:jc w:val="center"/>
              <w:rPr>
                <w:rFonts w:hint="eastAsia" w:ascii="宋体" w:hAnsi="宋体" w:eastAsia="宋体" w:cs="宋体"/>
                <w:i w:val="0"/>
                <w:iCs w:val="0"/>
                <w:color w:val="000000"/>
                <w:sz w:val="24"/>
                <w:szCs w:val="24"/>
                <w:u w:val="none"/>
              </w:rPr>
            </w:pPr>
          </w:p>
        </w:tc>
      </w:tr>
      <w:tr w14:paraId="156A0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54E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B6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UPS监控软件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B73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UPS数据和工作状态监测接口软件</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CCE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09B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C4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AB96">
            <w:pPr>
              <w:jc w:val="center"/>
              <w:rPr>
                <w:rFonts w:hint="eastAsia" w:ascii="宋体" w:hAnsi="宋体" w:eastAsia="宋体" w:cs="宋体"/>
                <w:i w:val="0"/>
                <w:iCs w:val="0"/>
                <w:color w:val="000000"/>
                <w:sz w:val="24"/>
                <w:szCs w:val="24"/>
                <w:u w:val="none"/>
              </w:rPr>
            </w:pPr>
          </w:p>
        </w:tc>
      </w:tr>
      <w:tr w14:paraId="7F371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70C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4728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精密空调监控软件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0E1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精密空调数据和工作状态监测接口软件</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879C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DC3D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956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E0BD">
            <w:pPr>
              <w:jc w:val="center"/>
              <w:rPr>
                <w:rFonts w:hint="eastAsia" w:ascii="宋体" w:hAnsi="宋体" w:eastAsia="宋体" w:cs="宋体"/>
                <w:i w:val="0"/>
                <w:iCs w:val="0"/>
                <w:color w:val="000000"/>
                <w:sz w:val="24"/>
                <w:szCs w:val="24"/>
                <w:u w:val="none"/>
              </w:rPr>
            </w:pPr>
          </w:p>
        </w:tc>
      </w:tr>
      <w:tr w14:paraId="08BF8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60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45F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温湿度监测软件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3C3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温湿度模块数据监测接口软件</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42ED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BE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EFB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A0B7">
            <w:pPr>
              <w:jc w:val="center"/>
              <w:rPr>
                <w:rFonts w:hint="eastAsia" w:ascii="宋体" w:hAnsi="宋体" w:eastAsia="宋体" w:cs="宋体"/>
                <w:i w:val="0"/>
                <w:iCs w:val="0"/>
                <w:color w:val="000000"/>
                <w:sz w:val="24"/>
                <w:szCs w:val="24"/>
                <w:u w:val="none"/>
              </w:rPr>
            </w:pPr>
          </w:p>
        </w:tc>
      </w:tr>
      <w:tr w14:paraId="7D3F2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D4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942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内置4G短信模块</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97C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内置卡，LTE模块，支持移动\联通\电信模块</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CA0C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0A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C6CC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1DF6A">
            <w:pPr>
              <w:jc w:val="center"/>
              <w:rPr>
                <w:rFonts w:hint="eastAsia" w:ascii="宋体" w:hAnsi="宋体" w:eastAsia="宋体" w:cs="宋体"/>
                <w:i w:val="0"/>
                <w:iCs w:val="0"/>
                <w:color w:val="000000"/>
                <w:sz w:val="24"/>
                <w:szCs w:val="24"/>
                <w:u w:val="none"/>
              </w:rPr>
            </w:pPr>
          </w:p>
        </w:tc>
      </w:tr>
      <w:tr w14:paraId="145FF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B6DB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065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声光报警器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742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全红色塑料壳，装在冷通道前门右上方</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E6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8F4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0F92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1F9E0">
            <w:pPr>
              <w:jc w:val="center"/>
              <w:rPr>
                <w:rFonts w:hint="eastAsia" w:ascii="宋体" w:hAnsi="宋体" w:eastAsia="宋体" w:cs="宋体"/>
                <w:i w:val="0"/>
                <w:iCs w:val="0"/>
                <w:color w:val="000000"/>
                <w:sz w:val="24"/>
                <w:szCs w:val="24"/>
                <w:u w:val="none"/>
              </w:rPr>
            </w:pPr>
          </w:p>
        </w:tc>
      </w:tr>
      <w:tr w14:paraId="0F111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EA96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A33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安装辅材</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60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信号线、电源线、电气配管SC20</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FFC5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华为、易事特、索克曼</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25A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61D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B728D">
            <w:pPr>
              <w:jc w:val="center"/>
              <w:rPr>
                <w:rFonts w:hint="eastAsia" w:ascii="宋体" w:hAnsi="宋体" w:eastAsia="宋体" w:cs="宋体"/>
                <w:i w:val="0"/>
                <w:iCs w:val="0"/>
                <w:color w:val="000000"/>
                <w:sz w:val="24"/>
                <w:szCs w:val="24"/>
                <w:u w:val="none"/>
              </w:rPr>
            </w:pPr>
          </w:p>
        </w:tc>
      </w:tr>
      <w:tr w14:paraId="4F1D6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F569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11智慧校园系统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45BD">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D7FD1">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51EB2">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1983">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99A26">
            <w:pPr>
              <w:jc w:val="center"/>
              <w:rPr>
                <w:rFonts w:hint="eastAsia" w:ascii="宋体" w:hAnsi="宋体" w:eastAsia="宋体" w:cs="宋体"/>
                <w:i w:val="0"/>
                <w:iCs w:val="0"/>
                <w:color w:val="000000"/>
                <w:sz w:val="24"/>
                <w:szCs w:val="24"/>
                <w:u w:val="none"/>
              </w:rPr>
            </w:pPr>
          </w:p>
        </w:tc>
      </w:tr>
      <w:tr w14:paraId="53912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3FD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1）智慧校园基础平台</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1B45">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886F9">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969D3">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801E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D8B4A">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73966">
            <w:pPr>
              <w:jc w:val="center"/>
              <w:rPr>
                <w:rFonts w:hint="eastAsia" w:ascii="宋体" w:hAnsi="宋体" w:eastAsia="宋体" w:cs="宋体"/>
                <w:i w:val="0"/>
                <w:iCs w:val="0"/>
                <w:color w:val="000000"/>
                <w:sz w:val="24"/>
                <w:szCs w:val="24"/>
                <w:u w:val="none"/>
              </w:rPr>
            </w:pPr>
          </w:p>
        </w:tc>
      </w:tr>
      <w:tr w14:paraId="4E356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DE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1.1)数据仓库</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F366E">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5544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35997">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D93A2">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DC9B2">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6E3A">
            <w:pPr>
              <w:jc w:val="center"/>
              <w:rPr>
                <w:rFonts w:hint="eastAsia" w:ascii="宋体" w:hAnsi="宋体" w:eastAsia="宋体" w:cs="宋体"/>
                <w:i w:val="0"/>
                <w:iCs w:val="0"/>
                <w:color w:val="000000"/>
                <w:sz w:val="24"/>
                <w:szCs w:val="24"/>
                <w:u w:val="none"/>
              </w:rPr>
            </w:pPr>
          </w:p>
        </w:tc>
      </w:tr>
      <w:tr w14:paraId="25FFE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E28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EC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基础数据库</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A01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学生基础数据库、教师基础数据库、学校基础数据库</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3EC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064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635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09B7">
            <w:pPr>
              <w:jc w:val="center"/>
              <w:rPr>
                <w:rFonts w:hint="eastAsia" w:ascii="宋体" w:hAnsi="宋体" w:eastAsia="宋体" w:cs="宋体"/>
                <w:i w:val="0"/>
                <w:iCs w:val="0"/>
                <w:color w:val="000000"/>
                <w:sz w:val="24"/>
                <w:szCs w:val="24"/>
                <w:u w:val="none"/>
              </w:rPr>
            </w:pPr>
          </w:p>
        </w:tc>
      </w:tr>
      <w:tr w14:paraId="17A8A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15A7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103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主题数据库</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064C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学生成绩数据、学生体测数据、学生德育表现数据、教育教学数据、德育管理数据、学生考勤数据、学生成长和教师发展数据、班级值周等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0C4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3E0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AD49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91EF">
            <w:pPr>
              <w:jc w:val="center"/>
              <w:rPr>
                <w:rFonts w:hint="eastAsia" w:ascii="宋体" w:hAnsi="宋体" w:eastAsia="宋体" w:cs="宋体"/>
                <w:i w:val="0"/>
                <w:iCs w:val="0"/>
                <w:color w:val="000000"/>
                <w:sz w:val="24"/>
                <w:szCs w:val="24"/>
                <w:u w:val="none"/>
              </w:rPr>
            </w:pPr>
          </w:p>
        </w:tc>
      </w:tr>
      <w:tr w14:paraId="7B50A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9C04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FB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应用数据库</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5DEF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驾驶舱数据库、学生成长评价模型、教师发展评价模型、班级画像、学校画像、党员画像等相关应用数据库</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96A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F399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867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3D0A">
            <w:pPr>
              <w:jc w:val="center"/>
              <w:rPr>
                <w:rFonts w:hint="eastAsia" w:ascii="宋体" w:hAnsi="宋体" w:eastAsia="宋体" w:cs="宋体"/>
                <w:i w:val="0"/>
                <w:iCs w:val="0"/>
                <w:color w:val="000000"/>
                <w:sz w:val="24"/>
                <w:szCs w:val="24"/>
                <w:u w:val="none"/>
              </w:rPr>
            </w:pPr>
          </w:p>
        </w:tc>
      </w:tr>
      <w:tr w14:paraId="1B84B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B03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1.2)数据治理服务</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192B3">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B9DC">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C1347">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7AB2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A86D">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A6FC">
            <w:pPr>
              <w:jc w:val="center"/>
              <w:rPr>
                <w:rFonts w:hint="eastAsia" w:ascii="宋体" w:hAnsi="宋体" w:eastAsia="宋体" w:cs="宋体"/>
                <w:i w:val="0"/>
                <w:iCs w:val="0"/>
                <w:color w:val="000000"/>
                <w:sz w:val="24"/>
                <w:szCs w:val="24"/>
                <w:u w:val="none"/>
              </w:rPr>
            </w:pPr>
          </w:p>
        </w:tc>
      </w:tr>
      <w:tr w14:paraId="23E6A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57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E74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数据清洗比对服务</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F41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实现对不符合规定格式的数据的“洗除”，利用用户认可的过滤规则，过滤不符合要求的数据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实现不同系统业务信息的信息比对工作。数据比对通过比对规则、比对策略的制定实现跨部门业务信息的比对整合与梳理工作，数据比对服务系统主要解决不同数据集合间的数据比对问题</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E44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D4D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22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C1B42">
            <w:pPr>
              <w:jc w:val="center"/>
              <w:rPr>
                <w:rFonts w:hint="eastAsia" w:ascii="宋体" w:hAnsi="宋体" w:eastAsia="宋体" w:cs="宋体"/>
                <w:i w:val="0"/>
                <w:iCs w:val="0"/>
                <w:color w:val="000000"/>
                <w:sz w:val="24"/>
                <w:szCs w:val="24"/>
                <w:u w:val="none"/>
              </w:rPr>
            </w:pPr>
          </w:p>
        </w:tc>
      </w:tr>
      <w:tr w14:paraId="7CC19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4DD6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7B3C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数据关联融合服务</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C7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结合架构设计，制订数据库关联规则，以各已建数据表唯一外键、表结构为基础实现数据关联、数据融合，将关联数据与分析模型进行数据绑定，深度挖掘分析各部门数据之间重要联系，实现一表多用，为大数据分析提供真实有效的数据质量保障</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DCB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6DF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94F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E0C82">
            <w:pPr>
              <w:jc w:val="center"/>
              <w:rPr>
                <w:rFonts w:hint="eastAsia" w:ascii="宋体" w:hAnsi="宋体" w:eastAsia="宋体" w:cs="宋体"/>
                <w:i w:val="0"/>
                <w:iCs w:val="0"/>
                <w:color w:val="000000"/>
                <w:sz w:val="24"/>
                <w:szCs w:val="24"/>
                <w:u w:val="none"/>
              </w:rPr>
            </w:pPr>
          </w:p>
        </w:tc>
      </w:tr>
      <w:tr w14:paraId="5DF13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C3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1.3)第三方系统对接</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016F2">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7EE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18372">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D526E">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4DBC1">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3BD67">
            <w:pPr>
              <w:jc w:val="center"/>
              <w:rPr>
                <w:rFonts w:hint="eastAsia" w:ascii="宋体" w:hAnsi="宋体" w:eastAsia="宋体" w:cs="宋体"/>
                <w:i w:val="0"/>
                <w:iCs w:val="0"/>
                <w:color w:val="000000"/>
                <w:sz w:val="24"/>
                <w:szCs w:val="24"/>
                <w:u w:val="none"/>
              </w:rPr>
            </w:pPr>
          </w:p>
        </w:tc>
      </w:tr>
      <w:tr w14:paraId="45AE2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D6F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240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据要求进行第三方系统对接</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772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对接原系统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1智慧点餐系统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2钉钉后勤管理模块（设备报修、物资领用、功能教室申请、工资条、值日点到、值日反馈）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3四项竞赛</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4学生成长档案→学生成长画像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5智慧学习平台网站</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6新生分班功能模块（按照毕业考和新生入学成绩名次均衡分班，保证文科、理科、总分名次档、平均分都均衡，男女性别、毕业小学、优抚生、住宿生、台州医院、教师子女人数均衡）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7排课功能模块（个别功课分单双周，两周上一次；个别功课走班，两班走成3班）</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8成绩数据分析功能（成绩数据分是否包含缺考和提前批，教学质量指数，临界生偏科，红榜）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9教师教学成绩考核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10会议签到（日历），考勤管理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11附中教研网(类博客网站) 1.发布教师科研文章。2.发布教研组备课组教研活动推送照片。3.包含一个聚合导航页面一键直达wps各种表单文档收集链接。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数据库自动数据采集：将数据抽取到相关的数据库里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通过表格导入的方式实现数据采集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实现对不符合规定格式的数据的“洗除”，利用用户认可的过滤规则，过滤不符合要求的数据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实现部门间业务信息的信息比对工作。数据比对通过比对规则、比对策略的制定实现跨部门业务信息的比对整合与梳理工作，数据比对服务系统主要解决不同数据集合间的数据比对问题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结合架构设计，制订数据库关联规则，以各已建数据表唯一外键、表结构为基础实现数据关联、数据融合，将关联数据与分析模型进行数据绑定，深度挖掘分析各部门数据之间重要联系，实现一表多用，为大数据分析提供真实有效的数据质量保障</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D93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871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E08B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8EBC">
            <w:pPr>
              <w:jc w:val="center"/>
              <w:rPr>
                <w:rFonts w:hint="eastAsia" w:ascii="宋体" w:hAnsi="宋体" w:eastAsia="宋体" w:cs="宋体"/>
                <w:i w:val="0"/>
                <w:iCs w:val="0"/>
                <w:color w:val="000000"/>
                <w:sz w:val="24"/>
                <w:szCs w:val="24"/>
                <w:u w:val="none"/>
              </w:rPr>
            </w:pPr>
          </w:p>
        </w:tc>
      </w:tr>
      <w:tr w14:paraId="5F42C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E7A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1.4)统一身份认证</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28CD">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86F73">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2E69">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7D2C">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7A30">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09CC4">
            <w:pPr>
              <w:jc w:val="center"/>
              <w:rPr>
                <w:rFonts w:hint="eastAsia" w:ascii="宋体" w:hAnsi="宋体" w:eastAsia="宋体" w:cs="宋体"/>
                <w:i w:val="0"/>
                <w:iCs w:val="0"/>
                <w:color w:val="000000"/>
                <w:sz w:val="24"/>
                <w:szCs w:val="24"/>
                <w:u w:val="none"/>
              </w:rPr>
            </w:pPr>
          </w:p>
        </w:tc>
      </w:tr>
      <w:tr w14:paraId="0CFEB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DAA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60F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钉钉扫码登录</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3E2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平台的统一登录方式支持钉钉扫一扫，用户的身份认证也与钉钉进行集成，以简化入口和认证操作。</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D20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5FE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557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D7BA">
            <w:pPr>
              <w:jc w:val="center"/>
              <w:rPr>
                <w:rFonts w:hint="eastAsia" w:ascii="宋体" w:hAnsi="宋体" w:eastAsia="宋体" w:cs="宋体"/>
                <w:i w:val="0"/>
                <w:iCs w:val="0"/>
                <w:color w:val="000000"/>
                <w:sz w:val="24"/>
                <w:szCs w:val="24"/>
                <w:u w:val="none"/>
              </w:rPr>
            </w:pPr>
          </w:p>
        </w:tc>
      </w:tr>
      <w:tr w14:paraId="130B2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423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3D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用户数据同步</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B32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"教师信息同步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支持一键同步钉钉教师信息包括员工的userId、员工姓名、头像、员工工号、职位、所属部门id列表、手机号（需要授权获取）。</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教师角色默认为若在钉钉上为管理员则在系统上为管理员，其他角色则在系统上为教师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支持同步部门和教师信息。支持钉钉教师信息修改、删除实时同步到系统。"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"班级信息同步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支持一键同步钉钉班级信息包括班级编号、班级名称、班级别名、班主任。支持班级初始同步自钉钉。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支持钉钉班级信息修改、删除实时同步到系统。支持同步钉钉班级别名同到系统。"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"学生/家长同步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支持同步钉钉学生信息包括班级ID、学号、人员姓名、人员userId、学生头像ID、身份证号；支持同步钉钉家长信息，包括家长姓名、手机号、子女关系。支持钉钉学生/家长信息修改、删除实时同步到系统。"</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37C3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49C1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7EF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24CA1">
            <w:pPr>
              <w:jc w:val="center"/>
              <w:rPr>
                <w:rFonts w:hint="eastAsia" w:ascii="宋体" w:hAnsi="宋体" w:eastAsia="宋体" w:cs="宋体"/>
                <w:i w:val="0"/>
                <w:iCs w:val="0"/>
                <w:color w:val="000000"/>
                <w:sz w:val="24"/>
                <w:szCs w:val="24"/>
                <w:u w:val="none"/>
              </w:rPr>
            </w:pPr>
          </w:p>
        </w:tc>
      </w:tr>
      <w:tr w14:paraId="496B0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DB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1.5)基础数据开放</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E0D8B">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D97A">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70BA">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09C1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CD769">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C006">
            <w:pPr>
              <w:jc w:val="center"/>
              <w:rPr>
                <w:rFonts w:hint="eastAsia" w:ascii="宋体" w:hAnsi="宋体" w:eastAsia="宋体" w:cs="宋体"/>
                <w:i w:val="0"/>
                <w:iCs w:val="0"/>
                <w:color w:val="000000"/>
                <w:sz w:val="24"/>
                <w:szCs w:val="24"/>
                <w:u w:val="none"/>
              </w:rPr>
            </w:pPr>
          </w:p>
        </w:tc>
      </w:tr>
      <w:tr w14:paraId="602BE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2AAB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2A7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标准化数据接口开发</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2BB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提供基础数据API，并且符合主流开发、安全等规范的前提下使应用快速接入及接口调用。包括接入规范文档说明、接口说明、API文档、调用示例等。方便第三方调用学生、教师、任课、班级信息接口，形成“一数一源”</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8FF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B97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B69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9D326">
            <w:pPr>
              <w:jc w:val="center"/>
              <w:rPr>
                <w:rFonts w:hint="eastAsia" w:ascii="宋体" w:hAnsi="宋体" w:eastAsia="宋体" w:cs="宋体"/>
                <w:i w:val="0"/>
                <w:iCs w:val="0"/>
                <w:color w:val="000000"/>
                <w:sz w:val="24"/>
                <w:szCs w:val="24"/>
                <w:u w:val="none"/>
              </w:rPr>
            </w:pPr>
          </w:p>
        </w:tc>
      </w:tr>
      <w:tr w14:paraId="7F7AC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898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1.6)设备对接</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CF8EE">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90B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C8145">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3A9AA">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EDCC8">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B718A">
            <w:pPr>
              <w:jc w:val="center"/>
              <w:rPr>
                <w:rFonts w:hint="eastAsia" w:ascii="宋体" w:hAnsi="宋体" w:eastAsia="宋体" w:cs="宋体"/>
                <w:i w:val="0"/>
                <w:iCs w:val="0"/>
                <w:color w:val="000000"/>
                <w:sz w:val="24"/>
                <w:szCs w:val="24"/>
                <w:u w:val="none"/>
              </w:rPr>
            </w:pPr>
          </w:p>
        </w:tc>
      </w:tr>
      <w:tr w14:paraId="25A72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4D8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51E0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智慧物联设备对接及展示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CA8F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支持对接校园智慧物联设备数据、物联设备运行情况数据展示</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13E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5A82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B1F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234F">
            <w:pPr>
              <w:jc w:val="center"/>
              <w:rPr>
                <w:rFonts w:hint="eastAsia" w:ascii="宋体" w:hAnsi="宋体" w:eastAsia="宋体" w:cs="宋体"/>
                <w:i w:val="0"/>
                <w:iCs w:val="0"/>
                <w:color w:val="000000"/>
                <w:sz w:val="24"/>
                <w:szCs w:val="24"/>
                <w:u w:val="none"/>
              </w:rPr>
            </w:pPr>
          </w:p>
        </w:tc>
      </w:tr>
      <w:tr w14:paraId="194E4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4A36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2)学生考勤管理系统</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555CF">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EDAE5">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006A3">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640E8">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A3B2F">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F9CD0">
            <w:pPr>
              <w:jc w:val="center"/>
              <w:rPr>
                <w:rFonts w:hint="eastAsia" w:ascii="宋体" w:hAnsi="宋体" w:eastAsia="宋体" w:cs="宋体"/>
                <w:i w:val="0"/>
                <w:iCs w:val="0"/>
                <w:color w:val="000000"/>
                <w:sz w:val="24"/>
                <w:szCs w:val="24"/>
                <w:u w:val="none"/>
              </w:rPr>
            </w:pPr>
          </w:p>
        </w:tc>
      </w:tr>
      <w:tr w14:paraId="041F4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9F4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04B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日统计功能</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FD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支持按日统计正常上学或下学/全部人员统计情况，支持时间筛选查看历史人员统计情况。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支持按迟到、未打卡、请假等分类统计；支持分班级统计各班考勤到岗、迟到、未打卡、请假情况。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支持按班级筛选、日期筛选、选择考勤组筛选或选择考勤时间进行筛选。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支持学生考勤详情的导出功能。</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6EF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16D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EBBD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C8F3">
            <w:pPr>
              <w:jc w:val="center"/>
              <w:rPr>
                <w:rFonts w:hint="eastAsia" w:ascii="宋体" w:hAnsi="宋体" w:eastAsia="宋体" w:cs="宋体"/>
                <w:i w:val="0"/>
                <w:iCs w:val="0"/>
                <w:color w:val="000000"/>
                <w:sz w:val="24"/>
                <w:szCs w:val="24"/>
                <w:u w:val="none"/>
              </w:rPr>
            </w:pPr>
          </w:p>
        </w:tc>
      </w:tr>
      <w:tr w14:paraId="0C963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B94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9C4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考勤设置功能</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9E7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支持按考勤组设置不同年级段名称、参与考勤人员、打卡时间、打卡设备选择。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支持考勤消息通知的设置、可按需求设置班主任或家长消息是否推送考勤详情。</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964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34D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16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4FE7D">
            <w:pPr>
              <w:jc w:val="center"/>
              <w:rPr>
                <w:rFonts w:hint="eastAsia" w:ascii="宋体" w:hAnsi="宋体" w:eastAsia="宋体" w:cs="宋体"/>
                <w:i w:val="0"/>
                <w:iCs w:val="0"/>
                <w:color w:val="000000"/>
                <w:sz w:val="24"/>
                <w:szCs w:val="24"/>
                <w:u w:val="none"/>
              </w:rPr>
            </w:pPr>
          </w:p>
        </w:tc>
      </w:tr>
      <w:tr w14:paraId="432B7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0E9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94D5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考勤推送功能</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16F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支持考勤统计推送给班主任，查看班级考勤信息，包括考勤总人数、正常上学人数、迟到人数、请假人数、未打卡人数。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支持查看详情，自动跳转至学生考勤主页。</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47C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8F3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DA3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C1E34">
            <w:pPr>
              <w:jc w:val="center"/>
              <w:rPr>
                <w:rFonts w:hint="eastAsia" w:ascii="宋体" w:hAnsi="宋体" w:eastAsia="宋体" w:cs="宋体"/>
                <w:i w:val="0"/>
                <w:iCs w:val="0"/>
                <w:color w:val="000000"/>
                <w:sz w:val="24"/>
                <w:szCs w:val="24"/>
                <w:u w:val="none"/>
              </w:rPr>
            </w:pPr>
          </w:p>
        </w:tc>
      </w:tr>
      <w:tr w14:paraId="55C99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C0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56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钉钉教师考勤对接</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E39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闸机人脸机：支持教师通过闸机人脸识别进出学校，教师出入数据自动推送到钉钉考勤。</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BA94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7DD1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8185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E7B98">
            <w:pPr>
              <w:jc w:val="center"/>
              <w:rPr>
                <w:rFonts w:hint="eastAsia" w:ascii="宋体" w:hAnsi="宋体" w:eastAsia="宋体" w:cs="宋体"/>
                <w:i w:val="0"/>
                <w:iCs w:val="0"/>
                <w:color w:val="000000"/>
                <w:sz w:val="24"/>
                <w:szCs w:val="24"/>
                <w:u w:val="none"/>
              </w:rPr>
            </w:pPr>
          </w:p>
        </w:tc>
      </w:tr>
      <w:tr w14:paraId="0DDAE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FEC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3)学生请假管理系统</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72DB9">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B759C">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5D4A3">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8053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A313E">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3AE43">
            <w:pPr>
              <w:jc w:val="center"/>
              <w:rPr>
                <w:rFonts w:hint="eastAsia" w:ascii="宋体" w:hAnsi="宋体" w:eastAsia="宋体" w:cs="宋体"/>
                <w:i w:val="0"/>
                <w:iCs w:val="0"/>
                <w:color w:val="000000"/>
                <w:sz w:val="24"/>
                <w:szCs w:val="24"/>
                <w:u w:val="none"/>
              </w:rPr>
            </w:pPr>
          </w:p>
        </w:tc>
      </w:tr>
      <w:tr w14:paraId="55109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CD5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B5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学生请假管理模块</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70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应用支持单用户多角色切换。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管理员：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管理员可通过钉钉查看今日请假人数、请假事由，如病假、事假、其他。</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1.详细内容包括：学生头像、姓名、请假类型、开始时间、结束时间。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2.支持管理员为学生发起代请假。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3.支持对请假内容进行审批。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4.支持查看请假记录。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5.支持导出报表。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6.支持对特定时间的请假信息进行查询。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教师端：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1.支持对学生家长发起的请假内容进行审批。详细内容包括：学生头像、姓名、请假类型、开始时间、结束时间。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2.支持教师为本班学生发起代请假。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3.支持查询本班发起的历史审批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4.支持导出本班的历史审批信息。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家长端：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1.支持家长通过钉钉发起审批。详细内容包括：学生头像、姓名、请假类型、开始时间、结束时间。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2.支持家长通过钉钉查询自己发起的审批。</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930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88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E0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3521F">
            <w:pPr>
              <w:jc w:val="center"/>
              <w:rPr>
                <w:rFonts w:hint="eastAsia" w:ascii="宋体" w:hAnsi="宋体" w:eastAsia="宋体" w:cs="宋体"/>
                <w:i w:val="0"/>
                <w:iCs w:val="0"/>
                <w:color w:val="000000"/>
                <w:sz w:val="24"/>
                <w:szCs w:val="24"/>
                <w:u w:val="none"/>
              </w:rPr>
            </w:pPr>
          </w:p>
        </w:tc>
      </w:tr>
      <w:tr w14:paraId="007AA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7A5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150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审批流程管理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222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支持自定义审批流程，将请假申请自动流转至相应的审批人员（如班主任、学校管理员等）。审批人员可以在线查看申请详情，并进行审批操作，如同意、驳回或提出修改意见。</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0BB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07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67B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C16D">
            <w:pPr>
              <w:jc w:val="center"/>
              <w:rPr>
                <w:rFonts w:hint="eastAsia" w:ascii="宋体" w:hAnsi="宋体" w:eastAsia="宋体" w:cs="宋体"/>
                <w:i w:val="0"/>
                <w:iCs w:val="0"/>
                <w:color w:val="000000"/>
                <w:sz w:val="24"/>
                <w:szCs w:val="24"/>
                <w:u w:val="none"/>
              </w:rPr>
            </w:pPr>
          </w:p>
        </w:tc>
      </w:tr>
      <w:tr w14:paraId="5E09C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2B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E2BE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请假记录查询</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E564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家长和管理人员可以随时查询请假记录，包括已提交、已审批、未审批等状态的申请，方便追踪请假进度和了解历史请假情况。</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1D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4531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457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CA93">
            <w:pPr>
              <w:jc w:val="center"/>
              <w:rPr>
                <w:rFonts w:hint="eastAsia" w:ascii="宋体" w:hAnsi="宋体" w:eastAsia="宋体" w:cs="宋体"/>
                <w:i w:val="0"/>
                <w:iCs w:val="0"/>
                <w:color w:val="000000"/>
                <w:sz w:val="24"/>
                <w:szCs w:val="24"/>
                <w:u w:val="none"/>
              </w:rPr>
            </w:pPr>
          </w:p>
        </w:tc>
      </w:tr>
      <w:tr w14:paraId="72354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AF9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D7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请假报表导出</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80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系统可以对请假数据进行统计和分析，生成请假情况报表，帮助学校管理层了解请假趋势、请假原因分布等信息。</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3D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233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150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E0AFE">
            <w:pPr>
              <w:jc w:val="center"/>
              <w:rPr>
                <w:rFonts w:hint="eastAsia" w:ascii="宋体" w:hAnsi="宋体" w:eastAsia="宋体" w:cs="宋体"/>
                <w:i w:val="0"/>
                <w:iCs w:val="0"/>
                <w:color w:val="000000"/>
                <w:sz w:val="24"/>
                <w:szCs w:val="24"/>
                <w:u w:val="none"/>
              </w:rPr>
            </w:pPr>
          </w:p>
        </w:tc>
      </w:tr>
      <w:tr w14:paraId="4DB51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DD7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B94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请假信息推送</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0F9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支持学生请假审批推送功能，推送信息显示审批编号、所在部门、学生姓名、请假类型、请假时长、请假期间、请假事由及班主任信息。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支持显示请假审批流程及抄送人员名单。</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59F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257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C8D1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3F2E">
            <w:pPr>
              <w:jc w:val="center"/>
              <w:rPr>
                <w:rFonts w:hint="eastAsia" w:ascii="宋体" w:hAnsi="宋体" w:eastAsia="宋体" w:cs="宋体"/>
                <w:i w:val="0"/>
                <w:iCs w:val="0"/>
                <w:color w:val="000000"/>
                <w:sz w:val="24"/>
                <w:szCs w:val="24"/>
                <w:u w:val="none"/>
              </w:rPr>
            </w:pPr>
          </w:p>
        </w:tc>
      </w:tr>
      <w:tr w14:paraId="6F69E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0C5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E8A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硬件设备联动对接</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B00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与校门刷脸设备对接，只能在请假的有效时间段能打开门口闸机。</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AA70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73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11C1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AEC3">
            <w:pPr>
              <w:jc w:val="center"/>
              <w:rPr>
                <w:rFonts w:hint="eastAsia" w:ascii="宋体" w:hAnsi="宋体" w:eastAsia="宋体" w:cs="宋体"/>
                <w:i w:val="0"/>
                <w:iCs w:val="0"/>
                <w:color w:val="000000"/>
                <w:sz w:val="24"/>
                <w:szCs w:val="24"/>
                <w:u w:val="none"/>
              </w:rPr>
            </w:pPr>
          </w:p>
        </w:tc>
      </w:tr>
      <w:tr w14:paraId="5E1B3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FAD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4)智慧接送系统</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7B478">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A481">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F022">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4D55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BE7C">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B82B7">
            <w:pPr>
              <w:jc w:val="center"/>
              <w:rPr>
                <w:rFonts w:hint="eastAsia" w:ascii="宋体" w:hAnsi="宋体" w:eastAsia="宋体" w:cs="宋体"/>
                <w:i w:val="0"/>
                <w:iCs w:val="0"/>
                <w:color w:val="000000"/>
                <w:sz w:val="24"/>
                <w:szCs w:val="24"/>
                <w:u w:val="none"/>
              </w:rPr>
            </w:pPr>
          </w:p>
        </w:tc>
      </w:tr>
      <w:tr w14:paraId="37254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AD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AA4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车辆信息管理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BF5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1.支持日常接送车辆和临时接送车辆分类管理；日常车辆：长期有效，最多允许每个学生绑定5条记录。临时车辆：需设置接送时间段，审核通过后生效，最多允许每个学生绑定5条记录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2.家长填写接送家长姓名、车牌号（必填）、接送时间段（临时车辆）、接送站台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3.车牌号唯一性（同一学生已通过的日常 / 临时车牌不可重复录入）</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4.班主任审核：仅可审批本班级学生的车辆申请。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5.管理员审核：可审批全校车辆申请。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6.审核状态：待处理、已通过、已拒绝、已失效（临时车辆过期后自动标记）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7.支持模糊搜索：学生姓名、家长姓名、车牌号；</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8.支持筛选条件：年级、班级、车辆类型、审核状态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9.若班主任则筛选年级和班级时只展示任班主任的年级和班级</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6E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18D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449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DB9A2">
            <w:pPr>
              <w:jc w:val="center"/>
              <w:rPr>
                <w:rFonts w:hint="eastAsia" w:ascii="宋体" w:hAnsi="宋体" w:eastAsia="宋体" w:cs="宋体"/>
                <w:i w:val="0"/>
                <w:iCs w:val="0"/>
                <w:color w:val="000000"/>
                <w:sz w:val="24"/>
                <w:szCs w:val="24"/>
                <w:u w:val="none"/>
              </w:rPr>
            </w:pPr>
          </w:p>
        </w:tc>
      </w:tr>
      <w:tr w14:paraId="6C3B0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CD1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1A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开门权限管理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3FA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1.支持按权限组名称新建权限组、删除权限组、复制权限组，支持编辑复制权限组内容。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2.支持开启/暂停，开启后，原有选择范围将被清空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3.支持按选员工和选家校进行人员选定，选员工是指教师、管理人员，选家校是指学生。可根据指定部门进行全体教师/各科室人员进行筛选，一键勾选整个部门也可按指定人员筛选特定人员。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4.支持周一至周日设置每日开门时间，支持按时段添加通行时间</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5.支持在不影响正常可通行时间设置的前提下，设置特殊通行时间例如节假日、临时放假通知的设置</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6.支持选择闸机设备名称，对应设备编号关联闸机开门权限，支持搜索设备的功能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7.支持选择车闸名称，对应设备编号关联车闸开门权限，支持搜索设备的功能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8.支持添加管理员，添加的管理员可编辑所在权限组开门时间、关联设备、人员范围的功能</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AE3D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38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46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4E6C">
            <w:pPr>
              <w:jc w:val="center"/>
              <w:rPr>
                <w:rFonts w:hint="eastAsia" w:ascii="宋体" w:hAnsi="宋体" w:eastAsia="宋体" w:cs="宋体"/>
                <w:i w:val="0"/>
                <w:iCs w:val="0"/>
                <w:color w:val="000000"/>
                <w:sz w:val="24"/>
                <w:szCs w:val="24"/>
                <w:u w:val="none"/>
              </w:rPr>
            </w:pPr>
          </w:p>
        </w:tc>
      </w:tr>
      <w:tr w14:paraId="429CA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FD19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9B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放学管理设置</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0B6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1.支持机动车/非机动车两种模式，可单选或多选。机动车需绑定车牌号，系统支持车牌唯一性校验（同一学生不可重复录入已通过的日常车牌）</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2.支持新增放学时间组，设置班级名称、参与学生、放学时间；若接送时间段选择几个（1-3个），则放学时间要求设置几个时间段；时间段与放学状态（未放学、等待放学、放学中、放学结束）联动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3.支持“学生刷脸打卡后放学”和“连续刷脸达标人数触发”两种模式。达标人数可配置（如5人），触发后5分钟内自动进入“放学中”状态。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4.支持管理员对接送站台及上车点管理：可新建站台在站台上设置上车点 ，并绑定学生人脸识别闸机、车辆识别仪、班级信息</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5.支持绑定等候区、放学设备、滞留室设备，设备权限与时间段绑定</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学生刷脸通过第一道人行闸机，家长收到消息通知后（某某已抵达班级站台，家长可过来接孩子），家长方可车牌识别进入接送通道，确保家长有序通行。否则家长车辆无法进入接送通道，并且提示家长：“您的孩子尚未抵达上车点，请到班级等待区等候。”</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只有家长车辆车牌识别进入接送通道后，学生方可人脸识别打开第二道人行闸机，并且大屏显示上车学生姓名、照片、家长车牌号，广播音响播报：“某某同学、某某同学、某某同学，准备上车。”，保障学生安全，方便家长志愿者辅助学生上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7.支持放学通知、滞留通知、等候区通知、滞留室通知、放学完成通知等多类型消息推送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8.支持家长端和教师端的差异化推送内容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根据家长设置的接送时间段给通知家长：您的孩子今日课程已结束，等待放学中，请按约定时间到达指定接送点等候</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还未离校，则通知给家长：您的孩子XX已在学校滞留，请及时将孩子接走。按钮有延迟接送</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学生进入等候区后则发送通知给家长，推送内容为：XX同学已经抵达班级站台，请到班级站台接孩子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学生进入滞留区则发送通知给家长，推送内容为：XX同学已经在滞留室等待，请到滞留室接孩子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推送班主任，若全部完成则推送：今日学生已全部放学完成平均放学时长xxx；若未全部完成则推送：今日已放学X人，平均放学时长XXX。还滞留X人，请及时关注。点击详情查看滞留名单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推送管理员，若全部完成则推送：今日已全部放学班级X班，学生X人， 平均放学时长xxx。点击查看详情，展示各个班级的放学学生数，平均放学时长；若未全部完成则推送：今日已全部放学班级X班，学生X人， 平均放学时长xxx。还滞留X人，请及时关注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推送学生到校通知给家长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70D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62D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4ED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C9D14">
            <w:pPr>
              <w:jc w:val="center"/>
              <w:rPr>
                <w:rFonts w:hint="eastAsia" w:ascii="宋体" w:hAnsi="宋体" w:eastAsia="宋体" w:cs="宋体"/>
                <w:i w:val="0"/>
                <w:iCs w:val="0"/>
                <w:color w:val="000000"/>
                <w:sz w:val="24"/>
                <w:szCs w:val="24"/>
                <w:u w:val="none"/>
              </w:rPr>
            </w:pPr>
          </w:p>
        </w:tc>
      </w:tr>
      <w:tr w14:paraId="3D703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A3F6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8776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教师端放学管理模块</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88F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1.支持管理员展示全校/年级统计数据（当日班级放学用时、接送方式占比），支持历史数据查询</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显示班级列表及状态（未放学、等待放学、放学中、放学结束），支持手动触发放学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2.支持班主任查看班级的统计信息，可以按日，周，月进行统计。包括班级学生平均放学用时，放学用时统计，已离校人数，未离校人数以及异常情况（家长延迟接送）统计。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3.支持学生列表详情查看学生考勤详情；学生日考勤详情展示学生基本信息（头像、姓名、班级），上下学的状态以及时间，学生月考勤详情展示当月出勤天数、迟到数、未打卡数、请假数</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39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7A1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0C1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5BDA7">
            <w:pPr>
              <w:jc w:val="center"/>
              <w:rPr>
                <w:rFonts w:hint="eastAsia" w:ascii="宋体" w:hAnsi="宋体" w:eastAsia="宋体" w:cs="宋体"/>
                <w:i w:val="0"/>
                <w:iCs w:val="0"/>
                <w:color w:val="000000"/>
                <w:sz w:val="24"/>
                <w:szCs w:val="24"/>
                <w:u w:val="none"/>
              </w:rPr>
            </w:pPr>
          </w:p>
        </w:tc>
      </w:tr>
      <w:tr w14:paraId="6C7D5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FD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6E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家长端放学模块</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9C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1.显示学生放学状态（等待放学/放学中/结束）、接送家长信息（机动车模式）、考勤月统计；支持日历切换查看历史记录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2.显示学生今日的上下学情况，显示出每一步的时间，地点以及状态。全部包括：上学打卡、等候区打卡、滞留打卡、离校打卡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3.家长可选择接送方式（机动车 / 非机动车），若为机动车需填写车辆信息（日常 / 临时）。临时车辆需设置时间段并经审核，支持最多 5 条临时记录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4.家长可在线申请延迟接送，选择具体时间（默认当前时间 + 30 分钟），每日限申请 1 次。支持通过推送消息直接发起</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1B5F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D099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B0B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2EAF3">
            <w:pPr>
              <w:jc w:val="center"/>
              <w:rPr>
                <w:rFonts w:hint="eastAsia" w:ascii="宋体" w:hAnsi="宋体" w:eastAsia="宋体" w:cs="宋体"/>
                <w:i w:val="0"/>
                <w:iCs w:val="0"/>
                <w:color w:val="000000"/>
                <w:sz w:val="24"/>
                <w:szCs w:val="24"/>
                <w:u w:val="none"/>
              </w:rPr>
            </w:pPr>
          </w:p>
        </w:tc>
      </w:tr>
      <w:tr w14:paraId="41C66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69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5)德育评价系统</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EA8FA">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9345F">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5269">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7C0A">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E0189">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891D5">
            <w:pPr>
              <w:jc w:val="center"/>
              <w:rPr>
                <w:rFonts w:hint="eastAsia" w:ascii="宋体" w:hAnsi="宋体" w:eastAsia="宋体" w:cs="宋体"/>
                <w:i w:val="0"/>
                <w:iCs w:val="0"/>
                <w:color w:val="000000"/>
                <w:sz w:val="24"/>
                <w:szCs w:val="24"/>
                <w:u w:val="none"/>
              </w:rPr>
            </w:pPr>
          </w:p>
        </w:tc>
      </w:tr>
      <w:tr w14:paraId="33704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90C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5C36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评价维度管理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2DC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1.编辑评价维度项：支持评价维度编辑，包括评价维度名称、类型(表扬、待改进)、分类、分值、设为默认；支持新增、修改、删除评价维度内容。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2.编辑分类：新增、修改、删除评价分类（分类）。</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3.评价维度默认设置：支持为用户提供默认评价维度体系，方便用户直接使用。</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F7F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1589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020E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8C93">
            <w:pPr>
              <w:jc w:val="center"/>
              <w:rPr>
                <w:rFonts w:hint="eastAsia" w:ascii="宋体" w:hAnsi="宋体" w:eastAsia="宋体" w:cs="宋体"/>
                <w:i w:val="0"/>
                <w:iCs w:val="0"/>
                <w:color w:val="000000"/>
                <w:sz w:val="24"/>
                <w:szCs w:val="24"/>
                <w:u w:val="none"/>
              </w:rPr>
            </w:pPr>
          </w:p>
        </w:tc>
      </w:tr>
      <w:tr w14:paraId="2F9A1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915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F21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评价功能</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942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该系统支持所有教师可通过钉钉或网页端对任教学生进行评价（含文字与图片）；并且评价功能支持三级分类</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1A8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397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606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19B44">
            <w:pPr>
              <w:jc w:val="center"/>
              <w:rPr>
                <w:rFonts w:hint="eastAsia" w:ascii="宋体" w:hAnsi="宋体" w:eastAsia="宋体" w:cs="宋体"/>
                <w:i w:val="0"/>
                <w:iCs w:val="0"/>
                <w:color w:val="000000"/>
                <w:sz w:val="24"/>
                <w:szCs w:val="24"/>
                <w:u w:val="none"/>
              </w:rPr>
            </w:pPr>
          </w:p>
        </w:tc>
      </w:tr>
      <w:tr w14:paraId="01454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783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56F3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教师个人评价查询</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07B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1.支持查看个人点评分析：个人点评数据：总点评次数、总分值、总点评人数；个人表扬/批评占比；各个点评内容分布。</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2.个人评价查询：支持查看、导出个人历史点评记录：可选择班级、时间段进行导出。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3.个人“五育”评价报告：平台可将学生在掌握的技能或修得的素养通过一定的模块和一定的维度以能力分布雷达图可视化地呈现出来。</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77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49F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F584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21C20">
            <w:pPr>
              <w:jc w:val="center"/>
              <w:rPr>
                <w:rFonts w:hint="eastAsia" w:ascii="宋体" w:hAnsi="宋体" w:eastAsia="宋体" w:cs="宋体"/>
                <w:i w:val="0"/>
                <w:iCs w:val="0"/>
                <w:color w:val="000000"/>
                <w:sz w:val="24"/>
                <w:szCs w:val="24"/>
                <w:u w:val="none"/>
              </w:rPr>
            </w:pPr>
          </w:p>
        </w:tc>
      </w:tr>
      <w:tr w14:paraId="68483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17F3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D4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个人“五育”评价报告</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36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将学生在学校掌握的技能或修得的素养通过一定的模块和一定的维度以能力分布雷达图可视化地呈现出来</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C7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E274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029D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951E2">
            <w:pPr>
              <w:jc w:val="center"/>
              <w:rPr>
                <w:rFonts w:hint="eastAsia" w:ascii="宋体" w:hAnsi="宋体" w:eastAsia="宋体" w:cs="宋体"/>
                <w:i w:val="0"/>
                <w:iCs w:val="0"/>
                <w:color w:val="000000"/>
                <w:sz w:val="24"/>
                <w:szCs w:val="24"/>
                <w:u w:val="none"/>
              </w:rPr>
            </w:pPr>
          </w:p>
        </w:tc>
      </w:tr>
      <w:tr w14:paraId="2F76D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A43A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BB5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核心素养评价推送</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2FA0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1.校长推送：支持向校长推送全校德育点评总览，并支持对学部、时间的筛选，呈现点评次数、点评学生数与点评老师数，并展示点评次数最多的5位老师相关信息，并支持对最多点评项进行详情查看。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2.班主任推送：支持向班主任推送全班德育点评总览。能够呈现班级点评次数、点评学生数与并支持对最多点评项进行详情查看。</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3.家长推送：当学生收到教师评价、表扬时将评价项、评价维度实时推送给家长。</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163E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583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569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B6109">
            <w:pPr>
              <w:jc w:val="center"/>
              <w:rPr>
                <w:rFonts w:hint="eastAsia" w:ascii="宋体" w:hAnsi="宋体" w:eastAsia="宋体" w:cs="宋体"/>
                <w:i w:val="0"/>
                <w:iCs w:val="0"/>
                <w:color w:val="000000"/>
                <w:sz w:val="24"/>
                <w:szCs w:val="24"/>
                <w:u w:val="none"/>
              </w:rPr>
            </w:pPr>
          </w:p>
        </w:tc>
      </w:tr>
      <w:tr w14:paraId="39C91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2AE9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E893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积分管理</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1F76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1.积分管理：平台支持设置时间进行积分重置，系统内所有的学生积分将会重置到初始分。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2.积分情况查询：支持相应权限人员查看学生、班级、年级积分情况。</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3.积分导出功能：根据校方的需求定期导出积分情况，便于校方管理。</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4.评价删除功能：支持被评分班级撤销点评记录，撤销内容支持文字+图片。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5.查看结果：支持查看各个班级评分内容和分数，支持管理员查看被点评班级的教师/学生看不到值周点评的教师。</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6.自定义加分：通过自定义增加或筛选所需加分指标，设定时间区间，实现自动加分。</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404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0FA6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BB7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8F68">
            <w:pPr>
              <w:jc w:val="center"/>
              <w:rPr>
                <w:rFonts w:hint="eastAsia" w:ascii="宋体" w:hAnsi="宋体" w:eastAsia="宋体" w:cs="宋体"/>
                <w:i w:val="0"/>
                <w:iCs w:val="0"/>
                <w:color w:val="000000"/>
                <w:sz w:val="24"/>
                <w:szCs w:val="24"/>
                <w:u w:val="none"/>
              </w:rPr>
            </w:pPr>
          </w:p>
        </w:tc>
      </w:tr>
      <w:tr w14:paraId="4FB85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35B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6)信息发布系统</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EFBB7">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D3E07">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39A88">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BAB9">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4CB22">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37D4B">
            <w:pPr>
              <w:jc w:val="center"/>
              <w:rPr>
                <w:rFonts w:hint="eastAsia" w:ascii="宋体" w:hAnsi="宋体" w:eastAsia="宋体" w:cs="宋体"/>
                <w:i w:val="0"/>
                <w:iCs w:val="0"/>
                <w:color w:val="000000"/>
                <w:sz w:val="24"/>
                <w:szCs w:val="24"/>
                <w:u w:val="none"/>
              </w:rPr>
            </w:pPr>
          </w:p>
        </w:tc>
      </w:tr>
      <w:tr w14:paraId="1ADBD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E06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6.1)班牌系统</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7E86A">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EFB4B">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68ECA">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B1FCD">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60E86">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45DB">
            <w:pPr>
              <w:jc w:val="center"/>
              <w:rPr>
                <w:rFonts w:hint="eastAsia" w:ascii="宋体" w:hAnsi="宋体" w:eastAsia="宋体" w:cs="宋体"/>
                <w:i w:val="0"/>
                <w:iCs w:val="0"/>
                <w:color w:val="000000"/>
                <w:sz w:val="24"/>
                <w:szCs w:val="24"/>
                <w:u w:val="none"/>
              </w:rPr>
            </w:pPr>
          </w:p>
        </w:tc>
      </w:tr>
      <w:tr w14:paraId="5EFA4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7CE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08A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班牌首页</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5CC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展示班级信息、班级风采、倒计时、课表、通知、德育、荣誉列表相关信息</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DE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EBE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9B4A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5FA5">
            <w:pPr>
              <w:jc w:val="center"/>
              <w:rPr>
                <w:rFonts w:hint="eastAsia" w:ascii="宋体" w:hAnsi="宋体" w:eastAsia="宋体" w:cs="宋体"/>
                <w:i w:val="0"/>
                <w:iCs w:val="0"/>
                <w:color w:val="000000"/>
                <w:sz w:val="24"/>
                <w:szCs w:val="24"/>
                <w:u w:val="none"/>
              </w:rPr>
            </w:pPr>
          </w:p>
        </w:tc>
      </w:tr>
      <w:tr w14:paraId="62B95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16A2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9A6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班级信息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9E64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展示班级信息：班级个性化内容、教室座位图、班级名称、班级人数、男女比例、班主任、集体照等基础信息；展示班级信息、师生名单</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46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F2F9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037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1BF8">
            <w:pPr>
              <w:jc w:val="center"/>
              <w:rPr>
                <w:rFonts w:hint="eastAsia" w:ascii="宋体" w:hAnsi="宋体" w:eastAsia="宋体" w:cs="宋体"/>
                <w:i w:val="0"/>
                <w:iCs w:val="0"/>
                <w:color w:val="000000"/>
                <w:sz w:val="24"/>
                <w:szCs w:val="24"/>
                <w:u w:val="none"/>
              </w:rPr>
            </w:pPr>
          </w:p>
        </w:tc>
      </w:tr>
      <w:tr w14:paraId="3F2AB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EEF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3A5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班级风采</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2DA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展示荣誉相册、作品赏析、班级相册；班级重大活动风采的展示</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E9F2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0D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DFC6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B9AB9">
            <w:pPr>
              <w:jc w:val="center"/>
              <w:rPr>
                <w:rFonts w:hint="eastAsia" w:ascii="宋体" w:hAnsi="宋体" w:eastAsia="宋体" w:cs="宋体"/>
                <w:i w:val="0"/>
                <w:iCs w:val="0"/>
                <w:color w:val="000000"/>
                <w:sz w:val="24"/>
                <w:szCs w:val="24"/>
                <w:u w:val="none"/>
              </w:rPr>
            </w:pPr>
          </w:p>
        </w:tc>
      </w:tr>
      <w:tr w14:paraId="226CA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C77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028D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课表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BA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1.班级课程表展现，可设定课程表后展示在首页，学生通过点击，可以按照日期查看每周课程内容。</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2.支持实时展示不同维度课表，如周/日课表等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D44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61A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EE48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D3068">
            <w:pPr>
              <w:jc w:val="center"/>
              <w:rPr>
                <w:rFonts w:hint="eastAsia" w:ascii="宋体" w:hAnsi="宋体" w:eastAsia="宋体" w:cs="宋体"/>
                <w:i w:val="0"/>
                <w:iCs w:val="0"/>
                <w:color w:val="000000"/>
                <w:sz w:val="24"/>
                <w:szCs w:val="24"/>
                <w:u w:val="none"/>
              </w:rPr>
            </w:pPr>
          </w:p>
        </w:tc>
      </w:tr>
      <w:tr w14:paraId="5551F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0A7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5BD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通知栏</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47D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展示学校、班级通知（展示任班主任班级的全部通知记录，进行新增、编辑、删除通知）。</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93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09A4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3E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FBC10">
            <w:pPr>
              <w:jc w:val="center"/>
              <w:rPr>
                <w:rFonts w:hint="eastAsia" w:ascii="宋体" w:hAnsi="宋体" w:eastAsia="宋体" w:cs="宋体"/>
                <w:i w:val="0"/>
                <w:iCs w:val="0"/>
                <w:color w:val="000000"/>
                <w:sz w:val="24"/>
                <w:szCs w:val="24"/>
                <w:u w:val="none"/>
              </w:rPr>
            </w:pPr>
          </w:p>
        </w:tc>
      </w:tr>
      <w:tr w14:paraId="696EA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1B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1C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值日表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889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展示今日值日安排（班主任可操作自己任班主任班级的值日安排）</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55B7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4E7D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1CC5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A99C8">
            <w:pPr>
              <w:jc w:val="center"/>
              <w:rPr>
                <w:rFonts w:hint="eastAsia" w:ascii="宋体" w:hAnsi="宋体" w:eastAsia="宋体" w:cs="宋体"/>
                <w:i w:val="0"/>
                <w:iCs w:val="0"/>
                <w:color w:val="000000"/>
                <w:sz w:val="24"/>
                <w:szCs w:val="24"/>
                <w:u w:val="none"/>
              </w:rPr>
            </w:pPr>
          </w:p>
        </w:tc>
      </w:tr>
      <w:tr w14:paraId="7435D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9C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76E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座位表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0FDF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班主任可根据实际情况调整座位并展示</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4BB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522F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D97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76201">
            <w:pPr>
              <w:jc w:val="center"/>
              <w:rPr>
                <w:rFonts w:hint="eastAsia" w:ascii="宋体" w:hAnsi="宋体" w:eastAsia="宋体" w:cs="宋体"/>
                <w:i w:val="0"/>
                <w:iCs w:val="0"/>
                <w:color w:val="000000"/>
                <w:sz w:val="24"/>
                <w:szCs w:val="24"/>
                <w:u w:val="none"/>
              </w:rPr>
            </w:pPr>
          </w:p>
        </w:tc>
      </w:tr>
      <w:tr w14:paraId="2A717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DA3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041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倒计时</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E3B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由班主任编辑、删除发布的倒计时；可设置六一、国庆等活动/节假倒计时在班牌端实时显示，提醒师生重要日子的到来</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02D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B3C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9E2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661C">
            <w:pPr>
              <w:jc w:val="center"/>
              <w:rPr>
                <w:rFonts w:hint="eastAsia" w:ascii="宋体" w:hAnsi="宋体" w:eastAsia="宋体" w:cs="宋体"/>
                <w:i w:val="0"/>
                <w:iCs w:val="0"/>
                <w:color w:val="000000"/>
                <w:sz w:val="24"/>
                <w:szCs w:val="24"/>
                <w:u w:val="none"/>
              </w:rPr>
            </w:pPr>
          </w:p>
        </w:tc>
      </w:tr>
      <w:tr w14:paraId="6DBB0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1BF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738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学生个人中心</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44A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通过学生账号或人脸识别登录，学生可以在此查询自己的德育情况、学习成绩等成长情况</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2FD4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2B6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2348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C8186">
            <w:pPr>
              <w:jc w:val="center"/>
              <w:rPr>
                <w:rFonts w:hint="eastAsia" w:ascii="宋体" w:hAnsi="宋体" w:eastAsia="宋体" w:cs="宋体"/>
                <w:i w:val="0"/>
                <w:iCs w:val="0"/>
                <w:color w:val="000000"/>
                <w:sz w:val="24"/>
                <w:szCs w:val="24"/>
                <w:u w:val="none"/>
              </w:rPr>
            </w:pPr>
          </w:p>
        </w:tc>
      </w:tr>
      <w:tr w14:paraId="4CB62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D9B5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6EB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电子班牌移动端</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12AD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支持通过移动端钉钉工作台班牌设备管理，可对通知栏、倒计时、班级相册、班级荣誉信息进行编辑、上传管理。</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A15D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60C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50E2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8447">
            <w:pPr>
              <w:jc w:val="center"/>
              <w:rPr>
                <w:rFonts w:hint="eastAsia" w:ascii="宋体" w:hAnsi="宋体" w:eastAsia="宋体" w:cs="宋体"/>
                <w:i w:val="0"/>
                <w:iCs w:val="0"/>
                <w:color w:val="000000"/>
                <w:sz w:val="24"/>
                <w:szCs w:val="24"/>
                <w:u w:val="none"/>
              </w:rPr>
            </w:pPr>
          </w:p>
        </w:tc>
      </w:tr>
      <w:tr w14:paraId="0CA58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DB72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647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点餐平台对接</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780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对接原学校点餐平台，并进行分辨率调整</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1E6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E6B0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C1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4D313">
            <w:pPr>
              <w:jc w:val="center"/>
              <w:rPr>
                <w:rFonts w:hint="eastAsia" w:ascii="宋体" w:hAnsi="宋体" w:eastAsia="宋体" w:cs="宋体"/>
                <w:i w:val="0"/>
                <w:iCs w:val="0"/>
                <w:color w:val="000000"/>
                <w:sz w:val="24"/>
                <w:szCs w:val="24"/>
                <w:u w:val="none"/>
              </w:rPr>
            </w:pPr>
          </w:p>
        </w:tc>
      </w:tr>
      <w:tr w14:paraId="43A4D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635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6.2)报告厅信息发布</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DC9D1">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03A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BB261">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EC992">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16AF">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59A24">
            <w:pPr>
              <w:jc w:val="center"/>
              <w:rPr>
                <w:rFonts w:hint="eastAsia" w:ascii="宋体" w:hAnsi="宋体" w:eastAsia="宋体" w:cs="宋体"/>
                <w:i w:val="0"/>
                <w:iCs w:val="0"/>
                <w:color w:val="000000"/>
                <w:sz w:val="24"/>
                <w:szCs w:val="24"/>
                <w:u w:val="none"/>
              </w:rPr>
            </w:pPr>
          </w:p>
        </w:tc>
      </w:tr>
      <w:tr w14:paraId="5C9A1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nil"/>
              <w:right w:val="single" w:color="000000" w:sz="4" w:space="0"/>
            </w:tcBorders>
            <w:shd w:val="clear" w:color="auto" w:fill="auto"/>
            <w:vAlign w:val="center"/>
          </w:tcPr>
          <w:p w14:paraId="18193B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D2F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每日活动/会议</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2EF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发布报告厅、实验室及体育馆相关会议/ 活动信息</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61F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2B5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024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4C370">
            <w:pPr>
              <w:jc w:val="center"/>
              <w:rPr>
                <w:rFonts w:hint="eastAsia" w:ascii="宋体" w:hAnsi="宋体" w:eastAsia="宋体" w:cs="宋体"/>
                <w:i w:val="0"/>
                <w:iCs w:val="0"/>
                <w:color w:val="000000"/>
                <w:sz w:val="24"/>
                <w:szCs w:val="24"/>
                <w:u w:val="none"/>
              </w:rPr>
            </w:pPr>
          </w:p>
        </w:tc>
      </w:tr>
      <w:tr w14:paraId="74054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F47A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6.3)食堂信息发布</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C7AD">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86924">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D114">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03F7">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1390">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87DC7">
            <w:pPr>
              <w:jc w:val="center"/>
              <w:rPr>
                <w:rFonts w:hint="eastAsia" w:ascii="宋体" w:hAnsi="宋体" w:eastAsia="宋体" w:cs="宋体"/>
                <w:i w:val="0"/>
                <w:iCs w:val="0"/>
                <w:color w:val="000000"/>
                <w:sz w:val="24"/>
                <w:szCs w:val="24"/>
                <w:u w:val="none"/>
              </w:rPr>
            </w:pPr>
          </w:p>
        </w:tc>
      </w:tr>
      <w:tr w14:paraId="26166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8A0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5B00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每日菜单</w:t>
            </w:r>
          </w:p>
        </w:tc>
        <w:tc>
          <w:tcPr>
            <w:tcW w:w="3704" w:type="dxa"/>
            <w:tcBorders>
              <w:top w:val="single" w:color="000000" w:sz="4" w:space="0"/>
              <w:left w:val="single" w:color="000000" w:sz="4" w:space="0"/>
              <w:bottom w:val="nil"/>
              <w:right w:val="single" w:color="000000" w:sz="4" w:space="0"/>
            </w:tcBorders>
            <w:shd w:val="clear" w:color="auto" w:fill="auto"/>
            <w:vAlign w:val="center"/>
          </w:tcPr>
          <w:p w14:paraId="3BCD9B8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发布食堂每日菜品相关信息</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11A4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45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9171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ECDB">
            <w:pPr>
              <w:jc w:val="center"/>
              <w:rPr>
                <w:rFonts w:hint="eastAsia" w:ascii="宋体" w:hAnsi="宋体" w:eastAsia="宋体" w:cs="宋体"/>
                <w:i w:val="0"/>
                <w:iCs w:val="0"/>
                <w:color w:val="000000"/>
                <w:sz w:val="24"/>
                <w:szCs w:val="24"/>
                <w:u w:val="none"/>
              </w:rPr>
            </w:pPr>
          </w:p>
        </w:tc>
      </w:tr>
      <w:tr w14:paraId="67CD0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F485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6.4)后台模块</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5677">
            <w:pPr>
              <w:jc w:val="center"/>
              <w:rPr>
                <w:rFonts w:hint="eastAsia" w:ascii="宋体" w:hAnsi="宋体" w:eastAsia="宋体" w:cs="宋体"/>
                <w:i w:val="0"/>
                <w:iCs w:val="0"/>
                <w:color w:val="000000"/>
                <w:sz w:val="24"/>
                <w:szCs w:val="24"/>
                <w:u w:val="none"/>
              </w:rPr>
            </w:pP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17CDD">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F2FDA">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C2CD0">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3EBD">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B64B">
            <w:pPr>
              <w:jc w:val="center"/>
              <w:rPr>
                <w:rFonts w:hint="eastAsia" w:ascii="宋体" w:hAnsi="宋体" w:eastAsia="宋体" w:cs="宋体"/>
                <w:i w:val="0"/>
                <w:iCs w:val="0"/>
                <w:color w:val="000000"/>
                <w:sz w:val="24"/>
                <w:szCs w:val="24"/>
                <w:u w:val="none"/>
              </w:rPr>
            </w:pPr>
          </w:p>
        </w:tc>
      </w:tr>
      <w:tr w14:paraId="7CB6C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4465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CA7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信息发布系统管理模块</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C8D2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展示班级信息、师生名单、教室座位图、修改座位；班主任只可见自己任班主任班级，管理员可切换班级；查看周值日，修改值日安排，插入值日安排；信息发布，展示班主任班级的全部通知记录包括通知以及倒计时，进行新增、编辑、删除通知。管理员可远程设置定时开关机任务</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2.班级相册管理后台：展示班级风采照片，班主任可自行上传/删除/编辑我上传的照片，设置在班牌中展示的照片，可按照学年的维度区分照片属性</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3.荣誉管理后台：展示荣誉列表，班主任可自行上传/删除/编辑荣誉记录，设置在班牌中展示的荣誉记录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4.食堂及报告厅内容管理：展示食堂每日菜单及报告厅每日活动/会议列表，管理员可自行添加/编辑/删除相关记录。</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926B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7EB6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工日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E6AC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69CFD">
            <w:pPr>
              <w:jc w:val="center"/>
              <w:rPr>
                <w:rFonts w:hint="eastAsia" w:ascii="宋体" w:hAnsi="宋体" w:eastAsia="宋体" w:cs="宋体"/>
                <w:i w:val="0"/>
                <w:iCs w:val="0"/>
                <w:color w:val="000000"/>
                <w:sz w:val="24"/>
                <w:szCs w:val="24"/>
                <w:u w:val="none"/>
              </w:rPr>
            </w:pPr>
          </w:p>
        </w:tc>
      </w:tr>
      <w:tr w14:paraId="3D2C6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F9C7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12综合管路系统</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33D60">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43F0">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6E5A">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DD0C2">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F3D3">
            <w:pPr>
              <w:jc w:val="center"/>
              <w:rPr>
                <w:rFonts w:hint="eastAsia" w:ascii="宋体" w:hAnsi="宋体" w:eastAsia="宋体" w:cs="宋体"/>
                <w:i w:val="0"/>
                <w:iCs w:val="0"/>
                <w:color w:val="000000"/>
                <w:sz w:val="24"/>
                <w:szCs w:val="24"/>
                <w:u w:val="none"/>
              </w:rPr>
            </w:pPr>
          </w:p>
        </w:tc>
      </w:tr>
      <w:tr w14:paraId="77354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9656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3AC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水平桥架100*50</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E04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1.热镀锌100*50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2.钢板厚度：≥1.5mm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1408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固强、常禾、有能</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9341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20F6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12CA3">
            <w:pPr>
              <w:jc w:val="center"/>
              <w:rPr>
                <w:rFonts w:hint="eastAsia" w:ascii="宋体" w:hAnsi="宋体" w:eastAsia="宋体" w:cs="宋体"/>
                <w:i w:val="0"/>
                <w:iCs w:val="0"/>
                <w:color w:val="000000"/>
                <w:sz w:val="24"/>
                <w:szCs w:val="24"/>
                <w:u w:val="none"/>
              </w:rPr>
            </w:pPr>
          </w:p>
        </w:tc>
      </w:tr>
      <w:tr w14:paraId="41631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24E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191A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水平桥架200*100</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83B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1.热镀锌200*100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2.钢板厚度：≥1.5mm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1CB1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固强、常禾、有能</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AEBD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B0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4380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EBFA">
            <w:pPr>
              <w:jc w:val="center"/>
              <w:rPr>
                <w:rFonts w:hint="eastAsia" w:ascii="宋体" w:hAnsi="宋体" w:eastAsia="宋体" w:cs="宋体"/>
                <w:i w:val="0"/>
                <w:iCs w:val="0"/>
                <w:color w:val="000000"/>
                <w:sz w:val="24"/>
                <w:szCs w:val="24"/>
                <w:u w:val="none"/>
              </w:rPr>
            </w:pPr>
          </w:p>
        </w:tc>
      </w:tr>
      <w:tr w14:paraId="78322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EC47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0B6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水平桥架300*100</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55E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1.热镀锌300*100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2.钢板厚度：≥2.0mm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B05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固强、常禾、有能</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4C29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44A0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5501">
            <w:pPr>
              <w:jc w:val="center"/>
              <w:rPr>
                <w:rFonts w:hint="eastAsia" w:ascii="宋体" w:hAnsi="宋体" w:eastAsia="宋体" w:cs="宋体"/>
                <w:i w:val="0"/>
                <w:iCs w:val="0"/>
                <w:color w:val="000000"/>
                <w:sz w:val="24"/>
                <w:szCs w:val="24"/>
                <w:u w:val="none"/>
              </w:rPr>
            </w:pPr>
          </w:p>
        </w:tc>
      </w:tr>
      <w:tr w14:paraId="0BF94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FB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302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垂直桥架100*50</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789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1.热镀锌100*50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2.钢板厚度：≥1.5mm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F3A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固强、常禾、有能</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9ED5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F8A6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76D58">
            <w:pPr>
              <w:jc w:val="center"/>
              <w:rPr>
                <w:rFonts w:hint="eastAsia" w:ascii="宋体" w:hAnsi="宋体" w:eastAsia="宋体" w:cs="宋体"/>
                <w:i w:val="0"/>
                <w:iCs w:val="0"/>
                <w:color w:val="000000"/>
                <w:sz w:val="24"/>
                <w:szCs w:val="24"/>
                <w:u w:val="none"/>
              </w:rPr>
            </w:pPr>
          </w:p>
        </w:tc>
      </w:tr>
      <w:tr w14:paraId="10166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A42C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5</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0D2A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垂直桥架300*200</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9E6C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1.热镀锌300*200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2.钢板厚度：≥2.0mm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ECFB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固强、常禾、有能</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8F61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16B6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EC6E2">
            <w:pPr>
              <w:jc w:val="center"/>
              <w:rPr>
                <w:rFonts w:hint="eastAsia" w:ascii="宋体" w:hAnsi="宋体" w:eastAsia="宋体" w:cs="宋体"/>
                <w:i w:val="0"/>
                <w:iCs w:val="0"/>
                <w:color w:val="000000"/>
                <w:sz w:val="24"/>
                <w:szCs w:val="24"/>
                <w:u w:val="none"/>
              </w:rPr>
            </w:pPr>
          </w:p>
        </w:tc>
      </w:tr>
      <w:tr w14:paraId="00FFE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9C6D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6</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0C20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JDG管20</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F30E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1.外径：Ø20.0mm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2.壁厚：1.0mm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873F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优耐特.联塑.一通YEATOON</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2E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2321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16800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3F2E">
            <w:pPr>
              <w:jc w:val="center"/>
              <w:rPr>
                <w:rFonts w:hint="eastAsia" w:ascii="宋体" w:hAnsi="宋体" w:eastAsia="宋体" w:cs="宋体"/>
                <w:i w:val="0"/>
                <w:iCs w:val="0"/>
                <w:color w:val="000000"/>
                <w:sz w:val="24"/>
                <w:szCs w:val="24"/>
                <w:u w:val="none"/>
              </w:rPr>
            </w:pPr>
          </w:p>
        </w:tc>
      </w:tr>
      <w:tr w14:paraId="03B79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8FA5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7</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FA6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JDG管25</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313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1.外径：Ø25.0mm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2.壁厚：1.2mm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26F4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优耐特.联塑.一通YEATOON</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69AD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FE3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4860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B3B2">
            <w:pPr>
              <w:jc w:val="center"/>
              <w:rPr>
                <w:rFonts w:hint="eastAsia" w:ascii="宋体" w:hAnsi="宋体" w:eastAsia="宋体" w:cs="宋体"/>
                <w:i w:val="0"/>
                <w:iCs w:val="0"/>
                <w:color w:val="000000"/>
                <w:sz w:val="24"/>
                <w:szCs w:val="24"/>
                <w:u w:val="none"/>
              </w:rPr>
            </w:pPr>
          </w:p>
        </w:tc>
      </w:tr>
      <w:tr w14:paraId="7A389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3DC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26F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JDG管32</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D6F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1.外径：Ø32.0mm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2.壁厚：1.2mm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0B25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优耐特.联塑.一通YEATOON</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9F6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0C1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533C8">
            <w:pPr>
              <w:jc w:val="center"/>
              <w:rPr>
                <w:rFonts w:hint="eastAsia" w:ascii="宋体" w:hAnsi="宋体" w:eastAsia="宋体" w:cs="宋体"/>
                <w:i w:val="0"/>
                <w:iCs w:val="0"/>
                <w:color w:val="000000"/>
                <w:sz w:val="24"/>
                <w:szCs w:val="24"/>
                <w:u w:val="none"/>
              </w:rPr>
            </w:pPr>
          </w:p>
        </w:tc>
      </w:tr>
      <w:tr w14:paraId="4BA61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A18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A23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接线盒86H60</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6FC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1.金属盒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2.壁厚：1.0mm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6ABF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7862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F8E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3150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2E051">
            <w:pPr>
              <w:jc w:val="center"/>
              <w:rPr>
                <w:rFonts w:hint="eastAsia" w:ascii="宋体" w:hAnsi="宋体" w:eastAsia="宋体" w:cs="宋体"/>
                <w:i w:val="0"/>
                <w:iCs w:val="0"/>
                <w:color w:val="000000"/>
                <w:sz w:val="24"/>
                <w:szCs w:val="24"/>
                <w:u w:val="none"/>
              </w:rPr>
            </w:pPr>
          </w:p>
        </w:tc>
      </w:tr>
      <w:tr w14:paraId="38291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756A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AAC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金属软管20</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433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1.低碳镀锌钢带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2.最小内径19.6mm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3.最大外径24.7mm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008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8B4F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DA98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2520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9E0E8">
            <w:pPr>
              <w:jc w:val="center"/>
              <w:rPr>
                <w:rFonts w:hint="eastAsia" w:ascii="宋体" w:hAnsi="宋体" w:eastAsia="宋体" w:cs="宋体"/>
                <w:i w:val="0"/>
                <w:iCs w:val="0"/>
                <w:color w:val="000000"/>
                <w:sz w:val="24"/>
                <w:szCs w:val="24"/>
                <w:u w:val="none"/>
              </w:rPr>
            </w:pPr>
          </w:p>
        </w:tc>
      </w:tr>
      <w:tr w14:paraId="2E23D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0623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11</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F42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热镀锌钢管SC25</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2B55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1.外径：Ø24.0mm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2.壁厚：2.0mm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7578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优耐特.联塑.一通YEATOON</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F1F1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213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1690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B41AA">
            <w:pPr>
              <w:jc w:val="center"/>
              <w:rPr>
                <w:rFonts w:hint="eastAsia" w:ascii="宋体" w:hAnsi="宋体" w:eastAsia="宋体" w:cs="宋体"/>
                <w:i w:val="0"/>
                <w:iCs w:val="0"/>
                <w:color w:val="000000"/>
                <w:sz w:val="24"/>
                <w:szCs w:val="24"/>
                <w:u w:val="none"/>
              </w:rPr>
            </w:pPr>
          </w:p>
        </w:tc>
      </w:tr>
      <w:tr w14:paraId="35C21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E31E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12</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E9A3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热镀锌钢管SC32</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11B1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1.外径：Ø31.0mm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2.壁厚：3.0mm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940B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优耐特.联塑.一通YEATOON</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A05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484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802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42388">
            <w:pPr>
              <w:jc w:val="center"/>
              <w:rPr>
                <w:rFonts w:hint="eastAsia" w:ascii="宋体" w:hAnsi="宋体" w:eastAsia="宋体" w:cs="宋体"/>
                <w:i w:val="0"/>
                <w:iCs w:val="0"/>
                <w:color w:val="000000"/>
                <w:sz w:val="24"/>
                <w:szCs w:val="24"/>
                <w:u w:val="none"/>
              </w:rPr>
            </w:pPr>
          </w:p>
        </w:tc>
      </w:tr>
      <w:tr w14:paraId="62069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3906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E63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热镀锌钢管SC100</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0C8E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1.外径：Ø100.0mm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2.壁厚：4.0mm</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062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优耐特.联塑.一通YEATOON</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CB0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FF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394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2F66">
            <w:pPr>
              <w:jc w:val="center"/>
              <w:rPr>
                <w:rFonts w:hint="eastAsia" w:ascii="宋体" w:hAnsi="宋体" w:eastAsia="宋体" w:cs="宋体"/>
                <w:i w:val="0"/>
                <w:iCs w:val="0"/>
                <w:color w:val="000000"/>
                <w:sz w:val="24"/>
                <w:szCs w:val="24"/>
                <w:u w:val="none"/>
              </w:rPr>
            </w:pPr>
          </w:p>
        </w:tc>
      </w:tr>
      <w:tr w14:paraId="4033A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B01B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84E5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PE管110</w:t>
            </w: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5C61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PE管，管径规格110。工作内容：配管，室外暗敷，含一切安装附件。</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C15D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联塑.谷雨.伟星</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D51F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136E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1410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9F58D">
            <w:pPr>
              <w:jc w:val="center"/>
              <w:rPr>
                <w:rFonts w:hint="eastAsia" w:ascii="宋体" w:hAnsi="宋体" w:eastAsia="宋体" w:cs="宋体"/>
                <w:i w:val="0"/>
                <w:iCs w:val="0"/>
                <w:color w:val="000000"/>
                <w:sz w:val="24"/>
                <w:szCs w:val="24"/>
                <w:u w:val="none"/>
              </w:rPr>
            </w:pPr>
          </w:p>
        </w:tc>
      </w:tr>
      <w:tr w14:paraId="6DC00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7F3E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15</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425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PE管32</w:t>
            </w:r>
          </w:p>
        </w:tc>
        <w:tc>
          <w:tcPr>
            <w:tcW w:w="3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445D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PE管，管径规格32。工作内容：配管，室外暗敷，含一切安装附件。</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008B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联塑.谷雨.伟星</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FA7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950E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300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BA507">
            <w:pPr>
              <w:jc w:val="center"/>
              <w:rPr>
                <w:rFonts w:hint="eastAsia" w:ascii="宋体" w:hAnsi="宋体" w:eastAsia="宋体" w:cs="宋体"/>
                <w:i w:val="0"/>
                <w:iCs w:val="0"/>
                <w:color w:val="000000"/>
                <w:sz w:val="24"/>
                <w:szCs w:val="24"/>
                <w:u w:val="none"/>
              </w:rPr>
            </w:pPr>
          </w:p>
        </w:tc>
      </w:tr>
      <w:tr w14:paraId="469DE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5A3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16</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2E10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小手孔井</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4009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1.盖板尺寸：500*400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2.铸铁盖板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3.手工砖砌</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E7B0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4F6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62EC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0BAA">
            <w:pPr>
              <w:jc w:val="center"/>
              <w:rPr>
                <w:rFonts w:hint="eastAsia" w:ascii="宋体" w:hAnsi="宋体" w:eastAsia="宋体" w:cs="宋体"/>
                <w:i w:val="0"/>
                <w:iCs w:val="0"/>
                <w:color w:val="000000"/>
                <w:sz w:val="24"/>
                <w:szCs w:val="24"/>
                <w:u w:val="none"/>
              </w:rPr>
            </w:pPr>
          </w:p>
        </w:tc>
      </w:tr>
      <w:tr w14:paraId="46ECE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281C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17</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B62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2#人手孔井</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FBD5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1.盖板尺寸：840*950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2.铸铁盖板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3.手工砖砌</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B812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59E4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D489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7FA65">
            <w:pPr>
              <w:jc w:val="center"/>
              <w:rPr>
                <w:rFonts w:hint="eastAsia" w:ascii="宋体" w:hAnsi="宋体" w:eastAsia="宋体" w:cs="宋体"/>
                <w:i w:val="0"/>
                <w:iCs w:val="0"/>
                <w:color w:val="000000"/>
                <w:sz w:val="24"/>
                <w:szCs w:val="24"/>
                <w:u w:val="none"/>
              </w:rPr>
            </w:pPr>
          </w:p>
        </w:tc>
      </w:tr>
      <w:tr w14:paraId="23EAA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578E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18</w:t>
            </w:r>
          </w:p>
        </w:tc>
        <w:tc>
          <w:tcPr>
            <w:tcW w:w="1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D85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3#人手孔井</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21E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1.盖板尺寸：1540*840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2.铸铁盖板</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3.手工砖砌</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B38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39EE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D5B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E2328">
            <w:pPr>
              <w:jc w:val="center"/>
              <w:rPr>
                <w:rFonts w:hint="eastAsia" w:ascii="宋体" w:hAnsi="宋体" w:eastAsia="宋体" w:cs="宋体"/>
                <w:i w:val="0"/>
                <w:iCs w:val="0"/>
                <w:color w:val="000000"/>
                <w:sz w:val="24"/>
                <w:szCs w:val="24"/>
                <w:u w:val="none"/>
              </w:rPr>
            </w:pPr>
          </w:p>
        </w:tc>
      </w:tr>
      <w:tr w14:paraId="64610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8E234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13其他</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114AC">
            <w:pPr>
              <w:jc w:val="center"/>
              <w:rPr>
                <w:rFonts w:hint="eastAsia" w:ascii="宋体" w:hAnsi="宋体" w:eastAsia="宋体" w:cs="宋体"/>
                <w:i w:val="0"/>
                <w:iCs w:val="0"/>
                <w:color w:val="000000"/>
                <w:sz w:val="24"/>
                <w:szCs w:val="24"/>
                <w:u w:val="none"/>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03FD6">
            <w:pPr>
              <w:jc w:val="center"/>
              <w:rPr>
                <w:rFonts w:hint="eastAsia" w:ascii="宋体" w:hAnsi="宋体" w:eastAsia="宋体" w:cs="宋体"/>
                <w:i w:val="0"/>
                <w:iCs w:val="0"/>
                <w:color w:val="000000"/>
                <w:sz w:val="24"/>
                <w:szCs w:val="24"/>
                <w:u w:val="none"/>
              </w:rPr>
            </w:pP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1D7B5">
            <w:pPr>
              <w:jc w:val="center"/>
              <w:rPr>
                <w:rFonts w:hint="eastAsia" w:ascii="宋体" w:hAnsi="宋体" w:eastAsia="宋体" w:cs="宋体"/>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16C5">
            <w:pPr>
              <w:jc w:val="center"/>
              <w:rPr>
                <w:rFonts w:hint="eastAsia" w:ascii="宋体" w:hAnsi="宋体" w:eastAsia="宋体" w:cs="宋体"/>
                <w:i w:val="0"/>
                <w:iCs w:val="0"/>
                <w:color w:val="000000"/>
                <w:sz w:val="24"/>
                <w:szCs w:val="24"/>
                <w:u w:val="none"/>
              </w:rPr>
            </w:pP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16CE4">
            <w:pPr>
              <w:jc w:val="center"/>
              <w:rPr>
                <w:rFonts w:hint="eastAsia" w:ascii="宋体" w:hAnsi="宋体" w:eastAsia="宋体" w:cs="宋体"/>
                <w:i w:val="0"/>
                <w:iCs w:val="0"/>
                <w:color w:val="000000"/>
                <w:sz w:val="24"/>
                <w:szCs w:val="24"/>
                <w:u w:val="none"/>
              </w:rPr>
            </w:pPr>
          </w:p>
        </w:tc>
      </w:tr>
      <w:tr w14:paraId="0B0F0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FF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6039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其他费用</w:t>
            </w:r>
          </w:p>
        </w:tc>
        <w:tc>
          <w:tcPr>
            <w:tcW w:w="3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03C2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未列入清单，但须保障本项目所有设备正常运行所产生的调试等一切费用及为配合其它专业工程所产生的额外费用，施工单位自行综合考虑报价。</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EDA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国产</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C7DA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项</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3747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9865E">
            <w:pPr>
              <w:jc w:val="center"/>
              <w:rPr>
                <w:rFonts w:hint="eastAsia" w:ascii="宋体" w:hAnsi="宋体" w:eastAsia="宋体" w:cs="宋体"/>
                <w:i w:val="0"/>
                <w:iCs w:val="0"/>
                <w:color w:val="000000"/>
                <w:sz w:val="24"/>
                <w:szCs w:val="24"/>
                <w:u w:val="none"/>
              </w:rPr>
            </w:pPr>
          </w:p>
        </w:tc>
      </w:tr>
    </w:tbl>
    <w:p w14:paraId="395794D3">
      <w:pPr>
        <w:pageBreakBefore w:val="0"/>
        <w:kinsoku/>
        <w:wordWrap/>
        <w:overflowPunct/>
        <w:topLinePunct w:val="0"/>
        <w:bidi w:val="0"/>
        <w:spacing w:line="440" w:lineRule="exact"/>
        <w:outlineLvl w:val="1"/>
        <w:rPr>
          <w:rFonts w:hint="eastAsia" w:ascii="宋体" w:hAnsi="宋体"/>
          <w:b/>
          <w:color w:val="auto"/>
          <w:sz w:val="24"/>
          <w:szCs w:val="24"/>
          <w:highlight w:val="none"/>
        </w:rPr>
      </w:pPr>
      <w:r>
        <w:rPr>
          <w:rFonts w:hint="eastAsia" w:ascii="宋体" w:hAnsi="宋体"/>
          <w:b/>
          <w:color w:val="auto"/>
          <w:sz w:val="24"/>
          <w:szCs w:val="24"/>
          <w:highlight w:val="none"/>
        </w:rPr>
        <w:t>注：</w:t>
      </w:r>
    </w:p>
    <w:p w14:paraId="6D25A643">
      <w:pPr>
        <w:pageBreakBefore w:val="0"/>
        <w:kinsoku/>
        <w:wordWrap/>
        <w:overflowPunct/>
        <w:topLinePunct w:val="0"/>
        <w:bidi w:val="0"/>
        <w:spacing w:line="440" w:lineRule="exact"/>
        <w:outlineLvl w:val="1"/>
        <w:rPr>
          <w:rFonts w:hint="eastAsia" w:ascii="宋体" w:hAnsi="宋体"/>
          <w:color w:val="auto"/>
          <w:sz w:val="24"/>
          <w:szCs w:val="24"/>
          <w:highlight w:val="none"/>
        </w:rPr>
      </w:pPr>
      <w:r>
        <w:rPr>
          <w:rFonts w:hint="eastAsia" w:ascii="宋体" w:hAnsi="宋体"/>
          <w:b/>
          <w:color w:val="auto"/>
          <w:sz w:val="24"/>
          <w:szCs w:val="24"/>
          <w:highlight w:val="none"/>
          <w:lang w:val="en-US" w:eastAsia="zh-CN"/>
        </w:rPr>
        <w:t>1</w:t>
      </w:r>
      <w:r>
        <w:rPr>
          <w:rFonts w:hint="eastAsia" w:ascii="宋体" w:hAnsi="宋体"/>
          <w:color w:val="auto"/>
          <w:sz w:val="24"/>
          <w:szCs w:val="24"/>
          <w:highlight w:val="none"/>
        </w:rPr>
        <w:t>、除招标文件推荐的品牌外，欢迎其他能满足本项目技术需求且性能与所推荐品牌相当或更优的产品参加投标。</w:t>
      </w:r>
    </w:p>
    <w:p w14:paraId="5024B801">
      <w:pPr>
        <w:pageBreakBefore w:val="0"/>
        <w:kinsoku/>
        <w:wordWrap/>
        <w:overflowPunct/>
        <w:topLinePunct w:val="0"/>
        <w:bidi w:val="0"/>
        <w:spacing w:line="440" w:lineRule="exact"/>
        <w:outlineLvl w:val="1"/>
        <w:rPr>
          <w:rFonts w:hint="eastAsia" w:ascii="宋体" w:hAnsi="宋体"/>
          <w:color w:val="auto"/>
          <w:sz w:val="24"/>
          <w:szCs w:val="24"/>
          <w:highlight w:val="none"/>
        </w:rPr>
      </w:pPr>
      <w:r>
        <w:rPr>
          <w:rFonts w:hint="eastAsia" w:ascii="宋体" w:hAnsi="宋体"/>
          <w:color w:val="auto"/>
          <w:sz w:val="24"/>
          <w:szCs w:val="24"/>
          <w:highlight w:val="none"/>
        </w:rPr>
        <w:t>2、上述技术要求如出现某类品牌型号特有的技术指标或性能，则供投标人参考,不作为实质性响应条款。</w:t>
      </w:r>
    </w:p>
    <w:p w14:paraId="0714D85E">
      <w:pPr>
        <w:pageBreakBefore w:val="0"/>
        <w:kinsoku/>
        <w:wordWrap/>
        <w:overflowPunct/>
        <w:topLinePunct w:val="0"/>
        <w:bidi w:val="0"/>
        <w:spacing w:line="440" w:lineRule="exact"/>
        <w:outlineLvl w:val="1"/>
        <w:rPr>
          <w:rFonts w:hint="eastAsia" w:ascii="宋体" w:hAnsi="宋体"/>
          <w:color w:val="auto"/>
          <w:sz w:val="24"/>
          <w:szCs w:val="24"/>
          <w:highlight w:val="none"/>
        </w:rPr>
      </w:pPr>
      <w:r>
        <w:rPr>
          <w:rFonts w:hint="eastAsia" w:ascii="宋体" w:hAnsi="宋体"/>
          <w:color w:val="auto"/>
          <w:sz w:val="24"/>
          <w:szCs w:val="24"/>
          <w:highlight w:val="none"/>
        </w:rPr>
        <w:t>3、▲工程量清单数量按照招标文件提供的数量报价，不得增减。（此项符合性在报价文件中进行评审）</w:t>
      </w:r>
    </w:p>
    <w:p w14:paraId="0512AC90">
      <w:pPr>
        <w:numPr>
          <w:ilvl w:val="0"/>
          <w:numId w:val="0"/>
        </w:numPr>
        <w:spacing w:line="440" w:lineRule="exact"/>
        <w:jc w:val="lef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4、全费用单价包含人工、制造、材料、设备、运输、装卸、安装、机械、试车、二次搬运、产品保护、水电费、调试、措施费、综合管理、修复安装时被破坏的建筑和装修、孔洞修补、售后服务、培训、第三方检测费、保险、规费、利润、税金、风险费及工程相关协调费等一切费用。</w:t>
      </w:r>
    </w:p>
    <w:p w14:paraId="193DBBE6">
      <w:pPr>
        <w:numPr>
          <w:ilvl w:val="0"/>
          <w:numId w:val="0"/>
        </w:numPr>
        <w:spacing w:line="440" w:lineRule="exact"/>
        <w:jc w:val="left"/>
        <w:rPr>
          <w:rFonts w:hint="eastAsia" w:ascii="宋体" w:hAnsi="宋体" w:cs="Times New Roman"/>
          <w:color w:val="auto"/>
          <w:sz w:val="24"/>
          <w:szCs w:val="24"/>
          <w:highlight w:val="none"/>
          <w:shd w:val="clear" w:color="auto" w:fill="auto"/>
          <w:lang w:val="en-US" w:eastAsia="zh-CN"/>
        </w:rPr>
      </w:pPr>
      <w:r>
        <w:rPr>
          <w:rFonts w:hint="eastAsia" w:ascii="宋体" w:hAnsi="宋体" w:cs="Times New Roman"/>
          <w:color w:val="auto"/>
          <w:sz w:val="24"/>
          <w:szCs w:val="24"/>
          <w:highlight w:val="none"/>
          <w:shd w:val="clear" w:color="auto" w:fill="auto"/>
          <w:lang w:val="en-US" w:eastAsia="zh-CN"/>
        </w:rPr>
        <w:t>5、为方便智慧校园平台的对接和开发应用，智能化各子系统设备应提供相应的硬件和软件控制及通讯协议。</w:t>
      </w:r>
    </w:p>
    <w:p w14:paraId="6B43930C">
      <w:pPr>
        <w:numPr>
          <w:ilvl w:val="0"/>
          <w:numId w:val="0"/>
        </w:numPr>
        <w:spacing w:line="440" w:lineRule="exact"/>
        <w:jc w:val="left"/>
        <w:rPr>
          <w:rFonts w:hint="eastAsia" w:ascii="宋体" w:hAnsi="宋体" w:cs="Times New Roman"/>
          <w:color w:val="auto"/>
          <w:sz w:val="24"/>
          <w:szCs w:val="24"/>
          <w:highlight w:val="none"/>
          <w:shd w:val="clear" w:color="auto" w:fill="auto"/>
          <w:lang w:val="en-US" w:eastAsia="zh-CN"/>
        </w:rPr>
      </w:pPr>
      <w:r>
        <w:rPr>
          <w:rFonts w:hint="eastAsia" w:ascii="宋体" w:hAnsi="宋体" w:cs="Times New Roman"/>
          <w:color w:val="auto"/>
          <w:sz w:val="24"/>
          <w:szCs w:val="24"/>
          <w:highlight w:val="none"/>
          <w:shd w:val="clear" w:color="auto" w:fill="auto"/>
          <w:lang w:val="en-US" w:eastAsia="zh-CN"/>
        </w:rPr>
        <w:t>6、由于软件部分属于定制开发部分，软件内容需要符合采购人实际需求。因此中标人在软件定制开发期间必须无条件配合采购人的实际需求，直至满足采购人需求为止。相关费用含在报价内，不再另行计取。</w:t>
      </w:r>
    </w:p>
    <w:p w14:paraId="4F0E6B46">
      <w:pPr>
        <w:numPr>
          <w:ilvl w:val="0"/>
          <w:numId w:val="0"/>
        </w:numPr>
        <w:spacing w:line="440" w:lineRule="exact"/>
        <w:jc w:val="left"/>
        <w:rPr>
          <w:rFonts w:hint="default"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7、本次广播子系统新增设备需无缝接入原迪士普网络广播中心，中标人投标时需考虑向原广播中心供应商支付无缝接入服务费用，该笔费用由中标人与原广播中心供应商自行洽商结算。各投标人在报价中综合考虑，不再另行计取。</w:t>
      </w:r>
    </w:p>
    <w:p w14:paraId="015C697D">
      <w:pPr>
        <w:spacing w:line="440" w:lineRule="exact"/>
        <w:rPr>
          <w:rFonts w:hint="eastAsia" w:ascii="宋体" w:hAnsi="宋体" w:cs="Times New Roman"/>
          <w:b/>
          <w:bCs/>
          <w:color w:val="auto"/>
          <w:sz w:val="24"/>
          <w:szCs w:val="24"/>
          <w:highlight w:val="none"/>
          <w:shd w:val="clear" w:color="auto" w:fill="auto"/>
        </w:rPr>
      </w:pPr>
      <w:r>
        <w:rPr>
          <w:rFonts w:hint="eastAsia" w:ascii="宋体" w:hAnsi="宋体" w:cs="Times New Roman"/>
          <w:b/>
          <w:bCs/>
          <w:color w:val="auto"/>
          <w:sz w:val="24"/>
          <w:szCs w:val="24"/>
          <w:highlight w:val="none"/>
          <w:shd w:val="clear" w:color="auto" w:fill="auto"/>
          <w:lang w:val="en-US" w:eastAsia="zh-CN"/>
        </w:rPr>
        <w:t>四</w:t>
      </w:r>
      <w:r>
        <w:rPr>
          <w:rFonts w:hint="eastAsia" w:ascii="宋体" w:hAnsi="宋体" w:cs="Times New Roman"/>
          <w:b/>
          <w:bCs/>
          <w:color w:val="auto"/>
          <w:sz w:val="24"/>
          <w:szCs w:val="24"/>
          <w:highlight w:val="none"/>
          <w:shd w:val="clear" w:color="auto" w:fill="auto"/>
          <w:lang w:eastAsia="zh-CN"/>
        </w:rPr>
        <w:t>、工程款的支付</w:t>
      </w:r>
    </w:p>
    <w:p w14:paraId="3CD79F0A">
      <w:pPr>
        <w:numPr>
          <w:ilvl w:val="0"/>
          <w:numId w:val="0"/>
        </w:num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1</w:t>
      </w:r>
      <w:r>
        <w:rPr>
          <w:rFonts w:hint="eastAsia" w:ascii="宋体" w:hAnsi="宋体" w:eastAsia="宋体" w:cs="Times New Roman"/>
          <w:color w:val="auto"/>
          <w:sz w:val="24"/>
          <w:szCs w:val="24"/>
          <w:highlight w:val="none"/>
          <w:shd w:val="clear" w:color="auto" w:fill="auto"/>
        </w:rPr>
        <w:t>、</w:t>
      </w:r>
      <w:r>
        <w:rPr>
          <w:rFonts w:hint="eastAsia" w:ascii="宋体" w:hAnsi="宋体" w:eastAsia="宋体" w:cs="Times New Roman"/>
          <w:color w:val="auto"/>
          <w:sz w:val="24"/>
          <w:szCs w:val="24"/>
          <w:highlight w:val="none"/>
          <w:shd w:val="clear" w:color="auto" w:fill="auto"/>
          <w:lang w:val="en-US" w:eastAsia="zh-CN"/>
        </w:rPr>
        <w:t>合同生效并具备实施条件后支付至合同价的30%，每批次货物到达现场查验合格后付至该批次货物价款的50%，项目整体安装调试完成并验收合格后付至合同金额的85%，项目结算经审定后付至结算价的</w:t>
      </w:r>
      <w:r>
        <w:rPr>
          <w:rFonts w:hint="eastAsia" w:ascii="宋体" w:hAnsi="宋体" w:cs="Times New Roman"/>
          <w:color w:val="auto"/>
          <w:sz w:val="24"/>
          <w:szCs w:val="24"/>
          <w:highlight w:val="none"/>
          <w:shd w:val="clear" w:color="auto" w:fill="auto"/>
          <w:lang w:val="en-US" w:eastAsia="zh-CN"/>
        </w:rPr>
        <w:t>95</w:t>
      </w:r>
      <w:r>
        <w:rPr>
          <w:rFonts w:hint="eastAsia" w:ascii="宋体" w:hAnsi="宋体" w:eastAsia="宋体" w:cs="Times New Roman"/>
          <w:color w:val="auto"/>
          <w:sz w:val="24"/>
          <w:szCs w:val="24"/>
          <w:highlight w:val="none"/>
          <w:shd w:val="clear" w:color="auto" w:fill="auto"/>
          <w:lang w:val="en-US" w:eastAsia="zh-CN"/>
        </w:rPr>
        <w:t>%,剩余</w:t>
      </w:r>
      <w:r>
        <w:rPr>
          <w:rFonts w:hint="eastAsia" w:ascii="宋体" w:hAnsi="宋体" w:cs="Times New Roman"/>
          <w:color w:val="auto"/>
          <w:sz w:val="24"/>
          <w:szCs w:val="24"/>
          <w:highlight w:val="none"/>
          <w:shd w:val="clear" w:color="auto" w:fill="auto"/>
          <w:lang w:val="en-US" w:eastAsia="zh-CN"/>
        </w:rPr>
        <w:t>5</w:t>
      </w:r>
      <w:r>
        <w:rPr>
          <w:rFonts w:hint="eastAsia" w:ascii="宋体" w:hAnsi="宋体" w:eastAsia="宋体" w:cs="Times New Roman"/>
          <w:color w:val="auto"/>
          <w:sz w:val="24"/>
          <w:szCs w:val="24"/>
          <w:highlight w:val="none"/>
          <w:shd w:val="clear" w:color="auto" w:fill="auto"/>
          <w:lang w:val="en-US" w:eastAsia="zh-CN"/>
        </w:rPr>
        <w:t>%作为质保金，质保期满后退回。</w:t>
      </w:r>
      <w:r>
        <w:rPr>
          <w:rFonts w:hint="eastAsia" w:ascii="宋体" w:hAnsi="宋体" w:cs="Times New Roman"/>
          <w:color w:val="auto"/>
          <w:sz w:val="24"/>
          <w:szCs w:val="24"/>
          <w:highlight w:val="none"/>
          <w:shd w:val="clear" w:color="auto" w:fill="auto"/>
          <w:lang w:val="en-US" w:eastAsia="zh-CN"/>
        </w:rPr>
        <w:t>增值税</w:t>
      </w:r>
      <w:r>
        <w:rPr>
          <w:rFonts w:hint="eastAsia" w:ascii="宋体" w:hAnsi="宋体" w:eastAsia="宋体" w:cs="Times New Roman"/>
          <w:color w:val="auto"/>
          <w:sz w:val="24"/>
          <w:szCs w:val="24"/>
          <w:highlight w:val="none"/>
          <w:shd w:val="clear" w:color="auto" w:fill="auto"/>
          <w:lang w:val="en-US" w:eastAsia="zh-CN"/>
        </w:rPr>
        <w:t>发票应随付款进度及时提供。</w:t>
      </w:r>
    </w:p>
    <w:p w14:paraId="5C35A687">
      <w:pPr>
        <w:numPr>
          <w:ilvl w:val="0"/>
          <w:numId w:val="0"/>
        </w:numPr>
        <w:spacing w:line="440" w:lineRule="exact"/>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lang w:val="en-US" w:eastAsia="zh-CN"/>
        </w:rPr>
        <w:t>2</w:t>
      </w:r>
      <w:r>
        <w:rPr>
          <w:rFonts w:hint="eastAsia" w:ascii="宋体" w:hAnsi="宋体" w:eastAsia="宋体" w:cs="Times New Roman"/>
          <w:color w:val="auto"/>
          <w:sz w:val="24"/>
          <w:szCs w:val="24"/>
          <w:highlight w:val="none"/>
          <w:shd w:val="clear" w:color="auto" w:fill="auto"/>
        </w:rPr>
        <w:t>、当招标人可根据实际情况增加或减少工程量，中标人须无条件服从，并按实际工程量结算。工程量不论增减多少，单价不变，乙方不得拒绝。结算时乙方必须根据实际工程量供货及安装，最终结算金额按实际工程量乘以成交单价进行计算。</w:t>
      </w:r>
    </w:p>
    <w:p w14:paraId="2BE5CF28">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b/>
          <w:bCs/>
          <w:color w:val="auto"/>
          <w:sz w:val="24"/>
          <w:szCs w:val="24"/>
          <w:highlight w:val="none"/>
          <w:shd w:val="clear" w:color="auto" w:fill="auto"/>
          <w:lang w:val="en-US" w:eastAsia="zh-CN"/>
        </w:rPr>
        <w:t>3</w:t>
      </w:r>
      <w:r>
        <w:rPr>
          <w:rFonts w:hint="eastAsia" w:ascii="宋体" w:hAnsi="宋体" w:cs="Times New Roman"/>
          <w:color w:val="auto"/>
          <w:sz w:val="24"/>
          <w:szCs w:val="24"/>
          <w:highlight w:val="none"/>
          <w:shd w:val="clear" w:color="auto" w:fill="auto"/>
          <w:lang w:val="en-US" w:eastAsia="zh-CN"/>
        </w:rPr>
        <w:t>、</w:t>
      </w:r>
      <w:r>
        <w:rPr>
          <w:rFonts w:hint="eastAsia" w:ascii="宋体" w:hAnsi="宋体" w:cs="Times New Roman"/>
          <w:color w:val="auto"/>
          <w:sz w:val="24"/>
          <w:szCs w:val="24"/>
          <w:highlight w:val="none"/>
          <w:shd w:val="clear" w:color="auto" w:fill="auto"/>
        </w:rPr>
        <w:t>增加的部分，仅支付设备费用、材料费及税金，其他相关费用不予支付。</w:t>
      </w:r>
    </w:p>
    <w:p w14:paraId="118F449A">
      <w:pPr>
        <w:spacing w:line="440" w:lineRule="exact"/>
        <w:rPr>
          <w:rFonts w:hint="eastAsia" w:ascii="宋体" w:hAnsi="宋体" w:cs="Times New Roman"/>
          <w:b/>
          <w:bCs/>
          <w:color w:val="auto"/>
          <w:sz w:val="24"/>
          <w:szCs w:val="24"/>
          <w:highlight w:val="none"/>
          <w:shd w:val="clear" w:color="auto" w:fill="auto"/>
        </w:rPr>
      </w:pPr>
      <w:r>
        <w:rPr>
          <w:rFonts w:hint="eastAsia" w:ascii="宋体" w:hAnsi="宋体" w:cs="Times New Roman"/>
          <w:b/>
          <w:bCs/>
          <w:color w:val="auto"/>
          <w:sz w:val="24"/>
          <w:szCs w:val="24"/>
          <w:highlight w:val="none"/>
          <w:shd w:val="clear" w:color="auto" w:fill="auto"/>
          <w:lang w:val="en-US" w:eastAsia="zh-CN"/>
        </w:rPr>
        <w:t>五</w:t>
      </w:r>
      <w:r>
        <w:rPr>
          <w:rFonts w:hint="eastAsia" w:ascii="宋体" w:hAnsi="宋体" w:cs="Times New Roman"/>
          <w:b/>
          <w:bCs/>
          <w:color w:val="auto"/>
          <w:sz w:val="24"/>
          <w:szCs w:val="24"/>
          <w:highlight w:val="none"/>
          <w:shd w:val="clear" w:color="auto" w:fill="auto"/>
        </w:rPr>
        <w:t>、质量要求</w:t>
      </w:r>
    </w:p>
    <w:p w14:paraId="7F15FD5D">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（1）合格及以上，符合国家规定的质量要求。</w:t>
      </w:r>
    </w:p>
    <w:p w14:paraId="2757EB0F">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（2）货物验收过程中，由于质量不合格或运输等原因所造成的一切费用均由供应商负责。</w:t>
      </w:r>
    </w:p>
    <w:p w14:paraId="6DC48D18">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（3）中标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须对因投标货物使用期内本身的固有缺陷和瑕疵承担责任。</w:t>
      </w:r>
    </w:p>
    <w:p w14:paraId="3E0BF85F">
      <w:pPr>
        <w:spacing w:line="440" w:lineRule="exact"/>
        <w:rPr>
          <w:rFonts w:hint="eastAsia" w:ascii="宋体" w:hAnsi="宋体" w:cs="Times New Roman"/>
          <w:b/>
          <w:color w:val="auto"/>
          <w:sz w:val="24"/>
          <w:szCs w:val="24"/>
          <w:highlight w:val="none"/>
          <w:u w:val="single"/>
          <w:shd w:val="clear" w:color="auto" w:fill="auto"/>
        </w:rPr>
      </w:pPr>
      <w:r>
        <w:rPr>
          <w:rFonts w:hint="eastAsia" w:ascii="宋体" w:hAnsi="宋体" w:cs="Times New Roman"/>
          <w:b/>
          <w:color w:val="auto"/>
          <w:sz w:val="24"/>
          <w:szCs w:val="24"/>
          <w:highlight w:val="none"/>
          <w:u w:val="single"/>
          <w:shd w:val="clear" w:color="auto" w:fill="auto"/>
        </w:rPr>
        <w:t>▲2、</w:t>
      </w:r>
      <w:r>
        <w:rPr>
          <w:rFonts w:hint="eastAsia" w:ascii="宋体" w:hAnsi="宋体" w:cs="Times New Roman"/>
          <w:b/>
          <w:color w:val="auto"/>
          <w:sz w:val="24"/>
          <w:szCs w:val="24"/>
          <w:highlight w:val="none"/>
          <w:u w:val="single"/>
          <w:shd w:val="clear" w:color="auto" w:fill="auto"/>
          <w:lang w:val="en-US" w:eastAsia="zh-CN"/>
        </w:rPr>
        <w:t>质保期</w:t>
      </w:r>
      <w:r>
        <w:rPr>
          <w:rFonts w:hint="eastAsia" w:ascii="宋体" w:hAnsi="宋体" w:cs="Times New Roman"/>
          <w:b/>
          <w:color w:val="auto"/>
          <w:sz w:val="24"/>
          <w:szCs w:val="24"/>
          <w:highlight w:val="none"/>
          <w:u w:val="single"/>
          <w:shd w:val="clear" w:color="auto" w:fill="auto"/>
        </w:rPr>
        <w:t>：本项目整体质保</w:t>
      </w:r>
      <w:r>
        <w:rPr>
          <w:rFonts w:hint="eastAsia" w:ascii="宋体" w:hAnsi="宋体" w:cs="Times New Roman"/>
          <w:b/>
          <w:color w:val="auto"/>
          <w:sz w:val="24"/>
          <w:szCs w:val="24"/>
          <w:highlight w:val="none"/>
          <w:u w:val="single"/>
          <w:shd w:val="clear" w:color="auto" w:fill="auto"/>
          <w:lang w:val="en-US" w:eastAsia="zh-CN"/>
        </w:rPr>
        <w:t>不少于</w:t>
      </w:r>
      <w:r>
        <w:rPr>
          <w:rFonts w:hint="eastAsia" w:ascii="宋体" w:hAnsi="宋体" w:cs="Times New Roman"/>
          <w:b/>
          <w:color w:val="auto"/>
          <w:sz w:val="24"/>
          <w:szCs w:val="24"/>
          <w:highlight w:val="none"/>
          <w:u w:val="single"/>
          <w:shd w:val="clear" w:color="auto" w:fill="auto"/>
        </w:rPr>
        <w:t>5年。软件提供</w:t>
      </w:r>
      <w:r>
        <w:rPr>
          <w:rFonts w:hint="eastAsia" w:ascii="宋体" w:hAnsi="宋体" w:cs="Times New Roman"/>
          <w:b/>
          <w:color w:val="auto"/>
          <w:sz w:val="24"/>
          <w:szCs w:val="24"/>
          <w:highlight w:val="none"/>
          <w:u w:val="single"/>
          <w:shd w:val="clear" w:color="auto" w:fill="auto"/>
          <w:lang w:val="en-US" w:eastAsia="zh-CN"/>
        </w:rPr>
        <w:t>不少于</w:t>
      </w:r>
      <w:r>
        <w:rPr>
          <w:rFonts w:hint="eastAsia" w:ascii="宋体" w:hAnsi="宋体" w:cs="Times New Roman"/>
          <w:b/>
          <w:color w:val="auto"/>
          <w:sz w:val="24"/>
          <w:szCs w:val="24"/>
          <w:highlight w:val="none"/>
          <w:u w:val="single"/>
          <w:shd w:val="clear" w:color="auto" w:fill="auto"/>
        </w:rPr>
        <w:t>三年免费升级。（供应商可提供更优惠的</w:t>
      </w:r>
      <w:r>
        <w:rPr>
          <w:rFonts w:hint="eastAsia" w:ascii="宋体" w:hAnsi="宋体" w:cs="Times New Roman"/>
          <w:b/>
          <w:color w:val="auto"/>
          <w:sz w:val="24"/>
          <w:szCs w:val="24"/>
          <w:highlight w:val="none"/>
          <w:u w:val="single"/>
          <w:shd w:val="clear" w:color="auto" w:fill="auto"/>
          <w:lang w:val="en-US" w:eastAsia="zh-CN"/>
        </w:rPr>
        <w:t>质保期</w:t>
      </w:r>
      <w:r>
        <w:rPr>
          <w:rFonts w:hint="eastAsia" w:ascii="宋体" w:hAnsi="宋体" w:cs="Times New Roman"/>
          <w:b/>
          <w:color w:val="auto"/>
          <w:sz w:val="24"/>
          <w:szCs w:val="24"/>
          <w:highlight w:val="none"/>
          <w:u w:val="single"/>
          <w:shd w:val="clear" w:color="auto" w:fill="auto"/>
        </w:rPr>
        <w:t>）。</w:t>
      </w:r>
    </w:p>
    <w:p w14:paraId="6BAFE7C2">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（1）</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eastAsia="宋体" w:cs="Times New Roman"/>
          <w:color w:val="auto"/>
          <w:sz w:val="24"/>
          <w:szCs w:val="24"/>
          <w:highlight w:val="none"/>
          <w:shd w:val="clear" w:color="auto" w:fill="auto"/>
        </w:rPr>
        <w:t>内</w:t>
      </w:r>
      <w:r>
        <w:rPr>
          <w:rFonts w:hint="eastAsia" w:ascii="宋体" w:hAnsi="宋体" w:cs="Times New Roman"/>
          <w:color w:val="auto"/>
          <w:sz w:val="24"/>
          <w:szCs w:val="24"/>
          <w:highlight w:val="none"/>
          <w:shd w:val="clear" w:color="auto" w:fill="auto"/>
        </w:rPr>
        <w:t>，如因修理货物或更换部件，而非人为因素出现故障而造成短期停用时，则质保期和免费维修期相应顺延。如停用时间累计超过20天，则货物</w:t>
      </w:r>
      <w:r>
        <w:rPr>
          <w:rFonts w:hint="eastAsia" w:ascii="宋体" w:hAnsi="宋体" w:cs="Times New Roman"/>
          <w:color w:val="auto"/>
          <w:sz w:val="24"/>
          <w:szCs w:val="24"/>
          <w:highlight w:val="none"/>
          <w:shd w:val="clear" w:color="auto" w:fill="auto"/>
          <w:lang w:eastAsia="zh-CN"/>
        </w:rPr>
        <w:t>质保期</w:t>
      </w:r>
      <w:r>
        <w:rPr>
          <w:rFonts w:hint="eastAsia" w:ascii="宋体" w:hAnsi="宋体" w:cs="Times New Roman"/>
          <w:color w:val="auto"/>
          <w:sz w:val="24"/>
          <w:szCs w:val="24"/>
          <w:highlight w:val="none"/>
          <w:shd w:val="clear" w:color="auto" w:fill="auto"/>
        </w:rPr>
        <w:t>重新计算。</w:t>
      </w:r>
    </w:p>
    <w:p w14:paraId="39F0A402">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（2）</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内，</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无须自行付费，中标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负责修理和替换任何由于货物自身的质量问题造成的损坏及故障。</w:t>
      </w:r>
    </w:p>
    <w:p w14:paraId="4E4BACB2">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（3）中标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在</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内</w:t>
      </w:r>
      <w:r>
        <w:rPr>
          <w:rFonts w:hint="eastAsia" w:ascii="宋体" w:hAnsi="宋体" w:cs="Times New Roman"/>
          <w:color w:val="auto"/>
          <w:sz w:val="24"/>
          <w:szCs w:val="24"/>
          <w:highlight w:val="none"/>
          <w:shd w:val="clear" w:color="auto" w:fill="auto"/>
          <w:lang w:eastAsia="zh-CN"/>
        </w:rPr>
        <w:t>，</w:t>
      </w:r>
      <w:r>
        <w:rPr>
          <w:rFonts w:hint="eastAsia" w:ascii="宋体" w:hAnsi="宋体" w:cs="Times New Roman"/>
          <w:color w:val="auto"/>
          <w:sz w:val="24"/>
          <w:szCs w:val="24"/>
          <w:highlight w:val="none"/>
          <w:shd w:val="clear" w:color="auto" w:fill="auto"/>
          <w:lang w:val="en-US" w:eastAsia="zh-CN"/>
        </w:rPr>
        <w:t>如设备出现反复维修超3次的，必须更换相应零部件，</w:t>
      </w:r>
      <w:r>
        <w:rPr>
          <w:rFonts w:hint="eastAsia" w:ascii="宋体" w:hAnsi="宋体" w:cs="Times New Roman"/>
          <w:color w:val="auto"/>
          <w:sz w:val="24"/>
          <w:szCs w:val="24"/>
          <w:highlight w:val="none"/>
          <w:shd w:val="clear" w:color="auto" w:fill="auto"/>
        </w:rPr>
        <w:t>安装（更换）的任何零配件，必须是货物制造商原产的或是经</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认可的。</w:t>
      </w:r>
    </w:p>
    <w:p w14:paraId="01574121">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w:t>
      </w:r>
      <w:r>
        <w:rPr>
          <w:rFonts w:hint="eastAsia" w:ascii="宋体" w:hAnsi="宋体" w:cs="Times New Roman"/>
          <w:color w:val="auto"/>
          <w:sz w:val="24"/>
          <w:szCs w:val="24"/>
          <w:highlight w:val="none"/>
          <w:shd w:val="clear" w:color="auto" w:fill="auto"/>
          <w:lang w:val="en-US" w:eastAsia="zh-CN"/>
        </w:rPr>
        <w:t>4</w:t>
      </w:r>
      <w:r>
        <w:rPr>
          <w:rFonts w:hint="eastAsia" w:ascii="宋体" w:hAnsi="宋体" w:cs="Times New Roman"/>
          <w:color w:val="auto"/>
          <w:sz w:val="24"/>
          <w:szCs w:val="24"/>
          <w:highlight w:val="none"/>
          <w:shd w:val="clear" w:color="auto" w:fill="auto"/>
        </w:rPr>
        <w:t>）所有的替代零配件必须是新的未使用和未经修复的,除非最终用户提供书面许可，否则不可使用此范围外的其他（非新的）配件。</w:t>
      </w:r>
    </w:p>
    <w:p w14:paraId="5C9FC5A3">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w:t>
      </w:r>
      <w:r>
        <w:rPr>
          <w:rFonts w:hint="eastAsia" w:ascii="宋体" w:hAnsi="宋体" w:cs="Times New Roman"/>
          <w:color w:val="auto"/>
          <w:sz w:val="24"/>
          <w:szCs w:val="24"/>
          <w:highlight w:val="none"/>
          <w:shd w:val="clear" w:color="auto" w:fill="auto"/>
          <w:lang w:val="en-US" w:eastAsia="zh-CN"/>
        </w:rPr>
        <w:t>5</w:t>
      </w:r>
      <w:r>
        <w:rPr>
          <w:rFonts w:hint="eastAsia" w:ascii="宋体" w:hAnsi="宋体" w:cs="Times New Roman"/>
          <w:color w:val="auto"/>
          <w:sz w:val="24"/>
          <w:szCs w:val="24"/>
          <w:highlight w:val="none"/>
          <w:shd w:val="clear" w:color="auto" w:fill="auto"/>
        </w:rPr>
        <w:t>）</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结束前，须由中标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和</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进行一次全面检查，任何缺陷必须由中标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负责修理，在修理之后，中标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应将缺陷原因、修理内容、完成修理及恢复正常的时间和日期等报告给</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，报告一式两份。</w:t>
      </w:r>
    </w:p>
    <w:p w14:paraId="14FC3BCF">
      <w:pPr>
        <w:spacing w:line="440" w:lineRule="exact"/>
        <w:rPr>
          <w:rFonts w:hint="default" w:ascii="宋体" w:hAnsi="宋体" w:eastAsia="宋体" w:cs="Times New Roman"/>
          <w:color w:val="auto"/>
          <w:sz w:val="24"/>
          <w:szCs w:val="24"/>
          <w:highlight w:val="none"/>
          <w:shd w:val="clear" w:color="auto" w:fill="auto"/>
          <w:lang w:val="en-US" w:eastAsia="zh-CN"/>
        </w:rPr>
      </w:pPr>
      <w:r>
        <w:rPr>
          <w:rFonts w:hint="eastAsia" w:ascii="宋体" w:hAnsi="宋体" w:cs="Times New Roman"/>
          <w:color w:val="auto"/>
          <w:sz w:val="24"/>
          <w:szCs w:val="24"/>
          <w:highlight w:val="none"/>
          <w:shd w:val="clear" w:color="auto" w:fill="auto"/>
        </w:rPr>
        <w:t>（</w:t>
      </w:r>
      <w:r>
        <w:rPr>
          <w:rFonts w:hint="eastAsia" w:ascii="宋体" w:hAnsi="宋体" w:cs="Times New Roman"/>
          <w:color w:val="auto"/>
          <w:sz w:val="24"/>
          <w:szCs w:val="24"/>
          <w:highlight w:val="none"/>
          <w:shd w:val="clear" w:color="auto" w:fill="auto"/>
          <w:lang w:val="en-US" w:eastAsia="zh-CN"/>
        </w:rPr>
        <w:t>6</w:t>
      </w:r>
      <w:r>
        <w:rPr>
          <w:rFonts w:hint="eastAsia" w:ascii="宋体" w:hAnsi="宋体" w:cs="Times New Roman"/>
          <w:color w:val="auto"/>
          <w:sz w:val="24"/>
          <w:szCs w:val="24"/>
          <w:highlight w:val="none"/>
          <w:shd w:val="clear" w:color="auto" w:fill="auto"/>
        </w:rPr>
        <w:t>）中标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或原厂家的承诺的</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不符的，以最高标准为准，除非</w:t>
      </w:r>
      <w:r>
        <w:rPr>
          <w:rFonts w:hint="eastAsia" w:ascii="宋体" w:hAnsi="宋体" w:cs="Times New Roman"/>
          <w:color w:val="auto"/>
          <w:sz w:val="24"/>
          <w:szCs w:val="24"/>
          <w:highlight w:val="none"/>
          <w:shd w:val="clear" w:color="auto" w:fill="auto"/>
          <w:lang w:val="en-US" w:eastAsia="zh-CN"/>
        </w:rPr>
        <w:t>投标人</w:t>
      </w:r>
      <w:r>
        <w:rPr>
          <w:rFonts w:hint="eastAsia" w:ascii="宋体" w:hAnsi="宋体" w:cs="Times New Roman"/>
          <w:color w:val="auto"/>
          <w:sz w:val="24"/>
          <w:szCs w:val="24"/>
          <w:highlight w:val="none"/>
          <w:shd w:val="clear" w:color="auto" w:fill="auto"/>
        </w:rPr>
        <w:t>事前正式声明，否则均视为认同，并将在合同中载明。</w:t>
      </w:r>
    </w:p>
    <w:p w14:paraId="2C47E488">
      <w:pPr>
        <w:spacing w:line="440" w:lineRule="exact"/>
        <w:rPr>
          <w:rFonts w:hint="eastAsia" w:ascii="宋体" w:hAnsi="宋体" w:cs="Times New Roman"/>
          <w:b/>
          <w:color w:val="auto"/>
          <w:sz w:val="24"/>
          <w:szCs w:val="24"/>
          <w:highlight w:val="none"/>
          <w:shd w:val="clear" w:color="auto" w:fill="auto"/>
        </w:rPr>
      </w:pPr>
      <w:r>
        <w:rPr>
          <w:rFonts w:hint="eastAsia" w:ascii="宋体" w:hAnsi="宋体" w:cs="Times New Roman"/>
          <w:b/>
          <w:color w:val="auto"/>
          <w:sz w:val="24"/>
          <w:szCs w:val="24"/>
          <w:highlight w:val="none"/>
          <w:shd w:val="clear" w:color="auto" w:fill="auto"/>
          <w:lang w:val="en-US" w:eastAsia="zh-CN"/>
        </w:rPr>
        <w:t>六</w:t>
      </w:r>
      <w:r>
        <w:rPr>
          <w:rFonts w:hint="eastAsia" w:ascii="宋体" w:hAnsi="宋体" w:cs="Times New Roman"/>
          <w:b/>
          <w:color w:val="auto"/>
          <w:sz w:val="24"/>
          <w:szCs w:val="24"/>
          <w:highlight w:val="none"/>
          <w:shd w:val="clear" w:color="auto" w:fill="auto"/>
        </w:rPr>
        <w:t>、售后服务要求</w:t>
      </w:r>
    </w:p>
    <w:p w14:paraId="040BB182">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1、中标人必须有可靠的售后服务保障，包括但不限于在台州附近有固定的维修服务点，能提供正常的技术、备品备件服务。当发生故障时，中标人在接到</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通知后，临海及附近地区</w:t>
      </w:r>
      <w:r>
        <w:rPr>
          <w:rFonts w:hint="eastAsia" w:ascii="宋体" w:hAnsi="宋体" w:cs="Times New Roman"/>
          <w:color w:val="auto"/>
          <w:sz w:val="24"/>
          <w:szCs w:val="24"/>
          <w:highlight w:val="none"/>
          <w:shd w:val="clear" w:color="auto" w:fill="auto"/>
          <w:lang w:val="en-US" w:eastAsia="zh-CN"/>
        </w:rPr>
        <w:t>2</w:t>
      </w:r>
      <w:r>
        <w:rPr>
          <w:rFonts w:hint="eastAsia" w:ascii="宋体" w:hAnsi="宋体" w:cs="Times New Roman"/>
          <w:color w:val="auto"/>
          <w:sz w:val="24"/>
          <w:szCs w:val="24"/>
          <w:highlight w:val="none"/>
          <w:shd w:val="clear" w:color="auto" w:fill="auto"/>
        </w:rPr>
        <w:t>小时内，外地</w:t>
      </w:r>
      <w:r>
        <w:rPr>
          <w:rFonts w:hint="eastAsia" w:ascii="宋体" w:hAnsi="宋体" w:cs="Times New Roman"/>
          <w:color w:val="auto"/>
          <w:sz w:val="24"/>
          <w:szCs w:val="24"/>
          <w:highlight w:val="none"/>
          <w:shd w:val="clear" w:color="auto" w:fill="auto"/>
          <w:lang w:val="en-US" w:eastAsia="zh-CN"/>
        </w:rPr>
        <w:t>4</w:t>
      </w:r>
      <w:r>
        <w:rPr>
          <w:rFonts w:hint="eastAsia" w:ascii="宋体" w:hAnsi="宋体" w:cs="Times New Roman"/>
          <w:color w:val="auto"/>
          <w:sz w:val="24"/>
          <w:szCs w:val="24"/>
          <w:highlight w:val="none"/>
          <w:shd w:val="clear" w:color="auto" w:fill="auto"/>
        </w:rPr>
        <w:t>小时内派人赴现场处理设备质量问题。24小时内不能修复的，则无偿提供备机或备用零件供</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使用。</w:t>
      </w:r>
    </w:p>
    <w:p w14:paraId="4F8C1C97">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2、中标人服务维修人员均经过良好的系统技术培训，并有丰富的现场维修经验。</w:t>
      </w:r>
    </w:p>
    <w:p w14:paraId="74FC1B9B">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3、若中标人未能满足上述售后服务要求中的任何一条，</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有权委托第三方单位提供售后服务，由此产生的一切费用由中标人承担。</w:t>
      </w:r>
    </w:p>
    <w:p w14:paraId="61CA8A13">
      <w:pPr>
        <w:spacing w:line="440" w:lineRule="exact"/>
        <w:rPr>
          <w:rFonts w:hint="eastAsia" w:ascii="宋体" w:hAnsi="宋体" w:cs="Times New Roman"/>
          <w:b/>
          <w:bCs/>
          <w:color w:val="auto"/>
          <w:sz w:val="24"/>
          <w:szCs w:val="24"/>
          <w:highlight w:val="none"/>
          <w:shd w:val="clear" w:color="auto" w:fill="auto"/>
        </w:rPr>
      </w:pPr>
      <w:r>
        <w:rPr>
          <w:rFonts w:hint="eastAsia" w:ascii="宋体" w:hAnsi="宋体" w:cs="Times New Roman"/>
          <w:b/>
          <w:bCs/>
          <w:color w:val="auto"/>
          <w:sz w:val="24"/>
          <w:szCs w:val="24"/>
          <w:highlight w:val="none"/>
          <w:shd w:val="clear" w:color="auto" w:fill="auto"/>
          <w:lang w:val="en-US" w:eastAsia="zh-CN"/>
        </w:rPr>
        <w:t>七</w:t>
      </w:r>
      <w:r>
        <w:rPr>
          <w:rFonts w:hint="eastAsia" w:ascii="宋体" w:hAnsi="宋体" w:cs="Times New Roman"/>
          <w:b/>
          <w:bCs/>
          <w:color w:val="auto"/>
          <w:sz w:val="24"/>
          <w:szCs w:val="24"/>
          <w:highlight w:val="none"/>
          <w:shd w:val="clear" w:color="auto" w:fill="auto"/>
        </w:rPr>
        <w:t>、其他要求</w:t>
      </w:r>
    </w:p>
    <w:p w14:paraId="6CF5C36D">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cs="Times New Roman"/>
          <w:bCs/>
          <w:color w:val="auto"/>
          <w:sz w:val="24"/>
          <w:szCs w:val="24"/>
          <w:highlight w:val="none"/>
          <w:shd w:val="clear" w:color="auto" w:fill="auto"/>
        </w:rPr>
      </w:pPr>
      <w:r>
        <w:rPr>
          <w:rFonts w:hint="eastAsia" w:ascii="宋体" w:hAnsi="宋体" w:cs="Times New Roman"/>
          <w:bCs/>
          <w:color w:val="auto"/>
          <w:sz w:val="24"/>
          <w:szCs w:val="24"/>
          <w:highlight w:val="none"/>
          <w:shd w:val="clear" w:color="auto" w:fill="auto"/>
        </w:rPr>
        <w:t>1、所有产品和器件均应符合有关国家的标准及相关规定要求。</w:t>
      </w:r>
    </w:p>
    <w:p w14:paraId="28581BC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Times New Roman"/>
          <w:b/>
          <w:color w:val="auto"/>
          <w:sz w:val="24"/>
          <w:szCs w:val="24"/>
          <w:highlight w:val="none"/>
          <w:shd w:val="clear" w:color="auto" w:fill="auto"/>
          <w:lang w:eastAsia="zh-CN"/>
        </w:rPr>
      </w:pPr>
      <w:r>
        <w:rPr>
          <w:rFonts w:hint="eastAsia" w:ascii="宋体" w:hAnsi="宋体" w:cs="Times New Roman"/>
          <w:bCs/>
          <w:color w:val="auto"/>
          <w:sz w:val="24"/>
          <w:szCs w:val="24"/>
          <w:highlight w:val="none"/>
          <w:shd w:val="clear" w:color="auto" w:fill="auto"/>
        </w:rPr>
        <w:t>2、本工程为交钥匙工程，各系统软件均视为包含在内，由投标人提供，不另行计算。各系统协议确保开放</w:t>
      </w:r>
      <w:r>
        <w:rPr>
          <w:rFonts w:hint="eastAsia" w:ascii="宋体" w:hAnsi="宋体" w:eastAsia="宋体" w:cs="Times New Roman"/>
          <w:color w:val="auto"/>
          <w:sz w:val="24"/>
          <w:szCs w:val="24"/>
          <w:highlight w:val="none"/>
          <w:shd w:val="clear" w:color="auto" w:fill="auto"/>
          <w:lang w:val="en-US" w:eastAsia="zh-CN"/>
        </w:rPr>
        <w:t>提供软件二次开发接口和必要文档资料</w:t>
      </w:r>
      <w:r>
        <w:rPr>
          <w:rFonts w:hint="eastAsia" w:ascii="宋体" w:hAnsi="宋体" w:cs="Times New Roman"/>
          <w:bCs/>
          <w:color w:val="auto"/>
          <w:sz w:val="24"/>
          <w:szCs w:val="24"/>
          <w:highlight w:val="none"/>
          <w:shd w:val="clear" w:color="auto" w:fill="auto"/>
        </w:rPr>
        <w:t>，日后确保无障碍免费升级维护。并保证各系统所用软件为正版授权软件，若因软件版权引起的纠纷均由投标人承担。</w:t>
      </w:r>
      <w:r>
        <w:rPr>
          <w:rFonts w:hint="eastAsia" w:ascii="宋体" w:hAnsi="宋体" w:eastAsia="宋体" w:cs="Times New Roman"/>
          <w:color w:val="auto"/>
          <w:sz w:val="24"/>
          <w:szCs w:val="24"/>
          <w:highlight w:val="none"/>
          <w:shd w:val="clear" w:color="auto" w:fill="auto"/>
          <w:lang w:val="en-US" w:eastAsia="zh-CN"/>
        </w:rPr>
        <w:t>在本项目软件系统运行期间，</w:t>
      </w:r>
      <w:r>
        <w:rPr>
          <w:rFonts w:hint="eastAsia" w:ascii="宋体" w:hAnsi="宋体" w:cs="Times New Roman"/>
          <w:color w:val="auto"/>
          <w:sz w:val="24"/>
          <w:szCs w:val="24"/>
          <w:highlight w:val="none"/>
          <w:shd w:val="clear" w:color="auto" w:fill="auto"/>
          <w:lang w:val="en-US" w:eastAsia="zh-CN"/>
        </w:rPr>
        <w:t>投标人</w:t>
      </w:r>
      <w:r>
        <w:rPr>
          <w:rFonts w:hint="eastAsia" w:ascii="宋体" w:hAnsi="宋体" w:eastAsia="宋体" w:cs="Times New Roman"/>
          <w:color w:val="auto"/>
          <w:sz w:val="24"/>
          <w:szCs w:val="24"/>
          <w:highlight w:val="none"/>
          <w:shd w:val="clear" w:color="auto" w:fill="auto"/>
          <w:lang w:val="en-US" w:eastAsia="zh-CN"/>
        </w:rPr>
        <w:t>不再向</w:t>
      </w:r>
      <w:r>
        <w:rPr>
          <w:rFonts w:hint="eastAsia" w:ascii="宋体" w:hAnsi="宋体" w:cs="Times New Roman"/>
          <w:color w:val="auto"/>
          <w:sz w:val="24"/>
          <w:szCs w:val="24"/>
          <w:highlight w:val="none"/>
          <w:shd w:val="clear" w:color="auto" w:fill="auto"/>
          <w:lang w:val="en-US" w:eastAsia="zh-CN"/>
        </w:rPr>
        <w:t>招标人</w:t>
      </w:r>
      <w:r>
        <w:rPr>
          <w:rFonts w:hint="eastAsia" w:ascii="宋体" w:hAnsi="宋体" w:eastAsia="宋体" w:cs="Times New Roman"/>
          <w:color w:val="auto"/>
          <w:sz w:val="24"/>
          <w:szCs w:val="24"/>
          <w:highlight w:val="none"/>
          <w:shd w:val="clear" w:color="auto" w:fill="auto"/>
          <w:lang w:val="en-US" w:eastAsia="zh-CN"/>
        </w:rPr>
        <w:t>收取任何软件使用费用</w:t>
      </w:r>
      <w:r>
        <w:rPr>
          <w:rFonts w:hint="eastAsia" w:ascii="宋体" w:hAnsi="宋体" w:cs="Times New Roman"/>
          <w:color w:val="auto"/>
          <w:sz w:val="24"/>
          <w:szCs w:val="24"/>
          <w:highlight w:val="none"/>
          <w:shd w:val="clear" w:color="auto" w:fill="auto"/>
          <w:lang w:val="en-US" w:eastAsia="zh-CN"/>
        </w:rPr>
        <w:t>。</w:t>
      </w:r>
    </w:p>
    <w:p w14:paraId="53F4350A">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cs="Times New Roman"/>
          <w:bCs/>
          <w:strike w:val="0"/>
          <w:dstrike w:val="0"/>
          <w:color w:val="auto"/>
          <w:sz w:val="24"/>
          <w:szCs w:val="24"/>
          <w:highlight w:val="none"/>
          <w:shd w:val="clear" w:color="auto" w:fill="auto"/>
        </w:rPr>
      </w:pPr>
      <w:r>
        <w:rPr>
          <w:rFonts w:hint="eastAsia" w:ascii="宋体" w:hAnsi="宋体" w:cs="Times New Roman"/>
          <w:bCs/>
          <w:strike w:val="0"/>
          <w:dstrike w:val="0"/>
          <w:color w:val="auto"/>
          <w:sz w:val="24"/>
          <w:szCs w:val="24"/>
          <w:highlight w:val="none"/>
          <w:shd w:val="clear" w:color="auto" w:fill="auto"/>
          <w:lang w:val="en-US" w:eastAsia="zh-CN"/>
        </w:rPr>
        <w:t>3</w:t>
      </w:r>
      <w:r>
        <w:rPr>
          <w:rFonts w:hint="eastAsia" w:ascii="宋体" w:hAnsi="宋体" w:cs="Times New Roman"/>
          <w:bCs/>
          <w:strike w:val="0"/>
          <w:dstrike w:val="0"/>
          <w:color w:val="auto"/>
          <w:sz w:val="24"/>
          <w:szCs w:val="24"/>
          <w:highlight w:val="none"/>
          <w:shd w:val="clear" w:color="auto" w:fill="auto"/>
        </w:rPr>
        <w:t>、安全文明</w:t>
      </w:r>
      <w:r>
        <w:rPr>
          <w:rFonts w:hint="eastAsia" w:ascii="宋体" w:hAnsi="宋体" w:cs="Times New Roman"/>
          <w:bCs/>
          <w:strike w:val="0"/>
          <w:dstrike w:val="0"/>
          <w:color w:val="auto"/>
          <w:sz w:val="24"/>
          <w:szCs w:val="24"/>
          <w:highlight w:val="none"/>
          <w:shd w:val="clear" w:color="auto" w:fill="auto"/>
          <w:lang w:val="en-US" w:eastAsia="zh-CN"/>
        </w:rPr>
        <w:t>相关费用已</w:t>
      </w:r>
      <w:r>
        <w:rPr>
          <w:rFonts w:hint="eastAsia" w:ascii="宋体" w:hAnsi="宋体" w:cs="Times New Roman"/>
          <w:bCs/>
          <w:strike w:val="0"/>
          <w:dstrike w:val="0"/>
          <w:color w:val="auto"/>
          <w:sz w:val="24"/>
          <w:szCs w:val="24"/>
          <w:highlight w:val="none"/>
          <w:shd w:val="clear" w:color="auto" w:fill="auto"/>
        </w:rPr>
        <w:t>包含在投标报价中，不再另行</w:t>
      </w:r>
      <w:r>
        <w:rPr>
          <w:rFonts w:hint="eastAsia" w:ascii="宋体" w:hAnsi="宋体" w:cs="Times New Roman"/>
          <w:bCs/>
          <w:strike w:val="0"/>
          <w:dstrike w:val="0"/>
          <w:color w:val="auto"/>
          <w:sz w:val="24"/>
          <w:szCs w:val="24"/>
          <w:highlight w:val="none"/>
          <w:shd w:val="clear" w:color="auto" w:fill="auto"/>
          <w:lang w:eastAsia="zh-CN"/>
        </w:rPr>
        <w:t>计</w:t>
      </w:r>
      <w:r>
        <w:rPr>
          <w:rFonts w:hint="eastAsia" w:ascii="宋体" w:hAnsi="宋体" w:cs="Times New Roman"/>
          <w:bCs/>
          <w:strike w:val="0"/>
          <w:dstrike w:val="0"/>
          <w:color w:val="auto"/>
          <w:sz w:val="24"/>
          <w:szCs w:val="24"/>
          <w:highlight w:val="none"/>
          <w:shd w:val="clear" w:color="auto" w:fill="auto"/>
        </w:rPr>
        <w:t>取。</w:t>
      </w:r>
    </w:p>
    <w:p w14:paraId="737F8AEF">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cs="Times New Roman"/>
          <w:bCs/>
          <w:strike w:val="0"/>
          <w:dstrike w:val="0"/>
          <w:color w:val="auto"/>
          <w:sz w:val="24"/>
          <w:szCs w:val="24"/>
          <w:highlight w:val="none"/>
          <w:shd w:val="clear" w:color="auto" w:fill="auto"/>
        </w:rPr>
      </w:pPr>
      <w:r>
        <w:rPr>
          <w:rFonts w:hint="eastAsia" w:ascii="宋体" w:hAnsi="宋体" w:cs="Times New Roman"/>
          <w:bCs/>
          <w:strike w:val="0"/>
          <w:dstrike w:val="0"/>
          <w:color w:val="auto"/>
          <w:sz w:val="24"/>
          <w:szCs w:val="24"/>
          <w:highlight w:val="none"/>
          <w:shd w:val="clear" w:color="auto" w:fill="auto"/>
          <w:lang w:val="en-US" w:eastAsia="zh-CN"/>
        </w:rPr>
        <w:t>3、</w:t>
      </w:r>
      <w:r>
        <w:rPr>
          <w:rFonts w:hint="eastAsia" w:ascii="宋体" w:hAnsi="宋体" w:cs="Times New Roman"/>
          <w:bCs/>
          <w:strike w:val="0"/>
          <w:dstrike w:val="0"/>
          <w:color w:val="auto"/>
          <w:sz w:val="24"/>
          <w:szCs w:val="24"/>
          <w:highlight w:val="none"/>
          <w:shd w:val="clear" w:color="auto" w:fill="auto"/>
        </w:rPr>
        <w:t>服从总承包单位的总包管理，执行总包的各项管理制度。</w:t>
      </w:r>
    </w:p>
    <w:p w14:paraId="2A1098E0">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cs="Times New Roman"/>
          <w:bCs/>
          <w:strike w:val="0"/>
          <w:dstrike w:val="0"/>
          <w:color w:val="auto"/>
          <w:sz w:val="24"/>
          <w:szCs w:val="24"/>
          <w:highlight w:val="none"/>
          <w:shd w:val="clear" w:color="auto" w:fill="auto"/>
        </w:rPr>
      </w:pPr>
      <w:r>
        <w:rPr>
          <w:rFonts w:hint="eastAsia" w:ascii="宋体" w:hAnsi="宋体" w:cs="Times New Roman"/>
          <w:bCs/>
          <w:strike w:val="0"/>
          <w:dstrike w:val="0"/>
          <w:color w:val="auto"/>
          <w:sz w:val="24"/>
          <w:szCs w:val="24"/>
          <w:highlight w:val="none"/>
          <w:shd w:val="clear" w:color="auto" w:fill="auto"/>
        </w:rPr>
        <w:t>4、按总承包单位总进度计划安排施工，并必须与其它专业工程密切配合。</w:t>
      </w:r>
    </w:p>
    <w:p w14:paraId="3F14C061">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cs="Times New Roman"/>
          <w:bCs/>
          <w:color w:val="auto"/>
          <w:sz w:val="24"/>
          <w:szCs w:val="24"/>
          <w:highlight w:val="none"/>
          <w:shd w:val="clear" w:color="auto" w:fill="auto"/>
        </w:rPr>
      </w:pPr>
      <w:r>
        <w:rPr>
          <w:rFonts w:hint="eastAsia" w:ascii="宋体" w:hAnsi="宋体" w:cs="Times New Roman"/>
          <w:bCs/>
          <w:color w:val="auto"/>
          <w:sz w:val="24"/>
          <w:szCs w:val="24"/>
          <w:highlight w:val="none"/>
          <w:shd w:val="clear" w:color="auto" w:fill="auto"/>
          <w:lang w:val="en-US" w:eastAsia="zh-CN"/>
        </w:rPr>
        <w:t>5</w:t>
      </w:r>
      <w:r>
        <w:rPr>
          <w:rFonts w:hint="eastAsia" w:ascii="宋体" w:hAnsi="宋体" w:cs="Times New Roman"/>
          <w:bCs/>
          <w:color w:val="auto"/>
          <w:sz w:val="24"/>
          <w:szCs w:val="24"/>
          <w:highlight w:val="none"/>
          <w:shd w:val="clear" w:color="auto" w:fill="auto"/>
        </w:rPr>
        <w:t>、如遇到本项目与其他工种的交界点不明确时，由</w:t>
      </w:r>
      <w:r>
        <w:rPr>
          <w:rFonts w:hint="eastAsia" w:ascii="宋体" w:hAnsi="宋体" w:cs="Times New Roman"/>
          <w:bCs/>
          <w:color w:val="auto"/>
          <w:sz w:val="24"/>
          <w:szCs w:val="24"/>
          <w:highlight w:val="none"/>
          <w:shd w:val="clear" w:color="auto" w:fill="auto"/>
          <w:lang w:eastAsia="zh-CN"/>
        </w:rPr>
        <w:t>招标人</w:t>
      </w:r>
      <w:r>
        <w:rPr>
          <w:rFonts w:hint="eastAsia" w:ascii="宋体" w:hAnsi="宋体" w:cs="Times New Roman"/>
          <w:bCs/>
          <w:color w:val="auto"/>
          <w:sz w:val="24"/>
          <w:szCs w:val="24"/>
          <w:highlight w:val="none"/>
          <w:shd w:val="clear" w:color="auto" w:fill="auto"/>
        </w:rPr>
        <w:t>工程师来确定实施</w:t>
      </w:r>
      <w:r>
        <w:rPr>
          <w:rFonts w:hint="eastAsia" w:ascii="宋体" w:hAnsi="宋体" w:cs="Times New Roman"/>
          <w:bCs/>
          <w:color w:val="auto"/>
          <w:sz w:val="24"/>
          <w:szCs w:val="24"/>
          <w:highlight w:val="none"/>
          <w:shd w:val="clear" w:color="auto" w:fill="auto"/>
          <w:lang w:val="en-US" w:eastAsia="zh-CN"/>
        </w:rPr>
        <w:t>单位</w:t>
      </w:r>
      <w:r>
        <w:rPr>
          <w:rFonts w:hint="eastAsia" w:ascii="宋体" w:hAnsi="宋体" w:cs="Times New Roman"/>
          <w:bCs/>
          <w:color w:val="auto"/>
          <w:sz w:val="24"/>
          <w:szCs w:val="24"/>
          <w:highlight w:val="none"/>
          <w:shd w:val="clear" w:color="auto" w:fill="auto"/>
        </w:rPr>
        <w:t>，</w:t>
      </w:r>
      <w:r>
        <w:rPr>
          <w:rFonts w:hint="eastAsia" w:ascii="宋体" w:hAnsi="宋体" w:cs="Times New Roman"/>
          <w:bCs/>
          <w:color w:val="auto"/>
          <w:sz w:val="24"/>
          <w:szCs w:val="24"/>
          <w:highlight w:val="none"/>
          <w:shd w:val="clear" w:color="auto" w:fill="auto"/>
          <w:lang w:val="en-US" w:eastAsia="zh-CN"/>
        </w:rPr>
        <w:t>投标人</w:t>
      </w:r>
      <w:r>
        <w:rPr>
          <w:rFonts w:hint="eastAsia" w:ascii="宋体" w:hAnsi="宋体" w:cs="Times New Roman"/>
          <w:bCs/>
          <w:color w:val="auto"/>
          <w:sz w:val="24"/>
          <w:szCs w:val="24"/>
          <w:highlight w:val="none"/>
          <w:shd w:val="clear" w:color="auto" w:fill="auto"/>
        </w:rPr>
        <w:t>不得拒绝施工。</w:t>
      </w:r>
    </w:p>
    <w:p w14:paraId="26E03897">
      <w:pPr>
        <w:keepNext w:val="0"/>
        <w:keepLines w:val="0"/>
        <w:pageBreakBefore w:val="0"/>
        <w:widowControl w:val="0"/>
        <w:kinsoku/>
        <w:wordWrap/>
        <w:overflowPunct/>
        <w:topLinePunct w:val="0"/>
        <w:autoSpaceDE/>
        <w:autoSpaceDN/>
        <w:bidi w:val="0"/>
        <w:adjustRightInd/>
        <w:snapToGrid/>
        <w:spacing w:line="336" w:lineRule="auto"/>
        <w:textAlignment w:val="auto"/>
        <w:rPr>
          <w:rFonts w:hint="default" w:ascii="宋体" w:hAnsi="宋体" w:eastAsia="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6、阳光厨房系统必须满足当地相关部门的验收要求，相关费用由投标人投标时自行综合考虑。</w:t>
      </w:r>
    </w:p>
    <w:p w14:paraId="2A7C07B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Times New Roman"/>
          <w:bCs/>
          <w:color w:val="auto"/>
          <w:sz w:val="24"/>
          <w:szCs w:val="24"/>
          <w:highlight w:val="none"/>
          <w:shd w:val="clear" w:color="auto" w:fill="auto"/>
          <w:lang w:val="en-US" w:eastAsia="zh-CN"/>
        </w:rPr>
      </w:pPr>
      <w:r>
        <w:rPr>
          <w:rFonts w:hint="eastAsia" w:ascii="宋体" w:hAnsi="宋体" w:eastAsia="宋体" w:cs="Times New Roman"/>
          <w:b/>
          <w:bCs w:val="0"/>
          <w:color w:val="auto"/>
          <w:sz w:val="24"/>
          <w:szCs w:val="24"/>
          <w:highlight w:val="none"/>
          <w:shd w:val="clear" w:color="auto" w:fill="auto"/>
          <w:lang w:val="en-US" w:eastAsia="zh-CN"/>
        </w:rPr>
        <w:t>7、本项目涉及部分利旧设备（详见利旧清单），投标人需承担业主方提供的利旧设备的拆卸、搬迁、重新安装及调试等全部工作。相关费用由投标人综合考虑在投标报价内，不再另行计取。投标人应充分评估该工作的各类成本风险并进行综合报价。</w:t>
      </w:r>
      <w:r>
        <w:rPr>
          <w:rFonts w:hint="eastAsia" w:ascii="宋体" w:hAnsi="宋体" w:eastAsia="宋体" w:cs="Times New Roman"/>
          <w:bCs/>
          <w:color w:val="auto"/>
          <w:sz w:val="24"/>
          <w:szCs w:val="24"/>
          <w:highlight w:val="none"/>
          <w:shd w:val="clear" w:color="auto" w:fill="auto"/>
          <w:lang w:val="en-US" w:eastAsia="zh-CN"/>
        </w:rPr>
        <w:t>8、本项目的定制软件开发部分所有权和知识产权归甲方所有，乙方应保证提供服务过程中不会侵犯任何第三方的知识产权。</w:t>
      </w:r>
    </w:p>
    <w:p w14:paraId="09E22DC7">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Times New Roman"/>
          <w:bCs/>
          <w:color w:val="auto"/>
          <w:sz w:val="24"/>
          <w:szCs w:val="24"/>
          <w:highlight w:val="none"/>
          <w:shd w:val="clear" w:color="auto" w:fill="auto"/>
          <w:lang w:val="en-US" w:eastAsia="zh-CN"/>
        </w:rPr>
      </w:pPr>
      <w:r>
        <w:rPr>
          <w:rFonts w:hint="eastAsia" w:ascii="宋体" w:hAnsi="宋体" w:eastAsia="宋体" w:cs="Times New Roman"/>
          <w:bCs/>
          <w:color w:val="auto"/>
          <w:sz w:val="24"/>
          <w:szCs w:val="24"/>
          <w:highlight w:val="none"/>
          <w:shd w:val="clear" w:color="auto" w:fill="auto"/>
          <w:lang w:val="en-US" w:eastAsia="zh-CN"/>
        </w:rPr>
        <w:t>9、涉及的源代码（含质保期内的后续升级版本）必须遵循相关标准和规范,并无条件提交给甲方。</w:t>
      </w:r>
    </w:p>
    <w:p w14:paraId="3CDDD881">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Times New Roman"/>
          <w:bCs/>
          <w:color w:val="auto"/>
          <w:sz w:val="24"/>
          <w:szCs w:val="24"/>
          <w:highlight w:val="none"/>
          <w:shd w:val="clear" w:color="auto" w:fill="auto"/>
          <w:lang w:val="en-US" w:eastAsia="zh-CN"/>
        </w:rPr>
      </w:pPr>
      <w:r>
        <w:rPr>
          <w:rFonts w:hint="eastAsia" w:ascii="宋体" w:hAnsi="宋体" w:eastAsia="宋体" w:cs="Times New Roman"/>
          <w:bCs/>
          <w:color w:val="auto"/>
          <w:sz w:val="24"/>
          <w:szCs w:val="24"/>
          <w:highlight w:val="none"/>
          <w:shd w:val="clear" w:color="auto" w:fill="auto"/>
          <w:lang w:val="en-US" w:eastAsia="zh-CN"/>
        </w:rPr>
        <w:t>10、涉及接口的必须遵循相关标准和规范，向下部署的，必须无条件开放所有接口且满足国家共享相关规定要求，项目承建单位（施工单位、实施单位）有义务配合甲方做好有关信息共享工作。</w:t>
      </w:r>
    </w:p>
    <w:p w14:paraId="22387B06">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Times New Roman"/>
          <w:bCs/>
          <w:color w:val="auto"/>
          <w:sz w:val="24"/>
          <w:szCs w:val="24"/>
          <w:highlight w:val="none"/>
          <w:shd w:val="clear" w:color="auto" w:fill="auto"/>
          <w:lang w:val="en-US" w:eastAsia="zh-CN"/>
        </w:rPr>
      </w:pPr>
      <w:r>
        <w:rPr>
          <w:rFonts w:hint="eastAsia" w:ascii="宋体" w:hAnsi="宋体" w:eastAsia="宋体" w:cs="Times New Roman"/>
          <w:bCs/>
          <w:color w:val="auto"/>
          <w:sz w:val="24"/>
          <w:szCs w:val="24"/>
          <w:highlight w:val="none"/>
          <w:shd w:val="clear" w:color="auto" w:fill="auto"/>
          <w:lang w:val="en-US" w:eastAsia="zh-CN"/>
        </w:rPr>
        <w:t>11、本项目在开发、使用和维护过程中接触到的甲方的所有资料，未经甲方授权代表书面许可，不得留存，私自查阅及向任何第三方泄露。</w:t>
      </w:r>
    </w:p>
    <w:p w14:paraId="176C8180">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Times New Roman"/>
          <w:bCs/>
          <w:color w:val="auto"/>
          <w:sz w:val="24"/>
          <w:szCs w:val="24"/>
          <w:highlight w:val="none"/>
          <w:shd w:val="clear" w:color="auto" w:fill="auto"/>
          <w:lang w:val="en-US" w:eastAsia="zh-CN"/>
        </w:rPr>
      </w:pPr>
      <w:r>
        <w:rPr>
          <w:rFonts w:hint="eastAsia" w:ascii="宋体" w:hAnsi="宋体" w:eastAsia="宋体" w:cs="Times New Roman"/>
          <w:bCs/>
          <w:color w:val="auto"/>
          <w:sz w:val="24"/>
          <w:szCs w:val="24"/>
          <w:highlight w:val="none"/>
          <w:shd w:val="clear" w:color="auto" w:fill="auto"/>
          <w:lang w:val="en-US" w:eastAsia="zh-CN"/>
        </w:rPr>
        <w:t>12、本项目的设计开发专利申请权、技术秘密的使用权和转让权归甲方所有。</w:t>
      </w:r>
    </w:p>
    <w:p w14:paraId="6DFD4E13">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13</w:t>
      </w:r>
      <w:r>
        <w:rPr>
          <w:rFonts w:hint="eastAsia" w:ascii="宋体" w:hAnsi="宋体" w:eastAsia="宋体" w:cs="Times New Roman"/>
          <w:bCs/>
          <w:color w:val="auto"/>
          <w:sz w:val="24"/>
          <w:szCs w:val="24"/>
          <w:highlight w:val="none"/>
          <w:shd w:val="clear" w:color="auto" w:fill="auto"/>
          <w:lang w:val="en-US" w:eastAsia="zh-CN"/>
        </w:rPr>
        <w:t>、利旧设备清单</w:t>
      </w:r>
    </w:p>
    <w:tbl>
      <w:tblPr>
        <w:tblStyle w:val="51"/>
        <w:tblW w:w="9521" w:type="dxa"/>
        <w:tblInd w:w="-5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67"/>
        <w:gridCol w:w="1469"/>
        <w:gridCol w:w="3406"/>
        <w:gridCol w:w="1386"/>
        <w:gridCol w:w="815"/>
        <w:gridCol w:w="978"/>
      </w:tblGrid>
      <w:tr w14:paraId="50190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62" w:hRule="atLeast"/>
        </w:trPr>
        <w:tc>
          <w:tcPr>
            <w:tcW w:w="1467"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0B80E40A">
            <w:pPr>
              <w:keepNext w:val="0"/>
              <w:keepLines w:val="0"/>
              <w:widowControl/>
              <w:suppressLineNumbers w:val="0"/>
              <w:jc w:val="center"/>
              <w:textAlignment w:val="center"/>
              <w:rPr>
                <w:rFonts w:ascii="宋体" w:hAnsi="宋体" w:eastAsia="宋体" w:cs="宋体"/>
                <w:b/>
                <w:bCs/>
                <w:i w:val="0"/>
                <w:iCs w:val="0"/>
                <w:color w:val="auto"/>
                <w:sz w:val="24"/>
                <w:szCs w:val="24"/>
                <w:highlight w:val="none"/>
                <w:u w:val="none"/>
              </w:rPr>
            </w:pPr>
            <w:r>
              <w:rPr>
                <w:rFonts w:ascii="宋体" w:hAnsi="宋体" w:eastAsia="宋体" w:cs="宋体"/>
                <w:b/>
                <w:bCs/>
                <w:i w:val="0"/>
                <w:iCs w:val="0"/>
                <w:color w:val="auto"/>
                <w:kern w:val="0"/>
                <w:sz w:val="24"/>
                <w:szCs w:val="24"/>
                <w:highlight w:val="none"/>
                <w:u w:val="none"/>
                <w:lang w:val="en-US" w:eastAsia="zh-CN" w:bidi="ar"/>
              </w:rPr>
              <w:t>序号</w:t>
            </w:r>
          </w:p>
        </w:tc>
        <w:tc>
          <w:tcPr>
            <w:tcW w:w="1469"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2034C83B">
            <w:pPr>
              <w:keepNext w:val="0"/>
              <w:keepLines w:val="0"/>
              <w:widowControl/>
              <w:suppressLineNumbers w:val="0"/>
              <w:jc w:val="center"/>
              <w:textAlignment w:val="center"/>
              <w:rPr>
                <w:rFonts w:ascii="宋体" w:hAnsi="宋体" w:eastAsia="宋体" w:cs="宋体"/>
                <w:b/>
                <w:bCs/>
                <w:i w:val="0"/>
                <w:iCs w:val="0"/>
                <w:color w:val="auto"/>
                <w:sz w:val="24"/>
                <w:szCs w:val="24"/>
                <w:highlight w:val="none"/>
                <w:u w:val="none"/>
              </w:rPr>
            </w:pPr>
            <w:r>
              <w:rPr>
                <w:rFonts w:ascii="宋体" w:hAnsi="宋体" w:eastAsia="宋体" w:cs="宋体"/>
                <w:b/>
                <w:bCs/>
                <w:i w:val="0"/>
                <w:iCs w:val="0"/>
                <w:color w:val="auto"/>
                <w:kern w:val="0"/>
                <w:sz w:val="24"/>
                <w:szCs w:val="24"/>
                <w:highlight w:val="none"/>
                <w:u w:val="none"/>
                <w:lang w:val="en-US" w:eastAsia="zh-CN" w:bidi="ar"/>
              </w:rPr>
              <w:t>设备名称</w:t>
            </w:r>
          </w:p>
        </w:tc>
        <w:tc>
          <w:tcPr>
            <w:tcW w:w="3406"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089D3D05">
            <w:pPr>
              <w:keepNext w:val="0"/>
              <w:keepLines w:val="0"/>
              <w:widowControl/>
              <w:suppressLineNumbers w:val="0"/>
              <w:jc w:val="center"/>
              <w:textAlignment w:val="center"/>
              <w:rPr>
                <w:rFonts w:ascii="宋体" w:hAnsi="宋体" w:eastAsia="宋体" w:cs="宋体"/>
                <w:b/>
                <w:bCs/>
                <w:i w:val="0"/>
                <w:iCs w:val="0"/>
                <w:color w:val="auto"/>
                <w:sz w:val="24"/>
                <w:szCs w:val="24"/>
                <w:highlight w:val="none"/>
                <w:u w:val="none"/>
              </w:rPr>
            </w:pPr>
            <w:r>
              <w:rPr>
                <w:rFonts w:ascii="宋体" w:hAnsi="宋体" w:eastAsia="宋体" w:cs="宋体"/>
                <w:b/>
                <w:bCs/>
                <w:i w:val="0"/>
                <w:iCs w:val="0"/>
                <w:color w:val="auto"/>
                <w:kern w:val="0"/>
                <w:sz w:val="24"/>
                <w:szCs w:val="24"/>
                <w:highlight w:val="none"/>
                <w:u w:val="none"/>
                <w:lang w:val="en-US" w:eastAsia="zh-CN" w:bidi="ar"/>
              </w:rPr>
              <w:t>参数</w:t>
            </w:r>
          </w:p>
        </w:tc>
        <w:tc>
          <w:tcPr>
            <w:tcW w:w="1386"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0283F6C3">
            <w:pPr>
              <w:keepNext w:val="0"/>
              <w:keepLines w:val="0"/>
              <w:widowControl/>
              <w:suppressLineNumbers w:val="0"/>
              <w:jc w:val="center"/>
              <w:textAlignment w:val="center"/>
              <w:rPr>
                <w:rFonts w:ascii="宋体" w:hAnsi="宋体" w:eastAsia="宋体" w:cs="宋体"/>
                <w:b/>
                <w:bCs/>
                <w:i w:val="0"/>
                <w:iCs w:val="0"/>
                <w:color w:val="auto"/>
                <w:sz w:val="24"/>
                <w:szCs w:val="24"/>
                <w:highlight w:val="none"/>
                <w:u w:val="none"/>
              </w:rPr>
            </w:pPr>
            <w:r>
              <w:rPr>
                <w:rFonts w:ascii="宋体" w:hAnsi="宋体" w:eastAsia="宋体" w:cs="宋体"/>
                <w:b/>
                <w:bCs/>
                <w:i w:val="0"/>
                <w:iCs w:val="0"/>
                <w:color w:val="auto"/>
                <w:kern w:val="0"/>
                <w:sz w:val="24"/>
                <w:szCs w:val="24"/>
                <w:highlight w:val="none"/>
                <w:u w:val="none"/>
                <w:lang w:val="en-US" w:eastAsia="zh-CN" w:bidi="ar"/>
              </w:rPr>
              <w:t>单位</w:t>
            </w:r>
          </w:p>
        </w:tc>
        <w:tc>
          <w:tcPr>
            <w:tcW w:w="815"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694090BC">
            <w:pPr>
              <w:keepNext w:val="0"/>
              <w:keepLines w:val="0"/>
              <w:widowControl/>
              <w:suppressLineNumbers w:val="0"/>
              <w:jc w:val="center"/>
              <w:textAlignment w:val="center"/>
              <w:rPr>
                <w:rFonts w:ascii="宋体" w:hAnsi="宋体" w:eastAsia="宋体" w:cs="宋体"/>
                <w:b/>
                <w:bCs/>
                <w:i w:val="0"/>
                <w:iCs w:val="0"/>
                <w:color w:val="auto"/>
                <w:sz w:val="24"/>
                <w:szCs w:val="24"/>
                <w:highlight w:val="none"/>
                <w:u w:val="none"/>
              </w:rPr>
            </w:pPr>
            <w:r>
              <w:rPr>
                <w:rFonts w:ascii="宋体" w:hAnsi="宋体" w:eastAsia="宋体" w:cs="宋体"/>
                <w:b/>
                <w:bCs/>
                <w:i w:val="0"/>
                <w:iCs w:val="0"/>
                <w:color w:val="auto"/>
                <w:kern w:val="0"/>
                <w:sz w:val="24"/>
                <w:szCs w:val="24"/>
                <w:highlight w:val="none"/>
                <w:u w:val="none"/>
                <w:lang w:val="en-US" w:eastAsia="zh-CN" w:bidi="ar"/>
              </w:rPr>
              <w:t>数量</w:t>
            </w:r>
          </w:p>
        </w:tc>
        <w:tc>
          <w:tcPr>
            <w:tcW w:w="978"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14:paraId="1CE8C0E7">
            <w:pPr>
              <w:keepNext w:val="0"/>
              <w:keepLines w:val="0"/>
              <w:widowControl/>
              <w:suppressLineNumbers w:val="0"/>
              <w:jc w:val="center"/>
              <w:textAlignment w:val="center"/>
              <w:rPr>
                <w:rFonts w:ascii="宋体" w:hAnsi="宋体" w:eastAsia="宋体" w:cs="宋体"/>
                <w:b/>
                <w:bCs/>
                <w:i w:val="0"/>
                <w:iCs w:val="0"/>
                <w:color w:val="auto"/>
                <w:sz w:val="24"/>
                <w:szCs w:val="24"/>
                <w:highlight w:val="none"/>
                <w:u w:val="none"/>
              </w:rPr>
            </w:pPr>
            <w:r>
              <w:rPr>
                <w:rFonts w:ascii="宋体" w:hAnsi="宋体" w:eastAsia="宋体" w:cs="宋体"/>
                <w:b/>
                <w:bCs/>
                <w:i w:val="0"/>
                <w:iCs w:val="0"/>
                <w:color w:val="auto"/>
                <w:kern w:val="0"/>
                <w:sz w:val="24"/>
                <w:szCs w:val="24"/>
                <w:highlight w:val="none"/>
                <w:u w:val="none"/>
                <w:lang w:val="en-US" w:eastAsia="zh-CN" w:bidi="ar"/>
              </w:rPr>
              <w:t>备注</w:t>
            </w:r>
          </w:p>
        </w:tc>
      </w:tr>
      <w:tr w14:paraId="0896F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2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8A7E6E">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3智慧安防系统</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4CF72">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29FD">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7C943">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75BAA">
            <w:pPr>
              <w:jc w:val="center"/>
              <w:rPr>
                <w:rFonts w:hint="eastAsia" w:ascii="宋体" w:hAnsi="宋体" w:eastAsia="宋体" w:cs="宋体"/>
                <w:i w:val="0"/>
                <w:iCs w:val="0"/>
                <w:color w:val="auto"/>
                <w:sz w:val="24"/>
                <w:szCs w:val="24"/>
                <w:highlight w:val="none"/>
                <w:u w:val="none"/>
              </w:rPr>
            </w:pPr>
          </w:p>
        </w:tc>
      </w:tr>
      <w:tr w14:paraId="06921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15786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2.2)后端</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518B9">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45F0">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3ED70">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41E5">
            <w:pPr>
              <w:jc w:val="center"/>
              <w:rPr>
                <w:rFonts w:hint="eastAsia" w:ascii="宋体" w:hAnsi="宋体" w:eastAsia="宋体" w:cs="宋体"/>
                <w:i w:val="0"/>
                <w:iCs w:val="0"/>
                <w:color w:val="auto"/>
                <w:sz w:val="24"/>
                <w:szCs w:val="24"/>
                <w:highlight w:val="none"/>
                <w:u w:val="none"/>
              </w:rPr>
            </w:pPr>
          </w:p>
        </w:tc>
      </w:tr>
      <w:tr w14:paraId="36201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A50D5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9</w:t>
            </w:r>
          </w:p>
        </w:tc>
        <w:tc>
          <w:tcPr>
            <w:tcW w:w="146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B6F9B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工作站</w:t>
            </w:r>
          </w:p>
        </w:tc>
        <w:tc>
          <w:tcPr>
            <w:tcW w:w="3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A0BE2E">
            <w:pPr>
              <w:keepNext w:val="0"/>
              <w:keepLines w:val="0"/>
              <w:widowControl/>
              <w:suppressLineNumbers w:val="0"/>
              <w:jc w:val="left"/>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在13项其他 中整体综合考虑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348B7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F0B1F8">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C3D8A1">
            <w:pPr>
              <w:jc w:val="center"/>
              <w:rPr>
                <w:rFonts w:hint="eastAsia" w:ascii="宋体" w:hAnsi="宋体" w:eastAsia="宋体" w:cs="宋体"/>
                <w:i w:val="0"/>
                <w:iCs w:val="0"/>
                <w:color w:val="auto"/>
                <w:sz w:val="24"/>
                <w:szCs w:val="24"/>
                <w:highlight w:val="none"/>
                <w:u w:val="none"/>
              </w:rPr>
            </w:pPr>
          </w:p>
        </w:tc>
      </w:tr>
      <w:tr w14:paraId="60F44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93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A1AAE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4校园广播系统</w:t>
            </w:r>
          </w:p>
        </w:tc>
        <w:tc>
          <w:tcPr>
            <w:tcW w:w="3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7D437A">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68FDFF">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F31798">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F8CFE8">
            <w:pPr>
              <w:jc w:val="center"/>
              <w:rPr>
                <w:rFonts w:hint="eastAsia" w:ascii="宋体" w:hAnsi="宋体" w:eastAsia="宋体" w:cs="宋体"/>
                <w:i w:val="0"/>
                <w:iCs w:val="0"/>
                <w:color w:val="auto"/>
                <w:sz w:val="24"/>
                <w:szCs w:val="24"/>
                <w:highlight w:val="none"/>
                <w:u w:val="none"/>
              </w:rPr>
            </w:pPr>
          </w:p>
        </w:tc>
      </w:tr>
      <w:tr w14:paraId="34300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4EDE4F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1)广播机房</w:t>
            </w:r>
          </w:p>
        </w:tc>
        <w:tc>
          <w:tcPr>
            <w:tcW w:w="146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530918C">
            <w:pPr>
              <w:jc w:val="center"/>
              <w:rPr>
                <w:rFonts w:hint="eastAsia" w:ascii="宋体" w:hAnsi="宋体" w:eastAsia="宋体" w:cs="宋体"/>
                <w:i w:val="0"/>
                <w:iCs w:val="0"/>
                <w:color w:val="auto"/>
                <w:sz w:val="24"/>
                <w:szCs w:val="24"/>
                <w:highlight w:val="none"/>
                <w:u w:val="none"/>
              </w:rPr>
            </w:pPr>
          </w:p>
        </w:tc>
        <w:tc>
          <w:tcPr>
            <w:tcW w:w="340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E0E28F0">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25B6B3D">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29FE038">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59D4ADE">
            <w:pPr>
              <w:jc w:val="center"/>
              <w:rPr>
                <w:rFonts w:hint="eastAsia" w:ascii="宋体" w:hAnsi="宋体" w:eastAsia="宋体" w:cs="宋体"/>
                <w:i w:val="0"/>
                <w:iCs w:val="0"/>
                <w:color w:val="auto"/>
                <w:sz w:val="24"/>
                <w:szCs w:val="24"/>
                <w:highlight w:val="none"/>
                <w:u w:val="none"/>
              </w:rPr>
            </w:pPr>
          </w:p>
        </w:tc>
      </w:tr>
      <w:tr w14:paraId="06BFC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BDC08D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4</w:t>
            </w:r>
          </w:p>
        </w:tc>
        <w:tc>
          <w:tcPr>
            <w:tcW w:w="146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4D2DE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播放器</w:t>
            </w:r>
          </w:p>
        </w:tc>
        <w:tc>
          <w:tcPr>
            <w:tcW w:w="3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29A65D">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F3A16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946111">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FDC1C4">
            <w:pPr>
              <w:jc w:val="center"/>
              <w:rPr>
                <w:rFonts w:hint="eastAsia" w:ascii="宋体" w:hAnsi="宋体" w:eastAsia="宋体" w:cs="宋体"/>
                <w:i w:val="0"/>
                <w:iCs w:val="0"/>
                <w:color w:val="auto"/>
                <w:sz w:val="24"/>
                <w:szCs w:val="24"/>
                <w:highlight w:val="none"/>
                <w:u w:val="none"/>
              </w:rPr>
            </w:pPr>
          </w:p>
        </w:tc>
      </w:tr>
      <w:tr w14:paraId="0A0DB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9F9367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5</w:t>
            </w:r>
          </w:p>
        </w:tc>
        <w:tc>
          <w:tcPr>
            <w:tcW w:w="146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45E583">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调谐器</w:t>
            </w:r>
          </w:p>
        </w:tc>
        <w:tc>
          <w:tcPr>
            <w:tcW w:w="3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96934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0FBA5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ABCB42">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481D3E">
            <w:pPr>
              <w:jc w:val="center"/>
              <w:rPr>
                <w:rFonts w:hint="eastAsia" w:ascii="宋体" w:hAnsi="宋体" w:eastAsia="宋体" w:cs="宋体"/>
                <w:i w:val="0"/>
                <w:iCs w:val="0"/>
                <w:color w:val="auto"/>
                <w:sz w:val="24"/>
                <w:szCs w:val="24"/>
                <w:highlight w:val="none"/>
                <w:u w:val="none"/>
              </w:rPr>
            </w:pPr>
          </w:p>
        </w:tc>
      </w:tr>
      <w:tr w14:paraId="4B1AA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BEAD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7</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5F13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网络化室内音箱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66131">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BEF9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A4D2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2C64">
            <w:pPr>
              <w:jc w:val="center"/>
              <w:rPr>
                <w:rFonts w:hint="eastAsia" w:ascii="宋体" w:hAnsi="宋体" w:eastAsia="宋体" w:cs="宋体"/>
                <w:i w:val="0"/>
                <w:iCs w:val="0"/>
                <w:color w:val="auto"/>
                <w:sz w:val="24"/>
                <w:szCs w:val="24"/>
                <w:highlight w:val="none"/>
                <w:u w:val="none"/>
              </w:rPr>
            </w:pPr>
          </w:p>
        </w:tc>
      </w:tr>
      <w:tr w14:paraId="4FAEE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9995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1.2)数模备份系统</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FA7A1">
            <w:pPr>
              <w:jc w:val="center"/>
              <w:rPr>
                <w:rFonts w:hint="eastAsia" w:ascii="宋体" w:hAnsi="宋体" w:eastAsia="宋体" w:cs="宋体"/>
                <w:i w:val="0"/>
                <w:iCs w:val="0"/>
                <w:color w:val="auto"/>
                <w:sz w:val="24"/>
                <w:szCs w:val="24"/>
                <w:highlight w:val="none"/>
                <w:u w:val="none"/>
              </w:rPr>
            </w:pP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D87D8">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D934A">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6388C">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C36F8">
            <w:pPr>
              <w:jc w:val="center"/>
              <w:rPr>
                <w:rFonts w:hint="eastAsia" w:ascii="宋体" w:hAnsi="宋体" w:eastAsia="宋体" w:cs="宋体"/>
                <w:i w:val="0"/>
                <w:iCs w:val="0"/>
                <w:color w:val="auto"/>
                <w:sz w:val="24"/>
                <w:szCs w:val="24"/>
                <w:highlight w:val="none"/>
                <w:u w:val="none"/>
              </w:rPr>
            </w:pPr>
          </w:p>
        </w:tc>
      </w:tr>
      <w:tr w14:paraId="29A42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AAA9">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2EAB2">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备用播放器</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C69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AC5D">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3DD3">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F88A">
            <w:pPr>
              <w:jc w:val="center"/>
              <w:rPr>
                <w:rFonts w:hint="eastAsia" w:ascii="宋体" w:hAnsi="宋体" w:eastAsia="宋体" w:cs="宋体"/>
                <w:i w:val="0"/>
                <w:iCs w:val="0"/>
                <w:color w:val="auto"/>
                <w:sz w:val="24"/>
                <w:szCs w:val="24"/>
                <w:highlight w:val="none"/>
                <w:u w:val="none"/>
              </w:rPr>
            </w:pPr>
          </w:p>
        </w:tc>
      </w:tr>
      <w:tr w14:paraId="2C029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4995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2</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A26D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主/备功放自动切换器</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0389E">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2E2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C7328">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6A846">
            <w:pPr>
              <w:jc w:val="center"/>
              <w:rPr>
                <w:rFonts w:hint="eastAsia" w:ascii="宋体" w:hAnsi="宋体" w:eastAsia="宋体" w:cs="宋体"/>
                <w:i w:val="0"/>
                <w:iCs w:val="0"/>
                <w:color w:val="auto"/>
                <w:sz w:val="24"/>
                <w:szCs w:val="24"/>
                <w:highlight w:val="none"/>
                <w:u w:val="none"/>
              </w:rPr>
            </w:pPr>
          </w:p>
        </w:tc>
      </w:tr>
      <w:tr w14:paraId="3396C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B526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3</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2C9E">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前置放大器</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46D0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C91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A75B3">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B51CD">
            <w:pPr>
              <w:jc w:val="center"/>
              <w:rPr>
                <w:rFonts w:hint="eastAsia" w:ascii="宋体" w:hAnsi="宋体" w:eastAsia="宋体" w:cs="宋体"/>
                <w:i w:val="0"/>
                <w:iCs w:val="0"/>
                <w:color w:val="auto"/>
                <w:sz w:val="24"/>
                <w:szCs w:val="24"/>
                <w:highlight w:val="none"/>
                <w:u w:val="none"/>
              </w:rPr>
            </w:pPr>
          </w:p>
        </w:tc>
      </w:tr>
      <w:tr w14:paraId="4BD13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B14A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4</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00C6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纯后级广播功放</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366D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7379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961B3">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3</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06BB7">
            <w:pPr>
              <w:jc w:val="center"/>
              <w:rPr>
                <w:rFonts w:hint="eastAsia" w:ascii="宋体" w:hAnsi="宋体" w:eastAsia="宋体" w:cs="宋体"/>
                <w:i w:val="0"/>
                <w:iCs w:val="0"/>
                <w:color w:val="auto"/>
                <w:sz w:val="24"/>
                <w:szCs w:val="24"/>
                <w:highlight w:val="none"/>
                <w:u w:val="none"/>
              </w:rPr>
            </w:pPr>
          </w:p>
        </w:tc>
      </w:tr>
      <w:tr w14:paraId="56A54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E06A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2)6#体育馆2F(广播室)</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96BD5">
            <w:pPr>
              <w:jc w:val="center"/>
              <w:rPr>
                <w:rFonts w:hint="eastAsia" w:ascii="宋体" w:hAnsi="宋体" w:eastAsia="宋体" w:cs="宋体"/>
                <w:i w:val="0"/>
                <w:iCs w:val="0"/>
                <w:color w:val="auto"/>
                <w:sz w:val="24"/>
                <w:szCs w:val="24"/>
                <w:highlight w:val="none"/>
                <w:u w:val="none"/>
              </w:rPr>
            </w:pPr>
          </w:p>
        </w:tc>
        <w:tc>
          <w:tcPr>
            <w:tcW w:w="3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EA7A8">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057A9">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66436">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3FB9C">
            <w:pPr>
              <w:jc w:val="center"/>
              <w:rPr>
                <w:rFonts w:hint="eastAsia" w:ascii="宋体" w:hAnsi="宋体" w:eastAsia="宋体" w:cs="宋体"/>
                <w:i w:val="0"/>
                <w:iCs w:val="0"/>
                <w:color w:val="auto"/>
                <w:sz w:val="24"/>
                <w:szCs w:val="24"/>
                <w:highlight w:val="none"/>
                <w:u w:val="none"/>
              </w:rPr>
            </w:pPr>
          </w:p>
        </w:tc>
      </w:tr>
      <w:tr w14:paraId="6BAD0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C02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1021">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工作站</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F34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在13项其他 中整体综合考虑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3159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412E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82F4">
            <w:pPr>
              <w:jc w:val="center"/>
              <w:rPr>
                <w:rFonts w:hint="eastAsia" w:ascii="宋体" w:hAnsi="宋体" w:eastAsia="宋体" w:cs="宋体"/>
                <w:i w:val="0"/>
                <w:iCs w:val="0"/>
                <w:color w:val="auto"/>
                <w:sz w:val="24"/>
                <w:szCs w:val="24"/>
                <w:highlight w:val="none"/>
                <w:u w:val="none"/>
              </w:rPr>
            </w:pPr>
          </w:p>
        </w:tc>
      </w:tr>
      <w:tr w14:paraId="2C96F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0E2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2</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89E3E">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网络化分控寻呼软件</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B0D8">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88B4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套</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9084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6ABB5">
            <w:pPr>
              <w:jc w:val="center"/>
              <w:rPr>
                <w:rFonts w:hint="eastAsia" w:ascii="宋体" w:hAnsi="宋体" w:eastAsia="宋体" w:cs="宋体"/>
                <w:i w:val="0"/>
                <w:iCs w:val="0"/>
                <w:color w:val="auto"/>
                <w:sz w:val="24"/>
                <w:szCs w:val="24"/>
                <w:highlight w:val="none"/>
                <w:u w:val="none"/>
              </w:rPr>
            </w:pPr>
          </w:p>
        </w:tc>
      </w:tr>
      <w:tr w14:paraId="1E682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ED3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3</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D533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网络化智能寻呼站</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BD42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03D1">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062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19E82">
            <w:pPr>
              <w:jc w:val="center"/>
              <w:rPr>
                <w:rFonts w:hint="eastAsia" w:ascii="宋体" w:hAnsi="宋体" w:eastAsia="宋体" w:cs="宋体"/>
                <w:i w:val="0"/>
                <w:iCs w:val="0"/>
                <w:color w:val="auto"/>
                <w:sz w:val="24"/>
                <w:szCs w:val="24"/>
                <w:highlight w:val="none"/>
                <w:u w:val="none"/>
              </w:rPr>
            </w:pPr>
          </w:p>
        </w:tc>
      </w:tr>
      <w:tr w14:paraId="5ED49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DC57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4</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629B2">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播放器</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4207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2A9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D278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B560C">
            <w:pPr>
              <w:jc w:val="center"/>
              <w:rPr>
                <w:rFonts w:hint="eastAsia" w:ascii="宋体" w:hAnsi="宋体" w:eastAsia="宋体" w:cs="宋体"/>
                <w:i w:val="0"/>
                <w:iCs w:val="0"/>
                <w:color w:val="auto"/>
                <w:sz w:val="24"/>
                <w:szCs w:val="24"/>
                <w:highlight w:val="none"/>
                <w:u w:val="none"/>
              </w:rPr>
            </w:pPr>
          </w:p>
        </w:tc>
      </w:tr>
      <w:tr w14:paraId="44408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FA52">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7</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7628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网络化室内音箱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F53E8">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8390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8E05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91CB">
            <w:pPr>
              <w:jc w:val="center"/>
              <w:rPr>
                <w:rFonts w:hint="eastAsia" w:ascii="宋体" w:hAnsi="宋体" w:eastAsia="宋体" w:cs="宋体"/>
                <w:i w:val="0"/>
                <w:iCs w:val="0"/>
                <w:color w:val="auto"/>
                <w:sz w:val="24"/>
                <w:szCs w:val="24"/>
                <w:highlight w:val="none"/>
                <w:u w:val="none"/>
              </w:rPr>
            </w:pPr>
          </w:p>
        </w:tc>
      </w:tr>
      <w:tr w14:paraId="73F4C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9067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3)南校门1F(消控室)</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8704A">
            <w:pPr>
              <w:jc w:val="center"/>
              <w:rPr>
                <w:rFonts w:hint="eastAsia" w:ascii="宋体" w:hAnsi="宋体" w:eastAsia="宋体" w:cs="宋体"/>
                <w:i w:val="0"/>
                <w:iCs w:val="0"/>
                <w:color w:val="auto"/>
                <w:sz w:val="24"/>
                <w:szCs w:val="24"/>
                <w:highlight w:val="none"/>
                <w:u w:val="none"/>
              </w:rPr>
            </w:pPr>
          </w:p>
        </w:tc>
        <w:tc>
          <w:tcPr>
            <w:tcW w:w="3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5A14">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6086D">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E5884">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B4F61">
            <w:pPr>
              <w:jc w:val="center"/>
              <w:rPr>
                <w:rFonts w:hint="eastAsia" w:ascii="宋体" w:hAnsi="宋体" w:eastAsia="宋体" w:cs="宋体"/>
                <w:i w:val="0"/>
                <w:iCs w:val="0"/>
                <w:color w:val="auto"/>
                <w:sz w:val="24"/>
                <w:szCs w:val="24"/>
                <w:highlight w:val="none"/>
                <w:u w:val="none"/>
              </w:rPr>
            </w:pPr>
          </w:p>
        </w:tc>
      </w:tr>
      <w:tr w14:paraId="106EB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A009">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2</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9235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网络化室内音箱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D508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935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B7A7">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EE88">
            <w:pPr>
              <w:jc w:val="center"/>
              <w:rPr>
                <w:rFonts w:hint="eastAsia" w:ascii="宋体" w:hAnsi="宋体" w:eastAsia="宋体" w:cs="宋体"/>
                <w:i w:val="0"/>
                <w:iCs w:val="0"/>
                <w:color w:val="auto"/>
                <w:sz w:val="24"/>
                <w:szCs w:val="24"/>
                <w:highlight w:val="none"/>
                <w:u w:val="none"/>
              </w:rPr>
            </w:pPr>
          </w:p>
        </w:tc>
      </w:tr>
      <w:tr w14:paraId="4D493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BC86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4)2号楼2F广播室</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D5DB0">
            <w:pPr>
              <w:jc w:val="center"/>
              <w:rPr>
                <w:rFonts w:hint="eastAsia" w:ascii="宋体" w:hAnsi="宋体" w:eastAsia="宋体" w:cs="宋体"/>
                <w:i w:val="0"/>
                <w:iCs w:val="0"/>
                <w:color w:val="auto"/>
                <w:sz w:val="24"/>
                <w:szCs w:val="24"/>
                <w:highlight w:val="none"/>
                <w:u w:val="none"/>
              </w:rPr>
            </w:pPr>
          </w:p>
        </w:tc>
        <w:tc>
          <w:tcPr>
            <w:tcW w:w="3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89489">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69D20">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C20DC">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8B6D">
            <w:pPr>
              <w:jc w:val="center"/>
              <w:rPr>
                <w:rFonts w:hint="eastAsia" w:ascii="宋体" w:hAnsi="宋体" w:eastAsia="宋体" w:cs="宋体"/>
                <w:i w:val="0"/>
                <w:iCs w:val="0"/>
                <w:color w:val="auto"/>
                <w:sz w:val="24"/>
                <w:szCs w:val="24"/>
                <w:highlight w:val="none"/>
                <w:u w:val="none"/>
              </w:rPr>
            </w:pPr>
          </w:p>
        </w:tc>
      </w:tr>
      <w:tr w14:paraId="3B011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AE0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0367D">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工作站</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EDB4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在13项其他 中整体综合考虑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603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95B22">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6EA5F">
            <w:pPr>
              <w:jc w:val="center"/>
              <w:rPr>
                <w:rFonts w:hint="eastAsia" w:ascii="宋体" w:hAnsi="宋体" w:eastAsia="宋体" w:cs="宋体"/>
                <w:i w:val="0"/>
                <w:iCs w:val="0"/>
                <w:color w:val="auto"/>
                <w:sz w:val="24"/>
                <w:szCs w:val="24"/>
                <w:highlight w:val="none"/>
                <w:u w:val="none"/>
              </w:rPr>
            </w:pPr>
          </w:p>
        </w:tc>
      </w:tr>
      <w:tr w14:paraId="3DF0C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C08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2</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3179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网络化室内音箱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DB702">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业主自备利旧老校区搬迁来 在1)-1网络广播中心 整体综合考虑</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6B1A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只</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01579">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5C3E8">
            <w:pPr>
              <w:jc w:val="center"/>
              <w:rPr>
                <w:rFonts w:hint="eastAsia" w:ascii="宋体" w:hAnsi="宋体" w:eastAsia="宋体" w:cs="宋体"/>
                <w:i w:val="0"/>
                <w:iCs w:val="0"/>
                <w:color w:val="auto"/>
                <w:sz w:val="24"/>
                <w:szCs w:val="24"/>
                <w:highlight w:val="none"/>
                <w:u w:val="none"/>
              </w:rPr>
            </w:pPr>
          </w:p>
        </w:tc>
      </w:tr>
      <w:tr w14:paraId="11D31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9EF1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5)前端设备</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E9587">
            <w:pPr>
              <w:jc w:val="center"/>
              <w:rPr>
                <w:rFonts w:hint="eastAsia" w:ascii="宋体" w:hAnsi="宋体" w:eastAsia="宋体" w:cs="宋体"/>
                <w:i w:val="0"/>
                <w:iCs w:val="0"/>
                <w:color w:val="auto"/>
                <w:sz w:val="24"/>
                <w:szCs w:val="24"/>
                <w:highlight w:val="none"/>
                <w:u w:val="none"/>
              </w:rPr>
            </w:pPr>
          </w:p>
        </w:tc>
        <w:tc>
          <w:tcPr>
            <w:tcW w:w="3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88B3">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B56F6">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A260F">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6B01">
            <w:pPr>
              <w:jc w:val="center"/>
              <w:rPr>
                <w:rFonts w:hint="eastAsia" w:ascii="宋体" w:hAnsi="宋体" w:eastAsia="宋体" w:cs="宋体"/>
                <w:i w:val="0"/>
                <w:iCs w:val="0"/>
                <w:color w:val="auto"/>
                <w:sz w:val="24"/>
                <w:szCs w:val="24"/>
                <w:highlight w:val="none"/>
                <w:u w:val="none"/>
              </w:rPr>
            </w:pPr>
          </w:p>
        </w:tc>
      </w:tr>
      <w:tr w14:paraId="72353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C6DE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3</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9C52">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网络化室内音箱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70D5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EFE8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8C24D">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6</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EE17">
            <w:pPr>
              <w:jc w:val="center"/>
              <w:rPr>
                <w:rFonts w:hint="eastAsia" w:ascii="宋体" w:hAnsi="宋体" w:eastAsia="宋体" w:cs="宋体"/>
                <w:i w:val="0"/>
                <w:iCs w:val="0"/>
                <w:color w:val="auto"/>
                <w:sz w:val="24"/>
                <w:szCs w:val="24"/>
                <w:highlight w:val="none"/>
                <w:u w:val="none"/>
              </w:rPr>
            </w:pPr>
          </w:p>
        </w:tc>
      </w:tr>
      <w:tr w14:paraId="6A07F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A689">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4</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122F3">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网络化副音箱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F360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C69E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71F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6</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34739">
            <w:pPr>
              <w:jc w:val="center"/>
              <w:rPr>
                <w:rFonts w:hint="eastAsia" w:ascii="宋体" w:hAnsi="宋体" w:eastAsia="宋体" w:cs="宋体"/>
                <w:i w:val="0"/>
                <w:iCs w:val="0"/>
                <w:color w:val="auto"/>
                <w:sz w:val="24"/>
                <w:szCs w:val="24"/>
                <w:highlight w:val="none"/>
                <w:u w:val="none"/>
              </w:rPr>
            </w:pPr>
          </w:p>
        </w:tc>
      </w:tr>
      <w:tr w14:paraId="52CB4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62CC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5.3)2#创新中心</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9477E">
            <w:pPr>
              <w:jc w:val="center"/>
              <w:rPr>
                <w:rFonts w:hint="eastAsia" w:ascii="宋体" w:hAnsi="宋体" w:eastAsia="宋体" w:cs="宋体"/>
                <w:i w:val="0"/>
                <w:iCs w:val="0"/>
                <w:color w:val="auto"/>
                <w:sz w:val="24"/>
                <w:szCs w:val="24"/>
                <w:highlight w:val="none"/>
                <w:u w:val="none"/>
              </w:rPr>
            </w:pPr>
          </w:p>
        </w:tc>
        <w:tc>
          <w:tcPr>
            <w:tcW w:w="3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03B66">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8DE32">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BFC9">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D799D">
            <w:pPr>
              <w:jc w:val="center"/>
              <w:rPr>
                <w:rFonts w:hint="eastAsia" w:ascii="宋体" w:hAnsi="宋体" w:eastAsia="宋体" w:cs="宋体"/>
                <w:i w:val="0"/>
                <w:iCs w:val="0"/>
                <w:color w:val="auto"/>
                <w:sz w:val="24"/>
                <w:szCs w:val="24"/>
                <w:highlight w:val="none"/>
                <w:u w:val="none"/>
              </w:rPr>
            </w:pPr>
          </w:p>
        </w:tc>
      </w:tr>
      <w:tr w14:paraId="47904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BEE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2</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1F5B3">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网络化室内音箱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06F41">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97B3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8722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19</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3B74F">
            <w:pPr>
              <w:jc w:val="center"/>
              <w:rPr>
                <w:rFonts w:hint="eastAsia" w:ascii="宋体" w:hAnsi="宋体" w:eastAsia="宋体" w:cs="宋体"/>
                <w:i w:val="0"/>
                <w:iCs w:val="0"/>
                <w:color w:val="auto"/>
                <w:sz w:val="24"/>
                <w:szCs w:val="24"/>
                <w:highlight w:val="none"/>
                <w:u w:val="none"/>
              </w:rPr>
            </w:pPr>
          </w:p>
        </w:tc>
      </w:tr>
      <w:tr w14:paraId="539E4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F99D9">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3</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1385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网络化副音箱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4F06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31E0E">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44B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19</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67C78">
            <w:pPr>
              <w:jc w:val="center"/>
              <w:rPr>
                <w:rFonts w:hint="eastAsia" w:ascii="宋体" w:hAnsi="宋体" w:eastAsia="宋体" w:cs="宋体"/>
                <w:i w:val="0"/>
                <w:iCs w:val="0"/>
                <w:color w:val="auto"/>
                <w:sz w:val="24"/>
                <w:szCs w:val="24"/>
                <w:highlight w:val="none"/>
                <w:u w:val="none"/>
              </w:rPr>
            </w:pPr>
          </w:p>
        </w:tc>
      </w:tr>
      <w:tr w14:paraId="1A642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71C8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5.4)3#教学楼北楼</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90AE4">
            <w:pPr>
              <w:jc w:val="center"/>
              <w:rPr>
                <w:rFonts w:hint="eastAsia" w:ascii="宋体" w:hAnsi="宋体" w:eastAsia="宋体" w:cs="宋体"/>
                <w:i w:val="0"/>
                <w:iCs w:val="0"/>
                <w:color w:val="auto"/>
                <w:sz w:val="24"/>
                <w:szCs w:val="24"/>
                <w:highlight w:val="none"/>
                <w:u w:val="none"/>
              </w:rPr>
            </w:pPr>
          </w:p>
        </w:tc>
        <w:tc>
          <w:tcPr>
            <w:tcW w:w="3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A94DE">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63407">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A84D8">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8907D">
            <w:pPr>
              <w:jc w:val="center"/>
              <w:rPr>
                <w:rFonts w:hint="eastAsia" w:ascii="宋体" w:hAnsi="宋体" w:eastAsia="宋体" w:cs="宋体"/>
                <w:i w:val="0"/>
                <w:iCs w:val="0"/>
                <w:color w:val="auto"/>
                <w:sz w:val="24"/>
                <w:szCs w:val="24"/>
                <w:highlight w:val="none"/>
                <w:u w:val="none"/>
              </w:rPr>
            </w:pPr>
          </w:p>
        </w:tc>
      </w:tr>
      <w:tr w14:paraId="61CCB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55E1">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4</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65A2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网络化室内音箱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3ED7E">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AA84">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922B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16</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B5CB">
            <w:pPr>
              <w:jc w:val="center"/>
              <w:rPr>
                <w:rFonts w:hint="eastAsia" w:ascii="宋体" w:hAnsi="宋体" w:eastAsia="宋体" w:cs="宋体"/>
                <w:i w:val="0"/>
                <w:iCs w:val="0"/>
                <w:color w:val="auto"/>
                <w:sz w:val="24"/>
                <w:szCs w:val="24"/>
                <w:highlight w:val="none"/>
                <w:u w:val="none"/>
              </w:rPr>
            </w:pPr>
          </w:p>
        </w:tc>
      </w:tr>
      <w:tr w14:paraId="6B770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33618">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5</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0EF4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网络化副音箱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A2A0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44A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A848">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16</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7E1FF">
            <w:pPr>
              <w:jc w:val="center"/>
              <w:rPr>
                <w:rFonts w:hint="eastAsia" w:ascii="宋体" w:hAnsi="宋体" w:eastAsia="宋体" w:cs="宋体"/>
                <w:i w:val="0"/>
                <w:iCs w:val="0"/>
                <w:color w:val="auto"/>
                <w:sz w:val="24"/>
                <w:szCs w:val="24"/>
                <w:highlight w:val="none"/>
                <w:u w:val="none"/>
              </w:rPr>
            </w:pPr>
          </w:p>
        </w:tc>
      </w:tr>
      <w:tr w14:paraId="00F4B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8E2CD">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5.5)3#教学楼中楼</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78271">
            <w:pPr>
              <w:jc w:val="center"/>
              <w:rPr>
                <w:rFonts w:hint="eastAsia" w:ascii="宋体" w:hAnsi="宋体" w:eastAsia="宋体" w:cs="宋体"/>
                <w:i w:val="0"/>
                <w:iCs w:val="0"/>
                <w:color w:val="auto"/>
                <w:sz w:val="24"/>
                <w:szCs w:val="24"/>
                <w:highlight w:val="none"/>
                <w:u w:val="none"/>
              </w:rPr>
            </w:pPr>
          </w:p>
        </w:tc>
        <w:tc>
          <w:tcPr>
            <w:tcW w:w="3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F987D">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66276">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5507">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15DA6">
            <w:pPr>
              <w:jc w:val="center"/>
              <w:rPr>
                <w:rFonts w:hint="eastAsia" w:ascii="宋体" w:hAnsi="宋体" w:eastAsia="宋体" w:cs="宋体"/>
                <w:i w:val="0"/>
                <w:iCs w:val="0"/>
                <w:color w:val="auto"/>
                <w:sz w:val="24"/>
                <w:szCs w:val="24"/>
                <w:highlight w:val="none"/>
                <w:u w:val="none"/>
              </w:rPr>
            </w:pPr>
          </w:p>
        </w:tc>
      </w:tr>
      <w:tr w14:paraId="6D72F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C2C2">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4</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9399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网络化室内音箱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652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43923">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7C3EE">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16</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4859">
            <w:pPr>
              <w:jc w:val="center"/>
              <w:rPr>
                <w:rFonts w:hint="eastAsia" w:ascii="宋体" w:hAnsi="宋体" w:eastAsia="宋体" w:cs="宋体"/>
                <w:i w:val="0"/>
                <w:iCs w:val="0"/>
                <w:color w:val="auto"/>
                <w:sz w:val="24"/>
                <w:szCs w:val="24"/>
                <w:highlight w:val="none"/>
                <w:u w:val="none"/>
              </w:rPr>
            </w:pPr>
          </w:p>
        </w:tc>
      </w:tr>
      <w:tr w14:paraId="7A14B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AE88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5</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8CE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网络化副音箱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A0A8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786BD">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3FC87">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16</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5D37D">
            <w:pPr>
              <w:jc w:val="center"/>
              <w:rPr>
                <w:rFonts w:hint="eastAsia" w:ascii="宋体" w:hAnsi="宋体" w:eastAsia="宋体" w:cs="宋体"/>
                <w:i w:val="0"/>
                <w:iCs w:val="0"/>
                <w:color w:val="auto"/>
                <w:sz w:val="24"/>
                <w:szCs w:val="24"/>
                <w:highlight w:val="none"/>
                <w:u w:val="none"/>
              </w:rPr>
            </w:pPr>
          </w:p>
        </w:tc>
      </w:tr>
      <w:tr w14:paraId="1ACF5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46F0A">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5.6)3#教学楼南楼</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252E1">
            <w:pPr>
              <w:jc w:val="center"/>
              <w:rPr>
                <w:rFonts w:hint="eastAsia" w:ascii="宋体" w:hAnsi="宋体" w:eastAsia="宋体" w:cs="宋体"/>
                <w:i w:val="0"/>
                <w:iCs w:val="0"/>
                <w:color w:val="auto"/>
                <w:sz w:val="24"/>
                <w:szCs w:val="24"/>
                <w:highlight w:val="none"/>
                <w:u w:val="none"/>
              </w:rPr>
            </w:pPr>
          </w:p>
        </w:tc>
        <w:tc>
          <w:tcPr>
            <w:tcW w:w="3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94295">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7B5D9">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CBBE3">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8BB45">
            <w:pPr>
              <w:jc w:val="center"/>
              <w:rPr>
                <w:rFonts w:hint="eastAsia" w:ascii="宋体" w:hAnsi="宋体" w:eastAsia="宋体" w:cs="宋体"/>
                <w:i w:val="0"/>
                <w:iCs w:val="0"/>
                <w:color w:val="auto"/>
                <w:sz w:val="24"/>
                <w:szCs w:val="24"/>
                <w:highlight w:val="none"/>
                <w:u w:val="none"/>
              </w:rPr>
            </w:pPr>
          </w:p>
        </w:tc>
      </w:tr>
      <w:tr w14:paraId="37C2B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E919">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3</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69EC7">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网络化室内音箱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487E">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CDBE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DA7E2">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16</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DE47">
            <w:pPr>
              <w:jc w:val="center"/>
              <w:rPr>
                <w:rFonts w:hint="eastAsia" w:ascii="宋体" w:hAnsi="宋体" w:eastAsia="宋体" w:cs="宋体"/>
                <w:i w:val="0"/>
                <w:iCs w:val="0"/>
                <w:color w:val="auto"/>
                <w:sz w:val="24"/>
                <w:szCs w:val="24"/>
                <w:highlight w:val="none"/>
                <w:u w:val="none"/>
              </w:rPr>
            </w:pPr>
          </w:p>
        </w:tc>
      </w:tr>
      <w:tr w14:paraId="1A6C4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3A9F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4</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729D">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网络化副音箱</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CF7E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在1)-1网络广播中心 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CF7C7">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077F">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16</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BEC2">
            <w:pPr>
              <w:jc w:val="center"/>
              <w:rPr>
                <w:rFonts w:hint="eastAsia" w:ascii="宋体" w:hAnsi="宋体" w:eastAsia="宋体" w:cs="宋体"/>
                <w:i w:val="0"/>
                <w:iCs w:val="0"/>
                <w:color w:val="auto"/>
                <w:sz w:val="24"/>
                <w:szCs w:val="24"/>
                <w:highlight w:val="none"/>
                <w:u w:val="none"/>
              </w:rPr>
            </w:pPr>
          </w:p>
        </w:tc>
      </w:tr>
      <w:tr w14:paraId="41148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EA5FEB">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5信息发布系统</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211E">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3DBE5">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18F76">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BF85A">
            <w:pPr>
              <w:jc w:val="center"/>
              <w:rPr>
                <w:rFonts w:hint="eastAsia" w:ascii="宋体" w:hAnsi="宋体" w:eastAsia="宋体" w:cs="宋体"/>
                <w:i w:val="0"/>
                <w:iCs w:val="0"/>
                <w:color w:val="auto"/>
                <w:sz w:val="24"/>
                <w:szCs w:val="24"/>
                <w:highlight w:val="none"/>
                <w:u w:val="none"/>
              </w:rPr>
            </w:pPr>
          </w:p>
        </w:tc>
      </w:tr>
      <w:tr w14:paraId="3F2F7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4C7E3D">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3)后端</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6024D">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555C4">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9EC7">
            <w:pPr>
              <w:jc w:val="center"/>
              <w:rPr>
                <w:rFonts w:hint="eastAsia" w:ascii="宋体" w:hAnsi="宋体" w:eastAsia="宋体" w:cs="宋体"/>
                <w:i w:val="0"/>
                <w:iCs w:val="0"/>
                <w:color w:val="auto"/>
                <w:sz w:val="24"/>
                <w:szCs w:val="24"/>
                <w:highlight w:val="none"/>
                <w:u w:val="none"/>
              </w:rPr>
            </w:pPr>
          </w:p>
        </w:tc>
        <w:tc>
          <w:tcPr>
            <w:tcW w:w="978" w:type="dxa"/>
            <w:tcBorders>
              <w:top w:val="nil"/>
              <w:left w:val="single" w:color="000000" w:sz="4" w:space="0"/>
              <w:bottom w:val="nil"/>
              <w:right w:val="single" w:color="000000" w:sz="4" w:space="0"/>
            </w:tcBorders>
            <w:shd w:val="clear" w:color="auto" w:fill="auto"/>
            <w:vAlign w:val="center"/>
          </w:tcPr>
          <w:p w14:paraId="17A2B4CD">
            <w:pPr>
              <w:jc w:val="center"/>
              <w:rPr>
                <w:rFonts w:hint="eastAsia" w:ascii="宋体" w:hAnsi="宋体" w:eastAsia="宋体" w:cs="宋体"/>
                <w:i w:val="0"/>
                <w:iCs w:val="0"/>
                <w:color w:val="auto"/>
                <w:sz w:val="24"/>
                <w:szCs w:val="24"/>
                <w:highlight w:val="none"/>
                <w:u w:val="none"/>
              </w:rPr>
            </w:pPr>
          </w:p>
        </w:tc>
      </w:tr>
      <w:tr w14:paraId="7464F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9B45C">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1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C45B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工作站</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AEFB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在13项其他 中整体综合考虑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236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FEB8">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nil"/>
              <w:left w:val="single" w:color="000000" w:sz="4" w:space="0"/>
              <w:bottom w:val="single" w:color="000000" w:sz="4" w:space="0"/>
              <w:right w:val="single" w:color="000000" w:sz="4" w:space="0"/>
            </w:tcBorders>
            <w:shd w:val="clear" w:color="auto" w:fill="auto"/>
            <w:vAlign w:val="center"/>
          </w:tcPr>
          <w:p w14:paraId="6FDEE1F5">
            <w:pPr>
              <w:jc w:val="center"/>
              <w:rPr>
                <w:rFonts w:hint="eastAsia" w:ascii="宋体" w:hAnsi="宋体" w:eastAsia="宋体" w:cs="宋体"/>
                <w:i w:val="0"/>
                <w:iCs w:val="0"/>
                <w:color w:val="auto"/>
                <w:sz w:val="24"/>
                <w:szCs w:val="24"/>
                <w:highlight w:val="none"/>
                <w:u w:val="none"/>
              </w:rPr>
            </w:pPr>
          </w:p>
        </w:tc>
      </w:tr>
      <w:tr w14:paraId="4824B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DA39B9">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9能耗监测系统</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007FA">
            <w:pPr>
              <w:jc w:val="center"/>
              <w:rPr>
                <w:rFonts w:hint="eastAsia" w:ascii="宋体" w:hAnsi="宋体" w:eastAsia="宋体" w:cs="宋体"/>
                <w:i w:val="0"/>
                <w:iCs w:val="0"/>
                <w:color w:val="auto"/>
                <w:sz w:val="24"/>
                <w:szCs w:val="24"/>
                <w:highlight w:val="none"/>
                <w:u w:val="none"/>
              </w:rPr>
            </w:pP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25ED">
            <w:pPr>
              <w:jc w:val="center"/>
              <w:rPr>
                <w:rFonts w:hint="eastAsia" w:ascii="宋体" w:hAnsi="宋体" w:eastAsia="宋体" w:cs="宋体"/>
                <w:i w:val="0"/>
                <w:iCs w:val="0"/>
                <w:color w:val="auto"/>
                <w:sz w:val="24"/>
                <w:szCs w:val="24"/>
                <w:highlight w:val="none"/>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45096">
            <w:pPr>
              <w:jc w:val="center"/>
              <w:rPr>
                <w:rFonts w:hint="eastAsia" w:ascii="宋体" w:hAnsi="宋体" w:eastAsia="宋体" w:cs="宋体"/>
                <w:i w:val="0"/>
                <w:iCs w:val="0"/>
                <w:color w:val="auto"/>
                <w:sz w:val="24"/>
                <w:szCs w:val="24"/>
                <w:highlight w:val="none"/>
                <w:u w:val="none"/>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74B26">
            <w:pPr>
              <w:jc w:val="center"/>
              <w:rPr>
                <w:rFonts w:hint="eastAsia" w:ascii="宋体" w:hAnsi="宋体" w:eastAsia="宋体" w:cs="宋体"/>
                <w:i w:val="0"/>
                <w:iCs w:val="0"/>
                <w:color w:val="auto"/>
                <w:sz w:val="24"/>
                <w:szCs w:val="24"/>
                <w:highlight w:val="none"/>
                <w:u w:val="none"/>
              </w:rPr>
            </w:pPr>
          </w:p>
        </w:tc>
      </w:tr>
      <w:tr w14:paraId="2ABF0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C5335">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2D786">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工作站</w:t>
            </w:r>
          </w:p>
        </w:tc>
        <w:tc>
          <w:tcPr>
            <w:tcW w:w="3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90437">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 xml:space="preserve">业主自备利旧老校区搬迁来 在13项其他 中整体综合考虑 </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3C570">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台</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08389">
            <w:pPr>
              <w:keepNext w:val="0"/>
              <w:keepLines w:val="0"/>
              <w:widowControl/>
              <w:suppressLineNumbers w:val="0"/>
              <w:jc w:val="center"/>
              <w:textAlignment w:val="center"/>
              <w:rPr>
                <w:rFonts w:ascii="宋体" w:hAnsi="宋体" w:eastAsia="宋体" w:cs="宋体"/>
                <w:i w:val="0"/>
                <w:iCs w:val="0"/>
                <w:color w:val="auto"/>
                <w:sz w:val="24"/>
                <w:szCs w:val="24"/>
                <w:highlight w:val="none"/>
                <w:u w:val="none"/>
              </w:rPr>
            </w:pPr>
            <w:r>
              <w:rPr>
                <w:rFonts w:ascii="宋体" w:hAnsi="宋体" w:eastAsia="宋体" w:cs="宋体"/>
                <w:i w:val="0"/>
                <w:iCs w:val="0"/>
                <w:color w:val="auto"/>
                <w:kern w:val="0"/>
                <w:sz w:val="24"/>
                <w:szCs w:val="24"/>
                <w:highlight w:val="none"/>
                <w:u w:val="none"/>
                <w:lang w:val="en-US" w:eastAsia="zh-CN"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8B37">
            <w:pPr>
              <w:jc w:val="center"/>
              <w:rPr>
                <w:rFonts w:hint="eastAsia" w:ascii="宋体" w:hAnsi="宋体" w:eastAsia="宋体" w:cs="宋体"/>
                <w:i w:val="0"/>
                <w:iCs w:val="0"/>
                <w:color w:val="auto"/>
                <w:sz w:val="24"/>
                <w:szCs w:val="24"/>
                <w:highlight w:val="none"/>
                <w:u w:val="none"/>
              </w:rPr>
            </w:pPr>
          </w:p>
        </w:tc>
      </w:tr>
    </w:tbl>
    <w:p w14:paraId="213484FF">
      <w:pPr>
        <w:keepNext w:val="0"/>
        <w:keepLines w:val="0"/>
        <w:pageBreakBefore w:val="0"/>
        <w:widowControl w:val="0"/>
        <w:kinsoku/>
        <w:wordWrap/>
        <w:overflowPunct/>
        <w:topLinePunct w:val="0"/>
        <w:autoSpaceDE/>
        <w:autoSpaceDN/>
        <w:bidi w:val="0"/>
        <w:adjustRightInd/>
        <w:snapToGrid/>
        <w:spacing w:line="336" w:lineRule="auto"/>
        <w:textAlignment w:val="auto"/>
        <w:rPr>
          <w:rFonts w:hint="default" w:ascii="宋体" w:hAnsi="宋体" w:eastAsia="宋体" w:cs="Times New Roman"/>
          <w:bCs/>
          <w:color w:val="auto"/>
          <w:sz w:val="24"/>
          <w:szCs w:val="24"/>
          <w:highlight w:val="none"/>
          <w:shd w:val="clear" w:color="auto" w:fill="auto"/>
          <w:lang w:val="en-US" w:eastAsia="zh-CN"/>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1BCC471F">
      <w:pPr>
        <w:spacing w:line="240" w:lineRule="auto"/>
        <w:jc w:val="center"/>
        <w:outlineLvl w:val="0"/>
        <w:rPr>
          <w:rFonts w:ascii="宋体" w:hAnsi="宋体" w:cs="宋体"/>
          <w:b/>
          <w:color w:val="auto"/>
          <w:sz w:val="30"/>
          <w:szCs w:val="30"/>
          <w:highlight w:val="none"/>
        </w:rPr>
      </w:pPr>
      <w:r>
        <w:rPr>
          <w:rFonts w:hint="eastAsia" w:ascii="宋体" w:hAnsi="宋体" w:cs="宋体"/>
          <w:b/>
          <w:color w:val="auto"/>
          <w:sz w:val="30"/>
          <w:szCs w:val="30"/>
          <w:highlight w:val="none"/>
        </w:rPr>
        <w:t>第三章  投标人须知</w:t>
      </w:r>
      <w:bookmarkEnd w:id="7"/>
      <w:bookmarkEnd w:id="8"/>
    </w:p>
    <w:p w14:paraId="39F1205F">
      <w:pPr>
        <w:snapToGrid w:val="0"/>
        <w:spacing w:beforeLines="50" w:afterLines="50" w:line="240" w:lineRule="auto"/>
        <w:ind w:left="476"/>
        <w:jc w:val="center"/>
        <w:rPr>
          <w:rFonts w:ascii="宋体" w:hAnsi="宋体" w:cs="宋体"/>
          <w:b/>
          <w:color w:val="auto"/>
          <w:szCs w:val="21"/>
          <w:highlight w:val="none"/>
        </w:rPr>
      </w:pPr>
      <w:r>
        <w:rPr>
          <w:rFonts w:hint="eastAsia" w:ascii="宋体" w:hAnsi="宋体" w:cs="宋体"/>
          <w:b/>
          <w:color w:val="auto"/>
          <w:szCs w:val="21"/>
          <w:highlight w:val="none"/>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1BF96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1F666125">
            <w:pPr>
              <w:snapToGrid w:val="0"/>
              <w:spacing w:line="24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8FB176A">
            <w:pPr>
              <w:snapToGrid w:val="0"/>
              <w:spacing w:line="240" w:lineRule="auto"/>
              <w:jc w:val="center"/>
              <w:rPr>
                <w:rFonts w:ascii="宋体" w:hAnsi="宋体" w:cs="宋体"/>
                <w:b/>
                <w:color w:val="auto"/>
                <w:sz w:val="24"/>
                <w:highlight w:val="none"/>
              </w:rPr>
            </w:pPr>
            <w:r>
              <w:rPr>
                <w:rFonts w:hint="eastAsia" w:ascii="宋体" w:hAnsi="宋体" w:cs="宋体"/>
                <w:b/>
                <w:color w:val="auto"/>
                <w:sz w:val="24"/>
                <w:highlight w:val="none"/>
              </w:rPr>
              <w:t>内容、要求</w:t>
            </w:r>
          </w:p>
        </w:tc>
      </w:tr>
      <w:tr w14:paraId="5DF6F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5FF3383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9200" w:type="dxa"/>
            <w:tcBorders>
              <w:top w:val="single" w:color="auto" w:sz="4" w:space="0"/>
              <w:left w:val="single" w:color="auto" w:sz="4" w:space="0"/>
              <w:bottom w:val="single" w:color="auto" w:sz="4" w:space="0"/>
              <w:right w:val="single" w:color="auto" w:sz="4" w:space="0"/>
            </w:tcBorders>
            <w:vAlign w:val="center"/>
          </w:tcPr>
          <w:p w14:paraId="3CDF27BF">
            <w:pPr>
              <w:pStyle w:val="46"/>
              <w:spacing w:before="0" w:beforeAutospacing="0" w:after="0" w:afterAutospacing="0" w:line="400" w:lineRule="exact"/>
              <w:rPr>
                <w:rFonts w:hint="eastAsia" w:eastAsia="宋体" w:cs="宋体"/>
                <w:color w:val="auto"/>
                <w:kern w:val="2"/>
                <w:highlight w:val="none"/>
                <w:lang w:val="en-US" w:eastAsia="zh-CN"/>
              </w:rPr>
            </w:pPr>
            <w:r>
              <w:rPr>
                <w:rFonts w:hint="eastAsia" w:cs="宋体"/>
                <w:color w:val="auto"/>
                <w:kern w:val="2"/>
                <w:highlight w:val="none"/>
              </w:rPr>
              <w:t>项目名称：</w:t>
            </w:r>
            <w:r>
              <w:rPr>
                <w:rFonts w:hint="eastAsia" w:cs="宋体"/>
                <w:color w:val="auto"/>
                <w:kern w:val="2"/>
                <w:highlight w:val="none"/>
                <w:lang w:eastAsia="zh-CN"/>
              </w:rPr>
              <w:t>临海市佩弦湖新时代教育综合学校建设工程智能化项目</w:t>
            </w:r>
          </w:p>
        </w:tc>
      </w:tr>
      <w:tr w14:paraId="171D63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184E0DF">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9200" w:type="dxa"/>
            <w:tcBorders>
              <w:top w:val="single" w:color="auto" w:sz="4" w:space="0"/>
              <w:left w:val="single" w:color="auto" w:sz="4" w:space="0"/>
              <w:bottom w:val="single" w:color="auto" w:sz="4" w:space="0"/>
              <w:right w:val="single" w:color="auto" w:sz="4" w:space="0"/>
            </w:tcBorders>
            <w:vAlign w:val="center"/>
          </w:tcPr>
          <w:p w14:paraId="6A8287D4">
            <w:pPr>
              <w:snapToGrid w:val="0"/>
              <w:spacing w:line="400" w:lineRule="exact"/>
              <w:rPr>
                <w:rFonts w:ascii="宋体" w:hAnsi="宋体" w:cs="宋体"/>
                <w:color w:val="auto"/>
                <w:sz w:val="24"/>
                <w:highlight w:val="none"/>
              </w:rPr>
            </w:pPr>
            <w:r>
              <w:rPr>
                <w:rFonts w:hint="eastAsia" w:ascii="宋体" w:hAnsi="宋体" w:cs="宋体"/>
                <w:color w:val="auto"/>
                <w:sz w:val="24"/>
                <w:highlight w:val="none"/>
              </w:rPr>
              <w:t>采购内容及数量：详见“第二章 招标需求”</w:t>
            </w:r>
          </w:p>
        </w:tc>
      </w:tr>
      <w:tr w14:paraId="13F3CD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22D2DC84">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9200" w:type="dxa"/>
            <w:tcBorders>
              <w:top w:val="single" w:color="auto" w:sz="4" w:space="0"/>
              <w:left w:val="single" w:color="auto" w:sz="4" w:space="0"/>
              <w:bottom w:val="single" w:color="auto" w:sz="4" w:space="0"/>
              <w:right w:val="single" w:color="auto" w:sz="4" w:space="0"/>
            </w:tcBorders>
            <w:vAlign w:val="center"/>
          </w:tcPr>
          <w:p w14:paraId="69355E2F">
            <w:pPr>
              <w:snapToGrid w:val="0"/>
              <w:spacing w:line="400" w:lineRule="exact"/>
              <w:rPr>
                <w:rFonts w:hint="eastAsia" w:ascii="宋体" w:hAnsi="宋体" w:eastAsia="宋体" w:cs="宋体"/>
                <w:b/>
                <w:bCs/>
                <w:color w:val="auto"/>
                <w:sz w:val="24"/>
                <w:highlight w:val="none"/>
                <w:lang w:val="en-US" w:eastAsia="zh-CN"/>
              </w:rPr>
            </w:pPr>
            <w:r>
              <w:rPr>
                <w:rFonts w:hint="eastAsia" w:ascii="宋体" w:hAnsi="宋体" w:cs="宋体"/>
                <w:color w:val="auto"/>
                <w:sz w:val="24"/>
                <w:highlight w:val="none"/>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b/>
                <w:bCs/>
                <w:color w:val="auto"/>
                <w:sz w:val="24"/>
                <w:szCs w:val="24"/>
                <w:highlight w:val="none"/>
              </w:rPr>
              <w:t>①如中标价</w:t>
            </w:r>
            <w:r>
              <w:rPr>
                <w:rFonts w:hint="eastAsia" w:ascii="宋体" w:hAnsi="宋体" w:cs="宋体"/>
                <w:b/>
                <w:bCs/>
                <w:color w:val="auto"/>
                <w:sz w:val="24"/>
                <w:szCs w:val="24"/>
                <w:highlight w:val="none"/>
                <w:lang w:val="en-US" w:eastAsia="zh-CN"/>
              </w:rPr>
              <w:t>≤</w:t>
            </w:r>
            <w:r>
              <w:rPr>
                <w:rFonts w:hint="eastAsia" w:ascii="宋体" w:hAnsi="宋体" w:cs="宋体"/>
                <w:b/>
                <w:bCs/>
                <w:color w:val="auto"/>
                <w:sz w:val="24"/>
                <w:szCs w:val="24"/>
                <w:highlight w:val="none"/>
              </w:rPr>
              <w:t>100万</w:t>
            </w:r>
            <w:r>
              <w:rPr>
                <w:rFonts w:hint="eastAsia" w:ascii="宋体" w:hAnsi="宋体" w:cs="宋体"/>
                <w:color w:val="auto"/>
                <w:sz w:val="24"/>
                <w:szCs w:val="24"/>
                <w:highlight w:val="none"/>
              </w:rPr>
              <w:t>：中标价*1.5%，不足5000元按5000元计；</w:t>
            </w:r>
            <w:r>
              <w:rPr>
                <w:rFonts w:hint="eastAsia" w:ascii="宋体" w:hAnsi="宋体" w:cs="宋体"/>
                <w:b/>
                <w:bCs/>
                <w:color w:val="auto"/>
                <w:sz w:val="24"/>
                <w:szCs w:val="24"/>
                <w:highlight w:val="none"/>
              </w:rPr>
              <w:t>②如500万≥中标价＞100万</w:t>
            </w:r>
            <w:r>
              <w:rPr>
                <w:rFonts w:hint="eastAsia" w:ascii="宋体" w:hAnsi="宋体" w:cs="宋体"/>
                <w:color w:val="auto"/>
                <w:sz w:val="24"/>
                <w:szCs w:val="24"/>
                <w:highlight w:val="none"/>
              </w:rPr>
              <w:t>：【100*1.5%+（中标价-100万）*1.1%】*0.8，不足1.5万按1.5万计；</w:t>
            </w:r>
            <w:r>
              <w:rPr>
                <w:rFonts w:hint="eastAsia" w:ascii="宋体" w:hAnsi="宋体" w:cs="宋体"/>
                <w:b/>
                <w:bCs/>
                <w:color w:val="auto"/>
                <w:sz w:val="24"/>
                <w:szCs w:val="24"/>
                <w:highlight w:val="none"/>
              </w:rPr>
              <w:t>②如</w:t>
            </w:r>
            <w:r>
              <w:rPr>
                <w:rFonts w:hint="eastAsia" w:ascii="宋体" w:hAnsi="宋体" w:cs="宋体"/>
                <w:b/>
                <w:bCs/>
                <w:color w:val="auto"/>
                <w:sz w:val="24"/>
                <w:szCs w:val="24"/>
                <w:highlight w:val="none"/>
                <w:lang w:val="en-US" w:eastAsia="zh-CN"/>
              </w:rPr>
              <w:t>1000</w:t>
            </w:r>
            <w:r>
              <w:rPr>
                <w:rFonts w:hint="eastAsia" w:ascii="宋体" w:hAnsi="宋体" w:cs="宋体"/>
                <w:b/>
                <w:bCs/>
                <w:color w:val="auto"/>
                <w:sz w:val="24"/>
                <w:szCs w:val="24"/>
                <w:highlight w:val="none"/>
              </w:rPr>
              <w:t>万≥中标价＞</w:t>
            </w:r>
            <w:r>
              <w:rPr>
                <w:rFonts w:hint="eastAsia" w:ascii="宋体" w:hAnsi="宋体" w:cs="宋体"/>
                <w:b/>
                <w:bCs/>
                <w:color w:val="auto"/>
                <w:sz w:val="24"/>
                <w:szCs w:val="24"/>
                <w:highlight w:val="none"/>
                <w:lang w:val="en-US" w:eastAsia="zh-CN"/>
              </w:rPr>
              <w:t>500</w:t>
            </w:r>
            <w:r>
              <w:rPr>
                <w:rFonts w:hint="eastAsia" w:ascii="宋体" w:hAnsi="宋体" w:cs="宋体"/>
                <w:b/>
                <w:bCs/>
                <w:color w:val="auto"/>
                <w:sz w:val="24"/>
                <w:szCs w:val="24"/>
                <w:highlight w:val="none"/>
              </w:rPr>
              <w:t>万</w:t>
            </w:r>
            <w:r>
              <w:rPr>
                <w:rFonts w:hint="eastAsia" w:ascii="宋体" w:hAnsi="宋体" w:cs="宋体"/>
                <w:color w:val="auto"/>
                <w:sz w:val="24"/>
                <w:szCs w:val="24"/>
                <w:highlight w:val="none"/>
              </w:rPr>
              <w:t>：【100*1.5%+（500-100万）*1.1%+（中标价-500）万*0.8</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】*0.7，不足4.7万按4.7万计；</w:t>
            </w:r>
          </w:p>
        </w:tc>
      </w:tr>
      <w:tr w14:paraId="036EE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2FFE5E64">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9200" w:type="dxa"/>
            <w:tcBorders>
              <w:top w:val="single" w:color="auto" w:sz="4" w:space="0"/>
              <w:left w:val="single" w:color="auto" w:sz="4" w:space="0"/>
              <w:bottom w:val="single" w:color="auto" w:sz="4" w:space="0"/>
              <w:right w:val="single" w:color="auto" w:sz="4" w:space="0"/>
            </w:tcBorders>
            <w:vAlign w:val="center"/>
          </w:tcPr>
          <w:p w14:paraId="1F2AA4AF">
            <w:pPr>
              <w:snapToGrid w:val="0"/>
              <w:spacing w:line="400" w:lineRule="exact"/>
              <w:rPr>
                <w:rFonts w:ascii="宋体" w:hAnsi="宋体" w:cs="宋体"/>
                <w:color w:val="auto"/>
                <w:sz w:val="24"/>
                <w:highlight w:val="none"/>
              </w:rPr>
            </w:pPr>
            <w:r>
              <w:rPr>
                <w:rFonts w:hint="eastAsia" w:ascii="宋体" w:hAnsi="宋体" w:cs="宋体"/>
                <w:b/>
                <w:bCs/>
                <w:color w:val="auto"/>
                <w:sz w:val="24"/>
                <w:highlight w:val="none"/>
              </w:rPr>
              <w:t>现场踏勘</w:t>
            </w:r>
            <w:r>
              <w:rPr>
                <w:rFonts w:hint="eastAsia" w:ascii="宋体" w:hAnsi="宋体" w:cs="宋体"/>
                <w:color w:val="auto"/>
                <w:sz w:val="24"/>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2DD00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57D95FD">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9200" w:type="dxa"/>
            <w:tcBorders>
              <w:top w:val="single" w:color="auto" w:sz="4" w:space="0"/>
              <w:left w:val="single" w:color="auto" w:sz="4" w:space="0"/>
              <w:bottom w:val="single" w:color="auto" w:sz="4" w:space="0"/>
              <w:right w:val="single" w:color="auto" w:sz="4" w:space="0"/>
            </w:tcBorders>
            <w:vAlign w:val="center"/>
          </w:tcPr>
          <w:p w14:paraId="63B448E5">
            <w:pPr>
              <w:snapToGrid w:val="0"/>
              <w:spacing w:line="400" w:lineRule="exact"/>
              <w:rPr>
                <w:rFonts w:ascii="宋体" w:hAnsi="宋体" w:cs="宋体"/>
                <w:b/>
                <w:color w:val="auto"/>
                <w:sz w:val="24"/>
                <w:highlight w:val="none"/>
              </w:rPr>
            </w:pPr>
            <w:r>
              <w:rPr>
                <w:rFonts w:hint="eastAsia" w:ascii="宋体" w:hAnsi="宋体" w:cs="宋体"/>
                <w:b/>
                <w:color w:val="auto"/>
                <w:sz w:val="24"/>
                <w:highlight w:val="none"/>
              </w:rPr>
              <w:t>质疑与澄清</w:t>
            </w:r>
            <w:r>
              <w:rPr>
                <w:rFonts w:hint="eastAsia" w:ascii="宋体" w:hAnsi="宋体" w:cs="宋体"/>
                <w:color w:val="auto"/>
                <w:sz w:val="24"/>
                <w:highlight w:val="none"/>
              </w:rPr>
              <w:t>：</w:t>
            </w:r>
            <w:r>
              <w:rPr>
                <w:rFonts w:hint="eastAsia" w:ascii="宋体" w:hAnsi="宋体" w:cs="宋体"/>
                <w:b/>
                <w:color w:val="auto"/>
                <w:sz w:val="24"/>
                <w:highlight w:val="none"/>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color w:val="auto"/>
                <w:sz w:val="24"/>
                <w:highlight w:val="none"/>
              </w:rPr>
              <w:t>招标人对已发出的招标文件进行必要的澄清、答复、修改和补充将以更正公告的形式，通过采购公告发布的网站予以发布。</w:t>
            </w:r>
            <w:r>
              <w:rPr>
                <w:rFonts w:hint="eastAsia" w:ascii="宋体" w:hAnsi="宋体" w:eastAsia="宋体" w:cs="宋体"/>
                <w:b/>
                <w:color w:val="auto"/>
                <w:sz w:val="24"/>
                <w:szCs w:val="24"/>
                <w:highlight w:val="none"/>
              </w:rPr>
              <w:t xml:space="preserve"> </w:t>
            </w:r>
          </w:p>
        </w:tc>
      </w:tr>
      <w:tr w14:paraId="2B100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8398FB2">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9200" w:type="dxa"/>
            <w:tcBorders>
              <w:top w:val="single" w:color="auto" w:sz="4" w:space="0"/>
              <w:left w:val="single" w:color="auto" w:sz="4" w:space="0"/>
              <w:bottom w:val="single" w:color="auto" w:sz="4" w:space="0"/>
              <w:right w:val="single" w:color="auto" w:sz="4" w:space="0"/>
            </w:tcBorders>
            <w:vAlign w:val="center"/>
          </w:tcPr>
          <w:p w14:paraId="22354993">
            <w:pPr>
              <w:snapToGrid w:val="0"/>
              <w:spacing w:line="400" w:lineRule="exact"/>
              <w:rPr>
                <w:rFonts w:ascii="宋体" w:hAnsi="宋体" w:cs="宋体"/>
                <w:color w:val="auto"/>
                <w:sz w:val="24"/>
                <w:highlight w:val="none"/>
              </w:rPr>
            </w:pPr>
            <w:r>
              <w:rPr>
                <w:rFonts w:hint="eastAsia" w:ascii="宋体" w:hAnsi="宋体" w:cs="宋体"/>
                <w:color w:val="auto"/>
                <w:sz w:val="24"/>
                <w:highlight w:val="none"/>
              </w:rPr>
              <w:t>投标截止时间、开标时间及地点：详见“第一章  投标邀请”</w:t>
            </w:r>
          </w:p>
        </w:tc>
      </w:tr>
      <w:tr w14:paraId="29FB37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7C8A6700">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9200" w:type="dxa"/>
            <w:tcBorders>
              <w:top w:val="single" w:color="auto" w:sz="4" w:space="0"/>
              <w:left w:val="single" w:color="auto" w:sz="4" w:space="0"/>
              <w:bottom w:val="single" w:color="auto" w:sz="4" w:space="0"/>
              <w:right w:val="single" w:color="auto" w:sz="4" w:space="0"/>
            </w:tcBorders>
            <w:vAlign w:val="center"/>
          </w:tcPr>
          <w:p w14:paraId="31326E4B">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评标办法</w:t>
            </w:r>
            <w:r>
              <w:rPr>
                <w:rFonts w:hint="eastAsia" w:ascii="宋体" w:hAnsi="宋体" w:cs="宋体"/>
                <w:b/>
                <w:color w:val="auto"/>
                <w:sz w:val="24"/>
                <w:highlight w:val="none"/>
              </w:rPr>
              <w:t>：</w:t>
            </w:r>
            <w:r>
              <w:rPr>
                <w:rFonts w:hint="eastAsia" w:ascii="宋体" w:hAnsi="宋体" w:cs="宋体"/>
                <w:color w:val="auto"/>
                <w:sz w:val="24"/>
                <w:highlight w:val="none"/>
              </w:rPr>
              <w:t>综合评分法</w:t>
            </w:r>
          </w:p>
        </w:tc>
      </w:tr>
      <w:tr w14:paraId="504AD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5EDCC95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9200" w:type="dxa"/>
            <w:tcBorders>
              <w:top w:val="single" w:color="auto" w:sz="4" w:space="0"/>
              <w:left w:val="single" w:color="auto" w:sz="4" w:space="0"/>
              <w:bottom w:val="single" w:color="auto" w:sz="4" w:space="0"/>
              <w:right w:val="single" w:color="auto" w:sz="4" w:space="0"/>
            </w:tcBorders>
            <w:vAlign w:val="center"/>
          </w:tcPr>
          <w:p w14:paraId="59C13333">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投标有效期：自投标截止日起</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天投标文件应保持有效</w:t>
            </w:r>
          </w:p>
        </w:tc>
      </w:tr>
      <w:tr w14:paraId="1AFBBF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CD0F424">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9200" w:type="dxa"/>
            <w:tcBorders>
              <w:top w:val="single" w:color="auto" w:sz="4" w:space="0"/>
              <w:left w:val="single" w:color="auto" w:sz="4" w:space="0"/>
              <w:bottom w:val="single" w:color="auto" w:sz="4" w:space="0"/>
              <w:right w:val="single" w:color="auto" w:sz="4" w:space="0"/>
            </w:tcBorders>
            <w:vAlign w:val="center"/>
          </w:tcPr>
          <w:p w14:paraId="071D3591">
            <w:pPr>
              <w:autoSpaceDE w:val="0"/>
              <w:autoSpaceDN w:val="0"/>
              <w:snapToGrid w:val="0"/>
              <w:spacing w:line="400" w:lineRule="exact"/>
              <w:textAlignment w:val="bottom"/>
              <w:rPr>
                <w:rFonts w:ascii="宋体" w:hAnsi="宋体" w:cs="宋体"/>
                <w:b/>
                <w:color w:val="auto"/>
                <w:sz w:val="24"/>
                <w:highlight w:val="none"/>
                <w:u w:val="single"/>
              </w:rPr>
            </w:pPr>
            <w:r>
              <w:rPr>
                <w:rFonts w:hint="eastAsia" w:ascii="宋体" w:hAnsi="宋体" w:cs="宋体"/>
                <w:b/>
                <w:color w:val="auto"/>
                <w:sz w:val="24"/>
                <w:highlight w:val="none"/>
                <w:u w:val="single"/>
              </w:rPr>
              <w:t>实质性条款：带▲是实质性条款，投标人不得负偏离或内容缺失，否则为无效标。</w:t>
            </w:r>
          </w:p>
        </w:tc>
      </w:tr>
      <w:tr w14:paraId="576800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2CD38628">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9200" w:type="dxa"/>
            <w:tcBorders>
              <w:top w:val="single" w:color="auto" w:sz="4" w:space="0"/>
              <w:left w:val="single" w:color="auto" w:sz="4" w:space="0"/>
              <w:bottom w:val="single" w:color="auto" w:sz="4" w:space="0"/>
              <w:right w:val="single" w:color="auto" w:sz="4" w:space="0"/>
            </w:tcBorders>
            <w:vAlign w:val="center"/>
          </w:tcPr>
          <w:p w14:paraId="3E0C20BA">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中标公告及中标通知书：评标结束后7个工作日内，中标公告发布于采购公告发布的网站（临海市限额以下公共资源交易区域平台）</w:t>
            </w:r>
          </w:p>
        </w:tc>
      </w:tr>
      <w:tr w14:paraId="74FC5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5EA6BDC8">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9200" w:type="dxa"/>
            <w:tcBorders>
              <w:top w:val="single" w:color="auto" w:sz="4" w:space="0"/>
              <w:left w:val="single" w:color="auto" w:sz="4" w:space="0"/>
              <w:bottom w:val="single" w:color="auto" w:sz="4" w:space="0"/>
              <w:right w:val="single" w:color="auto" w:sz="4" w:space="0"/>
            </w:tcBorders>
            <w:vAlign w:val="center"/>
          </w:tcPr>
          <w:p w14:paraId="1DCB30E1">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签订合同时间：中标通知书发出后30日内。</w:t>
            </w:r>
          </w:p>
        </w:tc>
      </w:tr>
      <w:tr w14:paraId="4BAAA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7432CC8C">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9200" w:type="dxa"/>
            <w:tcBorders>
              <w:top w:val="single" w:color="auto" w:sz="4" w:space="0"/>
              <w:left w:val="single" w:color="auto" w:sz="4" w:space="0"/>
              <w:bottom w:val="single" w:color="auto" w:sz="4" w:space="0"/>
              <w:right w:val="single" w:color="auto" w:sz="4" w:space="0"/>
            </w:tcBorders>
            <w:vAlign w:val="center"/>
          </w:tcPr>
          <w:p w14:paraId="5B09A590">
            <w:pPr>
              <w:numPr>
                <w:ilvl w:val="0"/>
                <w:numId w:val="0"/>
              </w:numPr>
              <w:spacing w:line="360" w:lineRule="auto"/>
              <w:rPr>
                <w:rFonts w:hint="eastAsia" w:ascii="宋体" w:hAnsi="宋体" w:eastAsia="宋体" w:cs="Times New Roman"/>
                <w:b/>
                <w:bCs/>
                <w:color w:val="auto"/>
                <w:kern w:val="0"/>
                <w:sz w:val="24"/>
                <w:szCs w:val="24"/>
                <w:highlight w:val="none"/>
                <w:lang w:val="en-US" w:eastAsia="zh-CN" w:bidi="ar-SA"/>
              </w:rPr>
            </w:pPr>
            <w:r>
              <w:rPr>
                <w:rFonts w:hint="eastAsia" w:ascii="宋体" w:hAnsi="宋体" w:eastAsia="宋体" w:cs="Times New Roman"/>
                <w:b/>
                <w:bCs/>
                <w:color w:val="auto"/>
                <w:kern w:val="0"/>
                <w:sz w:val="24"/>
                <w:szCs w:val="24"/>
                <w:highlight w:val="none"/>
                <w:lang w:val="en-US" w:eastAsia="zh-CN" w:bidi="ar-SA"/>
              </w:rPr>
              <w:t>▲付款方式：</w:t>
            </w:r>
          </w:p>
          <w:p w14:paraId="11687282">
            <w:pPr>
              <w:numPr>
                <w:ilvl w:val="0"/>
                <w:numId w:val="0"/>
              </w:numPr>
              <w:spacing w:line="360" w:lineRule="auto"/>
              <w:rPr>
                <w:rFonts w:hint="eastAsia" w:ascii="宋体" w:hAnsi="宋体" w:eastAsia="宋体" w:cs="Times New Roman"/>
                <w:b w:val="0"/>
                <w:bCs w:val="0"/>
                <w:color w:val="auto"/>
                <w:kern w:val="0"/>
                <w:sz w:val="24"/>
                <w:szCs w:val="24"/>
                <w:highlight w:val="none"/>
                <w:lang w:val="en-US" w:eastAsia="zh-CN" w:bidi="ar-SA"/>
              </w:rPr>
            </w:pPr>
            <w:r>
              <w:rPr>
                <w:rFonts w:hint="eastAsia" w:ascii="宋体" w:hAnsi="宋体" w:eastAsia="宋体" w:cs="Times New Roman"/>
                <w:b w:val="0"/>
                <w:bCs w:val="0"/>
                <w:color w:val="auto"/>
                <w:kern w:val="0"/>
                <w:sz w:val="24"/>
                <w:szCs w:val="24"/>
                <w:highlight w:val="none"/>
                <w:lang w:val="en-US" w:eastAsia="zh-CN" w:bidi="ar-SA"/>
              </w:rPr>
              <w:t>1、合同生效并具备实施条件后支付至合同价的30%，每批次货物到达现场查验合格后付至该批次货物价款的50%，项目整体安装调试完成并验收合格后付至合同金额的85%，项目结算经审定后付至结算价的95%,剩余5%作为质保金，质保期满后退回。增值税发票应随付款进度及时提供。</w:t>
            </w:r>
          </w:p>
          <w:p w14:paraId="47656124">
            <w:pPr>
              <w:numPr>
                <w:ilvl w:val="0"/>
                <w:numId w:val="0"/>
              </w:numPr>
              <w:spacing w:line="360" w:lineRule="auto"/>
              <w:rPr>
                <w:rFonts w:hint="eastAsia" w:ascii="宋体" w:hAnsi="宋体" w:eastAsia="宋体" w:cs="Times New Roman"/>
                <w:b w:val="0"/>
                <w:bCs w:val="0"/>
                <w:color w:val="auto"/>
                <w:kern w:val="0"/>
                <w:sz w:val="24"/>
                <w:szCs w:val="24"/>
                <w:highlight w:val="none"/>
                <w:lang w:val="en-US" w:eastAsia="zh-CN" w:bidi="ar-SA"/>
              </w:rPr>
            </w:pPr>
            <w:r>
              <w:rPr>
                <w:rFonts w:hint="eastAsia" w:ascii="宋体" w:hAnsi="宋体" w:eastAsia="宋体" w:cs="Times New Roman"/>
                <w:b w:val="0"/>
                <w:bCs w:val="0"/>
                <w:color w:val="auto"/>
                <w:kern w:val="0"/>
                <w:sz w:val="24"/>
                <w:szCs w:val="24"/>
                <w:highlight w:val="none"/>
                <w:lang w:val="en-US" w:eastAsia="zh-CN" w:bidi="ar-SA"/>
              </w:rPr>
              <w:t>2、当招标人可根据实际情况增加或减少工程量，中标人须无条件服从，并按实际工程量结算。工程量不论增减多少，单价不变，乙方不得拒绝。结算时乙方必须根据实际工程量供货及安装，最终结算金额按实际工程量乘以成交单价进行计算。</w:t>
            </w:r>
          </w:p>
          <w:p w14:paraId="5940C3E3">
            <w:pPr>
              <w:numPr>
                <w:ilvl w:val="0"/>
                <w:numId w:val="0"/>
              </w:numPr>
              <w:spacing w:line="360" w:lineRule="auto"/>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b w:val="0"/>
                <w:bCs w:val="0"/>
                <w:color w:val="auto"/>
                <w:kern w:val="0"/>
                <w:sz w:val="24"/>
                <w:szCs w:val="24"/>
                <w:highlight w:val="none"/>
                <w:lang w:val="en-US" w:eastAsia="zh-CN" w:bidi="ar-SA"/>
              </w:rPr>
              <w:t>3、增加的部分，仅支付设备费用、材料费及税金，其他相关费用不予支付。</w:t>
            </w:r>
          </w:p>
        </w:tc>
      </w:tr>
      <w:tr w14:paraId="58B0D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0483A035">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1FEC92A">
            <w:pPr>
              <w:pStyle w:val="20"/>
              <w:spacing w:after="80" w:line="40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rPr>
              <w:t>履约保证金的收取及退还: 中标价的1%。</w:t>
            </w:r>
          </w:p>
          <w:p w14:paraId="214FA9C2">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履约保证金形式：现金（电汇或银行汇票形式）或银行保函或保险机构保证保险保单或融资担保公司保函。</w:t>
            </w:r>
          </w:p>
          <w:p w14:paraId="281C7A65">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若采用银行保函，出具保函的银行级别：国有或股份制商业银行县（区、市）级及以上银行。</w:t>
            </w:r>
          </w:p>
          <w:p w14:paraId="07A786B6">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若采用保险机构保证保险保单，出具保单的保险公司级别：县（区、市）级及以上国有或股份制保险公司。</w:t>
            </w:r>
          </w:p>
          <w:p w14:paraId="17EA5DB0">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若采用融资担保公司保函，出具保函的融资担保公司级别：县（区、市）级及以上国有或股份制融资担保公司。</w:t>
            </w:r>
          </w:p>
          <w:p w14:paraId="648452F5">
            <w:pPr>
              <w:pStyle w:val="20"/>
              <w:spacing w:after="80" w:line="400" w:lineRule="exact"/>
              <w:jc w:val="left"/>
              <w:rPr>
                <w:rFonts w:hint="eastAsia" w:ascii="宋体" w:hAnsi="宋体" w:eastAsia="宋体"/>
                <w:color w:val="auto"/>
                <w:sz w:val="24"/>
                <w:highlight w:val="none"/>
                <w:lang w:eastAsia="zh-CN"/>
              </w:rPr>
            </w:pPr>
            <w:r>
              <w:rPr>
                <w:rFonts w:hint="eastAsia" w:ascii="宋体" w:hAnsi="宋体"/>
                <w:color w:val="auto"/>
                <w:sz w:val="24"/>
                <w:highlight w:val="none"/>
              </w:rPr>
              <w:t>开户名：临海市产权交易所有限公司</w:t>
            </w:r>
          </w:p>
          <w:p w14:paraId="2071341E">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605764D9">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履约保证金账号：201000105503123000002</w:t>
            </w:r>
          </w:p>
          <w:p w14:paraId="387D4580">
            <w:pPr>
              <w:pStyle w:val="20"/>
              <w:spacing w:after="80" w:line="400" w:lineRule="exact"/>
              <w:jc w:val="left"/>
              <w:rPr>
                <w:rFonts w:hint="eastAsia" w:ascii="宋体" w:hAnsi="宋体" w:cs="宋体"/>
                <w:b/>
                <w:bCs/>
                <w:color w:val="auto"/>
                <w:sz w:val="24"/>
                <w:highlight w:val="none"/>
              </w:rPr>
            </w:pPr>
            <w:r>
              <w:rPr>
                <w:rFonts w:hint="eastAsia" w:ascii="宋体" w:hAnsi="宋体" w:eastAsia="宋体" w:cs="Times New Roman"/>
                <w:color w:val="auto"/>
                <w:sz w:val="24"/>
                <w:highlight w:val="none"/>
                <w:lang w:val="en-US" w:eastAsia="zh-CN"/>
              </w:rPr>
              <w:t>临海市产权交易所有限公司财务咨询电话：0576-85407100。</w:t>
            </w:r>
          </w:p>
        </w:tc>
      </w:tr>
      <w:tr w14:paraId="60F46C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5441D420">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C322069">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电子投标文件的上传：</w:t>
            </w:r>
          </w:p>
          <w:p w14:paraId="08FECF9F">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（1）电子投标文件可在投标截止时间前上传，未在投标截止时间前上传的投标文件视为无效标。</w:t>
            </w:r>
          </w:p>
          <w:p w14:paraId="009A968F">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（2）上传加密的电子投标文件，后缀名为（.投标文件）（本项目无需提供纸质投标文件，只要求上传电子投标文件正本一份）</w:t>
            </w:r>
          </w:p>
          <w:p w14:paraId="5E14EB52">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CA咨询电话：400-0571-337，投标工具咨询电话：15267291759</w:t>
            </w:r>
          </w:p>
          <w:p w14:paraId="59211E42">
            <w:pPr>
              <w:spacing w:line="360" w:lineRule="auto"/>
              <w:rPr>
                <w:rFonts w:ascii="宋体" w:hAnsi="宋体" w:cs="宋体"/>
                <w:color w:val="auto"/>
                <w:sz w:val="22"/>
                <w:szCs w:val="22"/>
                <w:highlight w:val="none"/>
              </w:rPr>
            </w:pPr>
            <w:r>
              <w:rPr>
                <w:rFonts w:hint="eastAsia" w:ascii="宋体" w:hAnsi="宋体" w:cs="宋体"/>
                <w:color w:val="auto"/>
                <w:sz w:val="24"/>
                <w:highlight w:val="none"/>
              </w:rPr>
              <w:t>说明：</w:t>
            </w:r>
            <w:r>
              <w:rPr>
                <w:rFonts w:hint="eastAsia" w:ascii="宋体" w:hAnsi="宋体" w:cs="宋体"/>
                <w:color w:val="auto"/>
                <w:kern w:val="0"/>
                <w:sz w:val="24"/>
                <w:highlight w:val="none"/>
              </w:rPr>
              <w:t>开标时间到达后，在开启解密时间60分钟内（具体时间以不见面开标大厅</w:t>
            </w:r>
            <w:bookmarkStart w:id="12" w:name="_Hlk59625364"/>
            <w:r>
              <w:rPr>
                <w:rFonts w:hint="eastAsia" w:ascii="宋体" w:hAnsi="宋体" w:cs="宋体"/>
                <w:color w:val="auto"/>
                <w:kern w:val="0"/>
                <w:sz w:val="24"/>
                <w:highlight w:val="none"/>
              </w:rPr>
              <w:t>中显示的</w:t>
            </w:r>
            <w:bookmarkEnd w:id="12"/>
            <w:r>
              <w:rPr>
                <w:rFonts w:hint="eastAsia" w:ascii="宋体" w:hAnsi="宋体" w:cs="宋体"/>
                <w:color w:val="auto"/>
                <w:kern w:val="0"/>
                <w:sz w:val="24"/>
                <w:highlight w:val="none"/>
              </w:rPr>
              <w:t>解密截止时间为准），投标人须登录临海市限额以下公共资源交易区域平台-不见面开标大厅，找到所参与的项目进行解密投标文件，</w:t>
            </w:r>
            <w:bookmarkStart w:id="13" w:name="_Hlk59625972"/>
            <w:r>
              <w:rPr>
                <w:rFonts w:hint="eastAsia" w:ascii="宋体" w:hAnsi="宋体" w:cs="宋体"/>
                <w:color w:val="auto"/>
                <w:kern w:val="0"/>
                <w:sz w:val="24"/>
                <w:highlight w:val="none"/>
              </w:rPr>
              <w:t xml:space="preserve">投标人未按时解密或解密失败的，其投标文件为无效标。 </w:t>
            </w:r>
            <w:bookmarkEnd w:id="13"/>
          </w:p>
        </w:tc>
      </w:tr>
      <w:tr w14:paraId="7D397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24D6C229">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15</w:t>
            </w:r>
          </w:p>
        </w:tc>
        <w:tc>
          <w:tcPr>
            <w:tcW w:w="9200" w:type="dxa"/>
            <w:tcBorders>
              <w:top w:val="single" w:color="auto" w:sz="4" w:space="0"/>
              <w:left w:val="single" w:color="auto" w:sz="4" w:space="0"/>
              <w:bottom w:val="single" w:color="auto" w:sz="4" w:space="0"/>
              <w:right w:val="single" w:color="auto" w:sz="4" w:space="0"/>
            </w:tcBorders>
            <w:vAlign w:val="center"/>
          </w:tcPr>
          <w:p w14:paraId="7F9A0F09">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投标人平台使用费：</w:t>
            </w:r>
          </w:p>
          <w:p w14:paraId="36A629B3">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项目金额50万元以下收费100元，50万元以上收费150元。</w:t>
            </w:r>
          </w:p>
          <w:p w14:paraId="31A1D821">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开户名：临海市产权交易所有限公司</w:t>
            </w:r>
          </w:p>
          <w:p w14:paraId="50D115A5">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开户行：浙江临海农村商业银行股份有限公司科技支行；</w:t>
            </w:r>
          </w:p>
          <w:p w14:paraId="6E7B1035">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平台使用费账号：201000105503123000003</w:t>
            </w:r>
          </w:p>
          <w:p w14:paraId="3A2DA351">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临海市产权交易所有限公司财务咨询电话：0576-85407100。</w:t>
            </w:r>
          </w:p>
          <w:p w14:paraId="56D463F6">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注意：请提前缴纳相关费用，以防影响正常投标。</w:t>
            </w:r>
          </w:p>
        </w:tc>
      </w:tr>
      <w:tr w14:paraId="731B5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5CDDD9C4">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16</w:t>
            </w:r>
          </w:p>
        </w:tc>
        <w:tc>
          <w:tcPr>
            <w:tcW w:w="9200" w:type="dxa"/>
            <w:tcBorders>
              <w:top w:val="single" w:color="auto" w:sz="4" w:space="0"/>
              <w:left w:val="single" w:color="auto" w:sz="4" w:space="0"/>
              <w:bottom w:val="single" w:color="auto" w:sz="4" w:space="0"/>
              <w:right w:val="single" w:color="auto" w:sz="4" w:space="0"/>
            </w:tcBorders>
            <w:vAlign w:val="center"/>
          </w:tcPr>
          <w:p w14:paraId="302EF4E0">
            <w:pPr>
              <w:pStyle w:val="20"/>
              <w:spacing w:after="80" w:line="240" w:lineRule="auto"/>
              <w:jc w:val="left"/>
              <w:rPr>
                <w:rFonts w:ascii="宋体" w:hAnsi="宋体" w:cs="宋体"/>
                <w:color w:val="auto"/>
                <w:sz w:val="24"/>
                <w:highlight w:val="none"/>
              </w:rPr>
            </w:pPr>
            <w:r>
              <w:rPr>
                <w:rFonts w:hint="eastAsia" w:ascii="宋体" w:hAnsi="宋体" w:cs="宋体"/>
                <w:color w:val="auto"/>
                <w:sz w:val="24"/>
                <w:highlight w:val="none"/>
              </w:rPr>
              <w:t>电子发票申请方式：</w:t>
            </w:r>
          </w:p>
          <w:p w14:paraId="5FF28C6B">
            <w:pPr>
              <w:pStyle w:val="20"/>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E7FDB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3F107A65">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17</w:t>
            </w:r>
          </w:p>
        </w:tc>
        <w:tc>
          <w:tcPr>
            <w:tcW w:w="9200" w:type="dxa"/>
            <w:tcBorders>
              <w:top w:val="single" w:color="auto" w:sz="4" w:space="0"/>
              <w:left w:val="single" w:color="auto" w:sz="4" w:space="0"/>
              <w:bottom w:val="single" w:color="auto" w:sz="4" w:space="0"/>
              <w:right w:val="single" w:color="auto" w:sz="4" w:space="0"/>
            </w:tcBorders>
            <w:vAlign w:val="center"/>
          </w:tcPr>
          <w:p w14:paraId="52F02008">
            <w:pPr>
              <w:pStyle w:val="20"/>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特别事项：</w:t>
            </w:r>
          </w:p>
          <w:p w14:paraId="499AC78B">
            <w:pPr>
              <w:pStyle w:val="20"/>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9A6B066">
            <w:pPr>
              <w:pStyle w:val="20"/>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18D5651">
            <w:pPr>
              <w:pStyle w:val="20"/>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33A2D49">
            <w:pPr>
              <w:pStyle w:val="20"/>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软件技术支持电话：15267291759（同微信）。</w:t>
            </w:r>
          </w:p>
        </w:tc>
      </w:tr>
      <w:tr w14:paraId="0A16DB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442AA4BC">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18</w:t>
            </w:r>
          </w:p>
        </w:tc>
        <w:tc>
          <w:tcPr>
            <w:tcW w:w="9200" w:type="dxa"/>
            <w:tcBorders>
              <w:top w:val="single" w:color="auto" w:sz="4" w:space="0"/>
              <w:left w:val="single" w:color="auto" w:sz="4" w:space="0"/>
              <w:bottom w:val="single" w:color="auto" w:sz="4" w:space="0"/>
              <w:right w:val="single" w:color="auto" w:sz="4" w:space="0"/>
            </w:tcBorders>
            <w:vAlign w:val="center"/>
          </w:tcPr>
          <w:p w14:paraId="3F1F5FCA">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解释：本招标文件的解释权属于招标人。</w:t>
            </w:r>
          </w:p>
        </w:tc>
      </w:tr>
    </w:tbl>
    <w:p w14:paraId="6D360BC0">
      <w:pPr>
        <w:pStyle w:val="31"/>
        <w:snapToGrid w:val="0"/>
        <w:spacing w:beforeLines="0" w:afterLines="0"/>
        <w:rPr>
          <w:rFonts w:hAnsi="宋体" w:cs="宋体"/>
          <w:b/>
          <w:color w:val="auto"/>
          <w:highlight w:val="none"/>
        </w:rPr>
      </w:pPr>
      <w:r>
        <w:rPr>
          <w:rFonts w:hint="eastAsia" w:hAnsi="宋体" w:cs="宋体"/>
          <w:b/>
          <w:color w:val="auto"/>
          <w:highlight w:val="none"/>
        </w:rPr>
        <w:br w:type="page"/>
      </w:r>
    </w:p>
    <w:p w14:paraId="338CEDD3">
      <w:pPr>
        <w:pStyle w:val="31"/>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一 、总  则</w:t>
      </w:r>
    </w:p>
    <w:p w14:paraId="062A0B0D">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（一）适用范围</w:t>
      </w:r>
    </w:p>
    <w:p w14:paraId="7B92E555">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本招标文件适用于本项目的招标、投标、评标、定标、验收、合同履约、付款等行为。</w:t>
      </w:r>
    </w:p>
    <w:p w14:paraId="41DA5FFF">
      <w:pPr>
        <w:snapToGrid w:val="0"/>
        <w:spacing w:beforeLines="50" w:line="420" w:lineRule="exact"/>
        <w:ind w:firstLine="354" w:firstLineChars="147"/>
        <w:jc w:val="left"/>
        <w:rPr>
          <w:rFonts w:ascii="宋体" w:hAnsi="宋体" w:cs="宋体"/>
          <w:b/>
          <w:color w:val="auto"/>
          <w:sz w:val="24"/>
          <w:highlight w:val="none"/>
        </w:rPr>
      </w:pPr>
      <w:r>
        <w:rPr>
          <w:rFonts w:hint="eastAsia" w:ascii="宋体" w:hAnsi="宋体" w:cs="宋体"/>
          <w:b/>
          <w:color w:val="auto"/>
          <w:sz w:val="24"/>
          <w:highlight w:val="none"/>
        </w:rPr>
        <w:t>（二）定义</w:t>
      </w:r>
    </w:p>
    <w:p w14:paraId="75939AA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1.“招标人”系指组织本次招标的</w:t>
      </w:r>
      <w:r>
        <w:rPr>
          <w:rFonts w:hint="eastAsia" w:ascii="宋体" w:hAnsi="宋体" w:cs="宋体"/>
          <w:color w:val="auto"/>
          <w:sz w:val="24"/>
          <w:highlight w:val="none"/>
          <w:u w:val="single"/>
        </w:rPr>
        <w:t>代理机构</w:t>
      </w:r>
      <w:r>
        <w:rPr>
          <w:rFonts w:hint="eastAsia" w:ascii="宋体" w:hAnsi="宋体" w:cs="宋体"/>
          <w:color w:val="auto"/>
          <w:sz w:val="24"/>
          <w:highlight w:val="none"/>
        </w:rPr>
        <w:t>和招标人。</w:t>
      </w:r>
    </w:p>
    <w:p w14:paraId="68024658">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2.“投标人”系指向招标人提交投标文件的单位。</w:t>
      </w:r>
    </w:p>
    <w:p w14:paraId="48DEB7F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3.“产品”系指供方按招标文件规定，须向招标人提供的一切设备、保险、税金、备品备件、工具、手册及其它有关技术资料和材料。</w:t>
      </w:r>
    </w:p>
    <w:p w14:paraId="60025861">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4.“服务”系指招标文件规定投标人须承担的</w:t>
      </w:r>
      <w:r>
        <w:rPr>
          <w:rFonts w:hint="eastAsia" w:ascii="宋体" w:hAnsi="宋体" w:cs="宋体"/>
          <w:color w:val="auto"/>
          <w:sz w:val="24"/>
          <w:highlight w:val="none"/>
          <w:lang w:val="en-US" w:eastAsia="zh-CN"/>
        </w:rPr>
        <w:t>供货、</w:t>
      </w:r>
      <w:r>
        <w:rPr>
          <w:rFonts w:hint="eastAsia" w:ascii="宋体" w:hAnsi="宋体" w:cs="宋体"/>
          <w:color w:val="auto"/>
          <w:sz w:val="24"/>
          <w:highlight w:val="none"/>
        </w:rPr>
        <w:t>调试、技术协助、校准、培训、技术指导以及其他类似的义务。</w:t>
      </w:r>
    </w:p>
    <w:p w14:paraId="2DA4D74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5.“项目”系指投标人按招标文件规定向招标人提供的产品和服务。</w:t>
      </w:r>
    </w:p>
    <w:p w14:paraId="0674AF59">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6.“书面形式”包括信函、传真、电报等。</w:t>
      </w:r>
    </w:p>
    <w:p w14:paraId="5A4F2E41">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7.“▲”系指实质性要求条款。</w:t>
      </w:r>
    </w:p>
    <w:p w14:paraId="6DF5DE77">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（三）招标方式</w:t>
      </w:r>
    </w:p>
    <w:p w14:paraId="724BDBF7">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本次招标采用公开招标方式进行。</w:t>
      </w:r>
    </w:p>
    <w:p w14:paraId="158389B2">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（四）投标委托</w:t>
      </w:r>
    </w:p>
    <w:p w14:paraId="44208B2F">
      <w:pPr>
        <w:widowControl w:val="0"/>
        <w:snapToGrid w:val="0"/>
        <w:spacing w:line="420" w:lineRule="exact"/>
        <w:ind w:firstLine="464" w:firstLineChars="200"/>
        <w:jc w:val="left"/>
        <w:rPr>
          <w:rFonts w:ascii="宋体" w:hAnsi="宋体" w:eastAsia="宋体" w:cs="宋体"/>
          <w:color w:val="auto"/>
          <w:spacing w:val="-4"/>
          <w:kern w:val="0"/>
          <w:sz w:val="24"/>
          <w:szCs w:val="24"/>
          <w:highlight w:val="none"/>
          <w:lang w:val="en-US" w:eastAsia="zh-CN" w:bidi="ar-SA"/>
        </w:rPr>
      </w:pPr>
      <w:r>
        <w:rPr>
          <w:rFonts w:hint="eastAsia" w:ascii="宋体" w:hAnsi="宋体" w:eastAsia="宋体" w:cs="宋体"/>
          <w:color w:val="auto"/>
          <w:spacing w:val="-4"/>
          <w:kern w:val="0"/>
          <w:sz w:val="24"/>
          <w:szCs w:val="24"/>
          <w:highlight w:val="none"/>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highlight w:val="none"/>
          <w:lang w:val="en-US" w:eastAsia="zh-CN" w:bidi="ar-SA"/>
        </w:rPr>
        <w:t>；</w:t>
      </w:r>
      <w:r>
        <w:rPr>
          <w:rFonts w:hint="eastAsia" w:ascii="宋体" w:hAnsi="宋体" w:eastAsia="宋体" w:cs="宋体"/>
          <w:color w:val="auto"/>
          <w:spacing w:val="-4"/>
          <w:kern w:val="0"/>
          <w:sz w:val="24"/>
          <w:szCs w:val="24"/>
          <w:highlight w:val="none"/>
          <w:lang w:val="en-US" w:eastAsia="zh-CN" w:bidi="ar-SA"/>
        </w:rPr>
        <w:t>如投标人代表是法定代表人，</w:t>
      </w:r>
      <w:r>
        <w:rPr>
          <w:rFonts w:hint="eastAsia" w:ascii="宋体" w:hAnsi="宋体" w:cs="宋体"/>
          <w:color w:val="auto"/>
          <w:spacing w:val="-4"/>
          <w:kern w:val="0"/>
          <w:sz w:val="24"/>
          <w:szCs w:val="24"/>
          <w:highlight w:val="none"/>
          <w:lang w:val="en-US" w:eastAsia="zh-CN" w:bidi="ar-SA"/>
        </w:rPr>
        <w:t>则无需提供</w:t>
      </w:r>
      <w:r>
        <w:rPr>
          <w:rFonts w:hint="eastAsia" w:ascii="宋体" w:hAnsi="宋体" w:eastAsia="宋体" w:cs="宋体"/>
          <w:color w:val="auto"/>
          <w:spacing w:val="-4"/>
          <w:kern w:val="0"/>
          <w:sz w:val="24"/>
          <w:szCs w:val="24"/>
          <w:highlight w:val="none"/>
          <w:lang w:val="en-US" w:eastAsia="zh-CN" w:bidi="ar-SA"/>
        </w:rPr>
        <w:t>授权委托书</w:t>
      </w:r>
      <w:r>
        <w:rPr>
          <w:rFonts w:hint="eastAsia" w:ascii="宋体" w:hAnsi="宋体" w:cs="宋体"/>
          <w:color w:val="auto"/>
          <w:spacing w:val="-4"/>
          <w:kern w:val="0"/>
          <w:sz w:val="24"/>
          <w:szCs w:val="24"/>
          <w:highlight w:val="none"/>
          <w:lang w:val="en-US" w:eastAsia="zh-CN" w:bidi="ar-SA"/>
        </w:rPr>
        <w:t>。</w:t>
      </w:r>
      <w:r>
        <w:rPr>
          <w:rFonts w:hint="eastAsia" w:ascii="宋体" w:hAnsi="宋体" w:eastAsia="宋体" w:cs="宋体"/>
          <w:color w:val="auto"/>
          <w:spacing w:val="-4"/>
          <w:kern w:val="0"/>
          <w:sz w:val="24"/>
          <w:szCs w:val="24"/>
          <w:highlight w:val="none"/>
          <w:lang w:val="en-US" w:eastAsia="zh-CN" w:bidi="ar-SA"/>
        </w:rPr>
        <w:t>格式见第六章。</w:t>
      </w:r>
    </w:p>
    <w:p w14:paraId="3768A0D5">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（五）投标费用及结算</w:t>
      </w:r>
    </w:p>
    <w:p w14:paraId="14C2DF98">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6BBE371D">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2）除业主要求或设计变更要求外不签署任何增加费用的联系单，</w:t>
      </w:r>
      <w:r>
        <w:rPr>
          <w:rFonts w:hint="eastAsia" w:ascii="宋体" w:hAnsi="宋体" w:cs="宋体"/>
          <w:bCs/>
          <w:color w:val="auto"/>
          <w:sz w:val="24"/>
          <w:highlight w:val="none"/>
        </w:rPr>
        <w:t>工程量清单外而要完成本项目所必需的设备、物料、服务等各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4DD13929">
      <w:pPr>
        <w:snapToGrid w:val="0"/>
        <w:spacing w:beforeLines="50" w:line="420" w:lineRule="exact"/>
        <w:ind w:firstLine="472" w:firstLineChars="196"/>
        <w:rPr>
          <w:rFonts w:ascii="宋体" w:hAnsi="宋体" w:cs="宋体"/>
          <w:b/>
          <w:color w:val="auto"/>
          <w:kern w:val="0"/>
          <w:sz w:val="24"/>
          <w:highlight w:val="none"/>
        </w:rPr>
      </w:pPr>
      <w:r>
        <w:rPr>
          <w:rFonts w:hint="eastAsia" w:ascii="宋体" w:hAnsi="宋体" w:cs="宋体"/>
          <w:b/>
          <w:color w:val="auto"/>
          <w:sz w:val="24"/>
          <w:highlight w:val="none"/>
        </w:rPr>
        <w:t>（六）</w:t>
      </w:r>
      <w:r>
        <w:rPr>
          <w:rFonts w:hint="eastAsia" w:ascii="宋体" w:hAnsi="宋体" w:cs="宋体"/>
          <w:b/>
          <w:color w:val="auto"/>
          <w:kern w:val="0"/>
          <w:sz w:val="24"/>
          <w:highlight w:val="none"/>
        </w:rPr>
        <w:t>转包与分包</w:t>
      </w:r>
    </w:p>
    <w:p w14:paraId="577A371B">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49D4DB3E">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（七）特别说明</w:t>
      </w:r>
    </w:p>
    <w:p w14:paraId="17810078">
      <w:pPr>
        <w:widowControl/>
        <w:spacing w:line="420" w:lineRule="exact"/>
        <w:ind w:firstLine="482" w:firstLineChars="200"/>
        <w:jc w:val="left"/>
        <w:rPr>
          <w:rFonts w:ascii="宋体" w:hAnsi="宋体" w:cs="宋体"/>
          <w:color w:val="auto"/>
          <w:kern w:val="0"/>
          <w:sz w:val="24"/>
          <w:highlight w:val="none"/>
        </w:rPr>
      </w:pPr>
      <w:r>
        <w:rPr>
          <w:rFonts w:hint="eastAsia" w:ascii="宋体" w:hAnsi="宋体" w:cs="宋体"/>
          <w:b/>
          <w:color w:val="auto"/>
          <w:sz w:val="24"/>
          <w:highlight w:val="none"/>
        </w:rPr>
        <w:t>1.单位负责人为同一人或者存在直接控股、管理关系的不同投标人，不得参加同一合同项下的采购活动。如有上述行为的，相关投标均无效。</w:t>
      </w:r>
    </w:p>
    <w:p w14:paraId="469C7AED">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8C5C616">
      <w:pPr>
        <w:pStyle w:val="31"/>
        <w:snapToGrid w:val="0"/>
        <w:spacing w:beforeLines="0" w:afterLines="0" w:line="420" w:lineRule="exact"/>
        <w:ind w:left="2" w:leftChars="1" w:firstLine="360" w:firstLineChars="150"/>
        <w:rPr>
          <w:rFonts w:hAnsi="宋体" w:cs="宋体"/>
          <w:color w:val="auto"/>
          <w:highlight w:val="none"/>
        </w:rPr>
      </w:pPr>
      <w:r>
        <w:rPr>
          <w:rFonts w:hint="eastAsia" w:hAnsi="宋体" w:cs="宋体"/>
          <w:color w:val="auto"/>
          <w:highlight w:val="none"/>
        </w:rPr>
        <w:t>2.投标人投标所使用的资格、信誉、荣誉、业绩必须为本法人所拥有。投标人投标所使用的采购项目实施人员须为本法人员工。</w:t>
      </w:r>
    </w:p>
    <w:p w14:paraId="703F90FB">
      <w:pPr>
        <w:pStyle w:val="31"/>
        <w:snapToGrid w:val="0"/>
        <w:spacing w:beforeLines="0" w:afterLines="0" w:line="420" w:lineRule="exact"/>
        <w:ind w:left="2" w:leftChars="1" w:firstLine="480" w:firstLineChars="200"/>
        <w:rPr>
          <w:rFonts w:hAnsi="宋体" w:cs="宋体"/>
          <w:color w:val="auto"/>
          <w:highlight w:val="none"/>
        </w:rPr>
      </w:pPr>
      <w:r>
        <w:rPr>
          <w:rFonts w:hint="eastAsia" w:hAnsi="宋体" w:cs="宋体"/>
          <w:color w:val="auto"/>
          <w:highlight w:val="none"/>
        </w:rPr>
        <w:t>3.投标人应仔细阅读招标文件的所有内容，按照招标文件的要求提交投标文件，并对所提供的全部资料的真实性承担法律责任。</w:t>
      </w:r>
    </w:p>
    <w:p w14:paraId="3C4E014A">
      <w:pPr>
        <w:pStyle w:val="31"/>
        <w:snapToGrid w:val="0"/>
        <w:spacing w:beforeLines="0" w:afterLines="0" w:line="420" w:lineRule="exact"/>
        <w:ind w:left="2" w:leftChars="1" w:firstLine="480" w:firstLineChars="200"/>
        <w:rPr>
          <w:rFonts w:hAnsi="宋体" w:cs="宋体"/>
          <w:b/>
          <w:color w:val="auto"/>
          <w:highlight w:val="none"/>
        </w:rPr>
      </w:pPr>
      <w:r>
        <w:rPr>
          <w:rFonts w:hint="eastAsia" w:hAnsi="宋体" w:cs="宋体"/>
          <w:color w:val="auto"/>
          <w:highlight w:val="none"/>
        </w:rPr>
        <w:t>4.投标人在投标活动中提供任何虚假材料,其投标无效，并报</w:t>
      </w:r>
      <w:r>
        <w:rPr>
          <w:rFonts w:hint="eastAsia" w:hAnsi="宋体" w:cs="宋体"/>
          <w:b/>
          <w:color w:val="auto"/>
          <w:highlight w:val="none"/>
        </w:rPr>
        <w:t>有权受理非政府采购项目的</w:t>
      </w:r>
      <w:r>
        <w:rPr>
          <w:rFonts w:hint="eastAsia" w:hAnsi="宋体" w:cs="宋体"/>
          <w:color w:val="auto"/>
          <w:highlight w:val="none"/>
        </w:rPr>
        <w:t>监管部门查处（</w:t>
      </w:r>
      <w:r>
        <w:rPr>
          <w:rFonts w:hint="eastAsia" w:hAnsi="宋体" w:cs="宋体"/>
          <w:b/>
          <w:color w:val="auto"/>
          <w:highlight w:val="none"/>
        </w:rPr>
        <w:t>特别说明：临海市财政局非有权受理非政府采购项目的监管部门</w:t>
      </w:r>
      <w:r>
        <w:rPr>
          <w:rFonts w:hint="eastAsia" w:hAnsi="宋体" w:cs="宋体"/>
          <w:color w:val="auto"/>
          <w:highlight w:val="none"/>
        </w:rPr>
        <w:t>）。中标后发现的,中标人须依照《中华人民共和国消费者权益保护法》第49条之规定双倍赔偿招标人，且民事赔偿并不免除违法投标人的行政与刑事责任。</w:t>
      </w:r>
    </w:p>
    <w:p w14:paraId="01D6516D">
      <w:pPr>
        <w:pStyle w:val="31"/>
        <w:snapToGrid w:val="0"/>
        <w:spacing w:before="120" w:after="120" w:line="420" w:lineRule="exact"/>
        <w:ind w:firstLine="472" w:firstLineChars="196"/>
        <w:rPr>
          <w:rFonts w:hAnsi="宋体" w:cs="宋体"/>
          <w:b/>
          <w:bCs/>
          <w:color w:val="auto"/>
          <w:highlight w:val="none"/>
        </w:rPr>
      </w:pPr>
      <w:r>
        <w:rPr>
          <w:rFonts w:hint="eastAsia" w:hAnsi="宋体" w:cs="宋体"/>
          <w:b/>
          <w:bCs/>
          <w:color w:val="auto"/>
          <w:highlight w:val="none"/>
        </w:rPr>
        <w:t>（八）质疑</w:t>
      </w:r>
    </w:p>
    <w:p w14:paraId="6DE49189">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13241002">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（1）投标人认为招标文件的内容损害其权益的，应当在获取采购文件或者采购文件公告期限届满之日起</w:t>
      </w:r>
      <w:r>
        <w:rPr>
          <w:rFonts w:hint="eastAsia" w:ascii="宋体" w:hAnsi="宋体" w:cs="宋体"/>
          <w:b/>
          <w:bCs/>
          <w:color w:val="auto"/>
          <w:kern w:val="0"/>
          <w:sz w:val="24"/>
          <w:highlight w:val="none"/>
          <w:u w:val="single"/>
        </w:rPr>
        <w:t>7</w:t>
      </w:r>
      <w:r>
        <w:rPr>
          <w:rFonts w:hint="eastAsia" w:ascii="宋体" w:hAnsi="宋体" w:cs="宋体"/>
          <w:b/>
          <w:bCs/>
          <w:color w:val="auto"/>
          <w:kern w:val="0"/>
          <w:sz w:val="24"/>
          <w:highlight w:val="none"/>
        </w:rPr>
        <w:t>个</w:t>
      </w:r>
      <w:r>
        <w:rPr>
          <w:rFonts w:hint="eastAsia" w:ascii="宋体" w:hAnsi="宋体" w:cs="宋体"/>
          <w:color w:val="auto"/>
          <w:kern w:val="0"/>
          <w:sz w:val="24"/>
          <w:highlight w:val="none"/>
        </w:rPr>
        <w:t>工作日内以书面形式提出质疑；</w:t>
      </w:r>
    </w:p>
    <w:p w14:paraId="0AEA9C6B">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3656082D">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00AA925C">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rPr>
        <w:t>7</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03680AC4">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9D438AD">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516BC779">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F1CC45A">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二、招标文件</w:t>
      </w:r>
    </w:p>
    <w:p w14:paraId="530D325D">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（一）招标文件的构成</w:t>
      </w:r>
    </w:p>
    <w:p w14:paraId="1CC4CA34">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1.投标邀请</w:t>
      </w:r>
    </w:p>
    <w:p w14:paraId="4C624B9B">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2.招标需求</w:t>
      </w:r>
    </w:p>
    <w:p w14:paraId="38354FF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3.投标人须知</w:t>
      </w:r>
    </w:p>
    <w:p w14:paraId="39F4766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4.评标办法及标准</w:t>
      </w:r>
    </w:p>
    <w:p w14:paraId="494756ED">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5.合同主要条款</w:t>
      </w:r>
    </w:p>
    <w:p w14:paraId="425AA652">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6.投标文件格式</w:t>
      </w:r>
    </w:p>
    <w:p w14:paraId="535C8A88">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7.本项目招标文件的澄清、答复、修改、补充的内容（如有）</w:t>
      </w:r>
    </w:p>
    <w:p w14:paraId="36B7E05F">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（二）投标人的风险</w:t>
      </w:r>
    </w:p>
    <w:p w14:paraId="2FBDB17B">
      <w:pPr>
        <w:pStyle w:val="41"/>
        <w:spacing w:line="420" w:lineRule="exact"/>
        <w:rPr>
          <w:rFonts w:ascii="宋体" w:eastAsia="宋体" w:cs="宋体"/>
          <w:color w:val="auto"/>
          <w:highlight w:val="none"/>
        </w:rPr>
      </w:pPr>
      <w:r>
        <w:rPr>
          <w:rFonts w:hint="eastAsia" w:ascii="宋体" w:eastAsia="宋体" w:cs="宋体"/>
          <w:color w:val="auto"/>
          <w:highlight w:val="none"/>
        </w:rPr>
        <w:t>投标人没有按照招标文件要求提供全部资料，或者投标人没有对招标文件在各方面作出实质性响应是投标人的风险，并可能导致其投标被拒绝。</w:t>
      </w:r>
    </w:p>
    <w:p w14:paraId="7A11AC00">
      <w:pPr>
        <w:pStyle w:val="12"/>
        <w:widowControl w:val="0"/>
        <w:tabs>
          <w:tab w:val="left" w:pos="420"/>
        </w:tabs>
        <w:snapToGrid w:val="0"/>
        <w:spacing w:beforeLines="50" w:afterLines="0" w:line="420" w:lineRule="exact"/>
        <w:ind w:left="0" w:firstLine="472" w:firstLineChars="196"/>
        <w:rPr>
          <w:rFonts w:ascii="宋体" w:hAnsi="宋体" w:cs="宋体"/>
          <w:b/>
          <w:color w:val="auto"/>
          <w:szCs w:val="24"/>
          <w:highlight w:val="none"/>
        </w:rPr>
      </w:pPr>
      <w:r>
        <w:rPr>
          <w:rFonts w:hint="eastAsia" w:ascii="宋体" w:hAnsi="宋体" w:cs="宋体"/>
          <w:b/>
          <w:color w:val="auto"/>
          <w:szCs w:val="24"/>
          <w:highlight w:val="none"/>
        </w:rPr>
        <w:t xml:space="preserve">（三）招标文件的澄清与修改 </w:t>
      </w:r>
    </w:p>
    <w:p w14:paraId="4C76E22E">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w:t>
      </w:r>
      <w:r>
        <w:rPr>
          <w:rFonts w:hint="eastAsia" w:hAnsi="宋体" w:cs="宋体"/>
          <w:bCs/>
          <w:color w:val="auto"/>
          <w:highlight w:val="none"/>
        </w:rPr>
        <w:t>投标人应认真阅读本招标文件，发现其中有误或有不合理要求的，投标人必须在前附表规定的时间前以书面形式要求招标人澄清</w:t>
      </w:r>
      <w:r>
        <w:rPr>
          <w:rFonts w:hint="eastAsia" w:hAnsi="宋体" w:cs="宋体"/>
          <w:color w:val="auto"/>
          <w:highlight w:val="none"/>
        </w:rPr>
        <w:t>。招标人对已发出的招标文件进行必要澄清、答复、修改或补充的，应当在招标文件要求提交投标文件截止时间前，以采购公告发布的网站予以发布。</w:t>
      </w:r>
    </w:p>
    <w:p w14:paraId="44B1D13C">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2.招标文件澄清、答复、修改、补充的内容为招标文件的组成部分。当招标文件与招标文件的答复、澄清、修改、补充通知就同一内容的表述不一致时，以最后发出的公告为准。</w:t>
      </w:r>
    </w:p>
    <w:p w14:paraId="714F67CD">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3.招标文件的澄清、答复、修改或补充都应该通过招标人以法定形式发布，招标人没有通过招标人，不得擅自澄清、答复、修改或补充招标文件。</w:t>
      </w:r>
    </w:p>
    <w:p w14:paraId="665245F0">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三、投标文件的编制</w:t>
      </w:r>
    </w:p>
    <w:p w14:paraId="4C573CC3">
      <w:pPr>
        <w:snapToGrid w:val="0"/>
        <w:spacing w:line="420" w:lineRule="exact"/>
        <w:ind w:firstLine="470" w:firstLineChars="196"/>
        <w:jc w:val="left"/>
        <w:rPr>
          <w:rFonts w:ascii="宋体" w:hAnsi="宋体" w:cs="宋体"/>
          <w:bCs/>
          <w:color w:val="auto"/>
          <w:sz w:val="24"/>
          <w:highlight w:val="none"/>
        </w:rPr>
      </w:pPr>
      <w:r>
        <w:rPr>
          <w:rFonts w:hint="eastAsia" w:ascii="宋体" w:hAnsi="宋体" w:cs="宋体"/>
          <w:bCs/>
          <w:color w:val="auto"/>
          <w:sz w:val="24"/>
          <w:highlight w:val="none"/>
        </w:rPr>
        <w:t>本项目实行电子投标，投标人应准备电子投标文件，本项目线下无需提供任何备份投标文件。电子投标文件，按及本招标文件要求编制。</w:t>
      </w:r>
    </w:p>
    <w:p w14:paraId="423495C8">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（一）投标文件的组成</w:t>
      </w:r>
    </w:p>
    <w:p w14:paraId="64B799C9">
      <w:pPr>
        <w:snapToGrid w:val="0"/>
        <w:spacing w:line="420" w:lineRule="exact"/>
        <w:ind w:firstLine="482" w:firstLineChars="200"/>
        <w:jc w:val="left"/>
        <w:rPr>
          <w:rFonts w:ascii="宋体" w:hAnsi="宋体" w:cs="宋体"/>
          <w:color w:val="auto"/>
          <w:sz w:val="24"/>
          <w:highlight w:val="none"/>
        </w:rPr>
      </w:pPr>
      <w:r>
        <w:rPr>
          <w:rFonts w:hint="eastAsia" w:ascii="宋体" w:hAnsi="宋体" w:cs="宋体"/>
          <w:b/>
          <w:color w:val="auto"/>
          <w:sz w:val="24"/>
          <w:highlight w:val="none"/>
        </w:rPr>
        <w:t>投标文件由资格响应文件、商务技术文件、报价文件三部份组成。</w:t>
      </w:r>
      <w:r>
        <w:rPr>
          <w:rFonts w:hint="eastAsia" w:ascii="宋体" w:hAnsi="宋体" w:cs="宋体"/>
          <w:color w:val="auto"/>
          <w:sz w:val="24"/>
          <w:highlight w:val="none"/>
        </w:rPr>
        <w:t>相关格式见附件，其余格式自拟。</w:t>
      </w:r>
    </w:p>
    <w:p w14:paraId="463582A2">
      <w:pPr>
        <w:snapToGrid w:val="0"/>
        <w:spacing w:line="420" w:lineRule="exact"/>
        <w:ind w:firstLine="482" w:firstLineChars="200"/>
        <w:jc w:val="left"/>
        <w:rPr>
          <w:rFonts w:hint="eastAsia" w:ascii="宋体" w:hAnsi="宋体" w:eastAsia="宋体" w:cs="宋体"/>
          <w:b/>
          <w:color w:val="auto"/>
          <w:sz w:val="24"/>
          <w:highlight w:val="none"/>
          <w:lang w:eastAsia="zh-CN"/>
        </w:rPr>
      </w:pPr>
      <w:bookmarkStart w:id="14" w:name="_Hlk72672250"/>
      <w:r>
        <w:rPr>
          <w:rFonts w:hint="eastAsia" w:ascii="宋体" w:hAnsi="宋体" w:cs="宋体"/>
          <w:b/>
          <w:color w:val="auto"/>
          <w:sz w:val="24"/>
          <w:highlight w:val="none"/>
        </w:rPr>
        <w:t>1.资格响应文件</w:t>
      </w:r>
      <w:r>
        <w:rPr>
          <w:rFonts w:hint="eastAsia" w:ascii="宋体" w:hAnsi="宋体" w:cs="宋体"/>
          <w:b/>
          <w:color w:val="auto"/>
          <w:sz w:val="24"/>
          <w:highlight w:val="none"/>
          <w:lang w:eastAsia="zh-CN"/>
        </w:rPr>
        <w:t>（</w:t>
      </w:r>
      <w:r>
        <w:rPr>
          <w:rFonts w:hint="eastAsia" w:ascii="宋体" w:hAnsi="宋体" w:eastAsia="宋体" w:cs="宋体"/>
          <w:bCs/>
          <w:color w:val="auto"/>
          <w:sz w:val="24"/>
          <w:highlight w:val="none"/>
          <w:lang w:val="en-US" w:eastAsia="zh-CN"/>
        </w:rPr>
        <w:t>提供</w:t>
      </w:r>
      <w:r>
        <w:rPr>
          <w:rFonts w:hint="eastAsia" w:ascii="宋体" w:hAnsi="宋体" w:eastAsia="宋体" w:cs="宋体"/>
          <w:bCs/>
          <w:color w:val="auto"/>
          <w:sz w:val="24"/>
          <w:highlight w:val="none"/>
        </w:rPr>
        <w:t>材</w:t>
      </w:r>
      <w:r>
        <w:rPr>
          <w:rFonts w:hint="eastAsia" w:ascii="宋体" w:hAnsi="宋体" w:cs="宋体"/>
          <w:bCs/>
          <w:color w:val="auto"/>
          <w:sz w:val="24"/>
          <w:highlight w:val="none"/>
        </w:rPr>
        <w:t>料原件扫描件或复印件</w:t>
      </w:r>
      <w:r>
        <w:rPr>
          <w:rFonts w:hint="eastAsia" w:ascii="宋体" w:hAnsi="宋体" w:cs="宋体"/>
          <w:bCs/>
          <w:color w:val="auto"/>
          <w:sz w:val="24"/>
          <w:highlight w:val="none"/>
          <w:lang w:eastAsia="zh-CN"/>
        </w:rPr>
        <w:t>）</w:t>
      </w:r>
    </w:p>
    <w:bookmarkEnd w:id="14"/>
    <w:p w14:paraId="6333DE23">
      <w:pPr>
        <w:snapToGrid w:val="0"/>
        <w:spacing w:line="420" w:lineRule="exact"/>
        <w:ind w:firstLine="480" w:firstLineChars="200"/>
        <w:jc w:val="left"/>
        <w:rPr>
          <w:rFonts w:hint="eastAsia" w:ascii="宋体" w:hAnsi="宋体" w:cs="宋体"/>
          <w:bCs/>
          <w:color w:val="auto"/>
          <w:sz w:val="24"/>
          <w:highlight w:val="none"/>
        </w:rPr>
      </w:pPr>
      <w:bookmarkStart w:id="15" w:name="_Hlk72672204"/>
      <w:r>
        <w:rPr>
          <w:rFonts w:hint="eastAsia" w:ascii="宋体" w:hAnsi="宋体" w:cs="宋体"/>
          <w:bCs/>
          <w:color w:val="auto"/>
          <w:sz w:val="24"/>
          <w:highlight w:val="none"/>
        </w:rPr>
        <w:t>（1）营业执照</w:t>
      </w:r>
      <w:r>
        <w:rPr>
          <w:rFonts w:hint="eastAsia" w:ascii="宋体" w:hAnsi="宋体" w:cs="宋体"/>
          <w:b/>
          <w:color w:val="auto"/>
          <w:sz w:val="24"/>
          <w:highlight w:val="none"/>
        </w:rPr>
        <w:t>（推荐使用电子营业执照）</w:t>
      </w:r>
      <w:r>
        <w:rPr>
          <w:rFonts w:hint="eastAsia" w:ascii="宋体" w:hAnsi="宋体" w:cs="宋体"/>
          <w:bCs/>
          <w:color w:val="auto"/>
          <w:sz w:val="24"/>
          <w:highlight w:val="none"/>
        </w:rPr>
        <w:t>或事业法人登记证或其他工商等登记证明材料原件扫描件；</w:t>
      </w:r>
    </w:p>
    <w:p w14:paraId="3E23AA52">
      <w:pPr>
        <w:snapToGrid w:val="0"/>
        <w:spacing w:line="420" w:lineRule="exact"/>
        <w:ind w:left="479" w:leftChars="228" w:firstLine="0" w:firstLineChars="0"/>
        <w:jc w:val="left"/>
        <w:rPr>
          <w:rFonts w:hint="eastAsia" w:ascii="宋体" w:hAnsi="宋体" w:eastAsia="宋体" w:cs="宋体"/>
          <w:bCs/>
          <w:color w:val="auto"/>
          <w:sz w:val="24"/>
          <w:highlight w:val="none"/>
          <w:lang w:eastAsia="zh-CN"/>
        </w:rPr>
      </w:pPr>
      <w:bookmarkStart w:id="16" w:name="_Hlk68075338"/>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w:t>
      </w:r>
      <w:bookmarkEnd w:id="16"/>
      <w:r>
        <w:rPr>
          <w:rFonts w:hint="eastAsia" w:ascii="宋体" w:hAnsi="宋体" w:cs="宋体"/>
          <w:bCs/>
          <w:color w:val="auto"/>
          <w:sz w:val="24"/>
          <w:highlight w:val="none"/>
        </w:rPr>
        <w:t>没有重大违法记录的承诺函</w:t>
      </w:r>
      <w:bookmarkStart w:id="17" w:name="_Hlk69365455"/>
      <w:r>
        <w:rPr>
          <w:rFonts w:hint="eastAsia" w:ascii="宋体" w:hAnsi="宋体" w:cs="宋体"/>
          <w:b/>
          <w:color w:val="auto"/>
          <w:sz w:val="24"/>
          <w:highlight w:val="none"/>
          <w:u w:val="single"/>
        </w:rPr>
        <w:t>（请投标人在资格响应文件中勿遗漏该表格）</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）资质证书原件</w:t>
      </w:r>
      <w:r>
        <w:rPr>
          <w:rFonts w:hint="eastAsia" w:ascii="宋体" w:hAnsi="宋体" w:cs="宋体"/>
          <w:bCs/>
          <w:color w:val="auto"/>
          <w:sz w:val="24"/>
          <w:highlight w:val="none"/>
          <w:lang w:val="en-US" w:eastAsia="zh-CN"/>
        </w:rPr>
        <w:t>扫描</w:t>
      </w:r>
      <w:r>
        <w:rPr>
          <w:rFonts w:hint="eastAsia" w:ascii="宋体" w:hAnsi="宋体" w:cs="宋体"/>
          <w:bCs/>
          <w:color w:val="auto"/>
          <w:sz w:val="24"/>
          <w:highlight w:val="none"/>
          <w:lang w:eastAsia="zh-CN"/>
        </w:rPr>
        <w:t>件；</w:t>
      </w:r>
    </w:p>
    <w:bookmarkEnd w:id="17"/>
    <w:p w14:paraId="0E2CB895">
      <w:pPr>
        <w:snapToGrid w:val="0"/>
        <w:spacing w:line="420" w:lineRule="exact"/>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rPr>
        <w:t>2.</w:t>
      </w:r>
      <w:bookmarkEnd w:id="15"/>
      <w:bookmarkStart w:id="18" w:name="_Hlk534200662"/>
      <w:r>
        <w:rPr>
          <w:rFonts w:hint="eastAsia" w:ascii="宋体" w:hAnsi="宋体" w:cs="宋体"/>
          <w:b/>
          <w:bCs w:val="0"/>
          <w:color w:val="auto"/>
          <w:sz w:val="24"/>
          <w:highlight w:val="none"/>
        </w:rPr>
        <w:t>商务技术文件</w:t>
      </w:r>
      <w:bookmarkEnd w:id="18"/>
    </w:p>
    <w:p w14:paraId="1B08BC19">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（1）投标函；</w:t>
      </w:r>
    </w:p>
    <w:p w14:paraId="18C88744">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（2）</w:t>
      </w:r>
      <w:bookmarkStart w:id="19" w:name="_Hlk534200539"/>
      <w:r>
        <w:rPr>
          <w:rFonts w:hint="eastAsia" w:ascii="宋体" w:hAnsi="宋体" w:eastAsia="宋体" w:cs="宋体"/>
          <w:color w:val="auto"/>
          <w:sz w:val="24"/>
          <w:highlight w:val="none"/>
        </w:rPr>
        <w:t>法定代表人授权委托书</w:t>
      </w:r>
      <w:bookmarkEnd w:id="19"/>
      <w:r>
        <w:rPr>
          <w:rFonts w:hint="eastAsia" w:ascii="宋体" w:hAnsi="宋体" w:eastAsia="宋体" w:cs="Times New Roman"/>
          <w:color w:val="auto"/>
          <w:sz w:val="24"/>
          <w:highlight w:val="none"/>
        </w:rPr>
        <w:t>（或法定代表人身份证明）</w:t>
      </w:r>
      <w:r>
        <w:rPr>
          <w:rFonts w:hint="eastAsia" w:ascii="宋体" w:hAnsi="宋体" w:eastAsia="宋体" w:cs="宋体"/>
          <w:color w:val="auto"/>
          <w:sz w:val="24"/>
          <w:highlight w:val="none"/>
        </w:rPr>
        <w:t>；</w:t>
      </w:r>
    </w:p>
    <w:p w14:paraId="19743A17">
      <w:pPr>
        <w:shd w:val="clear"/>
        <w:snapToGrid w:val="0"/>
        <w:spacing w:line="42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项目清单</w:t>
      </w:r>
      <w:r>
        <w:rPr>
          <w:rFonts w:hint="eastAsia" w:ascii="宋体" w:hAnsi="宋体" w:eastAsia="宋体" w:cs="宋体"/>
          <w:color w:val="auto"/>
          <w:sz w:val="24"/>
          <w:szCs w:val="24"/>
          <w:highlight w:val="none"/>
          <w:shd w:val="clear" w:color="auto" w:fill="auto"/>
        </w:rPr>
        <w:t>说明表</w:t>
      </w:r>
      <w:r>
        <w:rPr>
          <w:rFonts w:hint="eastAsia" w:ascii="宋体" w:hAnsi="宋体"/>
          <w:color w:val="auto"/>
          <w:sz w:val="24"/>
          <w:szCs w:val="24"/>
          <w:highlight w:val="none"/>
        </w:rPr>
        <w:t>；</w:t>
      </w:r>
    </w:p>
    <w:p w14:paraId="47A64551">
      <w:pPr>
        <w:shd w:val="clear"/>
        <w:snapToGrid w:val="0"/>
        <w:spacing w:line="42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）项目负责人简历表；</w:t>
      </w:r>
    </w:p>
    <w:p w14:paraId="3A8A3E35">
      <w:pPr>
        <w:shd w:val="clear"/>
        <w:snapToGrid w:val="0"/>
        <w:spacing w:line="42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 xml:space="preserve">）项目实施人员一览表； </w:t>
      </w:r>
    </w:p>
    <w:p w14:paraId="5A6F6426">
      <w:pPr>
        <w:shd w:val="clear"/>
        <w:snapToGrid w:val="0"/>
        <w:spacing w:line="420" w:lineRule="exact"/>
        <w:ind w:firstLine="470" w:firstLineChars="196"/>
        <w:jc w:val="left"/>
        <w:rPr>
          <w:rFonts w:hint="eastAsia"/>
          <w:color w:val="auto"/>
          <w:sz w:val="24"/>
          <w:szCs w:val="24"/>
          <w:highlight w:val="none"/>
        </w:rPr>
      </w:pPr>
      <w:r>
        <w:rPr>
          <w:rFonts w:hint="eastAsia" w:ascii="宋体" w:hAnsi="宋体" w:eastAsia="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）投标人类似</w:t>
      </w:r>
      <w:r>
        <w:rPr>
          <w:rFonts w:hint="eastAsia" w:ascii="宋体" w:hAnsi="宋体" w:cs="宋体"/>
          <w:color w:val="auto"/>
          <w:sz w:val="24"/>
          <w:szCs w:val="24"/>
          <w:highlight w:val="none"/>
          <w:shd w:val="clear" w:color="auto" w:fill="auto"/>
          <w:lang w:val="en-US" w:eastAsia="zh-CN"/>
        </w:rPr>
        <w:t>合同</w:t>
      </w:r>
      <w:r>
        <w:rPr>
          <w:rFonts w:hint="eastAsia" w:ascii="宋体" w:hAnsi="宋体" w:eastAsia="宋体" w:cs="宋体"/>
          <w:color w:val="auto"/>
          <w:sz w:val="24"/>
          <w:szCs w:val="24"/>
          <w:highlight w:val="none"/>
          <w:shd w:val="clear" w:color="auto" w:fill="auto"/>
        </w:rPr>
        <w:t>案例一览表；</w:t>
      </w:r>
    </w:p>
    <w:p w14:paraId="7D457CEF">
      <w:pPr>
        <w:shd w:val="clear"/>
        <w:snapToGrid w:val="0"/>
        <w:spacing w:line="42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）售后服务网点情况表；</w:t>
      </w:r>
    </w:p>
    <w:p w14:paraId="27BA9165">
      <w:pPr>
        <w:shd w:val="clear"/>
        <w:snapToGrid w:val="0"/>
        <w:spacing w:line="42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8</w:t>
      </w:r>
      <w:r>
        <w:rPr>
          <w:rFonts w:hint="eastAsia" w:ascii="宋体" w:hAnsi="宋体" w:eastAsia="宋体" w:cs="宋体"/>
          <w:color w:val="auto"/>
          <w:sz w:val="24"/>
          <w:szCs w:val="24"/>
          <w:highlight w:val="none"/>
          <w:shd w:val="clear" w:color="auto" w:fill="auto"/>
        </w:rPr>
        <w:t>）商务</w:t>
      </w:r>
      <w:r>
        <w:rPr>
          <w:rFonts w:hint="eastAsia" w:ascii="宋体" w:hAnsi="宋体" w:cs="宋体"/>
          <w:color w:val="auto"/>
          <w:sz w:val="24"/>
          <w:szCs w:val="24"/>
          <w:highlight w:val="none"/>
          <w:shd w:val="clear" w:color="auto" w:fill="auto"/>
          <w:lang w:val="en-US" w:eastAsia="zh-CN"/>
        </w:rPr>
        <w:t>及</w:t>
      </w:r>
      <w:r>
        <w:rPr>
          <w:rFonts w:hint="eastAsia" w:ascii="宋体" w:hAnsi="宋体" w:eastAsia="宋体" w:cs="宋体"/>
          <w:color w:val="auto"/>
          <w:sz w:val="24"/>
          <w:szCs w:val="24"/>
          <w:highlight w:val="none"/>
          <w:shd w:val="clear" w:color="auto" w:fill="auto"/>
        </w:rPr>
        <w:t>技术响应表；</w:t>
      </w:r>
    </w:p>
    <w:p w14:paraId="6DD02F9F">
      <w:pPr>
        <w:shd w:val="clear"/>
        <w:snapToGrid w:val="0"/>
        <w:spacing w:line="42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shd w:val="clear" w:color="auto" w:fill="auto"/>
        </w:rPr>
        <w:t>）投标人按照评分标准要求提供的相应资料；</w:t>
      </w:r>
    </w:p>
    <w:p w14:paraId="2237BAC5">
      <w:pPr>
        <w:snapToGrid w:val="0"/>
        <w:spacing w:line="420" w:lineRule="exact"/>
        <w:ind w:firstLine="470" w:firstLineChars="196"/>
        <w:jc w:val="left"/>
        <w:rPr>
          <w:rFonts w:ascii="宋体" w:hAnsi="宋体" w:cs="宋体"/>
          <w:color w:val="auto"/>
          <w:sz w:val="24"/>
          <w:highlight w:val="none"/>
        </w:rPr>
      </w:pPr>
      <w:r>
        <w:rPr>
          <w:rFonts w:hint="eastAsia" w:ascii="宋体" w:hAnsi="宋体" w:eastAsia="宋体" w:cs="宋体"/>
          <w:color w:val="auto"/>
          <w:sz w:val="24"/>
          <w:szCs w:val="24"/>
          <w:highlight w:val="none"/>
          <w:shd w:val="clear" w:color="auto" w:fill="auto"/>
        </w:rPr>
        <w:t>（10）投标人认为需要提供的其他资料。</w:t>
      </w:r>
    </w:p>
    <w:p w14:paraId="5FDD7531">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3.报价文件</w:t>
      </w:r>
    </w:p>
    <w:p w14:paraId="1C6A9341">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（1）开标一览表；</w:t>
      </w:r>
    </w:p>
    <w:p w14:paraId="17B94B5B">
      <w:pPr>
        <w:pStyle w:val="32"/>
        <w:snapToGrid w:val="0"/>
        <w:spacing w:line="420" w:lineRule="exact"/>
        <w:ind w:left="0" w:leftChars="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（2）报价明细表；</w:t>
      </w:r>
    </w:p>
    <w:p w14:paraId="159B38E6">
      <w:pPr>
        <w:snapToGrid w:val="0"/>
        <w:spacing w:line="420" w:lineRule="exact"/>
        <w:ind w:firstLine="482" w:firstLineChars="200"/>
        <w:jc w:val="left"/>
        <w:rPr>
          <w:rFonts w:ascii="宋体" w:hAnsi="宋体" w:cs="宋体"/>
          <w:b/>
          <w:color w:val="auto"/>
          <w:spacing w:val="-4"/>
          <w:sz w:val="24"/>
          <w:highlight w:val="none"/>
        </w:rPr>
      </w:pPr>
      <w:r>
        <w:rPr>
          <w:rFonts w:hint="eastAsia" w:ascii="宋体" w:hAnsi="宋体" w:cs="宋体"/>
          <w:b/>
          <w:color w:val="auto"/>
          <w:sz w:val="24"/>
          <w:highlight w:val="none"/>
        </w:rPr>
        <w:t>（二）</w:t>
      </w:r>
      <w:r>
        <w:rPr>
          <w:rFonts w:hint="eastAsia" w:ascii="宋体" w:hAnsi="宋体" w:cs="宋体"/>
          <w:b/>
          <w:color w:val="auto"/>
          <w:spacing w:val="-4"/>
          <w:sz w:val="24"/>
          <w:highlight w:val="none"/>
        </w:rPr>
        <w:t>采购项目评分索引表(该表格仅为方便评标之用，不涉及无效标条款，表格放置在商务技术文件目录的前页，以方便评委进行评审，格式见第四章)</w:t>
      </w:r>
    </w:p>
    <w:p w14:paraId="770161FA">
      <w:pPr>
        <w:snapToGrid w:val="0"/>
        <w:spacing w:line="420" w:lineRule="exact"/>
        <w:ind w:firstLine="361" w:firstLineChars="150"/>
        <w:jc w:val="left"/>
        <w:rPr>
          <w:rFonts w:ascii="宋体" w:hAnsi="宋体" w:cs="宋体"/>
          <w:b/>
          <w:color w:val="auto"/>
          <w:sz w:val="24"/>
          <w:highlight w:val="none"/>
        </w:rPr>
      </w:pPr>
      <w:r>
        <w:rPr>
          <w:rFonts w:hint="eastAsia" w:ascii="宋体" w:hAnsi="宋体" w:cs="宋体"/>
          <w:b/>
          <w:color w:val="auto"/>
          <w:sz w:val="24"/>
          <w:highlight w:val="none"/>
        </w:rPr>
        <w:t>（三）投标文件的语言及计量</w:t>
      </w:r>
    </w:p>
    <w:p w14:paraId="76D2F751">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1BCC0B60">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0E87D117">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（四）投标报价</w:t>
      </w:r>
    </w:p>
    <w:p w14:paraId="76AD12FD">
      <w:pPr>
        <w:pStyle w:val="31"/>
        <w:snapToGrid w:val="0"/>
        <w:spacing w:beforeLines="0" w:afterLines="0" w:line="360" w:lineRule="auto"/>
        <w:ind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1.投标报价应按招标文件中相关附表格式填写。</w:t>
      </w:r>
    </w:p>
    <w:p w14:paraId="715C1BE5">
      <w:pPr>
        <w:spacing w:line="360" w:lineRule="auto"/>
        <w:ind w:firstLine="480" w:firstLineChars="200"/>
        <w:rPr>
          <w:rFonts w:hint="eastAsia" w:ascii="宋体" w:hAnsi="宋体"/>
          <w:color w:val="auto"/>
          <w:sz w:val="24"/>
          <w:highlight w:val="none"/>
        </w:rPr>
      </w:pPr>
      <w:r>
        <w:rPr>
          <w:rFonts w:hint="eastAsia" w:ascii="宋体" w:hAnsi="宋体" w:eastAsia="宋体" w:cs="宋体"/>
          <w:color w:val="auto"/>
          <w:kern w:val="2"/>
          <w:sz w:val="24"/>
          <w:szCs w:val="24"/>
          <w:highlight w:val="none"/>
          <w:lang w:val="en-US" w:eastAsia="zh-CN" w:bidi="ar-SA"/>
        </w:rPr>
        <w:t>2.投标报价是履行合同的最终价格，应包括人工、制造、材料、设备、运输、装卸、安装、机械、试车、二次搬运、产品保护、水电费、调试、措施费、综合管理、修复安装时被破坏的建筑和装修、孔洞修补、售后服务、培训、第三方检测费、保险、规费、利润、税金、风险费及工程相关协调费等一切费用。</w:t>
      </w:r>
    </w:p>
    <w:p w14:paraId="52268376">
      <w:pPr>
        <w:tabs>
          <w:tab w:val="left" w:pos="525"/>
        </w:tabs>
        <w:snapToGrid w:val="0"/>
        <w:spacing w:line="360" w:lineRule="auto"/>
        <w:ind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▲3.投标文件只允许有一个报价，有选择的或有条件的报价将不予接受。(此项符合性在报价文件中进行评审)</w:t>
      </w:r>
    </w:p>
    <w:p w14:paraId="7FF1ADF9">
      <w:pPr>
        <w:pStyle w:val="12"/>
        <w:widowControl w:val="0"/>
        <w:tabs>
          <w:tab w:val="left" w:pos="420"/>
        </w:tabs>
        <w:snapToGrid w:val="0"/>
        <w:spacing w:beforeLines="50" w:afterLines="0" w:line="420" w:lineRule="exact"/>
        <w:ind w:left="0" w:firstLine="472" w:firstLineChars="196"/>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（五）投</w:t>
      </w:r>
      <w:r>
        <w:rPr>
          <w:rFonts w:hint="eastAsia" w:ascii="宋体" w:hAnsi="宋体" w:eastAsia="宋体" w:cs="宋体"/>
          <w:b/>
          <w:color w:val="auto"/>
          <w:szCs w:val="24"/>
          <w:highlight w:val="none"/>
        </w:rPr>
        <w:t>标有效期</w:t>
      </w:r>
    </w:p>
    <w:p w14:paraId="5E094048">
      <w:pPr>
        <w:pStyle w:val="12"/>
        <w:widowControl w:val="0"/>
        <w:tabs>
          <w:tab w:val="left" w:pos="420"/>
        </w:tabs>
        <w:snapToGrid w:val="0"/>
        <w:spacing w:afterLines="0" w:line="420" w:lineRule="exact"/>
        <w:ind w:left="-25" w:leftChars="-12" w:firstLine="360" w:firstLineChars="150"/>
        <w:rPr>
          <w:rFonts w:ascii="宋体" w:hAnsi="宋体" w:cs="宋体"/>
          <w:color w:val="auto"/>
          <w:szCs w:val="24"/>
          <w:highlight w:val="none"/>
        </w:rPr>
      </w:pPr>
      <w:r>
        <w:rPr>
          <w:rFonts w:hint="eastAsia" w:ascii="宋体" w:hAnsi="宋体" w:cs="宋体"/>
          <w:color w:val="auto"/>
          <w:szCs w:val="24"/>
          <w:highlight w:val="none"/>
        </w:rPr>
        <w:t>▲1.自投标截止日起</w:t>
      </w:r>
      <w:r>
        <w:rPr>
          <w:rFonts w:hint="eastAsia" w:ascii="宋体" w:hAnsi="宋体" w:cs="宋体"/>
          <w:color w:val="auto"/>
          <w:szCs w:val="24"/>
          <w:highlight w:val="none"/>
          <w:u w:val="single"/>
        </w:rPr>
        <w:t xml:space="preserve">  90  </w:t>
      </w:r>
      <w:r>
        <w:rPr>
          <w:rFonts w:hint="eastAsia" w:ascii="宋体" w:hAnsi="宋体" w:cs="宋体"/>
          <w:color w:val="auto"/>
          <w:szCs w:val="24"/>
          <w:highlight w:val="none"/>
        </w:rPr>
        <w:t>天投标文件应保持有效。</w:t>
      </w:r>
    </w:p>
    <w:p w14:paraId="3D373BF5">
      <w:pPr>
        <w:pStyle w:val="12"/>
        <w:widowControl w:val="0"/>
        <w:tabs>
          <w:tab w:val="left" w:pos="420"/>
        </w:tabs>
        <w:snapToGrid w:val="0"/>
        <w:spacing w:afterLines="0" w:line="420" w:lineRule="exact"/>
        <w:ind w:left="0" w:firstLine="480" w:firstLineChars="200"/>
        <w:rPr>
          <w:rFonts w:ascii="宋体" w:hAnsi="宋体" w:cs="宋体"/>
          <w:color w:val="auto"/>
          <w:szCs w:val="24"/>
          <w:highlight w:val="none"/>
        </w:rPr>
      </w:pPr>
      <w:r>
        <w:rPr>
          <w:rFonts w:hint="eastAsia" w:ascii="宋体" w:hAnsi="宋体" w:cs="宋体"/>
          <w:color w:val="auto"/>
          <w:szCs w:val="24"/>
          <w:highlight w:val="none"/>
        </w:rPr>
        <w:t>2.在特殊情况下，招标人可与投标人协商延长投标文件的有效期，这种要求和答复均以书面形式进行。</w:t>
      </w:r>
    </w:p>
    <w:p w14:paraId="675093BE">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3.投标人可拒绝接受延期要求，同意延长有效期的投标人不能修改投标文件内容。 </w:t>
      </w:r>
    </w:p>
    <w:p w14:paraId="1A67AFD2">
      <w:pPr>
        <w:snapToGrid w:val="0"/>
        <w:spacing w:line="420" w:lineRule="exact"/>
        <w:ind w:firstLine="480" w:firstLineChars="200"/>
        <w:jc w:val="left"/>
        <w:rPr>
          <w:rFonts w:ascii="宋体" w:hAnsi="宋体" w:cs="宋体"/>
          <w:b/>
          <w:color w:val="auto"/>
          <w:sz w:val="24"/>
          <w:highlight w:val="none"/>
        </w:rPr>
      </w:pPr>
      <w:r>
        <w:rPr>
          <w:rFonts w:hint="eastAsia" w:ascii="宋体" w:hAnsi="宋体" w:cs="宋体"/>
          <w:color w:val="auto"/>
          <w:sz w:val="24"/>
          <w:highlight w:val="none"/>
        </w:rPr>
        <w:t>4.中标人的投标文件自开标之日起至合同履行完毕止均应保持有效。</w:t>
      </w:r>
    </w:p>
    <w:p w14:paraId="6F6E66C7">
      <w:pPr>
        <w:snapToGrid w:val="0"/>
        <w:spacing w:line="420" w:lineRule="exact"/>
        <w:ind w:firstLine="472" w:firstLineChars="196"/>
        <w:jc w:val="left"/>
        <w:rPr>
          <w:rFonts w:ascii="宋体" w:hAnsi="宋体" w:cs="宋体"/>
          <w:b/>
          <w:bCs/>
          <w:color w:val="auto"/>
          <w:sz w:val="24"/>
          <w:highlight w:val="none"/>
        </w:rPr>
      </w:pPr>
      <w:r>
        <w:rPr>
          <w:rFonts w:hint="eastAsia" w:ascii="宋体" w:hAnsi="宋体" w:cs="宋体"/>
          <w:b/>
          <w:bCs/>
          <w:color w:val="auto"/>
          <w:sz w:val="24"/>
          <w:highlight w:val="none"/>
        </w:rPr>
        <w:t>5.投标人有下列情形之一的，按有关规定进行处罚：</w:t>
      </w:r>
    </w:p>
    <w:p w14:paraId="1ED8FF0E">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（1）投标人在投标有效期内撤回投标文件的；</w:t>
      </w:r>
    </w:p>
    <w:p w14:paraId="6CA7A28C">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（2）未按规定提交履约保证金的；</w:t>
      </w:r>
    </w:p>
    <w:p w14:paraId="241B2A4D">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（3）投标人在投标过程中弄虚作假，提供虚假材料的；</w:t>
      </w:r>
    </w:p>
    <w:p w14:paraId="1299DC44">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（4）中标人无正当理由不与招标人签订合同的；</w:t>
      </w:r>
    </w:p>
    <w:p w14:paraId="16256B30">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bCs/>
          <w:color w:val="auto"/>
          <w:sz w:val="24"/>
          <w:highlight w:val="none"/>
        </w:rPr>
        <w:t>将中标项目转让给他人或者在投标文件中未说明且未经招标人同意，将中标项目分包给他人的；</w:t>
      </w:r>
    </w:p>
    <w:p w14:paraId="6514ACF1">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（6）拒绝履行合同义务的；</w:t>
      </w:r>
    </w:p>
    <w:p w14:paraId="199451DA">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（7）其他严重扰乱招投标程序的。</w:t>
      </w:r>
    </w:p>
    <w:p w14:paraId="6B35D8D9">
      <w:pPr>
        <w:snapToGrid w:val="0"/>
        <w:spacing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（六）投标文件的签署</w:t>
      </w:r>
    </w:p>
    <w:p w14:paraId="05399065">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5E22E21F">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b/>
          <w:color w:val="auto"/>
          <w:sz w:val="24"/>
          <w:highlight w:val="none"/>
        </w:rPr>
        <w:t>电子投标文件中公章采用CA签章</w:t>
      </w:r>
      <w:r>
        <w:rPr>
          <w:rFonts w:hint="eastAsia" w:ascii="宋体" w:hAnsi="宋体" w:cs="宋体"/>
          <w:bCs/>
          <w:color w:val="auto"/>
          <w:sz w:val="24"/>
          <w:highlight w:val="none"/>
        </w:rPr>
        <w:t>，</w:t>
      </w:r>
      <w:r>
        <w:rPr>
          <w:rFonts w:hint="eastAsia" w:ascii="宋体" w:hAnsi="宋体" w:cs="宋体"/>
          <w:b/>
          <w:color w:val="auto"/>
          <w:sz w:val="24"/>
          <w:highlight w:val="none"/>
        </w:rPr>
        <w:t>并根据本招标文件规定的格式和顺序编制电子投标文件，</w:t>
      </w:r>
      <w:r>
        <w:rPr>
          <w:rFonts w:hint="eastAsia" w:ascii="宋体" w:hAnsi="宋体" w:cs="宋体"/>
          <w:bCs/>
          <w:color w:val="auto"/>
          <w:sz w:val="24"/>
          <w:highlight w:val="none"/>
        </w:rPr>
        <w:t>电子投标文件如内容不完整、编排混乱导致投标文件被误读、漏读，或者在按采购文件规定的部位查找不到相关内容的，由投标人自行承担。</w:t>
      </w:r>
    </w:p>
    <w:p w14:paraId="674B435F">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3.投标文件不得涂改，若有修改错漏处，须加盖单位公章或者法定代表人或授权委托人签字或盖章。投标文件因字迹潦草或表达不清所引起的后果由投标人负责。</w:t>
      </w:r>
    </w:p>
    <w:p w14:paraId="5C510DCC">
      <w:pPr>
        <w:snapToGrid w:val="0"/>
        <w:spacing w:beforeLines="50" w:line="42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（七）投标无效的情形</w:t>
      </w:r>
    </w:p>
    <w:p w14:paraId="0ECDF1A1">
      <w:pPr>
        <w:snapToGrid w:val="0"/>
        <w:spacing w:line="4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68228B0">
      <w:pPr>
        <w:snapToGrid w:val="0"/>
        <w:spacing w:line="420" w:lineRule="exact"/>
        <w:ind w:firstLine="457" w:firstLineChars="196"/>
        <w:rPr>
          <w:rFonts w:ascii="宋体" w:hAnsi="宋体" w:cs="宋体"/>
          <w:b/>
          <w:bCs/>
          <w:color w:val="auto"/>
          <w:spacing w:val="-4"/>
          <w:sz w:val="24"/>
          <w:highlight w:val="none"/>
        </w:rPr>
      </w:pPr>
      <w:bookmarkStart w:id="20" w:name="_Hlk59462445"/>
      <w:r>
        <w:rPr>
          <w:rFonts w:hint="eastAsia" w:ascii="宋体" w:hAnsi="宋体" w:cs="宋体"/>
          <w:b/>
          <w:bCs/>
          <w:color w:val="auto"/>
          <w:spacing w:val="-4"/>
          <w:sz w:val="24"/>
          <w:highlight w:val="none"/>
        </w:rPr>
        <w:t>1.</w:t>
      </w:r>
      <w:bookmarkStart w:id="21" w:name="_Hlk534294335"/>
      <w:r>
        <w:rPr>
          <w:rFonts w:hint="eastAsia" w:ascii="宋体" w:hAnsi="宋体" w:cs="宋体"/>
          <w:b/>
          <w:bCs/>
          <w:color w:val="auto"/>
          <w:spacing w:val="-4"/>
          <w:sz w:val="24"/>
          <w:highlight w:val="none"/>
        </w:rPr>
        <w:t>在符合性审查和商务技术评审时，如发现下列情形之一的，投标文件将被视为无效：</w:t>
      </w:r>
    </w:p>
    <w:bookmarkEnd w:id="21"/>
    <w:p w14:paraId="4BFD934D">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（1）资格响应文件未提供齐全的或者资格响应文件存在过期的或者不符合招标文件标明的资格要求的；</w:t>
      </w:r>
    </w:p>
    <w:p w14:paraId="1F831D43">
      <w:pPr>
        <w:snapToGrid w:val="0"/>
        <w:spacing w:line="420" w:lineRule="exact"/>
        <w:ind w:firstLine="470" w:firstLineChars="196"/>
        <w:rPr>
          <w:rFonts w:ascii="宋体" w:hAnsi="宋体" w:cs="宋体"/>
          <w:bCs/>
          <w:color w:val="auto"/>
          <w:kern w:val="0"/>
          <w:sz w:val="24"/>
          <w:highlight w:val="none"/>
        </w:rPr>
      </w:pPr>
      <w:r>
        <w:rPr>
          <w:rFonts w:hint="eastAsia" w:ascii="宋体" w:hAnsi="宋体" w:cs="宋体"/>
          <w:color w:val="auto"/>
          <w:sz w:val="24"/>
          <w:highlight w:val="none"/>
        </w:rPr>
        <w:t>（2）</w:t>
      </w:r>
      <w:r>
        <w:rPr>
          <w:rFonts w:hint="eastAsia" w:ascii="宋体" w:hAnsi="宋体" w:cs="宋体"/>
          <w:bCs/>
          <w:color w:val="auto"/>
          <w:sz w:val="24"/>
          <w:highlight w:val="none"/>
        </w:rPr>
        <w:t>电子投标文件</w:t>
      </w:r>
      <w:r>
        <w:rPr>
          <w:rFonts w:hint="eastAsia" w:ascii="宋体" w:hAnsi="宋体" w:cs="宋体"/>
          <w:b/>
          <w:bCs/>
          <w:color w:val="auto"/>
          <w:kern w:val="0"/>
          <w:sz w:val="24"/>
          <w:highlight w:val="none"/>
          <w:u w:val="single"/>
        </w:rPr>
        <w:t>在指定页面无法定代表人盖章或签字、未在指定页面盖公章、在指定页面无被授权人签字（打字无效，如投标人代表为法定代表人提供法定代表人身份证明的则无需签字）、</w:t>
      </w:r>
      <w:r>
        <w:rPr>
          <w:rFonts w:hint="eastAsia" w:ascii="宋体" w:hAnsi="宋体" w:cs="宋体"/>
          <w:b/>
          <w:bCs/>
          <w:color w:val="auto"/>
          <w:kern w:val="0"/>
          <w:sz w:val="24"/>
          <w:highlight w:val="none"/>
        </w:rPr>
        <w:t>未提供法定代表人授权委托书（或法定代表人身份证明）、未提供投标函、未提供《没有重大违法记录的承诺函》或者投标函、《没有重大违法记录的承诺函》格式不符合招标文件要求或填写项目不齐全的；</w:t>
      </w:r>
    </w:p>
    <w:p w14:paraId="13F83E67">
      <w:pPr>
        <w:pStyle w:val="23"/>
        <w:snapToGrid w:val="0"/>
        <w:spacing w:line="420" w:lineRule="exact"/>
        <w:ind w:firstLine="454" w:firstLineChars="196"/>
        <w:rPr>
          <w:rFonts w:hAnsi="宋体" w:cs="宋体"/>
          <w:b/>
          <w:bCs/>
          <w:color w:val="auto"/>
          <w:sz w:val="24"/>
          <w:szCs w:val="24"/>
          <w:highlight w:val="none"/>
        </w:rPr>
      </w:pPr>
      <w:r>
        <w:rPr>
          <w:rFonts w:hint="eastAsia" w:hAnsi="宋体" w:cs="宋体"/>
          <w:color w:val="auto"/>
          <w:sz w:val="24"/>
          <w:szCs w:val="24"/>
          <w:highlight w:val="none"/>
        </w:rPr>
        <w:t>（3）多项主要服务响应或者主要设备功能响应不满足招标文件要求或</w:t>
      </w:r>
      <w:r>
        <w:rPr>
          <w:rFonts w:hint="eastAsia" w:hAnsi="宋体" w:cs="宋体"/>
          <w:color w:val="auto"/>
          <w:sz w:val="24"/>
          <w:highlight w:val="none"/>
        </w:rPr>
        <w:t>缺项的，</w:t>
      </w:r>
      <w:r>
        <w:rPr>
          <w:rFonts w:hint="eastAsia" w:hAnsi="宋体" w:cs="宋体"/>
          <w:b/>
          <w:bCs/>
          <w:color w:val="auto"/>
          <w:sz w:val="24"/>
          <w:szCs w:val="24"/>
          <w:highlight w:val="none"/>
        </w:rPr>
        <w:t>主要设备尺寸严重不满足招标文件要求的。</w:t>
      </w:r>
    </w:p>
    <w:p w14:paraId="2FB7FAF3">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（4）</w:t>
      </w:r>
      <w:r>
        <w:rPr>
          <w:rFonts w:hint="eastAsia" w:hAnsi="宋体" w:cs="宋体"/>
          <w:snapToGrid w:val="0"/>
          <w:color w:val="auto"/>
          <w:sz w:val="24"/>
          <w:szCs w:val="24"/>
          <w:highlight w:val="none"/>
        </w:rPr>
        <w:t>与</w:t>
      </w:r>
      <w:r>
        <w:rPr>
          <w:rFonts w:hint="eastAsia" w:hAnsi="宋体" w:cs="宋体"/>
          <w:color w:val="auto"/>
          <w:sz w:val="24"/>
          <w:szCs w:val="24"/>
          <w:highlight w:val="none"/>
        </w:rPr>
        <w:t>招标文件中标“▲”的技术指标、主要功能参数、服务响应发生实质性负偏离</w:t>
      </w:r>
      <w:r>
        <w:rPr>
          <w:rFonts w:hint="eastAsia" w:hAnsi="宋体" w:cs="宋体"/>
          <w:snapToGrid w:val="0"/>
          <w:color w:val="auto"/>
          <w:sz w:val="24"/>
          <w:szCs w:val="24"/>
          <w:highlight w:val="none"/>
        </w:rPr>
        <w:t>或内容缺失</w:t>
      </w:r>
      <w:r>
        <w:rPr>
          <w:rFonts w:hint="eastAsia" w:hAnsi="宋体" w:cs="宋体"/>
          <w:color w:val="auto"/>
          <w:sz w:val="24"/>
          <w:szCs w:val="24"/>
          <w:highlight w:val="none"/>
        </w:rPr>
        <w:t>的；</w:t>
      </w:r>
    </w:p>
    <w:p w14:paraId="315129CD">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（5）未如实提供投标货物的技术参数，或者投标文件标明的响应或偏离存在虚假的；</w:t>
      </w:r>
    </w:p>
    <w:p w14:paraId="3405A405">
      <w:pPr>
        <w:pStyle w:val="23"/>
        <w:snapToGrid w:val="0"/>
        <w:spacing w:line="420" w:lineRule="exact"/>
        <w:ind w:firstLine="454" w:firstLineChars="196"/>
        <w:rPr>
          <w:rFonts w:hAnsi="宋体" w:cs="宋体"/>
          <w:snapToGrid w:val="0"/>
          <w:color w:val="auto"/>
          <w:sz w:val="24"/>
          <w:szCs w:val="24"/>
          <w:highlight w:val="none"/>
        </w:rPr>
      </w:pPr>
      <w:r>
        <w:rPr>
          <w:rFonts w:hint="eastAsia" w:hAnsi="宋体" w:cs="宋体"/>
          <w:color w:val="auto"/>
          <w:sz w:val="24"/>
          <w:szCs w:val="24"/>
          <w:highlight w:val="none"/>
        </w:rPr>
        <w:t>（6）投标有效期、工期（供货期、交货时间、服务期）、</w:t>
      </w:r>
      <w:r>
        <w:rPr>
          <w:rFonts w:hint="eastAsia" w:hAnsi="宋体" w:cs="宋体"/>
          <w:color w:val="auto"/>
          <w:sz w:val="24"/>
          <w:szCs w:val="24"/>
          <w:highlight w:val="none"/>
          <w:lang w:eastAsia="zh-CN"/>
        </w:rPr>
        <w:t>质保期</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保修</w:t>
      </w:r>
      <w:r>
        <w:rPr>
          <w:rFonts w:hint="eastAsia" w:hAnsi="宋体" w:cs="宋体"/>
          <w:color w:val="auto"/>
          <w:sz w:val="24"/>
          <w:szCs w:val="24"/>
          <w:highlight w:val="none"/>
        </w:rPr>
        <w:t>期）、付款方式等商务条款不能满足招标文件要求或缺失的</w:t>
      </w:r>
      <w:r>
        <w:rPr>
          <w:rFonts w:hint="eastAsia" w:hAnsi="宋体" w:cs="宋体"/>
          <w:snapToGrid w:val="0"/>
          <w:color w:val="auto"/>
          <w:sz w:val="24"/>
          <w:szCs w:val="24"/>
          <w:highlight w:val="none"/>
        </w:rPr>
        <w:t>；</w:t>
      </w:r>
    </w:p>
    <w:bookmarkEnd w:id="20"/>
    <w:p w14:paraId="19661098">
      <w:pPr>
        <w:pStyle w:val="23"/>
        <w:snapToGrid w:val="0"/>
        <w:spacing w:line="420" w:lineRule="exact"/>
        <w:ind w:firstLine="454" w:firstLineChars="196"/>
        <w:rPr>
          <w:rFonts w:hAnsi="宋体" w:cs="宋体"/>
          <w:snapToGrid w:val="0"/>
          <w:color w:val="auto"/>
          <w:sz w:val="24"/>
          <w:szCs w:val="24"/>
          <w:highlight w:val="none"/>
        </w:rPr>
      </w:pPr>
      <w:r>
        <w:rPr>
          <w:rFonts w:hint="eastAsia" w:hAnsi="宋体" w:cs="宋体"/>
          <w:color w:val="auto"/>
          <w:sz w:val="24"/>
          <w:szCs w:val="24"/>
          <w:highlight w:val="none"/>
        </w:rPr>
        <w:t>（7）</w:t>
      </w:r>
      <w:r>
        <w:rPr>
          <w:rFonts w:hint="eastAsia" w:hAnsi="宋体" w:cs="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32287BB1">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（8）投标文件有招标方不能接受的附加条件的；</w:t>
      </w:r>
    </w:p>
    <w:p w14:paraId="2BD0FC60">
      <w:pPr>
        <w:pStyle w:val="23"/>
        <w:snapToGrid w:val="0"/>
        <w:spacing w:line="420" w:lineRule="exact"/>
        <w:ind w:firstLine="464" w:firstLineChars="200"/>
        <w:rPr>
          <w:rFonts w:hAnsi="宋体" w:cs="宋体"/>
          <w:color w:val="auto"/>
          <w:sz w:val="24"/>
          <w:szCs w:val="24"/>
          <w:highlight w:val="none"/>
        </w:rPr>
      </w:pPr>
      <w:r>
        <w:rPr>
          <w:rFonts w:hint="eastAsia" w:hAnsi="宋体" w:cs="宋体"/>
          <w:color w:val="auto"/>
          <w:sz w:val="24"/>
          <w:szCs w:val="24"/>
          <w:highlight w:val="none"/>
        </w:rPr>
        <w:t>（9）商务技术文件中出现投标总报价的；</w:t>
      </w:r>
    </w:p>
    <w:p w14:paraId="3E6D66CE">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（10）不同投标人的投标文件,由同一台电脑编制。</w:t>
      </w:r>
    </w:p>
    <w:p w14:paraId="27F5D056">
      <w:pPr>
        <w:pStyle w:val="23"/>
        <w:snapToGrid w:val="0"/>
        <w:spacing w:line="420" w:lineRule="exact"/>
        <w:ind w:firstLine="457" w:firstLineChars="196"/>
        <w:rPr>
          <w:rFonts w:hAnsi="宋体" w:cs="宋体"/>
          <w:b/>
          <w:bCs/>
          <w:color w:val="auto"/>
          <w:sz w:val="24"/>
          <w:szCs w:val="24"/>
          <w:highlight w:val="none"/>
        </w:rPr>
      </w:pPr>
      <w:r>
        <w:rPr>
          <w:rFonts w:hint="eastAsia" w:hAnsi="宋体" w:cs="宋体"/>
          <w:b/>
          <w:bCs/>
          <w:color w:val="auto"/>
          <w:sz w:val="24"/>
          <w:szCs w:val="24"/>
          <w:highlight w:val="none"/>
        </w:rPr>
        <w:t>2.在报价评审时，如发现下列情形之一的，投标文件将被视为无效：</w:t>
      </w:r>
    </w:p>
    <w:p w14:paraId="1755828E">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（1）未采用人民币报价或者未按照招标文件标明的币种报价的；</w:t>
      </w:r>
    </w:p>
    <w:p w14:paraId="30CEF732">
      <w:pPr>
        <w:pStyle w:val="23"/>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（2）投标报价具有选择性，或者开标价格与投标文件承诺的优惠（折扣）价格不一致的；</w:t>
      </w:r>
    </w:p>
    <w:p w14:paraId="0D31EA45">
      <w:pPr>
        <w:pStyle w:val="23"/>
        <w:snapToGrid w:val="0"/>
        <w:spacing w:line="420" w:lineRule="exact"/>
        <w:ind w:firstLine="457" w:firstLineChars="196"/>
        <w:rPr>
          <w:rFonts w:hAnsi="宋体" w:cs="宋体"/>
          <w:b/>
          <w:bCs/>
          <w:color w:val="auto"/>
          <w:sz w:val="24"/>
          <w:szCs w:val="24"/>
          <w:highlight w:val="none"/>
        </w:rPr>
      </w:pPr>
      <w:r>
        <w:rPr>
          <w:rFonts w:hint="eastAsia" w:hAnsi="宋体" w:cs="宋体"/>
          <w:b/>
          <w:bCs/>
          <w:color w:val="auto"/>
          <w:sz w:val="24"/>
          <w:szCs w:val="24"/>
          <w:highlight w:val="none"/>
        </w:rPr>
        <w:t>（3）报价超过招标文件中规定的预算金额或者最高限价的；</w:t>
      </w:r>
    </w:p>
    <w:p w14:paraId="4A6F0F0A">
      <w:pPr>
        <w:pStyle w:val="23"/>
        <w:snapToGrid w:val="0"/>
        <w:spacing w:line="420" w:lineRule="exact"/>
        <w:ind w:firstLine="457" w:firstLineChars="196"/>
        <w:rPr>
          <w:rFonts w:hAnsi="宋体" w:cs="宋体"/>
          <w:b/>
          <w:bCs/>
          <w:color w:val="auto"/>
          <w:sz w:val="24"/>
          <w:szCs w:val="24"/>
          <w:highlight w:val="none"/>
        </w:rPr>
      </w:pPr>
      <w:r>
        <w:rPr>
          <w:rFonts w:hint="eastAsia" w:hAnsi="宋体" w:cs="宋体"/>
          <w:b/>
          <w:bCs/>
          <w:color w:val="auto"/>
          <w:sz w:val="24"/>
          <w:szCs w:val="24"/>
          <w:highlight w:val="none"/>
        </w:rPr>
        <w:t>（4）未填写投标报价的。</w:t>
      </w:r>
    </w:p>
    <w:p w14:paraId="2573C17F">
      <w:pPr>
        <w:pStyle w:val="23"/>
        <w:snapToGrid w:val="0"/>
        <w:spacing w:line="420" w:lineRule="exact"/>
        <w:ind w:firstLine="457" w:firstLineChars="196"/>
        <w:rPr>
          <w:rFonts w:hAnsi="宋体" w:cs="宋体"/>
          <w:b/>
          <w:color w:val="auto"/>
          <w:sz w:val="24"/>
          <w:szCs w:val="24"/>
          <w:highlight w:val="none"/>
        </w:rPr>
      </w:pPr>
      <w:r>
        <w:rPr>
          <w:rFonts w:hint="eastAsia" w:hAnsi="宋体" w:cs="宋体"/>
          <w:b/>
          <w:color w:val="auto"/>
          <w:sz w:val="24"/>
          <w:szCs w:val="24"/>
          <w:highlight w:val="none"/>
        </w:rPr>
        <w:t>3.被拒绝的投标文件为无效。</w:t>
      </w:r>
    </w:p>
    <w:p w14:paraId="101C5703">
      <w:pPr>
        <w:spacing w:line="420" w:lineRule="exact"/>
        <w:ind w:firstLine="354" w:firstLineChars="147"/>
        <w:rPr>
          <w:rFonts w:ascii="宋体" w:hAnsi="宋体" w:cs="宋体"/>
          <w:b/>
          <w:color w:val="auto"/>
          <w:sz w:val="24"/>
          <w:highlight w:val="none"/>
          <w:u w:val="single"/>
        </w:rPr>
      </w:pPr>
      <w:r>
        <w:rPr>
          <w:rFonts w:hint="eastAsia" w:ascii="宋体" w:hAnsi="宋体" w:cs="宋体"/>
          <w:b/>
          <w:color w:val="auto"/>
          <w:sz w:val="24"/>
          <w:highlight w:val="none"/>
        </w:rPr>
        <w:t>（八）在招标采购中，出现下列情形之一的，应予废标</w:t>
      </w:r>
    </w:p>
    <w:p w14:paraId="25F86702">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1、出现影响采购公正的违法、违规行为的；</w:t>
      </w:r>
    </w:p>
    <w:p w14:paraId="6647DB2E">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2、因重大变故，采购任务取消的；</w:t>
      </w:r>
    </w:p>
    <w:p w14:paraId="06301C8B">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3、投标人的报价均超过了采购预算价，招标人不能支付的。</w:t>
      </w:r>
    </w:p>
    <w:p w14:paraId="3F462EE2">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4.其他法律法规规定应予以废标的情形。</w:t>
      </w:r>
    </w:p>
    <w:p w14:paraId="6F3DD3F2">
      <w:pPr>
        <w:pStyle w:val="23"/>
        <w:snapToGrid w:val="0"/>
        <w:spacing w:line="420" w:lineRule="exact"/>
        <w:ind w:firstLine="256" w:firstLineChars="110"/>
        <w:rPr>
          <w:rFonts w:hAnsi="宋体" w:cs="宋体"/>
          <w:b/>
          <w:snapToGrid w:val="0"/>
          <w:color w:val="auto"/>
          <w:sz w:val="24"/>
          <w:szCs w:val="24"/>
          <w:highlight w:val="none"/>
        </w:rPr>
      </w:pPr>
      <w:r>
        <w:rPr>
          <w:rFonts w:hint="eastAsia" w:hAnsi="宋体" w:cs="宋体"/>
          <w:b/>
          <w:color w:val="auto"/>
          <w:sz w:val="24"/>
          <w:szCs w:val="24"/>
          <w:highlight w:val="none"/>
        </w:rPr>
        <w:t>四、开标</w:t>
      </w:r>
    </w:p>
    <w:p w14:paraId="2415EAFF">
      <w:pPr>
        <w:pStyle w:val="31"/>
        <w:snapToGrid w:val="0"/>
        <w:spacing w:beforeLines="0" w:afterLines="0" w:line="420" w:lineRule="exact"/>
        <w:ind w:firstLine="241" w:firstLineChars="100"/>
        <w:rPr>
          <w:rFonts w:hAnsi="宋体" w:cs="宋体"/>
          <w:b/>
          <w:color w:val="auto"/>
          <w:highlight w:val="none"/>
        </w:rPr>
      </w:pPr>
      <w:r>
        <w:rPr>
          <w:rFonts w:hint="eastAsia" w:hAnsi="宋体" w:cs="宋体"/>
          <w:b/>
          <w:color w:val="auto"/>
          <w:highlight w:val="none"/>
        </w:rPr>
        <w:t>（一）开标准备</w:t>
      </w:r>
    </w:p>
    <w:p w14:paraId="566C2E54">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2198EBD">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采购过程中出现以下情形，导致电子交易平台无法正常运行，或者无法保证电子交易的公平、公正和安全时，代理机构可中止电子交易活动：</w:t>
      </w:r>
    </w:p>
    <w:p w14:paraId="11D50193">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 xml:space="preserve">（1）电子交易平台发生故障、停电而无法登录访问的； </w:t>
      </w:r>
    </w:p>
    <w:p w14:paraId="4A1A5EFE">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（2）电子交易平台应用或数据库出现错误，不能进行正常操作的；</w:t>
      </w:r>
    </w:p>
    <w:p w14:paraId="566A9BB0">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（3）电子交易平台发现严重安全漏洞，有潜在泄密危险的；</w:t>
      </w:r>
    </w:p>
    <w:p w14:paraId="78A9E576">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 xml:space="preserve">（4）病毒发作导致不能进行正常操作的； </w:t>
      </w:r>
    </w:p>
    <w:p w14:paraId="15139791">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（5）其他无法保证电子交易的公平、公正和安全的情况。</w:t>
      </w:r>
    </w:p>
    <w:p w14:paraId="2A7BE03F">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出现前款规定情形，不影响采购公平、公正性的，代理机构可以待上述情形消除后继续组织电子交易活动，影响或可能影响采购公平、公正性的，应当重新采购。</w:t>
      </w:r>
    </w:p>
    <w:p w14:paraId="2C317B80">
      <w:pPr>
        <w:pStyle w:val="31"/>
        <w:snapToGrid w:val="0"/>
        <w:spacing w:beforeLines="0" w:afterLines="0" w:line="420" w:lineRule="exact"/>
        <w:ind w:firstLine="472" w:firstLineChars="196"/>
        <w:rPr>
          <w:rFonts w:hAnsi="宋体" w:cs="宋体"/>
          <w:bCs/>
          <w:color w:val="auto"/>
          <w:highlight w:val="none"/>
        </w:rPr>
      </w:pPr>
      <w:r>
        <w:rPr>
          <w:rFonts w:hint="eastAsia" w:hAnsi="宋体" w:cs="宋体"/>
          <w:b/>
          <w:color w:val="auto"/>
          <w:highlight w:val="none"/>
        </w:rPr>
        <w:t xml:space="preserve">（二）开标程序    </w:t>
      </w:r>
    </w:p>
    <w:p w14:paraId="0979AEA6">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1.开标会由招标人主持，</w:t>
      </w:r>
      <w:bookmarkStart w:id="22" w:name="_Hlk59694585"/>
      <w:r>
        <w:rPr>
          <w:rFonts w:hint="eastAsia" w:hAnsi="宋体" w:cs="宋体"/>
          <w:b/>
          <w:bCs/>
          <w:color w:val="auto"/>
          <w:highlight w:val="none"/>
          <w:u w:val="single"/>
        </w:rPr>
        <w:t>并通过临海市限额以下公共资源交易区域平台--每日直播平台进行现场直播，各投标人请准时在线参加。</w:t>
      </w:r>
      <w:bookmarkStart w:id="23" w:name="_Hlk59690176"/>
      <w:r>
        <w:rPr>
          <w:rFonts w:hint="eastAsia" w:hAnsi="宋体" w:cs="宋体"/>
          <w:b/>
          <w:bCs/>
          <w:color w:val="auto"/>
          <w:highlight w:val="none"/>
          <w:u w:val="single"/>
        </w:rPr>
        <w:t>各投标人如对开、评标过程有异议的，应该登陆临海市限额以下公共资源交易区域平台—-每日直播平台---点击该项目—登陆，进入答疑进行提问，招标人（代理机构）应当及时作出答复，并制作记录</w:t>
      </w:r>
      <w:bookmarkEnd w:id="22"/>
      <w:r>
        <w:rPr>
          <w:rFonts w:hint="eastAsia" w:hAnsi="宋体" w:cs="宋体"/>
          <w:b/>
          <w:bCs/>
          <w:color w:val="auto"/>
          <w:highlight w:val="none"/>
          <w:u w:val="single"/>
        </w:rPr>
        <w:t>；</w:t>
      </w:r>
    </w:p>
    <w:bookmarkEnd w:id="23"/>
    <w:p w14:paraId="77020975">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 招标人点击临海市限额以下公共资源交易区域平台-不见面开标大厅--【开始解密】按钮，</w:t>
      </w:r>
      <w:bookmarkStart w:id="24" w:name="_Hlk59625783"/>
      <w:r>
        <w:rPr>
          <w:rFonts w:hint="eastAsia" w:hAnsi="宋体" w:cs="宋体"/>
          <w:color w:val="auto"/>
          <w:highlight w:val="none"/>
        </w:rPr>
        <w:t>由投标人按招标文件规定的时间及</w:t>
      </w:r>
      <w:bookmarkStart w:id="25" w:name="_Hlk59626264"/>
      <w:r>
        <w:rPr>
          <w:rFonts w:hint="eastAsia" w:hAnsi="宋体" w:cs="宋体"/>
          <w:color w:val="auto"/>
          <w:highlight w:val="none"/>
        </w:rPr>
        <w:t>平台</w:t>
      </w:r>
      <w:bookmarkEnd w:id="25"/>
      <w:r>
        <w:rPr>
          <w:rFonts w:hint="eastAsia" w:hAnsi="宋体" w:cs="宋体"/>
          <w:color w:val="auto"/>
          <w:highlight w:val="none"/>
        </w:rPr>
        <w:t>显示的时间内自行进行投标文件解密。</w:t>
      </w:r>
      <w:bookmarkEnd w:id="24"/>
      <w:r>
        <w:rPr>
          <w:rFonts w:hint="eastAsia" w:hAnsi="宋体" w:cs="宋体"/>
          <w:color w:val="auto"/>
          <w:highlight w:val="none"/>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color w:val="auto"/>
          <w:highlight w:val="none"/>
        </w:rPr>
        <w:t>投标人未按时解密或解密失败的，其投标文件为无效标。</w:t>
      </w:r>
      <w:bookmarkEnd w:id="26"/>
    </w:p>
    <w:p w14:paraId="48880598">
      <w:pPr>
        <w:pStyle w:val="31"/>
        <w:snapToGrid w:val="0"/>
        <w:spacing w:beforeLines="0" w:afterLines="0" w:line="420" w:lineRule="exact"/>
        <w:rPr>
          <w:rFonts w:hAnsi="宋体" w:cs="宋体"/>
          <w:b/>
          <w:bCs/>
          <w:color w:val="auto"/>
          <w:highlight w:val="none"/>
          <w:u w:val="single"/>
        </w:rPr>
      </w:pPr>
      <w:r>
        <w:rPr>
          <w:rFonts w:hint="eastAsia" w:hAnsi="宋体" w:cs="宋体"/>
          <w:b/>
          <w:bCs/>
          <w:color w:val="auto"/>
          <w:highlight w:val="none"/>
          <w:u w:val="single"/>
        </w:rPr>
        <w:t>该项目投标人数量及各投标人投标文件是否完成解密以平台显示内容为准。</w:t>
      </w:r>
    </w:p>
    <w:p w14:paraId="6CAACE26">
      <w:pPr>
        <w:pStyle w:val="31"/>
        <w:snapToGrid w:val="0"/>
        <w:spacing w:beforeLines="0" w:afterLines="0" w:line="420" w:lineRule="exact"/>
        <w:ind w:firstLine="480" w:firstLineChars="200"/>
        <w:rPr>
          <w:rFonts w:hAnsi="宋体" w:cs="宋体"/>
          <w:b/>
          <w:bCs/>
          <w:color w:val="auto"/>
          <w:highlight w:val="none"/>
          <w:u w:val="single"/>
        </w:rPr>
      </w:pPr>
      <w:r>
        <w:rPr>
          <w:rFonts w:hint="eastAsia" w:hAnsi="宋体" w:cs="宋体"/>
          <w:color w:val="auto"/>
          <w:highlight w:val="none"/>
        </w:rPr>
        <w:t>3.解密结束后，主持人介绍参加开标会的人员名单，告知应当回避的情形,提请有关人员回避；</w:t>
      </w:r>
    </w:p>
    <w:p w14:paraId="3E0B4251">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4.代理机构点击【</w:t>
      </w:r>
      <w:bookmarkStart w:id="27" w:name="_Hlk59371589"/>
      <w:r>
        <w:rPr>
          <w:rFonts w:hint="eastAsia" w:hAnsi="宋体" w:cs="宋体"/>
          <w:color w:val="auto"/>
          <w:highlight w:val="none"/>
        </w:rPr>
        <w:t>开启标书信息</w:t>
      </w:r>
      <w:bookmarkEnd w:id="27"/>
      <w:r>
        <w:rPr>
          <w:rFonts w:hint="eastAsia" w:hAnsi="宋体" w:cs="宋体"/>
          <w:color w:val="auto"/>
          <w:highlight w:val="none"/>
        </w:rPr>
        <w:t>】，开启标书成功后进入评标流程；</w:t>
      </w:r>
    </w:p>
    <w:p w14:paraId="0835B1ED">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lang w:val="en-US" w:eastAsia="zh-CN"/>
        </w:rPr>
        <w:t>5</w:t>
      </w:r>
      <w:r>
        <w:rPr>
          <w:rFonts w:hint="eastAsia" w:hAnsi="宋体" w:cs="宋体"/>
          <w:color w:val="auto"/>
          <w:highlight w:val="none"/>
        </w:rPr>
        <w:t>.</w:t>
      </w:r>
      <w:bookmarkStart w:id="28" w:name="_Hlk59392570"/>
      <w:r>
        <w:rPr>
          <w:rFonts w:hint="eastAsia" w:hAnsi="宋体" w:cs="宋体"/>
          <w:color w:val="auto"/>
          <w:highlight w:val="none"/>
        </w:rPr>
        <w:t>资格及商务技术文件</w:t>
      </w:r>
      <w:bookmarkEnd w:id="28"/>
      <w:r>
        <w:rPr>
          <w:rFonts w:hint="eastAsia" w:hAnsi="宋体" w:cs="宋体"/>
          <w:color w:val="auto"/>
          <w:highlight w:val="none"/>
        </w:rPr>
        <w:t>评审；</w:t>
      </w:r>
    </w:p>
    <w:p w14:paraId="7754F333">
      <w:pPr>
        <w:pStyle w:val="31"/>
        <w:snapToGrid w:val="0"/>
        <w:spacing w:beforeLines="0" w:afterLines="0" w:line="420" w:lineRule="exact"/>
        <w:ind w:firstLine="480" w:firstLineChars="200"/>
        <w:rPr>
          <w:rFonts w:hAnsi="宋体" w:cs="宋体"/>
          <w:b/>
          <w:bCs/>
          <w:color w:val="auto"/>
          <w:highlight w:val="none"/>
        </w:rPr>
      </w:pPr>
      <w:r>
        <w:rPr>
          <w:rFonts w:hint="eastAsia" w:hAnsi="宋体" w:cs="宋体"/>
          <w:color w:val="auto"/>
          <w:highlight w:val="none"/>
          <w:lang w:val="en-US" w:eastAsia="zh-CN"/>
        </w:rPr>
        <w:t>6</w:t>
      </w:r>
      <w:r>
        <w:rPr>
          <w:rFonts w:hint="eastAsia" w:hAnsi="宋体" w:cs="宋体"/>
          <w:color w:val="auto"/>
          <w:highlight w:val="none"/>
        </w:rPr>
        <w:t>.由主持人公布资格及商务技术文件无效的投标人名单、投标无效的原因及其他有效投标的评分汇总分</w:t>
      </w:r>
      <w:r>
        <w:rPr>
          <w:rFonts w:hint="eastAsia" w:hAnsi="宋体" w:cs="宋体"/>
          <w:b/>
          <w:bCs/>
          <w:color w:val="auto"/>
          <w:highlight w:val="none"/>
        </w:rPr>
        <w:t>；</w:t>
      </w:r>
    </w:p>
    <w:p w14:paraId="56B09C7A">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lang w:val="en-US" w:eastAsia="zh-CN"/>
        </w:rPr>
        <w:t>7</w:t>
      </w:r>
      <w:r>
        <w:rPr>
          <w:rFonts w:hint="eastAsia" w:hAnsi="宋体" w:cs="宋体"/>
          <w:color w:val="auto"/>
          <w:highlight w:val="none"/>
        </w:rPr>
        <w:t>.开启报价响应文件：代理机构成功开启报价响应文件后，方可查看各投标人报价情况。</w:t>
      </w:r>
      <w:r>
        <w:rPr>
          <w:rFonts w:hint="eastAsia" w:hAnsi="宋体" w:cs="宋体"/>
          <w:b/>
          <w:bCs/>
          <w:color w:val="auto"/>
          <w:highlight w:val="none"/>
          <w:u w:val="single"/>
        </w:rPr>
        <w:t>代理机构在线公布开标一览表有关内容，投标人应在</w:t>
      </w:r>
      <w:r>
        <w:rPr>
          <w:rFonts w:hint="eastAsia" w:hAnsi="宋体" w:cs="宋体"/>
          <w:b/>
          <w:bCs/>
          <w:color w:val="auto"/>
          <w:highlight w:val="none"/>
          <w:u w:val="single"/>
          <w:lang w:val="en-US" w:eastAsia="zh-CN"/>
        </w:rPr>
        <w:t>5</w:t>
      </w:r>
      <w:r>
        <w:rPr>
          <w:rFonts w:hint="eastAsia" w:hAnsi="宋体" w:cs="宋体"/>
          <w:b/>
          <w:bCs/>
          <w:color w:val="auto"/>
          <w:highlight w:val="none"/>
          <w:u w:val="single"/>
        </w:rPr>
        <w:t>分钟内在线签字确认（不予确认或超时确认的应说明原因，否则视为无异议）；</w:t>
      </w:r>
    </w:p>
    <w:p w14:paraId="4CC571F6">
      <w:pPr>
        <w:pStyle w:val="31"/>
        <w:snapToGrid w:val="0"/>
        <w:spacing w:beforeLines="0" w:afterLines="0" w:line="420" w:lineRule="exact"/>
        <w:ind w:left="719" w:leftChars="228" w:hanging="240" w:hangingChars="100"/>
        <w:rPr>
          <w:rFonts w:hAnsi="宋体" w:cs="宋体"/>
          <w:color w:val="auto"/>
          <w:highlight w:val="none"/>
        </w:rPr>
      </w:pPr>
      <w:r>
        <w:rPr>
          <w:rFonts w:hint="eastAsia" w:hAnsi="宋体" w:cs="宋体"/>
          <w:color w:val="auto"/>
          <w:highlight w:val="none"/>
          <w:lang w:val="en-US" w:eastAsia="zh-CN"/>
        </w:rPr>
        <w:t>8</w:t>
      </w:r>
      <w:r>
        <w:rPr>
          <w:rFonts w:hint="eastAsia" w:hAnsi="宋体" w:cs="宋体"/>
          <w:color w:val="auto"/>
          <w:highlight w:val="none"/>
        </w:rPr>
        <w:t>.报价文件评审；</w:t>
      </w:r>
    </w:p>
    <w:p w14:paraId="597A3C9D">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lang w:val="en-US" w:eastAsia="zh-CN"/>
        </w:rPr>
        <w:t>9</w:t>
      </w:r>
      <w:r>
        <w:rPr>
          <w:rFonts w:hint="eastAsia" w:hAnsi="宋体" w:cs="宋体"/>
          <w:color w:val="auto"/>
          <w:highlight w:val="none"/>
        </w:rPr>
        <w:t>．由主持人公布报价文件无效的投标人名单、投标无效的原因，宣布综合</w:t>
      </w:r>
      <w:bookmarkStart w:id="29" w:name="_Hlk59371720"/>
      <w:r>
        <w:rPr>
          <w:rFonts w:hint="eastAsia" w:hAnsi="宋体" w:cs="宋体"/>
          <w:color w:val="auto"/>
          <w:highlight w:val="none"/>
        </w:rPr>
        <w:t>得分结果</w:t>
      </w:r>
      <w:bookmarkEnd w:id="29"/>
      <w:r>
        <w:rPr>
          <w:rFonts w:hint="eastAsia" w:hAnsi="宋体" w:cs="宋体"/>
          <w:color w:val="auto"/>
          <w:highlight w:val="none"/>
        </w:rPr>
        <w:t>及中标候选人名单。</w:t>
      </w:r>
      <w:r>
        <w:rPr>
          <w:rFonts w:hint="eastAsia" w:hAnsi="宋体" w:cs="宋体"/>
          <w:b/>
          <w:bCs/>
          <w:color w:val="auto"/>
          <w:highlight w:val="none"/>
          <w:u w:val="single"/>
        </w:rPr>
        <w:t>投标人可通过</w:t>
      </w:r>
      <w:bookmarkStart w:id="30" w:name="_Hlk59626287"/>
      <w:r>
        <w:rPr>
          <w:rFonts w:hint="eastAsia" w:hAnsi="宋体" w:cs="宋体"/>
          <w:b/>
          <w:bCs/>
          <w:color w:val="auto"/>
          <w:highlight w:val="none"/>
          <w:u w:val="single"/>
        </w:rPr>
        <w:t>临海市限额以下公共资源交易区域平台</w:t>
      </w:r>
      <w:bookmarkEnd w:id="30"/>
      <w:r>
        <w:rPr>
          <w:rFonts w:hint="eastAsia" w:hAnsi="宋体" w:cs="宋体"/>
          <w:b/>
          <w:bCs/>
          <w:color w:val="auto"/>
          <w:highlight w:val="none"/>
          <w:u w:val="single"/>
        </w:rPr>
        <w:t>-每日直播平台查看评审结果，请各投标人注意收看；</w:t>
      </w:r>
    </w:p>
    <w:p w14:paraId="2FC8DA13">
      <w:pPr>
        <w:pStyle w:val="31"/>
        <w:snapToGrid w:val="0"/>
        <w:spacing w:beforeLines="0" w:afterLines="0" w:line="420" w:lineRule="exact"/>
        <w:ind w:left="719" w:leftChars="228" w:hanging="240" w:hangingChars="100"/>
        <w:rPr>
          <w:rFonts w:hAnsi="宋体" w:cs="宋体"/>
          <w:color w:val="auto"/>
          <w:highlight w:val="none"/>
        </w:rPr>
      </w:pPr>
      <w:r>
        <w:rPr>
          <w:rFonts w:hint="eastAsia" w:hAnsi="宋体" w:cs="宋体"/>
          <w:color w:val="auto"/>
          <w:highlight w:val="none"/>
          <w:lang w:val="en-US" w:eastAsia="zh-CN"/>
        </w:rPr>
        <w:t>10</w:t>
      </w:r>
      <w:r>
        <w:rPr>
          <w:rFonts w:hint="eastAsia" w:hAnsi="宋体" w:cs="宋体"/>
          <w:color w:val="auto"/>
          <w:highlight w:val="none"/>
        </w:rPr>
        <w:t>．开标会议结束。</w:t>
      </w:r>
    </w:p>
    <w:p w14:paraId="57F77F11">
      <w:pPr>
        <w:pStyle w:val="31"/>
        <w:snapToGrid w:val="0"/>
        <w:spacing w:beforeLines="0" w:afterLines="0" w:line="420" w:lineRule="exact"/>
        <w:ind w:left="720" w:leftChars="228" w:hanging="241" w:hangingChars="100"/>
        <w:rPr>
          <w:rFonts w:hAnsi="宋体" w:cs="宋体"/>
          <w:color w:val="auto"/>
          <w:highlight w:val="none"/>
        </w:rPr>
      </w:pPr>
      <w:r>
        <w:rPr>
          <w:rFonts w:hint="eastAsia" w:hAnsi="宋体" w:cs="宋体"/>
          <w:b/>
          <w:color w:val="auto"/>
          <w:highlight w:val="none"/>
        </w:rPr>
        <w:t>五、评标</w:t>
      </w:r>
    </w:p>
    <w:p w14:paraId="4C8BE69B">
      <w:pPr>
        <w:pStyle w:val="31"/>
        <w:snapToGrid w:val="0"/>
        <w:spacing w:beforeLines="0" w:afterLines="0" w:line="420" w:lineRule="exact"/>
        <w:ind w:left="720" w:leftChars="228" w:hanging="241" w:hangingChars="100"/>
        <w:rPr>
          <w:rFonts w:hAnsi="宋体" w:cs="宋体"/>
          <w:color w:val="auto"/>
          <w:highlight w:val="none"/>
        </w:rPr>
      </w:pPr>
      <w:r>
        <w:rPr>
          <w:rFonts w:hint="eastAsia" w:hAnsi="宋体" w:cs="宋体"/>
          <w:b/>
          <w:color w:val="auto"/>
          <w:highlight w:val="none"/>
        </w:rPr>
        <w:t>（一）组建评标委员会</w:t>
      </w:r>
    </w:p>
    <w:p w14:paraId="1711E4D4">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（1）本项目评标委员会由招标人依法组建。</w:t>
      </w:r>
    </w:p>
    <w:p w14:paraId="121540FC">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（2）评标委员会成员与参与投标的投标人有下列情形之一的，应当回避：</w:t>
      </w:r>
    </w:p>
    <w:p w14:paraId="55989BE9">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①参加采购活动前3年内与投标人存在劳动关系；</w:t>
      </w:r>
    </w:p>
    <w:p w14:paraId="2B08F133">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②参加采购活动前3年内担任投标人的董事、监事；</w:t>
      </w:r>
    </w:p>
    <w:p w14:paraId="7D6D903F">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③参加采购活动前3年内是投标人的控股股东或者实际控制人；</w:t>
      </w:r>
    </w:p>
    <w:p w14:paraId="51222D88">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④与投标人的法定代表人或者负责人有夫妻、直系血亲、三代以内旁系血亲或者近姻亲关系；</w:t>
      </w:r>
    </w:p>
    <w:p w14:paraId="412F0E44">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⑤与投标人有其他可能影响采购活动公平、公正进行的关系。</w:t>
      </w:r>
    </w:p>
    <w:p w14:paraId="2731AD45">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（3）评标委员会负责具体评标事务，并独立履行下列职责：</w:t>
      </w:r>
    </w:p>
    <w:p w14:paraId="67527973">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1.审查、评价投标文件是否符合招标文件的商务、技术等实质性要求；</w:t>
      </w:r>
    </w:p>
    <w:p w14:paraId="27B3F913">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2.要求投标人对投标文件有关事项作出澄清或者说明；</w:t>
      </w:r>
    </w:p>
    <w:p w14:paraId="35EB3486">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3.对投标文件进行比较和评价；</w:t>
      </w:r>
    </w:p>
    <w:p w14:paraId="6F5D2648">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4.确定中标候选人名单，以及根据招标人委托直接确定中标人；</w:t>
      </w:r>
    </w:p>
    <w:p w14:paraId="487D9575">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5.向招标人、代理机构或者有关部门报告评标中发现的违法行为；</w:t>
      </w:r>
    </w:p>
    <w:p w14:paraId="6BA0315A">
      <w:pPr>
        <w:pStyle w:val="31"/>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6.法律法规规定的其他职责。</w:t>
      </w:r>
    </w:p>
    <w:p w14:paraId="7E465AE4">
      <w:pPr>
        <w:pStyle w:val="31"/>
        <w:snapToGrid w:val="0"/>
        <w:spacing w:beforeLines="0" w:afterLines="0" w:line="420" w:lineRule="exact"/>
        <w:ind w:firstLine="482" w:firstLineChars="200"/>
        <w:rPr>
          <w:rFonts w:hAnsi="宋体" w:cs="宋体"/>
          <w:color w:val="auto"/>
          <w:highlight w:val="none"/>
        </w:rPr>
      </w:pPr>
      <w:r>
        <w:rPr>
          <w:rFonts w:hint="eastAsia" w:hAnsi="宋体" w:cs="宋体"/>
          <w:b/>
          <w:color w:val="auto"/>
          <w:highlight w:val="none"/>
        </w:rPr>
        <w:t>（二）评标的方式</w:t>
      </w:r>
    </w:p>
    <w:p w14:paraId="1522D605">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本项目采用不公开方式评标，评标的依据为招标文件和投标文件，本项目采用电子评审方法。</w:t>
      </w:r>
    </w:p>
    <w:p w14:paraId="31DEFDCA">
      <w:pPr>
        <w:pStyle w:val="31"/>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（三）</w:t>
      </w:r>
      <w:r>
        <w:rPr>
          <w:rFonts w:hint="eastAsia" w:hAnsi="宋体" w:cs="宋体"/>
          <w:b/>
          <w:bCs/>
          <w:color w:val="auto"/>
          <w:highlight w:val="none"/>
        </w:rPr>
        <w:t>评标程序</w:t>
      </w:r>
    </w:p>
    <w:p w14:paraId="6A45C20A">
      <w:pPr>
        <w:snapToGrid w:val="0"/>
        <w:spacing w:line="420" w:lineRule="exact"/>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1.资格审查</w:t>
      </w:r>
    </w:p>
    <w:p w14:paraId="4BF69AC2">
      <w:pPr>
        <w:snapToGrid w:val="0"/>
        <w:spacing w:line="420" w:lineRule="exact"/>
        <w:ind w:firstLine="470" w:firstLineChars="196"/>
        <w:rPr>
          <w:rFonts w:ascii="宋体" w:hAnsi="宋体" w:cs="宋体"/>
          <w:b/>
          <w:bCs/>
          <w:color w:val="auto"/>
          <w:sz w:val="24"/>
          <w:highlight w:val="none"/>
        </w:rPr>
      </w:pPr>
      <w:r>
        <w:rPr>
          <w:rFonts w:hint="eastAsia" w:ascii="宋体" w:hAnsi="宋体" w:cs="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32F51635">
      <w:pPr>
        <w:snapToGrid w:val="0"/>
        <w:spacing w:line="420" w:lineRule="exact"/>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2.符合性审查</w:t>
      </w:r>
    </w:p>
    <w:p w14:paraId="372E22CE">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CDDE468">
      <w:pPr>
        <w:snapToGrid w:val="0"/>
        <w:spacing w:line="420" w:lineRule="exact"/>
        <w:ind w:firstLine="241" w:firstLineChars="100"/>
        <w:rPr>
          <w:rFonts w:ascii="宋体" w:hAnsi="宋体" w:cs="宋体"/>
          <w:b/>
          <w:color w:val="auto"/>
          <w:sz w:val="24"/>
          <w:highlight w:val="none"/>
        </w:rPr>
      </w:pPr>
      <w:r>
        <w:rPr>
          <w:rFonts w:hint="eastAsia" w:ascii="宋体" w:hAnsi="宋体" w:cs="宋体"/>
          <w:b/>
          <w:color w:val="auto"/>
          <w:sz w:val="24"/>
          <w:highlight w:val="none"/>
        </w:rPr>
        <w:t>（四）澄清问题的形式</w:t>
      </w:r>
    </w:p>
    <w:p w14:paraId="51C54E53">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对投标文件中含义不明确、同类问题表述不一致或者有明显文字和计算错误的内容，评标委员会可要求投标人作出必要的</w:t>
      </w:r>
      <w:bookmarkStart w:id="31" w:name="_Hlk59372079"/>
      <w:r>
        <w:rPr>
          <w:rFonts w:hint="eastAsia" w:hAnsi="宋体" w:cs="宋体"/>
          <w:color w:val="auto"/>
          <w:highlight w:val="none"/>
        </w:rPr>
        <w:t>澄清、说明</w:t>
      </w:r>
      <w:bookmarkEnd w:id="31"/>
      <w:r>
        <w:rPr>
          <w:rFonts w:hint="eastAsia" w:hAnsi="宋体" w:cs="宋体"/>
          <w:color w:val="auto"/>
          <w:highlight w:val="none"/>
        </w:rPr>
        <w:t>或者补正。评标委员会的澄清内容及投标人的澄清、说明或者补正均通过</w:t>
      </w:r>
      <w:bookmarkStart w:id="32" w:name="_Hlk59371846"/>
      <w:r>
        <w:rPr>
          <w:rFonts w:hint="eastAsia" w:hAnsi="宋体" w:cs="宋体"/>
          <w:color w:val="auto"/>
          <w:highlight w:val="none"/>
        </w:rPr>
        <w:t>电子交易平台交换数据电文。</w:t>
      </w:r>
      <w:bookmarkEnd w:id="32"/>
      <w:bookmarkStart w:id="33" w:name="_Hlk59700505"/>
      <w:r>
        <w:rPr>
          <w:rFonts w:hint="eastAsia" w:hAnsi="宋体" w:cs="宋体"/>
          <w:color w:val="auto"/>
          <w:highlight w:val="none"/>
        </w:rPr>
        <w:t>同时代理机构也将通过临海市限额以下公共资源交易区域平台--每日直播平台</w:t>
      </w:r>
      <w:bookmarkStart w:id="34" w:name="_Hlk59371920"/>
      <w:r>
        <w:rPr>
          <w:rFonts w:hint="eastAsia" w:hAnsi="宋体" w:cs="宋体"/>
          <w:color w:val="auto"/>
          <w:highlight w:val="none"/>
        </w:rPr>
        <w:t>进行问题澄清。</w:t>
      </w:r>
      <w:bookmarkEnd w:id="33"/>
    </w:p>
    <w:bookmarkEnd w:id="34"/>
    <w:p w14:paraId="6E5ADE9A">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评标委员会发出澄清内容后，投标人应当在代理机构及平台上</w:t>
      </w:r>
      <w:r>
        <w:rPr>
          <w:rFonts w:hint="eastAsia" w:ascii="宋体" w:hAnsi="宋体" w:cs="宋体"/>
          <w:b/>
          <w:bCs/>
          <w:color w:val="auto"/>
          <w:sz w:val="24"/>
          <w:highlight w:val="none"/>
          <w:u w:val="single"/>
        </w:rPr>
        <w:t>规定的时间内（</w:t>
      </w:r>
      <w:r>
        <w:rPr>
          <w:rFonts w:hint="eastAsia" w:ascii="宋体" w:hAnsi="宋体" w:cs="宋体"/>
          <w:b/>
          <w:bCs/>
          <w:color w:val="auto"/>
          <w:sz w:val="24"/>
          <w:highlight w:val="none"/>
          <w:u w:val="single"/>
          <w:lang w:val="en-US" w:eastAsia="zh-CN"/>
        </w:rPr>
        <w:t>30</w:t>
      </w:r>
      <w:r>
        <w:rPr>
          <w:rFonts w:hint="eastAsia" w:ascii="宋体" w:hAnsi="宋体" w:cs="宋体"/>
          <w:b/>
          <w:bCs/>
          <w:color w:val="auto"/>
          <w:sz w:val="24"/>
          <w:highlight w:val="none"/>
          <w:u w:val="single"/>
        </w:rPr>
        <w:t>分钟，具体时间以临海市限额以下公共资源交易区域平台系统上显示的时间为准）</w:t>
      </w:r>
      <w:r>
        <w:rPr>
          <w:rFonts w:hint="eastAsia" w:ascii="宋体" w:hAnsi="宋体" w:cs="宋体"/>
          <w:b/>
          <w:bCs/>
          <w:color w:val="auto"/>
          <w:sz w:val="24"/>
          <w:highlight w:val="none"/>
        </w:rPr>
        <w:t>，</w:t>
      </w:r>
      <w:r>
        <w:rPr>
          <w:rFonts w:hint="eastAsia" w:ascii="宋体" w:hAnsi="宋体" w:cs="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43B4E0A1">
      <w:pPr>
        <w:snapToGrid w:val="0"/>
        <w:spacing w:line="420" w:lineRule="exact"/>
        <w:ind w:firstLine="241" w:firstLineChars="100"/>
        <w:rPr>
          <w:rFonts w:ascii="宋体" w:hAnsi="宋体" w:cs="宋体"/>
          <w:b/>
          <w:color w:val="auto"/>
          <w:sz w:val="24"/>
          <w:highlight w:val="none"/>
        </w:rPr>
      </w:pPr>
      <w:r>
        <w:rPr>
          <w:rFonts w:hint="eastAsia" w:ascii="宋体" w:hAnsi="宋体" w:cs="宋体"/>
          <w:b/>
          <w:color w:val="auto"/>
          <w:sz w:val="24"/>
          <w:highlight w:val="none"/>
        </w:rPr>
        <w:t>（五）错误修正</w:t>
      </w:r>
    </w:p>
    <w:p w14:paraId="1491C0E3">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3E993867">
      <w:pPr>
        <w:numPr>
          <w:ilvl w:val="0"/>
          <w:numId w:val="4"/>
        </w:num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780657DF">
      <w:pPr>
        <w:numPr>
          <w:ilvl w:val="0"/>
          <w:numId w:val="4"/>
        </w:num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56DF0BA5">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（三）单价金额小数点或者百分比有明显错位的，以开标一览表的总价为准，并修改单价；</w:t>
      </w:r>
    </w:p>
    <w:p w14:paraId="2E1986F7">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（四）总价金额与按单价汇总金额不一致的，以单价金额计算结果为准。</w:t>
      </w:r>
    </w:p>
    <w:p w14:paraId="7973B89B">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（五）对不同文字文本投标文件的解释发生异议的，以中文文本为准。</w:t>
      </w:r>
    </w:p>
    <w:p w14:paraId="45636F1D">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D6DB815">
      <w:pPr>
        <w:pStyle w:val="31"/>
        <w:tabs>
          <w:tab w:val="left" w:pos="630"/>
        </w:tabs>
        <w:snapToGrid w:val="0"/>
        <w:spacing w:beforeLines="0" w:afterLines="0" w:line="420" w:lineRule="exact"/>
        <w:ind w:firstLine="241" w:firstLineChars="100"/>
        <w:rPr>
          <w:rFonts w:hAnsi="宋体" w:cs="宋体"/>
          <w:b/>
          <w:color w:val="auto"/>
          <w:highlight w:val="none"/>
        </w:rPr>
      </w:pPr>
      <w:r>
        <w:rPr>
          <w:rFonts w:hint="eastAsia" w:hAnsi="宋体" w:cs="宋体"/>
          <w:b/>
          <w:color w:val="auto"/>
          <w:highlight w:val="none"/>
        </w:rPr>
        <w:t>（六）评标原则和评标办法</w:t>
      </w:r>
    </w:p>
    <w:p w14:paraId="35F0A723">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E791D04">
      <w:pPr>
        <w:pStyle w:val="31"/>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2.评标办法。本项目评标办法是</w:t>
      </w:r>
      <w:r>
        <w:rPr>
          <w:rFonts w:hint="eastAsia" w:hAnsi="宋体" w:cs="宋体"/>
          <w:b/>
          <w:color w:val="auto"/>
          <w:highlight w:val="none"/>
          <w:u w:val="single"/>
        </w:rPr>
        <w:t>综合评分法</w:t>
      </w:r>
      <w:r>
        <w:rPr>
          <w:rFonts w:hint="eastAsia" w:hAnsi="宋体" w:cs="宋体"/>
          <w:color w:val="auto"/>
          <w:highlight w:val="none"/>
        </w:rPr>
        <w:t>，具体评标内容及评分标准等详见《第四章：评标办法及评分标准》。</w:t>
      </w:r>
    </w:p>
    <w:p w14:paraId="7849CE01">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六、定标</w:t>
      </w:r>
    </w:p>
    <w:p w14:paraId="7A87D93F">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（一）确定中标人</w:t>
      </w:r>
    </w:p>
    <w:p w14:paraId="5EEE7B04">
      <w:pPr>
        <w:spacing w:line="420" w:lineRule="exact"/>
        <w:ind w:firstLine="480" w:firstLineChars="200"/>
        <w:rPr>
          <w:rFonts w:ascii="宋体" w:hAnsi="宋体" w:cs="宋体"/>
          <w:b/>
          <w:bCs/>
          <w:color w:val="auto"/>
          <w:sz w:val="24"/>
          <w:highlight w:val="none"/>
        </w:rPr>
      </w:pPr>
      <w:r>
        <w:rPr>
          <w:rFonts w:hint="eastAsia" w:ascii="宋体" w:hAnsi="宋体" w:cs="宋体"/>
          <w:bCs/>
          <w:color w:val="auto"/>
          <w:sz w:val="24"/>
          <w:highlight w:val="none"/>
        </w:rPr>
        <w:t>1.招标人在评标结束后2</w:t>
      </w:r>
      <w:r>
        <w:rPr>
          <w:rFonts w:hint="eastAsia" w:ascii="宋体" w:hAnsi="宋体" w:cs="宋体"/>
          <w:color w:val="auto"/>
          <w:sz w:val="24"/>
          <w:highlight w:val="none"/>
        </w:rPr>
        <w:t>个工作日内将评标报告交招标人确认</w:t>
      </w:r>
      <w:r>
        <w:rPr>
          <w:rFonts w:hint="eastAsia" w:ascii="宋体" w:hAnsi="宋体" w:cs="宋体"/>
          <w:b/>
          <w:bCs/>
          <w:color w:val="auto"/>
          <w:sz w:val="24"/>
          <w:highlight w:val="none"/>
        </w:rPr>
        <w:t>，</w:t>
      </w:r>
      <w:r>
        <w:rPr>
          <w:rFonts w:hint="eastAsia" w:ascii="宋体" w:hAnsi="宋体" w:cs="宋体"/>
          <w:color w:val="auto"/>
          <w:sz w:val="24"/>
          <w:highlight w:val="none"/>
        </w:rPr>
        <w:t>招标人应在收到评标报告后5个工作日内对评标结果进行确认。如有投标人对评标结果提出质疑的，招标人可在质疑处理完毕后确定中标人。</w:t>
      </w:r>
    </w:p>
    <w:p w14:paraId="41A29D70">
      <w:pPr>
        <w:snapToGrid w:val="0"/>
        <w:spacing w:line="420" w:lineRule="exact"/>
        <w:ind w:firstLine="480" w:firstLineChars="200"/>
        <w:rPr>
          <w:rFonts w:ascii="宋体" w:hAnsi="宋体" w:cs="宋体"/>
          <w:b/>
          <w:bCs/>
          <w:color w:val="auto"/>
          <w:sz w:val="24"/>
          <w:highlight w:val="none"/>
          <w:u w:val="singl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cs="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02F29202">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.定标中，应坚持第一中标候选人为首选中标人，但出现其它原因的，招标人可以确定排名第二的候选人为中标人，</w:t>
      </w:r>
      <w:r>
        <w:rPr>
          <w:rFonts w:hint="eastAsia" w:ascii="宋体" w:hAnsi="宋体" w:cs="宋体"/>
          <w:b/>
          <w:color w:val="auto"/>
          <w:sz w:val="24"/>
          <w:highlight w:val="none"/>
        </w:rPr>
        <w:t>或重新组织招标。</w:t>
      </w:r>
      <w:bookmarkStart w:id="35" w:name="_Hlk59369379"/>
    </w:p>
    <w:p w14:paraId="2D4AAB4B">
      <w:pPr>
        <w:snapToGrid w:val="0"/>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lang w:val="en-US" w:eastAsia="zh-CN"/>
        </w:rPr>
        <w:t>4</w:t>
      </w:r>
      <w:r>
        <w:rPr>
          <w:rFonts w:hint="eastAsia" w:ascii="宋体" w:hAnsi="宋体" w:cs="宋体"/>
          <w:b/>
          <w:color w:val="auto"/>
          <w:sz w:val="24"/>
          <w:highlight w:val="none"/>
        </w:rPr>
        <w:t>.本项目为非政府采购项目，如中标通知书发出后，中标人放弃中标项目的，参照《政府采购法》第四十六条之规定，应当依法承担法律责任。</w:t>
      </w:r>
    </w:p>
    <w:p w14:paraId="4EBD5A21">
      <w:pPr>
        <w:snapToGrid w:val="0"/>
        <w:spacing w:line="420" w:lineRule="exact"/>
        <w:rPr>
          <w:rFonts w:ascii="宋体" w:hAnsi="宋体" w:cs="宋体"/>
          <w:b/>
          <w:color w:val="auto"/>
          <w:sz w:val="24"/>
          <w:highlight w:val="none"/>
        </w:rPr>
      </w:pPr>
      <w:r>
        <w:rPr>
          <w:rFonts w:hint="eastAsia" w:ascii="宋体" w:hAnsi="宋体" w:cs="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A2F98BF">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b/>
          <w:bCs/>
          <w:color w:val="auto"/>
          <w:sz w:val="24"/>
          <w:highlight w:val="none"/>
          <w:u w:val="single"/>
        </w:rPr>
        <w:t>为营造更优质的营商环境，</w:t>
      </w:r>
      <w:bookmarkStart w:id="36" w:name="_Hlk59708763"/>
      <w:r>
        <w:rPr>
          <w:rFonts w:hint="eastAsia" w:ascii="宋体" w:hAnsi="宋体" w:cs="宋体"/>
          <w:b/>
          <w:bCs/>
          <w:color w:val="auto"/>
          <w:sz w:val="24"/>
          <w:highlight w:val="none"/>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color w:val="auto"/>
          <w:sz w:val="24"/>
          <w:highlight w:val="none"/>
          <w:u w:val="single"/>
        </w:rPr>
        <w:t>同时中标人应在中标后</w:t>
      </w:r>
      <w:bookmarkStart w:id="38" w:name="_Hlk59521069"/>
      <w:r>
        <w:rPr>
          <w:rFonts w:hint="eastAsia" w:ascii="宋体" w:hAnsi="宋体" w:cs="宋体"/>
          <w:b/>
          <w:bCs/>
          <w:color w:val="auto"/>
          <w:sz w:val="24"/>
          <w:highlight w:val="none"/>
          <w:u w:val="single"/>
        </w:rPr>
        <w:t>以邮寄</w:t>
      </w:r>
      <w:bookmarkEnd w:id="38"/>
      <w:r>
        <w:rPr>
          <w:rFonts w:hint="eastAsia" w:ascii="宋体" w:hAnsi="宋体" w:cs="宋体"/>
          <w:b/>
          <w:bCs/>
          <w:color w:val="auto"/>
          <w:sz w:val="24"/>
          <w:highlight w:val="none"/>
          <w:u w:val="single"/>
        </w:rPr>
        <w:t>或其他方式向代理机构提供3套与电子版投标文件相同的胶装版本投标文件。</w:t>
      </w:r>
      <w:bookmarkEnd w:id="35"/>
      <w:bookmarkEnd w:id="37"/>
    </w:p>
    <w:p w14:paraId="2EF43986">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七、合同授予</w:t>
      </w:r>
    </w:p>
    <w:p w14:paraId="5239CAC9">
      <w:pPr>
        <w:snapToGrid w:val="0"/>
        <w:spacing w:line="420" w:lineRule="exact"/>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（一）签订合同</w:t>
      </w:r>
    </w:p>
    <w:p w14:paraId="28A15E50">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1.招标人与中标</w:t>
      </w:r>
      <w:r>
        <w:rPr>
          <w:rFonts w:hint="eastAsia" w:ascii="宋体" w:hAnsi="宋体" w:cs="宋体"/>
          <w:b/>
          <w:color w:val="auto"/>
          <w:sz w:val="24"/>
          <w:highlight w:val="none"/>
        </w:rPr>
        <w:t>人应当在《中标通知书》发出之日起30日内签订采购合同，</w:t>
      </w:r>
      <w:r>
        <w:rPr>
          <w:rFonts w:hint="eastAsia" w:ascii="宋体" w:hAnsi="宋体" w:cs="宋体"/>
          <w:color w:val="auto"/>
          <w:sz w:val="24"/>
          <w:highlight w:val="none"/>
        </w:rPr>
        <w:t>并且在同一时间送至代理机构见证盖章（合同一式不少于四份，招标人与中标人各执一份，</w:t>
      </w:r>
      <w:bookmarkStart w:id="39" w:name="_Hlk59626706"/>
      <w:r>
        <w:rPr>
          <w:rFonts w:hint="eastAsia" w:ascii="宋体" w:hAnsi="宋体" w:cs="宋体"/>
          <w:color w:val="auto"/>
          <w:sz w:val="24"/>
          <w:highlight w:val="none"/>
        </w:rPr>
        <w:t>代理机构</w:t>
      </w:r>
      <w:bookmarkEnd w:id="39"/>
      <w:r>
        <w:rPr>
          <w:rFonts w:hint="eastAsia" w:ascii="宋体" w:hAnsi="宋体" w:cs="宋体"/>
          <w:color w:val="auto"/>
          <w:sz w:val="24"/>
          <w:highlight w:val="none"/>
        </w:rPr>
        <w:t>留存二份），招标人对合同内容进行审查，如发现与采购结果和投标承诺内容不一致的，予以纠正。</w:t>
      </w:r>
      <w:r>
        <w:rPr>
          <w:rFonts w:hint="eastAsia" w:ascii="宋体" w:hAnsi="宋体" w:cs="宋体"/>
          <w:b/>
          <w:bCs/>
          <w:color w:val="auto"/>
          <w:sz w:val="24"/>
          <w:highlight w:val="none"/>
          <w:u w:val="single"/>
        </w:rPr>
        <w:t>为营造更优质的营商环境，</w:t>
      </w:r>
      <w:bookmarkStart w:id="40" w:name="_Hlk59627623"/>
      <w:r>
        <w:rPr>
          <w:rFonts w:hint="eastAsia" w:ascii="宋体" w:hAnsi="宋体" w:cs="宋体"/>
          <w:b/>
          <w:bCs/>
          <w:color w:val="auto"/>
          <w:sz w:val="24"/>
          <w:highlight w:val="none"/>
          <w:u w:val="single"/>
        </w:rPr>
        <w:t>中标人可选择代理机构以邮寄方式向其寄达</w:t>
      </w:r>
      <w:bookmarkStart w:id="41" w:name="_Hlk59708805"/>
      <w:r>
        <w:rPr>
          <w:rFonts w:hint="eastAsia" w:ascii="宋体" w:hAnsi="宋体" w:cs="宋体"/>
          <w:b/>
          <w:bCs/>
          <w:color w:val="auto"/>
          <w:sz w:val="24"/>
          <w:highlight w:val="none"/>
          <w:u w:val="single"/>
        </w:rPr>
        <w:t>《采购合同》</w:t>
      </w:r>
      <w:bookmarkEnd w:id="41"/>
      <w:r>
        <w:rPr>
          <w:rFonts w:hint="eastAsia" w:ascii="宋体" w:hAnsi="宋体" w:cs="宋体"/>
          <w:b/>
          <w:bCs/>
          <w:color w:val="auto"/>
          <w:sz w:val="24"/>
          <w:highlight w:val="none"/>
          <w:u w:val="single"/>
        </w:rPr>
        <w:t>。</w:t>
      </w:r>
    </w:p>
    <w:bookmarkEnd w:id="40"/>
    <w:p w14:paraId="0C4560B8">
      <w:pPr>
        <w:spacing w:line="42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cs="宋体"/>
          <w:bCs/>
          <w:color w:val="auto"/>
          <w:sz w:val="24"/>
          <w:highlight w:val="none"/>
        </w:rPr>
        <w:t>以重新开展采购活动。拒绝签订采购合同的成交人不得参加对该项目重新开展的采购活动。</w:t>
      </w:r>
    </w:p>
    <w:p w14:paraId="2ED04BB6">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（二）履约保证金</w:t>
      </w:r>
    </w:p>
    <w:p w14:paraId="38A7E1D8">
      <w:pPr>
        <w:spacing w:line="420" w:lineRule="exact"/>
        <w:ind w:left="479" w:leftChars="228"/>
        <w:rPr>
          <w:rFonts w:ascii="宋体" w:hAnsi="宋体" w:cs="宋体"/>
          <w:color w:val="auto"/>
          <w:sz w:val="24"/>
          <w:highlight w:val="none"/>
        </w:rPr>
      </w:pPr>
      <w:bookmarkStart w:id="42" w:name="_Toc466534750"/>
      <w:r>
        <w:rPr>
          <w:rFonts w:hint="eastAsia" w:ascii="宋体" w:hAnsi="宋体" w:cs="宋体"/>
          <w:color w:val="auto"/>
          <w:sz w:val="24"/>
          <w:highlight w:val="none"/>
        </w:rPr>
        <w:t>签订合同后，如中标人不按双方合同约定履约，则其履约保证金将予以扣罚，履约保证金不足以赔偿损失的，按实际损失赔偿。</w:t>
      </w:r>
    </w:p>
    <w:p w14:paraId="2484A2D9">
      <w:pPr>
        <w:pStyle w:val="31"/>
        <w:snapToGrid w:val="0"/>
        <w:spacing w:beforeLines="0" w:afterLines="0" w:line="420" w:lineRule="exact"/>
        <w:ind w:firstLine="480" w:firstLineChars="200"/>
        <w:rPr>
          <w:rFonts w:hAnsi="宋体" w:cs="宋体"/>
          <w:color w:val="auto"/>
          <w:highlight w:val="none"/>
        </w:rPr>
      </w:pPr>
    </w:p>
    <w:p w14:paraId="45D47775">
      <w:pPr>
        <w:spacing w:beforeLines="50" w:afterLines="50" w:line="420" w:lineRule="exact"/>
        <w:jc w:val="center"/>
        <w:outlineLvl w:val="0"/>
        <w:rPr>
          <w:rFonts w:ascii="宋体" w:hAnsi="宋体" w:cs="宋体"/>
          <w:b/>
          <w:color w:val="auto"/>
          <w:sz w:val="24"/>
          <w:highlight w:val="none"/>
        </w:rPr>
      </w:pPr>
      <w:r>
        <w:rPr>
          <w:rFonts w:hint="eastAsia" w:ascii="宋体" w:hAnsi="宋体" w:cs="宋体"/>
          <w:b/>
          <w:color w:val="auto"/>
          <w:sz w:val="24"/>
          <w:highlight w:val="none"/>
        </w:rPr>
        <w:br w:type="page"/>
      </w:r>
    </w:p>
    <w:p w14:paraId="08523B52">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3" w:name="_Toc10393"/>
      <w:bookmarkStart w:id="44" w:name="_Toc25225"/>
      <w:r>
        <w:rPr>
          <w:rFonts w:hint="eastAsia" w:ascii="宋体" w:hAnsi="宋体" w:eastAsia="宋体" w:cs="Arial"/>
          <w:b/>
          <w:bCs/>
          <w:color w:val="auto"/>
          <w:sz w:val="28"/>
          <w:szCs w:val="28"/>
          <w:highlight w:val="none"/>
        </w:rPr>
        <w:t>第四章评标办法及评分标准</w:t>
      </w:r>
      <w:bookmarkEnd w:id="42"/>
      <w:bookmarkEnd w:id="43"/>
      <w:bookmarkEnd w:id="44"/>
    </w:p>
    <w:p w14:paraId="3DA08821">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为公正、公平、科学地选择中标人，结合本项目的实际，制定本办法。</w:t>
      </w:r>
    </w:p>
    <w:p w14:paraId="433F587D">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0D4B1C34">
      <w:pPr>
        <w:spacing w:beforeLines="50" w:afterLines="50" w:line="400" w:lineRule="exact"/>
        <w:ind w:firstLine="470" w:firstLineChars="196"/>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一、总则</w:t>
      </w:r>
    </w:p>
    <w:p w14:paraId="31EDF1DA">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本次评标采用综合评分法，总分为100分，其中商务技术分</w:t>
      </w:r>
      <w:r>
        <w:rPr>
          <w:rFonts w:hint="eastAsia" w:ascii="宋体" w:hAnsi="宋体" w:cs="宋体"/>
          <w:bCs/>
          <w:color w:val="auto"/>
          <w:sz w:val="24"/>
          <w:szCs w:val="24"/>
          <w:highlight w:val="none"/>
          <w:lang w:val="en-US" w:eastAsia="zh-CN"/>
        </w:rPr>
        <w:t>70</w:t>
      </w:r>
      <w:r>
        <w:rPr>
          <w:rFonts w:hint="eastAsia" w:ascii="宋体" w:hAnsi="宋体" w:eastAsia="宋体" w:cs="宋体"/>
          <w:bCs/>
          <w:color w:val="auto"/>
          <w:sz w:val="24"/>
          <w:szCs w:val="24"/>
          <w:highlight w:val="none"/>
        </w:rPr>
        <w:t>分、价格分</w:t>
      </w:r>
      <w:r>
        <w:rPr>
          <w:rFonts w:hint="eastAsia" w:ascii="宋体" w:hAnsi="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0A69FC4A">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投标人评标综合得分=商务技术分+价格分</w:t>
      </w:r>
    </w:p>
    <w:p w14:paraId="72FC4E76">
      <w:pPr>
        <w:numPr>
          <w:ilvl w:val="0"/>
          <w:numId w:val="5"/>
        </w:numPr>
        <w:spacing w:beforeLines="50" w:afterLines="50"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评标内容及标准</w:t>
      </w:r>
    </w:p>
    <w:p w14:paraId="0C0B93BA">
      <w:pPr>
        <w:widowControl w:val="0"/>
        <w:spacing w:beforeLines="50" w:afterLines="50" w:line="400" w:lineRule="exact"/>
        <w:ind w:firstLine="0"/>
        <w:jc w:val="both"/>
        <w:rPr>
          <w:rFonts w:ascii="宋体" w:hAnsi="宋体" w:eastAsia="宋体" w:cs="Times New Roman"/>
          <w:b/>
          <w:bCs/>
          <w:color w:val="auto"/>
          <w:spacing w:val="-4"/>
          <w:kern w:val="0"/>
          <w:sz w:val="24"/>
          <w:szCs w:val="24"/>
          <w:highlight w:val="none"/>
          <w:lang w:val="en-US" w:eastAsia="zh-CN" w:bidi="ar-SA"/>
        </w:rPr>
      </w:pPr>
      <w:r>
        <w:rPr>
          <w:rFonts w:hint="eastAsia" w:ascii="宋体" w:hAnsi="宋体" w:eastAsia="宋体" w:cs="Times New Roman"/>
          <w:b/>
          <w:color w:val="auto"/>
          <w:spacing w:val="-4"/>
          <w:kern w:val="0"/>
          <w:sz w:val="24"/>
          <w:szCs w:val="24"/>
          <w:highlight w:val="none"/>
          <w:lang w:val="en-US" w:eastAsia="zh-CN" w:bidi="ar-SA"/>
        </w:rPr>
        <w:t>（一）</w:t>
      </w:r>
      <w:r>
        <w:rPr>
          <w:rFonts w:hint="eastAsia" w:ascii="宋体" w:hAnsi="宋体" w:eastAsia="宋体" w:cs="Times New Roman"/>
          <w:b/>
          <w:bCs/>
          <w:color w:val="auto"/>
          <w:spacing w:val="-4"/>
          <w:kern w:val="0"/>
          <w:sz w:val="24"/>
          <w:szCs w:val="24"/>
          <w:highlight w:val="none"/>
          <w:lang w:val="en-US" w:eastAsia="zh-CN" w:bidi="ar-SA"/>
        </w:rPr>
        <w:t>价格分（</w:t>
      </w:r>
      <w:r>
        <w:rPr>
          <w:rFonts w:hint="eastAsia" w:ascii="宋体" w:hAnsi="宋体" w:cs="Times New Roman"/>
          <w:b/>
          <w:bCs/>
          <w:color w:val="auto"/>
          <w:spacing w:val="-4"/>
          <w:kern w:val="0"/>
          <w:sz w:val="24"/>
          <w:szCs w:val="24"/>
          <w:highlight w:val="none"/>
          <w:lang w:val="en-US" w:eastAsia="zh-CN" w:bidi="ar-SA"/>
        </w:rPr>
        <w:t>30</w:t>
      </w:r>
      <w:r>
        <w:rPr>
          <w:rFonts w:hint="eastAsia" w:ascii="宋体" w:hAnsi="宋体" w:eastAsia="宋体" w:cs="Times New Roman"/>
          <w:b/>
          <w:color w:val="auto"/>
          <w:spacing w:val="0"/>
          <w:kern w:val="0"/>
          <w:sz w:val="24"/>
          <w:szCs w:val="24"/>
          <w:highlight w:val="none"/>
          <w:lang w:val="en-US" w:eastAsia="zh-CN" w:bidi="ar-SA"/>
        </w:rPr>
        <w:t>分</w:t>
      </w:r>
      <w:r>
        <w:rPr>
          <w:rFonts w:hint="eastAsia" w:ascii="宋体" w:hAnsi="宋体" w:eastAsia="宋体" w:cs="Times New Roman"/>
          <w:b/>
          <w:bCs/>
          <w:color w:val="auto"/>
          <w:spacing w:val="-4"/>
          <w:kern w:val="0"/>
          <w:sz w:val="24"/>
          <w:szCs w:val="24"/>
          <w:highlight w:val="none"/>
          <w:lang w:val="en-US" w:eastAsia="zh-CN" w:bidi="ar-SA"/>
        </w:rPr>
        <w:t>）</w:t>
      </w:r>
    </w:p>
    <w:p w14:paraId="61363C0A">
      <w:pPr>
        <w:widowControl w:val="0"/>
        <w:spacing w:beforeLines="50" w:afterLines="50" w:line="400" w:lineRule="exact"/>
        <w:ind w:firstLine="795" w:firstLineChars="343"/>
        <w:jc w:val="both"/>
        <w:rPr>
          <w:rFonts w:ascii="宋体" w:hAnsi="宋体" w:eastAsia="宋体" w:cs="Times New Roman"/>
          <w:bCs/>
          <w:color w:val="auto"/>
          <w:spacing w:val="-4"/>
          <w:kern w:val="0"/>
          <w:sz w:val="24"/>
          <w:szCs w:val="24"/>
          <w:highlight w:val="none"/>
          <w:lang w:val="en-US" w:eastAsia="zh-CN" w:bidi="ar-SA"/>
        </w:rPr>
      </w:pPr>
      <w:r>
        <w:rPr>
          <w:rFonts w:hint="eastAsia" w:ascii="宋体" w:hAnsi="宋体" w:eastAsia="宋体" w:cs="Times New Roman"/>
          <w:bCs/>
          <w:color w:val="auto"/>
          <w:spacing w:val="-4"/>
          <w:kern w:val="0"/>
          <w:sz w:val="24"/>
          <w:szCs w:val="24"/>
          <w:highlight w:val="none"/>
          <w:lang w:val="en-US" w:eastAsia="zh-CN" w:bidi="ar-SA"/>
        </w:rPr>
        <w:t>价格分采用低价优先法计算，即满足招标文件要求且投标价格最低的投标报价为评标基准价，其他投标人的价格分按照下列公式计算：</w:t>
      </w:r>
    </w:p>
    <w:p w14:paraId="4136D991">
      <w:pPr>
        <w:spacing w:beforeLines="50" w:afterLines="50" w:line="400" w:lineRule="exact"/>
        <w:ind w:firstLine="720" w:firstLineChars="30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价格分=（评标基准价/投标报价）×</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0%×100</w:t>
      </w:r>
    </w:p>
    <w:p w14:paraId="79B0A25C">
      <w:pPr>
        <w:numPr>
          <w:ilvl w:val="0"/>
          <w:numId w:val="0"/>
        </w:numPr>
        <w:spacing w:line="400" w:lineRule="exact"/>
        <w:rPr>
          <w:rFonts w:hint="eastAsia" w:ascii="宋体" w:hAnsi="宋体" w:cs="宋体"/>
          <w:color w:val="auto"/>
          <w:sz w:val="24"/>
          <w:highlight w:val="none"/>
          <w:lang w:val="zh-CN"/>
        </w:rPr>
      </w:pPr>
      <w:r>
        <w:rPr>
          <w:rFonts w:hint="eastAsia" w:ascii="宋体" w:hAnsi="宋体" w:cs="Times New Roman"/>
          <w:b/>
          <w:bCs/>
          <w:color w:val="auto"/>
          <w:spacing w:val="-4"/>
          <w:kern w:val="0"/>
          <w:sz w:val="24"/>
          <w:szCs w:val="24"/>
          <w:highlight w:val="none"/>
          <w:lang w:val="en-US" w:eastAsia="zh-CN" w:bidi="ar-SA"/>
        </w:rPr>
        <w:t>（二）</w:t>
      </w:r>
      <w:r>
        <w:rPr>
          <w:rFonts w:hint="eastAsia" w:ascii="宋体" w:hAnsi="宋体" w:eastAsia="宋体" w:cs="Times New Roman"/>
          <w:b/>
          <w:bCs/>
          <w:color w:val="auto"/>
          <w:spacing w:val="-4"/>
          <w:kern w:val="0"/>
          <w:sz w:val="24"/>
          <w:szCs w:val="24"/>
          <w:highlight w:val="none"/>
          <w:lang w:val="en-US" w:eastAsia="zh-CN" w:bidi="ar-SA"/>
        </w:rPr>
        <w:t>商务技术分（</w:t>
      </w:r>
      <w:r>
        <w:rPr>
          <w:rFonts w:hint="eastAsia" w:ascii="宋体" w:hAnsi="宋体" w:cs="Times New Roman"/>
          <w:b/>
          <w:bCs/>
          <w:color w:val="auto"/>
          <w:spacing w:val="-4"/>
          <w:kern w:val="0"/>
          <w:sz w:val="24"/>
          <w:szCs w:val="24"/>
          <w:highlight w:val="none"/>
          <w:lang w:val="en-US" w:eastAsia="zh-CN" w:bidi="ar-SA"/>
        </w:rPr>
        <w:t>70</w:t>
      </w:r>
      <w:r>
        <w:rPr>
          <w:rFonts w:hint="eastAsia" w:ascii="宋体" w:hAnsi="宋体" w:eastAsia="宋体" w:cs="Times New Roman"/>
          <w:b/>
          <w:bCs/>
          <w:color w:val="auto"/>
          <w:spacing w:val="-4"/>
          <w:kern w:val="0"/>
          <w:sz w:val="24"/>
          <w:szCs w:val="24"/>
          <w:highlight w:val="none"/>
          <w:lang w:val="en-US" w:eastAsia="zh-CN" w:bidi="ar-SA"/>
        </w:rPr>
        <w:t>分）</w:t>
      </w:r>
    </w:p>
    <w:p w14:paraId="6D819006">
      <w:pPr>
        <w:numPr>
          <w:ilvl w:val="0"/>
          <w:numId w:val="0"/>
        </w:numPr>
        <w:spacing w:line="400" w:lineRule="exact"/>
        <w:ind w:firstLine="720" w:firstLineChars="300"/>
        <w:rPr>
          <w:rFonts w:hint="eastAsia" w:ascii="宋体" w:hAnsi="宋体" w:cs="宋体"/>
          <w:color w:val="auto"/>
          <w:sz w:val="24"/>
          <w:highlight w:val="none"/>
          <w:lang w:val="zh-CN"/>
        </w:rPr>
      </w:pPr>
      <w:r>
        <w:rPr>
          <w:rFonts w:hint="eastAsia" w:ascii="宋体" w:hAnsi="宋体" w:cs="宋体"/>
          <w:color w:val="auto"/>
          <w:sz w:val="24"/>
          <w:highlight w:val="none"/>
          <w:lang w:val="zh-CN"/>
        </w:rPr>
        <w:t>评标委员会对通过符合性审查的投标人的投标技术参数或方案充分审核后，进行综合评定独立打分。</w:t>
      </w:r>
    </w:p>
    <w:tbl>
      <w:tblPr>
        <w:tblStyle w:val="51"/>
        <w:tblW w:w="5846" w:type="pct"/>
        <w:tblInd w:w="-5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1178"/>
        <w:gridCol w:w="977"/>
        <w:gridCol w:w="7474"/>
      </w:tblGrid>
      <w:tr w14:paraId="0C7AE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97" w:type="pct"/>
            <w:shd w:val="clear" w:color="000000" w:fill="FFFFFF"/>
            <w:noWrap w:val="0"/>
            <w:vAlign w:val="center"/>
          </w:tcPr>
          <w:p w14:paraId="698EA8E4">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563" w:type="pct"/>
            <w:shd w:val="clear" w:color="000000" w:fill="FFFFFF"/>
            <w:noWrap w:val="0"/>
            <w:vAlign w:val="center"/>
          </w:tcPr>
          <w:p w14:paraId="5B179EFC">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评分内容</w:t>
            </w:r>
          </w:p>
        </w:tc>
        <w:tc>
          <w:tcPr>
            <w:tcW w:w="467" w:type="pct"/>
            <w:shd w:val="clear" w:color="000000" w:fill="FFFFFF"/>
            <w:noWrap w:val="0"/>
            <w:vAlign w:val="center"/>
          </w:tcPr>
          <w:p w14:paraId="0504EF7E">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3572" w:type="pct"/>
            <w:shd w:val="clear" w:color="000000" w:fill="FFFFFF"/>
            <w:noWrap w:val="0"/>
            <w:vAlign w:val="center"/>
          </w:tcPr>
          <w:p w14:paraId="7FE8DCB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r>
      <w:tr w14:paraId="6830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vMerge w:val="restart"/>
            <w:shd w:val="clear" w:color="000000" w:fill="FFFFFF"/>
            <w:noWrap w:val="0"/>
            <w:vAlign w:val="center"/>
          </w:tcPr>
          <w:p w14:paraId="1C8F315A">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p>
        </w:tc>
        <w:tc>
          <w:tcPr>
            <w:tcW w:w="563" w:type="pct"/>
            <w:vMerge w:val="restart"/>
            <w:shd w:val="clear" w:color="000000" w:fill="FFFFFF"/>
            <w:noWrap w:val="0"/>
            <w:vAlign w:val="center"/>
          </w:tcPr>
          <w:p w14:paraId="22DEE02B">
            <w:pPr>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投标人综合实力</w:t>
            </w:r>
          </w:p>
        </w:tc>
        <w:tc>
          <w:tcPr>
            <w:tcW w:w="467" w:type="pct"/>
            <w:vMerge w:val="restart"/>
            <w:shd w:val="clear" w:color="000000" w:fill="FFFFFF"/>
            <w:noWrap w:val="0"/>
            <w:vAlign w:val="center"/>
          </w:tcPr>
          <w:p w14:paraId="1DDD95EF">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分</w:t>
            </w:r>
          </w:p>
        </w:tc>
        <w:tc>
          <w:tcPr>
            <w:tcW w:w="3572" w:type="pct"/>
            <w:shd w:val="clear" w:color="000000" w:fill="FFFFFF"/>
            <w:noWrap w:val="0"/>
            <w:vAlign w:val="center"/>
          </w:tcPr>
          <w:p w14:paraId="6697A4F2">
            <w:pPr>
              <w:jc w:val="left"/>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rPr>
              <w:t>投标人具备质量管理体系认证证书、环境管理体系认证证书、职业健康安全管理体系认证证书的</w:t>
            </w:r>
            <w:r>
              <w:rPr>
                <w:rFonts w:hint="eastAsia" w:ascii="宋体" w:hAnsi="宋体" w:cs="宋体"/>
                <w:snapToGrid w:val="0"/>
                <w:color w:val="auto"/>
                <w:kern w:val="0"/>
                <w:sz w:val="24"/>
                <w:szCs w:val="24"/>
                <w:highlight w:val="none"/>
                <w:lang w:val="en-US" w:eastAsia="zh-CN"/>
              </w:rPr>
              <w:t>，</w:t>
            </w:r>
            <w:r>
              <w:rPr>
                <w:rFonts w:hint="eastAsia" w:ascii="宋体" w:hAnsi="宋体" w:eastAsia="宋体" w:cs="宋体"/>
                <w:snapToGrid w:val="0"/>
                <w:color w:val="auto"/>
                <w:kern w:val="0"/>
                <w:sz w:val="24"/>
                <w:szCs w:val="24"/>
                <w:highlight w:val="none"/>
              </w:rPr>
              <w:t>每个得1分，本项最高得</w:t>
            </w:r>
            <w:r>
              <w:rPr>
                <w:rFonts w:hint="eastAsia" w:ascii="宋体" w:hAnsi="宋体" w:cs="宋体"/>
                <w:snapToGrid w:val="0"/>
                <w:color w:val="auto"/>
                <w:kern w:val="0"/>
                <w:sz w:val="24"/>
                <w:szCs w:val="24"/>
                <w:highlight w:val="none"/>
                <w:lang w:val="en-US" w:eastAsia="zh-CN"/>
              </w:rPr>
              <w:t>3</w:t>
            </w:r>
            <w:r>
              <w:rPr>
                <w:rFonts w:hint="eastAsia" w:ascii="宋体" w:hAnsi="宋体" w:eastAsia="宋体" w:cs="宋体"/>
                <w:snapToGrid w:val="0"/>
                <w:color w:val="auto"/>
                <w:kern w:val="0"/>
                <w:sz w:val="24"/>
                <w:szCs w:val="24"/>
                <w:highlight w:val="none"/>
              </w:rPr>
              <w:t>分</w:t>
            </w:r>
            <w:r>
              <w:rPr>
                <w:rFonts w:hint="eastAsia" w:ascii="宋体" w:hAnsi="宋体" w:cs="宋体"/>
                <w:snapToGrid w:val="0"/>
                <w:color w:val="auto"/>
                <w:kern w:val="0"/>
                <w:sz w:val="24"/>
                <w:szCs w:val="24"/>
                <w:highlight w:val="none"/>
                <w:lang w:eastAsia="zh-CN"/>
              </w:rPr>
              <w:t>。</w:t>
            </w:r>
          </w:p>
          <w:p w14:paraId="6EE6CBBC">
            <w:pPr>
              <w:numPr>
                <w:ilvl w:val="0"/>
                <w:numId w:val="0"/>
              </w:numPr>
              <w:jc w:val="lef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备注：</w:t>
            </w:r>
          </w:p>
          <w:p w14:paraId="014FFEF2">
            <w:pPr>
              <w:jc w:val="lef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1、上述所有证书必须真实、合规，在有效期内。</w:t>
            </w:r>
          </w:p>
          <w:p w14:paraId="47384C75">
            <w:pPr>
              <w:jc w:val="left"/>
              <w:rPr>
                <w:rFonts w:hint="default" w:ascii="宋体" w:hAnsi="宋体" w:eastAsia="宋体"/>
                <w:b/>
                <w:color w:val="auto"/>
                <w:sz w:val="24"/>
                <w:highlight w:val="none"/>
                <w:u w:val="single"/>
                <w:shd w:val="pct10" w:color="auto" w:fill="FFFFFF"/>
                <w:lang w:val="en-US" w:eastAsia="zh-CN"/>
              </w:rPr>
            </w:pPr>
            <w:r>
              <w:rPr>
                <w:rFonts w:hint="eastAsia" w:ascii="宋体" w:hAnsi="宋体"/>
                <w:b/>
                <w:color w:val="auto"/>
                <w:sz w:val="24"/>
                <w:highlight w:val="none"/>
                <w:u w:val="single"/>
                <w:shd w:val="pct10" w:color="auto" w:fill="FFFFFF"/>
                <w:lang w:val="en-US" w:eastAsia="zh-CN"/>
              </w:rPr>
              <w:t>2</w:t>
            </w:r>
            <w:r>
              <w:rPr>
                <w:rFonts w:hint="eastAsia" w:ascii="宋体" w:hAnsi="宋体"/>
                <w:b/>
                <w:color w:val="auto"/>
                <w:sz w:val="24"/>
                <w:highlight w:val="none"/>
                <w:u w:val="single"/>
                <w:shd w:val="pct10" w:color="auto" w:fill="FFFFFF"/>
              </w:rPr>
              <w:t>、</w:t>
            </w:r>
            <w:r>
              <w:rPr>
                <w:rFonts w:hint="eastAsia" w:ascii="宋体" w:hAnsi="宋体"/>
                <w:b/>
                <w:color w:val="auto"/>
                <w:sz w:val="24"/>
                <w:highlight w:val="none"/>
                <w:u w:val="single"/>
                <w:shd w:val="pct10" w:color="auto" w:fill="FFFFFF"/>
                <w:lang w:val="en-US" w:eastAsia="zh-CN"/>
              </w:rPr>
              <w:t>投标文件中须提供清晰可辨的证书扫描件并加盖投标人公章，否则不得分。</w:t>
            </w:r>
          </w:p>
          <w:p w14:paraId="25055091">
            <w:pPr>
              <w:jc w:val="left"/>
              <w:rPr>
                <w:rFonts w:hint="eastAsia" w:ascii="宋体" w:hAnsi="宋体" w:eastAsia="宋体" w:cs="宋体"/>
                <w:bCs/>
                <w:color w:val="auto"/>
                <w:kern w:val="2"/>
                <w:sz w:val="24"/>
                <w:szCs w:val="24"/>
                <w:highlight w:val="none"/>
                <w:lang w:val="zh-CN" w:eastAsia="zh-CN" w:bidi="ar-SA"/>
              </w:rPr>
            </w:pPr>
            <w:r>
              <w:rPr>
                <w:rFonts w:hint="eastAsia" w:ascii="宋体" w:hAnsi="宋体"/>
                <w:b/>
                <w:color w:val="auto"/>
                <w:sz w:val="24"/>
                <w:highlight w:val="none"/>
                <w:u w:val="single"/>
                <w:shd w:val="pct10" w:color="auto" w:fill="FFFFFF"/>
                <w:lang w:val="en-US" w:eastAsia="zh-CN"/>
              </w:rPr>
              <w:t>3、</w:t>
            </w:r>
            <w:r>
              <w:rPr>
                <w:rFonts w:hint="eastAsia" w:ascii="宋体" w:hAnsi="宋体"/>
                <w:b/>
                <w:color w:val="auto"/>
                <w:sz w:val="24"/>
                <w:highlight w:val="none"/>
                <w:u w:val="single"/>
                <w:shd w:val="pct10" w:color="auto" w:fill="FFFFFF"/>
              </w:rPr>
              <w:t>如投标人提供的证书</w:t>
            </w:r>
            <w:r>
              <w:rPr>
                <w:rFonts w:hint="eastAsia" w:ascii="宋体" w:hAnsi="宋体"/>
                <w:b/>
                <w:color w:val="auto"/>
                <w:sz w:val="24"/>
                <w:highlight w:val="none"/>
                <w:u w:val="single"/>
                <w:shd w:val="pct10" w:color="auto" w:fill="FFFFFF"/>
                <w:lang w:val="en-US" w:eastAsia="zh-CN"/>
              </w:rPr>
              <w:t>复印件</w:t>
            </w:r>
            <w:r>
              <w:rPr>
                <w:rFonts w:hint="eastAsia" w:ascii="宋体" w:hAnsi="宋体"/>
                <w:b/>
                <w:color w:val="auto"/>
                <w:sz w:val="24"/>
                <w:highlight w:val="none"/>
                <w:u w:val="single"/>
                <w:shd w:val="pct10" w:color="auto" w:fill="FFFFFF"/>
              </w:rPr>
              <w:t>因模糊不清而造成评标委员会在评审时做出对投标人不利的评审由投标人自行承担。</w:t>
            </w:r>
          </w:p>
        </w:tc>
      </w:tr>
      <w:tr w14:paraId="3DD5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397" w:type="pct"/>
            <w:vMerge w:val="continue"/>
            <w:shd w:val="clear" w:color="000000" w:fill="FFFFFF"/>
            <w:noWrap w:val="0"/>
            <w:vAlign w:val="center"/>
          </w:tcPr>
          <w:p w14:paraId="293C863C">
            <w:pPr>
              <w:jc w:val="center"/>
              <w:rPr>
                <w:rFonts w:hint="eastAsia" w:ascii="宋体" w:hAnsi="宋体" w:eastAsia="宋体" w:cs="宋体"/>
                <w:color w:val="auto"/>
                <w:sz w:val="24"/>
                <w:szCs w:val="24"/>
                <w:highlight w:val="none"/>
              </w:rPr>
            </w:pPr>
          </w:p>
        </w:tc>
        <w:tc>
          <w:tcPr>
            <w:tcW w:w="563" w:type="pct"/>
            <w:vMerge w:val="continue"/>
            <w:shd w:val="clear" w:color="000000" w:fill="FFFFFF"/>
            <w:noWrap w:val="0"/>
            <w:vAlign w:val="center"/>
          </w:tcPr>
          <w:p w14:paraId="439ABDF6">
            <w:pPr>
              <w:jc w:val="left"/>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49C26BD2">
            <w:pPr>
              <w:jc w:val="center"/>
              <w:rPr>
                <w:rFonts w:hint="eastAsia" w:ascii="宋体" w:hAnsi="宋体" w:cs="宋体"/>
                <w:bCs/>
                <w:color w:val="auto"/>
                <w:sz w:val="24"/>
                <w:szCs w:val="24"/>
                <w:highlight w:val="none"/>
                <w:lang w:val="en-US" w:eastAsia="zh-CN"/>
              </w:rPr>
            </w:pPr>
          </w:p>
        </w:tc>
        <w:tc>
          <w:tcPr>
            <w:tcW w:w="3572" w:type="pct"/>
            <w:shd w:val="clear" w:color="000000" w:fill="FFFFFF"/>
            <w:noWrap w:val="0"/>
            <w:vAlign w:val="center"/>
          </w:tcPr>
          <w:p w14:paraId="547FFFCA">
            <w:pPr>
              <w:jc w:val="left"/>
              <w:rPr>
                <w:rFonts w:hint="eastAsia" w:ascii="宋体" w:hAnsi="宋体"/>
                <w:b/>
                <w:color w:val="auto"/>
                <w:sz w:val="24"/>
                <w:highlight w:val="none"/>
                <w:u w:val="single"/>
                <w:shd w:val="pct10" w:color="auto" w:fill="FFFFFF"/>
                <w:lang w:val="en-US" w:eastAsia="zh-CN"/>
              </w:rPr>
            </w:pPr>
            <w:r>
              <w:rPr>
                <w:rFonts w:hint="eastAsia" w:ascii="宋体" w:hAnsi="宋体" w:eastAsia="宋体" w:cs="宋体"/>
                <w:snapToGrid w:val="0"/>
                <w:color w:val="auto"/>
                <w:kern w:val="0"/>
                <w:sz w:val="24"/>
                <w:szCs w:val="24"/>
                <w:highlight w:val="none"/>
              </w:rPr>
              <w:t>根据投标人经营状况、履约能力和信誉评价等综合评分（0-4分）</w:t>
            </w:r>
          </w:p>
        </w:tc>
      </w:tr>
      <w:tr w14:paraId="67B5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97" w:type="pct"/>
            <w:shd w:val="clear" w:color="000000" w:fill="FFFFFF"/>
            <w:noWrap w:val="0"/>
            <w:vAlign w:val="center"/>
          </w:tcPr>
          <w:p w14:paraId="5D7314BF">
            <w:pPr>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p>
        </w:tc>
        <w:tc>
          <w:tcPr>
            <w:tcW w:w="563" w:type="pct"/>
            <w:shd w:val="clear" w:color="000000" w:fill="FFFFFF"/>
            <w:noWrap w:val="0"/>
            <w:vAlign w:val="center"/>
          </w:tcPr>
          <w:p w14:paraId="18C32CC4">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投标人业绩</w:t>
            </w:r>
          </w:p>
        </w:tc>
        <w:tc>
          <w:tcPr>
            <w:tcW w:w="467" w:type="pct"/>
            <w:shd w:val="clear" w:color="000000" w:fill="FFFFFF"/>
            <w:noWrap w:val="0"/>
            <w:vAlign w:val="center"/>
          </w:tcPr>
          <w:p w14:paraId="71520DE6">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3分</w:t>
            </w:r>
          </w:p>
        </w:tc>
        <w:tc>
          <w:tcPr>
            <w:tcW w:w="3572" w:type="pct"/>
            <w:shd w:val="clear" w:color="000000" w:fill="FFFFFF"/>
            <w:noWrap w:val="0"/>
            <w:vAlign w:val="bottom"/>
          </w:tcPr>
          <w:p w14:paraId="79C24E0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年1月1日以来(以合同签订时间为准)类似项目合同业绩，每个得1分，本项最高得3分。</w:t>
            </w:r>
          </w:p>
          <w:p w14:paraId="22A573D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276D498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1、合同业绩须为本次投标人的业绩，投标人的独立法人子公司、参股公司的业绩均不予认可。</w:t>
            </w:r>
          </w:p>
          <w:p w14:paraId="6522AFC5">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2、投标文件中须提供清晰可辨的合同扫描件并加盖投标人公章。</w:t>
            </w:r>
          </w:p>
          <w:p w14:paraId="1D08DC4D">
            <w:pPr>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3、如投标人提供的合同扫描件因模糊不清而造成评标委员会在评审时做出对投标人不利的评审由投标人自行承担。</w:t>
            </w:r>
          </w:p>
        </w:tc>
      </w:tr>
      <w:tr w14:paraId="750D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397" w:type="pct"/>
            <w:vMerge w:val="restart"/>
            <w:shd w:val="clear" w:color="000000" w:fill="FFFFFF"/>
            <w:noWrap w:val="0"/>
            <w:vAlign w:val="center"/>
          </w:tcPr>
          <w:p w14:paraId="5E563B0E">
            <w:pPr>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p>
        </w:tc>
        <w:tc>
          <w:tcPr>
            <w:tcW w:w="563" w:type="pct"/>
            <w:vMerge w:val="restart"/>
            <w:shd w:val="clear" w:color="000000" w:fill="FFFFFF"/>
            <w:noWrap w:val="0"/>
            <w:vAlign w:val="center"/>
          </w:tcPr>
          <w:p w14:paraId="5E2BD569">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项目团队情况</w:t>
            </w:r>
          </w:p>
        </w:tc>
        <w:tc>
          <w:tcPr>
            <w:tcW w:w="467" w:type="pct"/>
            <w:vMerge w:val="restart"/>
            <w:shd w:val="clear" w:color="000000" w:fill="FFFFFF"/>
            <w:noWrap w:val="0"/>
            <w:vAlign w:val="center"/>
          </w:tcPr>
          <w:p w14:paraId="39BA7835">
            <w:pPr>
              <w:jc w:val="center"/>
              <w:rPr>
                <w:rFonts w:hint="default"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5分</w:t>
            </w:r>
          </w:p>
        </w:tc>
        <w:tc>
          <w:tcPr>
            <w:tcW w:w="3572" w:type="pct"/>
            <w:shd w:val="clear" w:color="000000" w:fill="FFFFFF"/>
            <w:noWrap w:val="0"/>
            <w:vAlign w:val="center"/>
          </w:tcPr>
          <w:p w14:paraId="1CA4AB62">
            <w:pPr>
              <w:jc w:val="both"/>
              <w:rPr>
                <w:rFonts w:hint="default" w:ascii="宋体" w:hAnsi="宋体" w:eastAsia="宋体" w:cs="宋体"/>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（1）项目负责人:</w:t>
            </w:r>
            <w:r>
              <w:rPr>
                <w:rFonts w:hint="eastAsia" w:ascii="宋体" w:hAnsi="宋体" w:eastAsia="宋体" w:cs="宋体"/>
                <w:i w:val="0"/>
                <w:iCs w:val="0"/>
                <w:color w:val="auto"/>
                <w:kern w:val="0"/>
                <w:sz w:val="24"/>
                <w:szCs w:val="24"/>
                <w:highlight w:val="none"/>
                <w:u w:val="none"/>
                <w:lang w:val="en-US" w:eastAsia="zh-CN" w:bidi="ar"/>
              </w:rPr>
              <w:t>拟派入本项目的项目负责人具有高级工程师（通信工程设计）、</w:t>
            </w:r>
            <w:r>
              <w:rPr>
                <w:rFonts w:hint="eastAsia" w:ascii="宋体" w:hAnsi="宋体" w:cs="宋体"/>
                <w:i w:val="0"/>
                <w:iCs w:val="0"/>
                <w:color w:val="auto"/>
                <w:kern w:val="0"/>
                <w:sz w:val="24"/>
                <w:szCs w:val="24"/>
                <w:highlight w:val="none"/>
                <w:u w:val="none"/>
                <w:lang w:val="en-US" w:eastAsia="zh-CN" w:bidi="ar"/>
              </w:rPr>
              <w:t>通信专业（互联网技术）中级及以上</w:t>
            </w:r>
            <w:r>
              <w:rPr>
                <w:rFonts w:hint="eastAsia" w:ascii="宋体" w:hAnsi="宋体" w:eastAsia="宋体" w:cs="宋体"/>
                <w:i w:val="0"/>
                <w:iCs w:val="0"/>
                <w:color w:val="auto"/>
                <w:kern w:val="0"/>
                <w:sz w:val="24"/>
                <w:szCs w:val="24"/>
                <w:highlight w:val="none"/>
                <w:u w:val="none"/>
                <w:lang w:val="en-US" w:eastAsia="zh-CN" w:bidi="ar"/>
              </w:rPr>
              <w:t>、网络规划设计师、注册电气工程师的</w:t>
            </w:r>
            <w:r>
              <w:rPr>
                <w:rFonts w:hint="eastAsia" w:ascii="宋体" w:hAnsi="宋体" w:cs="宋体"/>
                <w:i w:val="0"/>
                <w:iCs w:val="0"/>
                <w:color w:val="auto"/>
                <w:kern w:val="0"/>
                <w:sz w:val="24"/>
                <w:szCs w:val="24"/>
                <w:highlight w:val="none"/>
                <w:u w:val="none"/>
                <w:lang w:val="en-US" w:eastAsia="zh-CN" w:bidi="ar"/>
              </w:rPr>
              <w:t>、高级工程师-信息技术（系统集成）、信息系统项目管理师(高级)</w:t>
            </w:r>
            <w:r>
              <w:rPr>
                <w:rFonts w:hint="eastAsia" w:ascii="宋体" w:hAnsi="宋体" w:eastAsia="宋体" w:cs="宋体"/>
                <w:i w:val="0"/>
                <w:iCs w:val="0"/>
                <w:color w:val="auto"/>
                <w:kern w:val="0"/>
                <w:sz w:val="24"/>
                <w:szCs w:val="24"/>
                <w:highlight w:val="none"/>
                <w:u w:val="none"/>
                <w:lang w:val="en-US" w:eastAsia="zh-CN" w:bidi="ar"/>
              </w:rPr>
              <w:t>，每本得1分，最多得3分。</w:t>
            </w:r>
          </w:p>
        </w:tc>
      </w:tr>
      <w:tr w14:paraId="17335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397" w:type="pct"/>
            <w:vMerge w:val="continue"/>
            <w:shd w:val="clear" w:color="000000" w:fill="FFFFFF"/>
            <w:noWrap w:val="0"/>
            <w:vAlign w:val="center"/>
          </w:tcPr>
          <w:p w14:paraId="442E1D4F">
            <w:pPr>
              <w:jc w:val="center"/>
              <w:rPr>
                <w:rFonts w:hint="eastAsia" w:ascii="宋体" w:hAnsi="宋体" w:cs="宋体"/>
                <w:color w:val="auto"/>
                <w:kern w:val="2"/>
                <w:sz w:val="24"/>
                <w:szCs w:val="24"/>
                <w:highlight w:val="none"/>
                <w:lang w:val="en-US" w:eastAsia="zh-CN" w:bidi="ar-SA"/>
              </w:rPr>
            </w:pPr>
          </w:p>
        </w:tc>
        <w:tc>
          <w:tcPr>
            <w:tcW w:w="563" w:type="pct"/>
            <w:vMerge w:val="continue"/>
            <w:shd w:val="clear" w:color="000000" w:fill="FFFFFF"/>
            <w:noWrap w:val="0"/>
            <w:vAlign w:val="center"/>
          </w:tcPr>
          <w:p w14:paraId="768B2A97">
            <w:pPr>
              <w:jc w:val="center"/>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286C0628">
            <w:pPr>
              <w:jc w:val="center"/>
              <w:rPr>
                <w:rFonts w:hint="eastAsia" w:ascii="宋体" w:hAnsi="宋体" w:cs="宋体"/>
                <w:bCs/>
                <w:color w:val="auto"/>
                <w:kern w:val="2"/>
                <w:sz w:val="24"/>
                <w:szCs w:val="24"/>
                <w:highlight w:val="none"/>
                <w:lang w:val="en-US" w:eastAsia="zh-CN" w:bidi="ar-SA"/>
              </w:rPr>
            </w:pPr>
          </w:p>
        </w:tc>
        <w:tc>
          <w:tcPr>
            <w:tcW w:w="3572" w:type="pct"/>
            <w:shd w:val="clear" w:color="000000" w:fill="FFFFFF"/>
            <w:noWrap w:val="0"/>
            <w:vAlign w:val="center"/>
          </w:tcPr>
          <w:p w14:paraId="4B3736CF">
            <w:pPr>
              <w:jc w:val="both"/>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（2）项目实施团队成员：</w:t>
            </w:r>
            <w:r>
              <w:rPr>
                <w:rFonts w:hint="eastAsia" w:ascii="宋体" w:hAnsi="宋体" w:eastAsia="宋体" w:cs="宋体"/>
                <w:b w:val="0"/>
                <w:bCs w:val="0"/>
                <w:i w:val="0"/>
                <w:iCs w:val="0"/>
                <w:color w:val="auto"/>
                <w:kern w:val="0"/>
                <w:sz w:val="24"/>
                <w:szCs w:val="24"/>
                <w:highlight w:val="none"/>
                <w:u w:val="none"/>
                <w:lang w:val="en-US" w:eastAsia="zh-CN" w:bidi="ar"/>
              </w:rPr>
              <w:t>项目实施团队成员（</w:t>
            </w:r>
            <w:r>
              <w:rPr>
                <w:rFonts w:hint="eastAsia" w:ascii="宋体" w:hAnsi="宋体" w:cs="宋体"/>
                <w:b w:val="0"/>
                <w:bCs w:val="0"/>
                <w:i w:val="0"/>
                <w:iCs w:val="0"/>
                <w:color w:val="auto"/>
                <w:kern w:val="0"/>
                <w:sz w:val="24"/>
                <w:szCs w:val="24"/>
                <w:highlight w:val="none"/>
                <w:u w:val="none"/>
                <w:lang w:val="en-US" w:eastAsia="zh-CN" w:bidi="ar"/>
              </w:rPr>
              <w:t>除</w:t>
            </w:r>
            <w:r>
              <w:rPr>
                <w:rFonts w:hint="eastAsia" w:ascii="宋体" w:hAnsi="宋体" w:eastAsia="宋体" w:cs="宋体"/>
                <w:b w:val="0"/>
                <w:bCs w:val="0"/>
                <w:i w:val="0"/>
                <w:iCs w:val="0"/>
                <w:color w:val="auto"/>
                <w:kern w:val="0"/>
                <w:sz w:val="24"/>
                <w:szCs w:val="24"/>
                <w:highlight w:val="none"/>
                <w:u w:val="none"/>
                <w:lang w:val="en-US" w:eastAsia="zh-CN" w:bidi="ar"/>
              </w:rPr>
              <w:t>项目负责人</w:t>
            </w:r>
            <w:r>
              <w:rPr>
                <w:rFonts w:hint="eastAsia" w:ascii="宋体" w:hAnsi="宋体" w:cs="宋体"/>
                <w:b w:val="0"/>
                <w:bCs w:val="0"/>
                <w:i w:val="0"/>
                <w:iCs w:val="0"/>
                <w:color w:val="auto"/>
                <w:kern w:val="0"/>
                <w:sz w:val="24"/>
                <w:szCs w:val="24"/>
                <w:highlight w:val="none"/>
                <w:u w:val="none"/>
                <w:lang w:val="en-US" w:eastAsia="zh-CN" w:bidi="ar"/>
              </w:rPr>
              <w:t>外</w:t>
            </w:r>
            <w:r>
              <w:rPr>
                <w:rFonts w:hint="eastAsia" w:ascii="宋体" w:hAnsi="宋体" w:eastAsia="宋体" w:cs="宋体"/>
                <w:b w:val="0"/>
                <w:bCs w:val="0"/>
                <w:i w:val="0"/>
                <w:iCs w:val="0"/>
                <w:color w:val="auto"/>
                <w:kern w:val="0"/>
                <w:sz w:val="24"/>
                <w:szCs w:val="24"/>
                <w:highlight w:val="none"/>
                <w:u w:val="none"/>
                <w:lang w:val="en-US" w:eastAsia="zh-CN" w:bidi="ar"/>
              </w:rPr>
              <w:t>）具备系统架构设计师、网络工程师、高级工程师（信息工程），每具备一个证书的得1分，最高得2分。</w:t>
            </w:r>
          </w:p>
        </w:tc>
      </w:tr>
      <w:tr w14:paraId="58FB8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397" w:type="pct"/>
            <w:vMerge w:val="continue"/>
            <w:shd w:val="clear" w:color="000000" w:fill="FFFFFF"/>
            <w:noWrap w:val="0"/>
            <w:vAlign w:val="center"/>
          </w:tcPr>
          <w:p w14:paraId="7DD88B05">
            <w:pPr>
              <w:jc w:val="center"/>
              <w:rPr>
                <w:rFonts w:hint="default" w:ascii="宋体" w:hAnsi="宋体" w:eastAsia="宋体" w:cs="宋体"/>
                <w:color w:val="auto"/>
                <w:kern w:val="2"/>
                <w:sz w:val="24"/>
                <w:szCs w:val="24"/>
                <w:highlight w:val="none"/>
                <w:lang w:val="en-US" w:eastAsia="zh-CN" w:bidi="ar-SA"/>
              </w:rPr>
            </w:pPr>
          </w:p>
        </w:tc>
        <w:tc>
          <w:tcPr>
            <w:tcW w:w="563" w:type="pct"/>
            <w:vMerge w:val="continue"/>
            <w:shd w:val="clear" w:color="000000" w:fill="FFFFFF"/>
            <w:noWrap w:val="0"/>
            <w:vAlign w:val="center"/>
          </w:tcPr>
          <w:p w14:paraId="125FE4FD">
            <w:pPr>
              <w:jc w:val="center"/>
              <w:rPr>
                <w:rFonts w:hint="eastAsia" w:ascii="宋体" w:hAnsi="宋体" w:eastAsia="宋体" w:cs="宋体"/>
                <w:bCs/>
                <w:color w:val="auto"/>
                <w:kern w:val="2"/>
                <w:sz w:val="24"/>
                <w:szCs w:val="24"/>
                <w:highlight w:val="none"/>
                <w:lang w:val="en-US" w:eastAsia="zh-CN" w:bidi="ar-SA"/>
              </w:rPr>
            </w:pPr>
          </w:p>
        </w:tc>
        <w:tc>
          <w:tcPr>
            <w:tcW w:w="467" w:type="pct"/>
            <w:vMerge w:val="continue"/>
            <w:shd w:val="clear" w:color="000000" w:fill="FFFFFF"/>
            <w:noWrap w:val="0"/>
            <w:vAlign w:val="center"/>
          </w:tcPr>
          <w:p w14:paraId="6935D384">
            <w:pPr>
              <w:jc w:val="center"/>
              <w:rPr>
                <w:rFonts w:hint="default" w:ascii="宋体" w:hAnsi="宋体" w:eastAsia="宋体" w:cs="宋体"/>
                <w:bCs/>
                <w:color w:val="auto"/>
                <w:kern w:val="2"/>
                <w:sz w:val="24"/>
                <w:szCs w:val="24"/>
                <w:highlight w:val="none"/>
                <w:lang w:val="en-US" w:eastAsia="zh-CN" w:bidi="ar-SA"/>
              </w:rPr>
            </w:pPr>
          </w:p>
        </w:tc>
        <w:tc>
          <w:tcPr>
            <w:tcW w:w="3572" w:type="pct"/>
            <w:shd w:val="clear" w:color="000000" w:fill="FFFFFF"/>
            <w:noWrap w:val="0"/>
            <w:vAlign w:val="center"/>
          </w:tcPr>
          <w:p w14:paraId="4412C171">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Cs/>
                <w:color w:val="auto"/>
                <w:sz w:val="24"/>
                <w:szCs w:val="24"/>
                <w:highlight w:val="none"/>
                <w:lang w:val="zh-CN"/>
              </w:rPr>
            </w:pPr>
            <w:r>
              <w:rPr>
                <w:rFonts w:hint="eastAsia" w:ascii="宋体" w:hAnsi="宋体" w:eastAsia="宋体" w:cs="宋体"/>
                <w:b/>
                <w:bCs w:val="0"/>
                <w:color w:val="auto"/>
                <w:sz w:val="24"/>
                <w:szCs w:val="24"/>
                <w:highlight w:val="none"/>
                <w:lang w:val="zh-CN" w:eastAsia="zh-CN"/>
              </w:rPr>
              <w:t>备注：</w:t>
            </w:r>
            <w:r>
              <w:rPr>
                <w:rFonts w:hint="eastAsia" w:ascii="宋体" w:hAnsi="宋体" w:eastAsia="宋体" w:cs="宋体"/>
                <w:b/>
                <w:bCs w:val="0"/>
                <w:color w:val="auto"/>
                <w:sz w:val="24"/>
                <w:szCs w:val="24"/>
                <w:highlight w:val="none"/>
                <w:lang w:val="zh-CN" w:eastAsia="zh-CN"/>
              </w:rPr>
              <w:br w:type="textWrapping"/>
            </w:r>
            <w:r>
              <w:rPr>
                <w:rFonts w:hint="eastAsia" w:ascii="宋体" w:hAnsi="宋体" w:eastAsia="宋体" w:cs="宋体"/>
                <w:b/>
                <w:bCs w:val="0"/>
                <w:color w:val="auto"/>
                <w:sz w:val="24"/>
                <w:szCs w:val="24"/>
                <w:highlight w:val="none"/>
                <w:lang w:val="zh-CN" w:eastAsia="zh-CN"/>
              </w:rPr>
              <w:t>1、投标文件中须提供清晰可辨的证书扫描件，所有证书必须真实、合规，在有效期内。</w:t>
            </w:r>
            <w:r>
              <w:rPr>
                <w:rFonts w:hint="eastAsia" w:ascii="宋体" w:hAnsi="宋体" w:eastAsia="宋体" w:cs="宋体"/>
                <w:b/>
                <w:bCs w:val="0"/>
                <w:color w:val="auto"/>
                <w:sz w:val="24"/>
                <w:szCs w:val="24"/>
                <w:highlight w:val="none"/>
                <w:lang w:val="zh-CN" w:eastAsia="zh-CN"/>
              </w:rPr>
              <w:br w:type="textWrapping"/>
            </w:r>
            <w:r>
              <w:rPr>
                <w:rFonts w:hint="eastAsia" w:ascii="宋体" w:hAnsi="宋体" w:eastAsia="宋体" w:cs="宋体"/>
                <w:b/>
                <w:bCs w:val="0"/>
                <w:color w:val="auto"/>
                <w:sz w:val="24"/>
                <w:szCs w:val="24"/>
                <w:highlight w:val="none"/>
                <w:lang w:val="zh-CN" w:eastAsia="zh-CN"/>
              </w:rPr>
              <w:t>2、如投标人提供的证书扫描件因模糊不清或一些影响评分的重要内容缺失或不够明确而造成评标委员会在评审时做出对投标人不利的评审由投标人自行承担。</w:t>
            </w:r>
            <w:r>
              <w:rPr>
                <w:rFonts w:hint="eastAsia" w:ascii="宋体" w:hAnsi="宋体" w:eastAsia="宋体" w:cs="宋体"/>
                <w:b/>
                <w:bCs w:val="0"/>
                <w:color w:val="auto"/>
                <w:sz w:val="24"/>
                <w:szCs w:val="24"/>
                <w:highlight w:val="none"/>
                <w:lang w:val="zh-CN" w:eastAsia="zh-CN"/>
              </w:rPr>
              <w:br w:type="textWrapping"/>
            </w:r>
            <w:r>
              <w:rPr>
                <w:rFonts w:hint="eastAsia" w:ascii="宋体" w:hAnsi="宋体" w:eastAsia="宋体" w:cs="宋体"/>
                <w:b/>
                <w:bCs w:val="0"/>
                <w:color w:val="auto"/>
                <w:sz w:val="24"/>
                <w:szCs w:val="24"/>
                <w:highlight w:val="none"/>
                <w:lang w:val="zh-CN" w:eastAsia="zh-CN"/>
              </w:rPr>
              <w:t>3、证书类别是否符合上述评分标准中类别，由评标委员会根据证书内容判定后给分。</w:t>
            </w:r>
            <w:r>
              <w:rPr>
                <w:rFonts w:hint="eastAsia" w:ascii="宋体" w:hAnsi="宋体" w:eastAsia="宋体" w:cs="宋体"/>
                <w:b/>
                <w:bCs w:val="0"/>
                <w:color w:val="auto"/>
                <w:sz w:val="24"/>
                <w:szCs w:val="24"/>
                <w:highlight w:val="none"/>
                <w:lang w:val="zh-CN" w:eastAsia="zh-CN"/>
              </w:rPr>
              <w:br w:type="textWrapping"/>
            </w:r>
            <w:r>
              <w:rPr>
                <w:rFonts w:hint="eastAsia" w:ascii="宋体" w:hAnsi="宋体" w:eastAsia="宋体" w:cs="宋体"/>
                <w:b/>
                <w:bCs w:val="0"/>
                <w:color w:val="auto"/>
                <w:sz w:val="24"/>
                <w:szCs w:val="24"/>
                <w:highlight w:val="none"/>
                <w:lang w:val="zh-CN" w:eastAsia="zh-CN"/>
              </w:rPr>
              <w:t>4、同时上述人员还需提供下面任一网站的证书查询截图：中国人事考试网站、工业和信息化部教育与考试中心网站、中国信息安全评测中心网站、中国通信工业协会网站、全国专业技术人员职业资格证书查询验证系统、国家职业资格证书全国查询系统、全国人力资源和社会保障政务服务平台（全国职称信息查询）、中国计算机技术职业资格网。如无法提供上述网站证书查询截图的，需提供该发证单位有权颁发上述证书的相关文件资料或上述人员报名、考试、评审上述证书的相关资料，供评标委员会在评审时判断证书的合规性，如未提供上述任何资料造成评标委员会在评审时做出对投标人不利的评审由投标人自行承担。</w:t>
            </w:r>
            <w:r>
              <w:rPr>
                <w:rFonts w:hint="eastAsia" w:ascii="宋体" w:hAnsi="宋体" w:eastAsia="宋体" w:cs="宋体"/>
                <w:b/>
                <w:bCs w:val="0"/>
                <w:color w:val="auto"/>
                <w:sz w:val="24"/>
                <w:szCs w:val="24"/>
                <w:highlight w:val="none"/>
                <w:lang w:val="zh-CN" w:eastAsia="zh-CN"/>
              </w:rPr>
              <w:br w:type="textWrapping"/>
            </w:r>
            <w:r>
              <w:rPr>
                <w:rFonts w:hint="eastAsia" w:ascii="宋体" w:hAnsi="宋体" w:eastAsia="宋体" w:cs="宋体"/>
                <w:b/>
                <w:bCs w:val="0"/>
                <w:color w:val="auto"/>
                <w:sz w:val="24"/>
                <w:szCs w:val="24"/>
                <w:highlight w:val="none"/>
                <w:lang w:val="zh-CN" w:eastAsia="zh-CN"/>
              </w:rPr>
              <w:t>5、提供由投标人为上述人员缴纳的不少于3个月社保缴纳证明材料（如为社会保险机构盖章的网上打印件亦可），未按上述规定提供资料的不得分。</w:t>
            </w:r>
          </w:p>
        </w:tc>
      </w:tr>
      <w:tr w14:paraId="1A113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97" w:type="pct"/>
            <w:vMerge w:val="restart"/>
            <w:shd w:val="clear" w:color="000000" w:fill="FFFFFF"/>
            <w:noWrap w:val="0"/>
            <w:vAlign w:val="center"/>
          </w:tcPr>
          <w:p w14:paraId="1FA964AF">
            <w:pPr>
              <w:jc w:val="center"/>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p>
        </w:tc>
        <w:tc>
          <w:tcPr>
            <w:tcW w:w="563" w:type="pct"/>
            <w:vMerge w:val="restart"/>
            <w:shd w:val="clear" w:color="000000" w:fill="FFFFFF"/>
            <w:noWrap w:val="0"/>
            <w:vAlign w:val="center"/>
          </w:tcPr>
          <w:p w14:paraId="3B08DE2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技术参数符合情况</w:t>
            </w:r>
          </w:p>
        </w:tc>
        <w:tc>
          <w:tcPr>
            <w:tcW w:w="467" w:type="pct"/>
            <w:vMerge w:val="restart"/>
            <w:shd w:val="clear" w:color="000000" w:fill="FFFFFF"/>
            <w:noWrap w:val="0"/>
            <w:vAlign w:val="center"/>
          </w:tcPr>
          <w:p w14:paraId="65E386A6">
            <w:pPr>
              <w:jc w:val="center"/>
              <w:rPr>
                <w:rFonts w:hint="default"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36分</w:t>
            </w:r>
          </w:p>
        </w:tc>
        <w:tc>
          <w:tcPr>
            <w:tcW w:w="3572" w:type="pct"/>
            <w:shd w:val="clear" w:color="000000" w:fill="FFFFFF"/>
            <w:noWrap w:val="0"/>
            <w:vAlign w:val="bottom"/>
          </w:tcPr>
          <w:p w14:paraId="6C5E434C">
            <w:pPr>
              <w:jc w:val="left"/>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r>
              <w:rPr>
                <w:rFonts w:hint="eastAsia" w:ascii="宋体" w:hAnsi="宋体" w:eastAsia="宋体" w:cs="宋体"/>
                <w:b w:val="0"/>
                <w:bCs w:val="0"/>
                <w:i w:val="0"/>
                <w:iCs w:val="0"/>
                <w:color w:val="auto"/>
                <w:kern w:val="0"/>
                <w:sz w:val="24"/>
                <w:szCs w:val="24"/>
                <w:highlight w:val="none"/>
                <w:u w:val="none"/>
                <w:lang w:val="en-US" w:eastAsia="zh-CN" w:bidi="ar"/>
              </w:rPr>
              <w:t>根据所投产品与本项目打★重要参数的偏离情况进行打分（按要求提供证明材料），满足招标文件打★重要参数要求的，每有1项得1分，最高得</w:t>
            </w:r>
            <w:r>
              <w:rPr>
                <w:rFonts w:hint="eastAsia" w:ascii="宋体" w:hAnsi="宋体" w:cs="宋体"/>
                <w:b w:val="0"/>
                <w:bCs w:val="0"/>
                <w:i w:val="0"/>
                <w:iCs w:val="0"/>
                <w:color w:val="auto"/>
                <w:kern w:val="0"/>
                <w:sz w:val="24"/>
                <w:szCs w:val="24"/>
                <w:highlight w:val="none"/>
                <w:u w:val="none"/>
                <w:lang w:val="en-US" w:eastAsia="zh-CN" w:bidi="ar"/>
              </w:rPr>
              <w:t>7</w:t>
            </w:r>
            <w:r>
              <w:rPr>
                <w:rFonts w:hint="eastAsia" w:ascii="宋体" w:hAnsi="宋体" w:eastAsia="宋体" w:cs="宋体"/>
                <w:b w:val="0"/>
                <w:bCs w:val="0"/>
                <w:i w:val="0"/>
                <w:iCs w:val="0"/>
                <w:color w:val="auto"/>
                <w:kern w:val="0"/>
                <w:sz w:val="24"/>
                <w:szCs w:val="24"/>
                <w:highlight w:val="none"/>
                <w:u w:val="none"/>
                <w:lang w:val="en-US" w:eastAsia="zh-CN" w:bidi="ar"/>
              </w:rPr>
              <w:t>分。</w:t>
            </w:r>
          </w:p>
          <w:p w14:paraId="5BF96FD2">
            <w:pPr>
              <w:jc w:val="left"/>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备注：投标人须在《商务及技术响应表》中针对上述打★技术参数逐条列明响应情况，并按要求提供证明材料，未按要求提供证明材料的将不予得分。</w:t>
            </w:r>
          </w:p>
        </w:tc>
      </w:tr>
      <w:tr w14:paraId="33F89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97" w:type="pct"/>
            <w:vMerge w:val="continue"/>
            <w:shd w:val="clear" w:color="000000" w:fill="FFFFFF"/>
            <w:noWrap w:val="0"/>
            <w:vAlign w:val="center"/>
          </w:tcPr>
          <w:p w14:paraId="1EC351EF">
            <w:pPr>
              <w:jc w:val="center"/>
              <w:rPr>
                <w:rFonts w:hint="eastAsia" w:ascii="宋体" w:hAnsi="宋体" w:cs="宋体"/>
                <w:color w:val="auto"/>
                <w:kern w:val="2"/>
                <w:sz w:val="24"/>
                <w:szCs w:val="24"/>
                <w:highlight w:val="none"/>
                <w:lang w:val="en-US" w:eastAsia="zh-CN" w:bidi="ar-SA"/>
              </w:rPr>
            </w:pPr>
          </w:p>
        </w:tc>
        <w:tc>
          <w:tcPr>
            <w:tcW w:w="563" w:type="pct"/>
            <w:vMerge w:val="continue"/>
            <w:shd w:val="clear" w:color="000000" w:fill="FFFFFF"/>
            <w:noWrap w:val="0"/>
            <w:vAlign w:val="center"/>
          </w:tcPr>
          <w:p w14:paraId="44507FAA">
            <w:pPr>
              <w:jc w:val="center"/>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24638438">
            <w:pPr>
              <w:jc w:val="center"/>
              <w:rPr>
                <w:rFonts w:hint="eastAsia" w:ascii="宋体" w:hAnsi="宋体" w:cs="宋体"/>
                <w:bCs/>
                <w:color w:val="auto"/>
                <w:kern w:val="2"/>
                <w:sz w:val="24"/>
                <w:szCs w:val="24"/>
                <w:highlight w:val="none"/>
                <w:lang w:val="en-US" w:eastAsia="zh-CN" w:bidi="ar-SA"/>
              </w:rPr>
            </w:pPr>
          </w:p>
        </w:tc>
        <w:tc>
          <w:tcPr>
            <w:tcW w:w="3572" w:type="pct"/>
            <w:shd w:val="clear" w:color="000000" w:fill="FFFFFF"/>
            <w:noWrap w:val="0"/>
            <w:vAlign w:val="bottom"/>
          </w:tcPr>
          <w:p w14:paraId="5CEE0A8A">
            <w:pPr>
              <w:jc w:val="left"/>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（2）综合布线系统：</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0C33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397" w:type="pct"/>
            <w:vMerge w:val="continue"/>
            <w:shd w:val="clear" w:color="000000" w:fill="FFFFFF"/>
            <w:noWrap w:val="0"/>
            <w:vAlign w:val="center"/>
          </w:tcPr>
          <w:p w14:paraId="79041CDA">
            <w:pPr>
              <w:jc w:val="center"/>
              <w:rPr>
                <w:rFonts w:hint="eastAsia" w:ascii="宋体" w:hAnsi="宋体" w:eastAsia="宋体" w:cs="宋体"/>
                <w:color w:val="auto"/>
                <w:sz w:val="24"/>
                <w:szCs w:val="24"/>
                <w:highlight w:val="none"/>
                <w:lang w:val="en-US" w:eastAsia="zh-CN"/>
              </w:rPr>
            </w:pPr>
          </w:p>
        </w:tc>
        <w:tc>
          <w:tcPr>
            <w:tcW w:w="563" w:type="pct"/>
            <w:vMerge w:val="continue"/>
            <w:shd w:val="clear" w:color="000000" w:fill="FFFFFF"/>
            <w:noWrap w:val="0"/>
            <w:vAlign w:val="center"/>
          </w:tcPr>
          <w:p w14:paraId="470AF0F7">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2DED52E9">
            <w:pPr>
              <w:jc w:val="center"/>
              <w:rPr>
                <w:rFonts w:hint="eastAsia" w:ascii="宋体" w:hAnsi="宋体" w:eastAsia="宋体" w:cs="宋体"/>
                <w:bCs/>
                <w:color w:val="auto"/>
                <w:sz w:val="24"/>
                <w:szCs w:val="24"/>
                <w:highlight w:val="none"/>
              </w:rPr>
            </w:pPr>
          </w:p>
        </w:tc>
        <w:tc>
          <w:tcPr>
            <w:tcW w:w="3572" w:type="pct"/>
            <w:shd w:val="clear" w:color="000000" w:fill="FFFFFF"/>
            <w:noWrap w:val="0"/>
            <w:vAlign w:val="center"/>
          </w:tcPr>
          <w:p w14:paraId="16DCC678">
            <w:pPr>
              <w:jc w:val="left"/>
              <w:rPr>
                <w:rFonts w:hint="eastAsia" w:ascii="宋体" w:hAnsi="宋体" w:eastAsia="宋体" w:cs="宋体"/>
                <w:color w:val="auto"/>
                <w:sz w:val="24"/>
                <w:szCs w:val="24"/>
                <w:highlight w:val="none"/>
              </w:rPr>
            </w:pPr>
            <w:r>
              <w:rPr>
                <w:rFonts w:hint="eastAsia" w:ascii="宋体" w:hAnsi="宋体" w:cs="宋体"/>
                <w:b/>
                <w:bCs w:val="0"/>
                <w:i w:val="0"/>
                <w:iCs w:val="0"/>
                <w:color w:val="auto"/>
                <w:kern w:val="0"/>
                <w:sz w:val="24"/>
                <w:szCs w:val="24"/>
                <w:highlight w:val="none"/>
                <w:u w:val="none"/>
                <w:lang w:val="en-US" w:eastAsia="zh-CN" w:bidi="ar"/>
              </w:rPr>
              <w:t>（3）</w:t>
            </w:r>
            <w:r>
              <w:rPr>
                <w:rFonts w:hint="eastAsia" w:ascii="宋体" w:hAnsi="宋体" w:eastAsia="宋体" w:cs="宋体"/>
                <w:b/>
                <w:bCs w:val="0"/>
                <w:i w:val="0"/>
                <w:iCs w:val="0"/>
                <w:color w:val="auto"/>
                <w:kern w:val="0"/>
                <w:sz w:val="24"/>
                <w:szCs w:val="24"/>
                <w:highlight w:val="none"/>
                <w:u w:val="none"/>
                <w:lang w:val="en-US" w:eastAsia="zh-CN" w:bidi="ar"/>
              </w:rPr>
              <w:t>计算机网络系统：</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2202C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397" w:type="pct"/>
            <w:vMerge w:val="continue"/>
            <w:shd w:val="clear" w:color="000000" w:fill="FFFFFF"/>
            <w:noWrap w:val="0"/>
            <w:vAlign w:val="center"/>
          </w:tcPr>
          <w:p w14:paraId="3BD674AC">
            <w:pPr>
              <w:jc w:val="center"/>
              <w:rPr>
                <w:rFonts w:hint="eastAsia" w:ascii="宋体" w:hAnsi="宋体" w:eastAsia="宋体" w:cs="宋体"/>
                <w:color w:val="auto"/>
                <w:sz w:val="24"/>
                <w:szCs w:val="24"/>
                <w:highlight w:val="none"/>
                <w:lang w:val="en-US" w:eastAsia="zh-CN"/>
              </w:rPr>
            </w:pPr>
          </w:p>
        </w:tc>
        <w:tc>
          <w:tcPr>
            <w:tcW w:w="563" w:type="pct"/>
            <w:vMerge w:val="continue"/>
            <w:shd w:val="clear" w:color="000000" w:fill="FFFFFF"/>
            <w:noWrap w:val="0"/>
            <w:vAlign w:val="center"/>
          </w:tcPr>
          <w:p w14:paraId="2FB32744">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343F518E">
            <w:pPr>
              <w:jc w:val="center"/>
              <w:rPr>
                <w:rFonts w:hint="eastAsia" w:ascii="宋体" w:hAnsi="宋体" w:eastAsia="宋体" w:cs="宋体"/>
                <w:b/>
                <w:bCs w:val="0"/>
                <w:color w:val="auto"/>
                <w:sz w:val="24"/>
                <w:szCs w:val="24"/>
                <w:highlight w:val="none"/>
              </w:rPr>
            </w:pPr>
          </w:p>
        </w:tc>
        <w:tc>
          <w:tcPr>
            <w:tcW w:w="3572" w:type="pct"/>
            <w:shd w:val="clear" w:color="000000" w:fill="FFFFFF"/>
            <w:noWrap w:val="0"/>
            <w:vAlign w:val="center"/>
          </w:tcPr>
          <w:p w14:paraId="5F4B7B23">
            <w:pPr>
              <w:jc w:val="left"/>
              <w:rPr>
                <w:rFonts w:hint="default" w:ascii="宋体" w:hAnsi="宋体" w:eastAsia="宋体" w:cs="宋体"/>
                <w:b/>
                <w:bCs w:val="0"/>
                <w:color w:val="auto"/>
                <w:sz w:val="24"/>
                <w:szCs w:val="24"/>
                <w:highlight w:val="none"/>
                <w:lang w:val="en-US"/>
              </w:rPr>
            </w:pPr>
            <w:r>
              <w:rPr>
                <w:rFonts w:hint="eastAsia" w:ascii="宋体" w:hAnsi="宋体" w:cs="宋体"/>
                <w:b/>
                <w:bCs/>
                <w:i w:val="0"/>
                <w:iCs w:val="0"/>
                <w:color w:val="auto"/>
                <w:kern w:val="0"/>
                <w:sz w:val="24"/>
                <w:szCs w:val="24"/>
                <w:highlight w:val="none"/>
                <w:u w:val="none"/>
                <w:lang w:val="en-US" w:eastAsia="zh-CN" w:bidi="ar"/>
              </w:rPr>
              <w:t>（4）智慧安防系统:</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29E40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397" w:type="pct"/>
            <w:vMerge w:val="continue"/>
            <w:shd w:val="clear" w:color="000000" w:fill="FFFFFF"/>
            <w:noWrap w:val="0"/>
            <w:vAlign w:val="center"/>
          </w:tcPr>
          <w:p w14:paraId="2F5896FE">
            <w:pPr>
              <w:jc w:val="center"/>
              <w:rPr>
                <w:rFonts w:hint="eastAsia" w:ascii="宋体" w:hAnsi="宋体" w:eastAsia="宋体" w:cs="宋体"/>
                <w:color w:val="auto"/>
                <w:sz w:val="24"/>
                <w:szCs w:val="24"/>
                <w:highlight w:val="none"/>
                <w:lang w:val="en-US" w:eastAsia="zh-CN"/>
              </w:rPr>
            </w:pPr>
          </w:p>
        </w:tc>
        <w:tc>
          <w:tcPr>
            <w:tcW w:w="563" w:type="pct"/>
            <w:vMerge w:val="continue"/>
            <w:shd w:val="clear" w:color="000000" w:fill="FFFFFF"/>
            <w:noWrap w:val="0"/>
            <w:vAlign w:val="center"/>
          </w:tcPr>
          <w:p w14:paraId="6DB666C9">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3A711548">
            <w:pPr>
              <w:jc w:val="center"/>
              <w:rPr>
                <w:rFonts w:hint="eastAsia" w:ascii="宋体" w:hAnsi="宋体" w:eastAsia="宋体" w:cs="宋体"/>
                <w:b/>
                <w:bCs w:val="0"/>
                <w:color w:val="auto"/>
                <w:sz w:val="24"/>
                <w:szCs w:val="24"/>
                <w:highlight w:val="none"/>
              </w:rPr>
            </w:pPr>
          </w:p>
        </w:tc>
        <w:tc>
          <w:tcPr>
            <w:tcW w:w="3572" w:type="pct"/>
            <w:shd w:val="clear" w:color="000000" w:fill="FFFFFF"/>
            <w:noWrap w:val="0"/>
            <w:vAlign w:val="center"/>
          </w:tcPr>
          <w:p w14:paraId="4126A463">
            <w:pPr>
              <w:jc w:val="left"/>
              <w:rPr>
                <w:rFonts w:hint="default" w:ascii="宋体" w:hAnsi="宋体" w:eastAsia="宋体" w:cs="宋体"/>
                <w:b/>
                <w:bCs w:val="0"/>
                <w:color w:val="auto"/>
                <w:sz w:val="24"/>
                <w:szCs w:val="24"/>
                <w:highlight w:val="none"/>
                <w:lang w:val="en-US"/>
              </w:rPr>
            </w:pPr>
            <w:r>
              <w:rPr>
                <w:rFonts w:hint="eastAsia" w:ascii="宋体" w:hAnsi="宋体" w:cs="宋体"/>
                <w:b/>
                <w:bCs/>
                <w:i w:val="0"/>
                <w:iCs w:val="0"/>
                <w:color w:val="auto"/>
                <w:kern w:val="0"/>
                <w:sz w:val="24"/>
                <w:szCs w:val="24"/>
                <w:highlight w:val="none"/>
                <w:u w:val="none"/>
                <w:lang w:val="en-US" w:eastAsia="zh-CN" w:bidi="ar"/>
              </w:rPr>
              <w:t>（5）校园广播系统:</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097F6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7" w:type="pct"/>
            <w:vMerge w:val="continue"/>
            <w:shd w:val="clear" w:color="000000" w:fill="FFFFFF"/>
            <w:noWrap w:val="0"/>
            <w:vAlign w:val="center"/>
          </w:tcPr>
          <w:p w14:paraId="12E54B60">
            <w:pPr>
              <w:jc w:val="center"/>
              <w:rPr>
                <w:rFonts w:hint="eastAsia" w:ascii="宋体" w:hAnsi="宋体" w:eastAsia="宋体" w:cs="宋体"/>
                <w:color w:val="auto"/>
                <w:sz w:val="24"/>
                <w:szCs w:val="24"/>
                <w:highlight w:val="none"/>
                <w:lang w:val="en-US" w:eastAsia="zh-CN"/>
              </w:rPr>
            </w:pPr>
          </w:p>
        </w:tc>
        <w:tc>
          <w:tcPr>
            <w:tcW w:w="563" w:type="pct"/>
            <w:vMerge w:val="continue"/>
            <w:shd w:val="clear" w:color="000000" w:fill="FFFFFF"/>
            <w:noWrap w:val="0"/>
            <w:vAlign w:val="center"/>
          </w:tcPr>
          <w:p w14:paraId="0419C3BD">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3CE97D16">
            <w:pPr>
              <w:jc w:val="center"/>
              <w:rPr>
                <w:rFonts w:hint="eastAsia" w:ascii="宋体" w:hAnsi="宋体" w:eastAsia="宋体" w:cs="宋体"/>
                <w:b/>
                <w:bCs w:val="0"/>
                <w:color w:val="auto"/>
                <w:sz w:val="24"/>
                <w:szCs w:val="24"/>
                <w:highlight w:val="none"/>
              </w:rPr>
            </w:pPr>
          </w:p>
        </w:tc>
        <w:tc>
          <w:tcPr>
            <w:tcW w:w="3572" w:type="pct"/>
            <w:shd w:val="clear" w:color="000000" w:fill="FFFFFF"/>
            <w:noWrap w:val="0"/>
            <w:vAlign w:val="center"/>
          </w:tcPr>
          <w:p w14:paraId="417DD795">
            <w:pPr>
              <w:jc w:val="left"/>
              <w:rPr>
                <w:rFonts w:hint="eastAsia" w:ascii="宋体" w:hAnsi="宋体" w:eastAsia="宋体" w:cs="宋体"/>
                <w:b/>
                <w:bCs w:val="0"/>
                <w:color w:val="auto"/>
                <w:sz w:val="24"/>
                <w:szCs w:val="24"/>
                <w:highlight w:val="none"/>
              </w:rPr>
            </w:pPr>
            <w:r>
              <w:rPr>
                <w:rFonts w:hint="eastAsia" w:ascii="宋体" w:hAnsi="宋体" w:cs="宋体"/>
                <w:b/>
                <w:bCs/>
                <w:i w:val="0"/>
                <w:iCs w:val="0"/>
                <w:color w:val="auto"/>
                <w:kern w:val="0"/>
                <w:sz w:val="24"/>
                <w:szCs w:val="24"/>
                <w:highlight w:val="none"/>
                <w:u w:val="none"/>
                <w:lang w:val="en-US" w:eastAsia="zh-CN" w:bidi="ar"/>
              </w:rPr>
              <w:t>（6）信息发布系统:</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3B49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397" w:type="pct"/>
            <w:vMerge w:val="continue"/>
            <w:shd w:val="clear" w:color="000000" w:fill="FFFFFF"/>
            <w:noWrap w:val="0"/>
            <w:vAlign w:val="center"/>
          </w:tcPr>
          <w:p w14:paraId="3B915A08">
            <w:pPr>
              <w:jc w:val="center"/>
              <w:rPr>
                <w:rFonts w:hint="eastAsia" w:ascii="宋体" w:hAnsi="宋体" w:eastAsia="宋体" w:cs="宋体"/>
                <w:color w:val="auto"/>
                <w:sz w:val="24"/>
                <w:szCs w:val="24"/>
                <w:highlight w:val="none"/>
                <w:lang w:val="en-US" w:eastAsia="zh-CN"/>
              </w:rPr>
            </w:pPr>
          </w:p>
        </w:tc>
        <w:tc>
          <w:tcPr>
            <w:tcW w:w="563" w:type="pct"/>
            <w:vMerge w:val="continue"/>
            <w:shd w:val="clear" w:color="000000" w:fill="FFFFFF"/>
            <w:noWrap w:val="0"/>
            <w:vAlign w:val="center"/>
          </w:tcPr>
          <w:p w14:paraId="00050F2E">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3CAFD48B">
            <w:pPr>
              <w:jc w:val="center"/>
              <w:rPr>
                <w:rFonts w:hint="eastAsia" w:ascii="宋体" w:hAnsi="宋体" w:eastAsia="宋体" w:cs="宋体"/>
                <w:b/>
                <w:bCs w:val="0"/>
                <w:color w:val="auto"/>
                <w:sz w:val="24"/>
                <w:szCs w:val="24"/>
                <w:highlight w:val="none"/>
              </w:rPr>
            </w:pPr>
          </w:p>
        </w:tc>
        <w:tc>
          <w:tcPr>
            <w:tcW w:w="3572" w:type="pct"/>
            <w:shd w:val="clear" w:color="000000" w:fill="FFFFFF"/>
            <w:noWrap w:val="0"/>
            <w:vAlign w:val="center"/>
          </w:tcPr>
          <w:p w14:paraId="5273A803">
            <w:pPr>
              <w:jc w:val="left"/>
              <w:rPr>
                <w:rFonts w:hint="eastAsia" w:ascii="宋体" w:hAnsi="宋体" w:eastAsia="宋体" w:cs="宋体"/>
                <w:b/>
                <w:bCs w:val="0"/>
                <w:color w:val="auto"/>
                <w:sz w:val="24"/>
                <w:szCs w:val="24"/>
                <w:highlight w:val="none"/>
              </w:rPr>
            </w:pPr>
            <w:r>
              <w:rPr>
                <w:rFonts w:hint="eastAsia" w:ascii="宋体" w:hAnsi="宋体" w:cs="宋体"/>
                <w:b/>
                <w:bCs/>
                <w:i w:val="0"/>
                <w:iCs w:val="0"/>
                <w:color w:val="auto"/>
                <w:kern w:val="0"/>
                <w:sz w:val="24"/>
                <w:szCs w:val="24"/>
                <w:highlight w:val="none"/>
                <w:u w:val="none"/>
                <w:lang w:val="en-US" w:eastAsia="zh-CN" w:bidi="ar"/>
              </w:rPr>
              <w:t>（7）多媒体会议系统、:</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C66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397" w:type="pct"/>
            <w:vMerge w:val="continue"/>
            <w:shd w:val="clear" w:color="000000" w:fill="FFFFFF"/>
            <w:noWrap w:val="0"/>
            <w:vAlign w:val="center"/>
          </w:tcPr>
          <w:p w14:paraId="5AAAA5C2">
            <w:pPr>
              <w:jc w:val="center"/>
              <w:rPr>
                <w:rFonts w:hint="eastAsia" w:ascii="宋体" w:hAnsi="宋体" w:eastAsia="宋体" w:cs="宋体"/>
                <w:color w:val="auto"/>
                <w:sz w:val="24"/>
                <w:szCs w:val="24"/>
                <w:highlight w:val="none"/>
                <w:lang w:val="en-US" w:eastAsia="zh-CN"/>
              </w:rPr>
            </w:pPr>
          </w:p>
        </w:tc>
        <w:tc>
          <w:tcPr>
            <w:tcW w:w="563" w:type="pct"/>
            <w:vMerge w:val="continue"/>
            <w:shd w:val="clear" w:color="000000" w:fill="FFFFFF"/>
            <w:noWrap w:val="0"/>
            <w:vAlign w:val="center"/>
          </w:tcPr>
          <w:p w14:paraId="4806A037">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70781C58">
            <w:pPr>
              <w:jc w:val="center"/>
              <w:rPr>
                <w:rFonts w:hint="eastAsia" w:ascii="宋体" w:hAnsi="宋体" w:eastAsia="宋体" w:cs="宋体"/>
                <w:b/>
                <w:bCs w:val="0"/>
                <w:color w:val="auto"/>
                <w:sz w:val="24"/>
                <w:szCs w:val="24"/>
                <w:highlight w:val="none"/>
              </w:rPr>
            </w:pPr>
          </w:p>
        </w:tc>
        <w:tc>
          <w:tcPr>
            <w:tcW w:w="3572" w:type="pct"/>
            <w:shd w:val="clear" w:color="000000" w:fill="FFFFFF"/>
            <w:noWrap w:val="0"/>
            <w:vAlign w:val="center"/>
          </w:tcPr>
          <w:p w14:paraId="0AFB823F">
            <w:pPr>
              <w:jc w:val="left"/>
              <w:rPr>
                <w:rFonts w:hint="eastAsia" w:ascii="宋体" w:hAnsi="宋体" w:eastAsia="宋体" w:cs="宋体"/>
                <w:b/>
                <w:bCs w:val="0"/>
                <w:color w:val="auto"/>
                <w:sz w:val="24"/>
                <w:szCs w:val="24"/>
                <w:highlight w:val="none"/>
              </w:rPr>
            </w:pPr>
            <w:r>
              <w:rPr>
                <w:rFonts w:hint="eastAsia" w:ascii="宋体" w:hAnsi="宋体" w:cs="宋体"/>
                <w:b/>
                <w:bCs/>
                <w:i w:val="0"/>
                <w:iCs w:val="0"/>
                <w:color w:val="auto"/>
                <w:kern w:val="0"/>
                <w:sz w:val="24"/>
                <w:szCs w:val="24"/>
                <w:highlight w:val="none"/>
                <w:u w:val="none"/>
                <w:lang w:val="en-US" w:eastAsia="zh-CN" w:bidi="ar"/>
              </w:rPr>
              <w:t>（8）舞台机械幕布灯光系统:</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4C318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397" w:type="pct"/>
            <w:vMerge w:val="continue"/>
            <w:shd w:val="clear" w:color="000000" w:fill="FFFFFF"/>
            <w:noWrap w:val="0"/>
            <w:vAlign w:val="center"/>
          </w:tcPr>
          <w:p w14:paraId="2EF1B4D1">
            <w:pPr>
              <w:jc w:val="center"/>
              <w:rPr>
                <w:rFonts w:hint="eastAsia" w:ascii="宋体" w:hAnsi="宋体" w:eastAsia="宋体" w:cs="宋体"/>
                <w:color w:val="auto"/>
                <w:sz w:val="24"/>
                <w:szCs w:val="24"/>
                <w:highlight w:val="none"/>
                <w:lang w:val="en-US" w:eastAsia="zh-CN"/>
              </w:rPr>
            </w:pPr>
          </w:p>
        </w:tc>
        <w:tc>
          <w:tcPr>
            <w:tcW w:w="563" w:type="pct"/>
            <w:vMerge w:val="continue"/>
            <w:shd w:val="clear" w:color="000000" w:fill="FFFFFF"/>
            <w:noWrap w:val="0"/>
            <w:vAlign w:val="center"/>
          </w:tcPr>
          <w:p w14:paraId="301B4C3D">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596F363E">
            <w:pPr>
              <w:jc w:val="center"/>
              <w:rPr>
                <w:rFonts w:hint="eastAsia" w:ascii="宋体" w:hAnsi="宋体" w:eastAsia="宋体" w:cs="宋体"/>
                <w:b/>
                <w:bCs w:val="0"/>
                <w:color w:val="auto"/>
                <w:sz w:val="24"/>
                <w:szCs w:val="24"/>
                <w:highlight w:val="none"/>
              </w:rPr>
            </w:pPr>
          </w:p>
        </w:tc>
        <w:tc>
          <w:tcPr>
            <w:tcW w:w="3572" w:type="pct"/>
            <w:shd w:val="clear" w:color="000000" w:fill="FFFFFF"/>
            <w:noWrap w:val="0"/>
            <w:vAlign w:val="center"/>
          </w:tcPr>
          <w:p w14:paraId="59D68393">
            <w:pPr>
              <w:jc w:val="left"/>
              <w:rPr>
                <w:rFonts w:hint="eastAsia"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（9）能耗检测系统:</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2C508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397" w:type="pct"/>
            <w:vMerge w:val="continue"/>
            <w:shd w:val="clear" w:color="000000" w:fill="FFFFFF"/>
            <w:noWrap w:val="0"/>
            <w:vAlign w:val="center"/>
          </w:tcPr>
          <w:p w14:paraId="5FA45884">
            <w:pPr>
              <w:jc w:val="center"/>
              <w:rPr>
                <w:rFonts w:hint="eastAsia" w:ascii="宋体" w:hAnsi="宋体" w:eastAsia="宋体" w:cs="宋体"/>
                <w:color w:val="auto"/>
                <w:sz w:val="24"/>
                <w:szCs w:val="24"/>
                <w:highlight w:val="none"/>
                <w:lang w:val="en-US" w:eastAsia="zh-CN"/>
              </w:rPr>
            </w:pPr>
          </w:p>
        </w:tc>
        <w:tc>
          <w:tcPr>
            <w:tcW w:w="563" w:type="pct"/>
            <w:vMerge w:val="continue"/>
            <w:shd w:val="clear" w:color="000000" w:fill="FFFFFF"/>
            <w:noWrap w:val="0"/>
            <w:vAlign w:val="center"/>
          </w:tcPr>
          <w:p w14:paraId="14886A69">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467" w:type="pct"/>
            <w:vMerge w:val="continue"/>
            <w:shd w:val="clear" w:color="000000" w:fill="FFFFFF"/>
            <w:noWrap w:val="0"/>
            <w:vAlign w:val="center"/>
          </w:tcPr>
          <w:p w14:paraId="05E3CBF6">
            <w:pPr>
              <w:jc w:val="center"/>
              <w:rPr>
                <w:rFonts w:hint="eastAsia" w:ascii="宋体" w:hAnsi="宋体" w:eastAsia="宋体" w:cs="宋体"/>
                <w:b/>
                <w:bCs w:val="0"/>
                <w:color w:val="auto"/>
                <w:sz w:val="24"/>
                <w:szCs w:val="24"/>
                <w:highlight w:val="none"/>
              </w:rPr>
            </w:pPr>
          </w:p>
        </w:tc>
        <w:tc>
          <w:tcPr>
            <w:tcW w:w="3572" w:type="pct"/>
            <w:shd w:val="clear" w:color="000000" w:fill="FFFFFF"/>
            <w:noWrap w:val="0"/>
            <w:vAlign w:val="center"/>
          </w:tcPr>
          <w:p w14:paraId="54F99AFB">
            <w:pPr>
              <w:jc w:val="left"/>
              <w:rPr>
                <w:rFonts w:hint="eastAsia"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（10）机房系统:</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161B9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397" w:type="pct"/>
            <w:vMerge w:val="restart"/>
            <w:tcBorders>
              <w:top w:val="single" w:color="000000" w:sz="4" w:space="0"/>
              <w:left w:val="single" w:color="000000" w:sz="4" w:space="0"/>
              <w:right w:val="single" w:color="000000" w:sz="4" w:space="0"/>
            </w:tcBorders>
            <w:shd w:val="clear" w:color="auto" w:fill="auto"/>
            <w:noWrap w:val="0"/>
            <w:vAlign w:val="center"/>
          </w:tcPr>
          <w:p w14:paraId="120BB06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563" w:type="pct"/>
            <w:vMerge w:val="restart"/>
            <w:tcBorders>
              <w:top w:val="single" w:color="000000" w:sz="4" w:space="0"/>
              <w:left w:val="single" w:color="000000" w:sz="4" w:space="0"/>
              <w:right w:val="single" w:color="000000" w:sz="4" w:space="0"/>
            </w:tcBorders>
            <w:shd w:val="clear" w:color="auto" w:fill="auto"/>
            <w:noWrap w:val="0"/>
            <w:vAlign w:val="center"/>
          </w:tcPr>
          <w:p w14:paraId="27679FF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项目具体实施方案</w:t>
            </w:r>
          </w:p>
        </w:tc>
        <w:tc>
          <w:tcPr>
            <w:tcW w:w="467" w:type="pct"/>
            <w:vMerge w:val="restart"/>
            <w:tcBorders>
              <w:top w:val="single" w:color="000000" w:sz="4" w:space="0"/>
              <w:left w:val="single" w:color="000000" w:sz="4" w:space="0"/>
              <w:right w:val="single" w:color="000000" w:sz="4" w:space="0"/>
            </w:tcBorders>
            <w:shd w:val="clear" w:color="auto" w:fill="auto"/>
            <w:noWrap w:val="0"/>
            <w:vAlign w:val="center"/>
          </w:tcPr>
          <w:p w14:paraId="0DC94F1A">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3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FBE3DA">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根据投标人的组织实施方案（至少需包含项目前期准备情况与实施措施、</w:t>
            </w:r>
            <w:r>
              <w:rPr>
                <w:rFonts w:hint="eastAsia" w:ascii="宋体" w:hAnsi="宋体" w:cs="宋体"/>
                <w:color w:val="auto"/>
                <w:sz w:val="24"/>
                <w:szCs w:val="24"/>
                <w:highlight w:val="none"/>
                <w:lang w:val="en-US" w:eastAsia="zh-CN"/>
              </w:rPr>
              <w:t>项目组配置、</w:t>
            </w:r>
            <w:r>
              <w:rPr>
                <w:rFonts w:hint="eastAsia" w:ascii="宋体" w:hAnsi="宋体" w:eastAsia="宋体" w:cs="宋体"/>
                <w:color w:val="auto"/>
                <w:sz w:val="24"/>
                <w:szCs w:val="24"/>
                <w:highlight w:val="none"/>
                <w:lang w:val="en-US" w:eastAsia="zh-CN"/>
              </w:rPr>
              <w:t>工期保障措施、进度保证措施、</w:t>
            </w:r>
            <w:r>
              <w:rPr>
                <w:rFonts w:hint="eastAsia" w:ascii="宋体" w:hAnsi="宋体" w:cs="宋体"/>
                <w:color w:val="auto"/>
                <w:sz w:val="24"/>
                <w:szCs w:val="24"/>
                <w:highlight w:val="none"/>
                <w:lang w:val="en-US" w:eastAsia="zh-CN"/>
              </w:rPr>
              <w:t>设备安装调试、</w:t>
            </w:r>
            <w:r>
              <w:rPr>
                <w:rFonts w:hint="eastAsia" w:ascii="宋体" w:hAnsi="宋体" w:eastAsia="宋体" w:cs="宋体"/>
                <w:color w:val="auto"/>
                <w:sz w:val="24"/>
                <w:szCs w:val="24"/>
                <w:highlight w:val="none"/>
                <w:lang w:val="en-US" w:eastAsia="zh-CN"/>
              </w:rPr>
              <w:t>质量保证措施</w:t>
            </w:r>
            <w:r>
              <w:rPr>
                <w:rFonts w:hint="eastAsia" w:ascii="宋体" w:hAnsi="宋体" w:cs="宋体"/>
                <w:color w:val="auto"/>
                <w:sz w:val="24"/>
                <w:szCs w:val="24"/>
                <w:highlight w:val="none"/>
                <w:lang w:val="en-US" w:eastAsia="zh-CN"/>
              </w:rPr>
              <w:t>、系统测试方案、项目验收方案</w:t>
            </w:r>
            <w:r>
              <w:rPr>
                <w:rFonts w:hint="eastAsia" w:ascii="宋体" w:hAnsi="宋体" w:eastAsia="宋体" w:cs="宋体"/>
                <w:color w:val="auto"/>
                <w:sz w:val="24"/>
                <w:szCs w:val="24"/>
                <w:highlight w:val="none"/>
                <w:lang w:val="en-US" w:eastAsia="zh-CN"/>
              </w:rPr>
              <w:t>等）进行评分（0-</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分）：方案是否完整合理，是否具有逻辑性、可操作性。</w:t>
            </w:r>
          </w:p>
        </w:tc>
      </w:tr>
      <w:tr w14:paraId="7D06E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9" w:hRule="atLeast"/>
        </w:trPr>
        <w:tc>
          <w:tcPr>
            <w:tcW w:w="397" w:type="pct"/>
            <w:vMerge w:val="continue"/>
            <w:tcBorders>
              <w:left w:val="single" w:color="000000" w:sz="4" w:space="0"/>
              <w:bottom w:val="single" w:color="000000" w:sz="4" w:space="0"/>
              <w:right w:val="single" w:color="000000" w:sz="4" w:space="0"/>
            </w:tcBorders>
            <w:shd w:val="clear" w:color="auto" w:fill="auto"/>
            <w:noWrap w:val="0"/>
            <w:vAlign w:val="center"/>
          </w:tcPr>
          <w:p w14:paraId="583D808D">
            <w:pPr>
              <w:jc w:val="left"/>
              <w:rPr>
                <w:rFonts w:hint="eastAsia" w:ascii="宋体" w:hAnsi="宋体" w:eastAsia="宋体" w:cs="宋体"/>
                <w:color w:val="auto"/>
                <w:sz w:val="24"/>
                <w:szCs w:val="24"/>
                <w:highlight w:val="none"/>
              </w:rPr>
            </w:pPr>
          </w:p>
        </w:tc>
        <w:tc>
          <w:tcPr>
            <w:tcW w:w="563" w:type="pct"/>
            <w:vMerge w:val="continue"/>
            <w:tcBorders>
              <w:left w:val="single" w:color="000000" w:sz="4" w:space="0"/>
              <w:bottom w:val="single" w:color="000000" w:sz="4" w:space="0"/>
              <w:right w:val="single" w:color="000000" w:sz="4" w:space="0"/>
            </w:tcBorders>
            <w:shd w:val="clear" w:color="auto" w:fill="auto"/>
            <w:noWrap w:val="0"/>
            <w:vAlign w:val="center"/>
          </w:tcPr>
          <w:p w14:paraId="7661DACD">
            <w:pPr>
              <w:jc w:val="left"/>
              <w:rPr>
                <w:rFonts w:hint="eastAsia" w:ascii="宋体" w:hAnsi="宋体" w:eastAsia="宋体" w:cs="宋体"/>
                <w:color w:val="auto"/>
                <w:sz w:val="24"/>
                <w:szCs w:val="24"/>
                <w:highlight w:val="none"/>
              </w:rPr>
            </w:pPr>
          </w:p>
        </w:tc>
        <w:tc>
          <w:tcPr>
            <w:tcW w:w="467" w:type="pct"/>
            <w:vMerge w:val="continue"/>
            <w:tcBorders>
              <w:left w:val="single" w:color="000000" w:sz="4" w:space="0"/>
              <w:bottom w:val="single" w:color="000000" w:sz="4" w:space="0"/>
              <w:right w:val="single" w:color="000000" w:sz="4" w:space="0"/>
            </w:tcBorders>
            <w:shd w:val="clear" w:color="auto" w:fill="auto"/>
            <w:noWrap w:val="0"/>
            <w:vAlign w:val="center"/>
          </w:tcPr>
          <w:p w14:paraId="0659989E">
            <w:pPr>
              <w:jc w:val="left"/>
              <w:rPr>
                <w:rFonts w:hint="eastAsia" w:ascii="宋体" w:hAnsi="宋体" w:eastAsia="宋体" w:cs="宋体"/>
                <w:color w:val="auto"/>
                <w:sz w:val="24"/>
                <w:szCs w:val="24"/>
                <w:highlight w:val="none"/>
              </w:rPr>
            </w:pPr>
          </w:p>
        </w:tc>
        <w:tc>
          <w:tcPr>
            <w:tcW w:w="3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C74519">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重点、难点分析：根据投标人重点、难点分析，针对项目特点、实际解决项目所要解决的问题清晰、到位进行评分（0-</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055C9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397" w:type="pct"/>
            <w:tcBorders>
              <w:left w:val="single" w:color="000000" w:sz="4" w:space="0"/>
              <w:bottom w:val="single" w:color="000000" w:sz="4" w:space="0"/>
              <w:right w:val="single" w:color="000000" w:sz="4" w:space="0"/>
            </w:tcBorders>
            <w:shd w:val="clear" w:color="000000" w:fill="FFFFFF"/>
            <w:noWrap w:val="0"/>
            <w:vAlign w:val="center"/>
          </w:tcPr>
          <w:p w14:paraId="7FFEC4FE">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563" w:type="pct"/>
            <w:tcBorders>
              <w:left w:val="single" w:color="000000" w:sz="4" w:space="0"/>
              <w:bottom w:val="single" w:color="000000" w:sz="4" w:space="0"/>
              <w:right w:val="single" w:color="000000" w:sz="4" w:space="0"/>
            </w:tcBorders>
            <w:shd w:val="clear" w:color="000000" w:fill="FFFFFF"/>
            <w:noWrap w:val="0"/>
            <w:vAlign w:val="center"/>
          </w:tcPr>
          <w:p w14:paraId="50EF55BB">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培训方案</w:t>
            </w:r>
          </w:p>
        </w:tc>
        <w:tc>
          <w:tcPr>
            <w:tcW w:w="467" w:type="pct"/>
            <w:tcBorders>
              <w:left w:val="single" w:color="000000" w:sz="4" w:space="0"/>
              <w:bottom w:val="single" w:color="000000" w:sz="4" w:space="0"/>
              <w:right w:val="single" w:color="000000" w:sz="4" w:space="0"/>
            </w:tcBorders>
            <w:shd w:val="clear" w:color="000000" w:fill="FFFFFF"/>
            <w:noWrap w:val="0"/>
            <w:vAlign w:val="center"/>
          </w:tcPr>
          <w:p w14:paraId="0DE526C2">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3572" w:type="pct"/>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126E11F4">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根据提供的培训人员技术、执业能力、培训内容及培训方式、培训效果预期等情况进行打分（0-</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38AC3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397" w:type="pct"/>
            <w:vMerge w:val="restar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068929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p w14:paraId="6B8A113C">
            <w:pPr>
              <w:jc w:val="center"/>
              <w:rPr>
                <w:rFonts w:hint="eastAsia" w:ascii="宋体" w:hAnsi="宋体" w:eastAsia="宋体" w:cs="宋体"/>
                <w:color w:val="auto"/>
                <w:sz w:val="24"/>
                <w:szCs w:val="24"/>
                <w:highlight w:val="none"/>
              </w:rPr>
            </w:pPr>
          </w:p>
        </w:tc>
        <w:tc>
          <w:tcPr>
            <w:tcW w:w="563" w:type="pct"/>
            <w:vMerge w:val="restart"/>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2EE937AA">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售后服务</w:t>
            </w:r>
          </w:p>
          <w:p w14:paraId="6A9746CB">
            <w:pPr>
              <w:jc w:val="center"/>
              <w:rPr>
                <w:rFonts w:hint="eastAsia" w:ascii="宋体" w:hAnsi="宋体" w:eastAsia="宋体" w:cs="宋体"/>
                <w:color w:val="auto"/>
                <w:sz w:val="24"/>
                <w:szCs w:val="24"/>
                <w:highlight w:val="none"/>
              </w:rPr>
            </w:pPr>
          </w:p>
        </w:tc>
        <w:tc>
          <w:tcPr>
            <w:tcW w:w="467" w:type="pct"/>
            <w:vMerge w:val="restart"/>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20F97F0A">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3DF47B01">
            <w:pPr>
              <w:jc w:val="center"/>
              <w:rPr>
                <w:rFonts w:hint="eastAsia" w:ascii="宋体" w:hAnsi="宋体" w:eastAsia="宋体" w:cs="宋体"/>
                <w:color w:val="auto"/>
                <w:sz w:val="24"/>
                <w:szCs w:val="24"/>
                <w:highlight w:val="none"/>
              </w:rPr>
            </w:pPr>
          </w:p>
        </w:tc>
        <w:tc>
          <w:tcPr>
            <w:tcW w:w="3572" w:type="pct"/>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4E88A10B">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服务方案：根据投标人服务能力、日常运维、售后服务响应时间进行打分（0-</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4633A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1" w:hRule="atLeast"/>
        </w:trPr>
        <w:tc>
          <w:tcPr>
            <w:tcW w:w="39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D46D">
            <w:pPr>
              <w:jc w:val="left"/>
              <w:rPr>
                <w:rFonts w:hint="eastAsia" w:ascii="宋体" w:hAnsi="宋体" w:eastAsia="宋体" w:cs="宋体"/>
                <w:color w:val="auto"/>
                <w:sz w:val="24"/>
                <w:szCs w:val="24"/>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9171E">
            <w:pPr>
              <w:jc w:val="left"/>
              <w:rPr>
                <w:rFonts w:hint="eastAsia" w:ascii="宋体" w:hAnsi="宋体" w:eastAsia="宋体" w:cs="宋体"/>
                <w:color w:val="auto"/>
                <w:sz w:val="24"/>
                <w:szCs w:val="24"/>
                <w:highlight w:val="none"/>
              </w:rPr>
            </w:pPr>
          </w:p>
        </w:tc>
        <w:tc>
          <w:tcPr>
            <w:tcW w:w="46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58156">
            <w:pPr>
              <w:jc w:val="left"/>
              <w:rPr>
                <w:rFonts w:hint="eastAsia" w:ascii="宋体" w:hAnsi="宋体" w:eastAsia="宋体" w:cs="宋体"/>
                <w:color w:val="auto"/>
                <w:sz w:val="24"/>
                <w:szCs w:val="24"/>
                <w:highlight w:val="none"/>
              </w:rPr>
            </w:pPr>
          </w:p>
        </w:tc>
        <w:tc>
          <w:tcPr>
            <w:tcW w:w="3572" w:type="pct"/>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58DB9388">
            <w:pPr>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备品备件：根据投标文件中明确提供备品备件的数量等情况进行打分（0-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bl>
    <w:p w14:paraId="2B6437C4">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提示：</w:t>
      </w:r>
    </w:p>
    <w:p w14:paraId="27B2A2CB">
      <w:pPr>
        <w:spacing w:line="40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1、投标人提交的所有投标文件、资料（包括所有证书、合同、报告等）都是准确、真实、合规的，如提供虚假资料，投标人需承担一切后果。</w:t>
      </w:r>
    </w:p>
    <w:p w14:paraId="77B44B21">
      <w:pPr>
        <w:spacing w:line="400" w:lineRule="exact"/>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4690B9F5">
      <w:pPr>
        <w:spacing w:beforeLines="50" w:afterLines="50" w:line="400" w:lineRule="exact"/>
        <w:ind w:right="480" w:firstLine="361" w:firstLineChars="15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（三）商务技术分的计算方式</w:t>
      </w:r>
    </w:p>
    <w:p w14:paraId="0E2CF28D">
      <w:pPr>
        <w:spacing w:line="36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商务技术分按照评标委员会成员的独立评分结果汇总后，取全部评标委员会成员评分值的算术平均分，计算公式为：</w:t>
      </w:r>
    </w:p>
    <w:p w14:paraId="7A8514F0">
      <w:pPr>
        <w:spacing w:line="360" w:lineRule="exact"/>
        <w:ind w:firstLine="49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商务技术分=（评标委员会所有成员评分合计数）/（评标委员会组成人员数）</w:t>
      </w:r>
    </w:p>
    <w:p w14:paraId="035B9291">
      <w:pPr>
        <w:widowControl w:val="0"/>
        <w:spacing w:beforeLines="50" w:afterLines="50" w:line="360" w:lineRule="auto"/>
        <w:ind w:firstLine="466" w:firstLineChars="200"/>
        <w:jc w:val="both"/>
        <w:rPr>
          <w:rFonts w:ascii="宋体" w:hAnsi="宋体" w:eastAsia="宋体" w:cs="宋体"/>
          <w:b/>
          <w:color w:val="auto"/>
          <w:spacing w:val="-4"/>
          <w:kern w:val="0"/>
          <w:sz w:val="24"/>
          <w:szCs w:val="24"/>
          <w:highlight w:val="none"/>
          <w:lang w:val="en-US" w:eastAsia="zh-CN" w:bidi="ar-SA"/>
        </w:rPr>
      </w:pPr>
      <w:r>
        <w:rPr>
          <w:rFonts w:hint="eastAsia" w:ascii="宋体" w:hAnsi="宋体" w:eastAsia="宋体" w:cs="宋体"/>
          <w:b/>
          <w:color w:val="auto"/>
          <w:spacing w:val="-4"/>
          <w:kern w:val="0"/>
          <w:sz w:val="24"/>
          <w:szCs w:val="24"/>
          <w:highlight w:val="none"/>
          <w:lang w:val="en-US" w:eastAsia="zh-CN" w:bidi="ar-SA"/>
        </w:rPr>
        <w:t>三、投标人义务</w:t>
      </w:r>
    </w:p>
    <w:p w14:paraId="590F6A90">
      <w:pPr>
        <w:widowControl w:val="0"/>
        <w:spacing w:beforeLines="50" w:afterLines="50" w:line="360" w:lineRule="auto"/>
        <w:ind w:firstLine="464" w:firstLineChars="200"/>
        <w:jc w:val="both"/>
        <w:rPr>
          <w:rFonts w:ascii="宋体" w:hAnsi="宋体" w:eastAsia="宋体" w:cs="宋体"/>
          <w:b/>
          <w:color w:val="auto"/>
          <w:spacing w:val="-4"/>
          <w:kern w:val="0"/>
          <w:sz w:val="24"/>
          <w:szCs w:val="24"/>
          <w:highlight w:val="none"/>
          <w:lang w:val="zh-CN" w:eastAsia="zh-CN" w:bidi="ar-SA"/>
        </w:rPr>
      </w:pPr>
      <w:r>
        <w:rPr>
          <w:rFonts w:hint="eastAsia" w:ascii="宋体" w:hAnsi="宋体" w:eastAsia="宋体" w:cs="宋体"/>
          <w:bCs/>
          <w:color w:val="auto"/>
          <w:spacing w:val="-4"/>
          <w:kern w:val="0"/>
          <w:sz w:val="24"/>
          <w:szCs w:val="24"/>
          <w:highlight w:val="none"/>
          <w:lang w:val="en-US" w:eastAsia="zh-CN" w:bidi="ar-SA"/>
        </w:rPr>
        <w:t>评标期间，投标人应随时随地答复评标委员会的询标，解答包括有关的商务、技术问题等。</w:t>
      </w:r>
    </w:p>
    <w:p w14:paraId="6FACD001">
      <w:pPr>
        <w:jc w:val="center"/>
        <w:rPr>
          <w:rFonts w:hint="eastAsia" w:ascii="宋体" w:hAnsi="宋体" w:cs="宋体"/>
          <w:b/>
          <w:color w:val="auto"/>
          <w:sz w:val="30"/>
          <w:szCs w:val="30"/>
          <w:highlight w:val="none"/>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16869460">
      <w:pPr>
        <w:jc w:val="center"/>
        <w:rPr>
          <w:rFonts w:ascii="宋体" w:hAnsi="宋体" w:cs="宋体"/>
          <w:b/>
          <w:color w:val="auto"/>
          <w:sz w:val="24"/>
          <w:highlight w:val="none"/>
        </w:rPr>
      </w:pPr>
      <w:r>
        <w:rPr>
          <w:rFonts w:hint="eastAsia" w:ascii="宋体" w:hAnsi="宋体" w:cs="宋体"/>
          <w:b/>
          <w:color w:val="auto"/>
          <w:sz w:val="30"/>
          <w:szCs w:val="30"/>
          <w:highlight w:val="none"/>
        </w:rPr>
        <w:t>采购项目评分索引表</w:t>
      </w:r>
    </w:p>
    <w:p w14:paraId="0312E1B4">
      <w:pPr>
        <w:rPr>
          <w:rFonts w:hint="eastAsia" w:ascii="宋体" w:hAnsi="宋体" w:cs="宋体"/>
          <w:b/>
          <w:color w:val="auto"/>
          <w:sz w:val="24"/>
          <w:highlight w:val="none"/>
        </w:rPr>
      </w:pPr>
      <w:r>
        <w:rPr>
          <w:rFonts w:hint="eastAsia" w:ascii="宋体" w:hAnsi="宋体" w:cs="宋体"/>
          <w:b/>
          <w:color w:val="auto"/>
          <w:sz w:val="24"/>
          <w:highlight w:val="none"/>
        </w:rPr>
        <w:t>项目名称：</w:t>
      </w:r>
    </w:p>
    <w:p w14:paraId="35E476B8">
      <w:pPr>
        <w:rPr>
          <w:rFonts w:ascii="宋体" w:hAnsi="宋体" w:cs="宋体"/>
          <w:b/>
          <w:color w:val="auto"/>
          <w:sz w:val="24"/>
          <w:highlight w:val="none"/>
        </w:rPr>
      </w:pPr>
      <w:r>
        <w:rPr>
          <w:rFonts w:hint="eastAsia" w:ascii="宋体" w:hAnsi="宋体" w:cs="宋体"/>
          <w:b/>
          <w:color w:val="auto"/>
          <w:sz w:val="24"/>
          <w:highlight w:val="none"/>
        </w:rPr>
        <w:t>投标人名称：</w:t>
      </w:r>
    </w:p>
    <w:p w14:paraId="61915E4B">
      <w:pPr>
        <w:rPr>
          <w:rFonts w:ascii="宋体" w:hAnsi="宋体" w:cs="宋体"/>
          <w:b/>
          <w:color w:val="auto"/>
          <w:sz w:val="24"/>
          <w:highlight w:val="none"/>
        </w:rPr>
      </w:pPr>
    </w:p>
    <w:tbl>
      <w:tblPr>
        <w:tblStyle w:val="51"/>
        <w:tblW w:w="98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2644"/>
        <w:gridCol w:w="984"/>
        <w:gridCol w:w="1134"/>
        <w:gridCol w:w="3315"/>
        <w:gridCol w:w="1288"/>
      </w:tblGrid>
      <w:tr w14:paraId="35EE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156" w:type="dxa"/>
            <w:gridSpan w:val="2"/>
            <w:noWrap w:val="0"/>
            <w:vAlign w:val="center"/>
          </w:tcPr>
          <w:p w14:paraId="209B0AAD">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评标内容</w:t>
            </w:r>
          </w:p>
        </w:tc>
        <w:tc>
          <w:tcPr>
            <w:tcW w:w="984" w:type="dxa"/>
            <w:noWrap w:val="0"/>
            <w:vAlign w:val="center"/>
          </w:tcPr>
          <w:p w14:paraId="2F9D35EB">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分值</w:t>
            </w:r>
          </w:p>
        </w:tc>
        <w:tc>
          <w:tcPr>
            <w:tcW w:w="1134" w:type="dxa"/>
            <w:tcBorders>
              <w:top w:val="single" w:color="auto" w:sz="4" w:space="0"/>
              <w:left w:val="nil"/>
              <w:bottom w:val="single" w:color="auto" w:sz="4" w:space="0"/>
              <w:right w:val="single" w:color="auto" w:sz="4" w:space="0"/>
            </w:tcBorders>
            <w:noWrap w:val="0"/>
            <w:vAlign w:val="center"/>
          </w:tcPr>
          <w:p w14:paraId="598666E5">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投标文件</w:t>
            </w:r>
          </w:p>
          <w:p w14:paraId="25B3C94D">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响应页码</w:t>
            </w:r>
          </w:p>
        </w:tc>
        <w:tc>
          <w:tcPr>
            <w:tcW w:w="3315" w:type="dxa"/>
            <w:tcBorders>
              <w:top w:val="single" w:color="auto" w:sz="4" w:space="0"/>
              <w:left w:val="nil"/>
              <w:bottom w:val="single" w:color="auto" w:sz="4" w:space="0"/>
              <w:right w:val="single" w:color="auto" w:sz="4" w:space="0"/>
            </w:tcBorders>
            <w:noWrap w:val="0"/>
            <w:vAlign w:val="center"/>
          </w:tcPr>
          <w:p w14:paraId="2D91A9BF">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投标人</w:t>
            </w:r>
          </w:p>
          <w:p w14:paraId="13B91B89">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应标情况</w:t>
            </w:r>
          </w:p>
        </w:tc>
        <w:tc>
          <w:tcPr>
            <w:tcW w:w="1288" w:type="dxa"/>
            <w:tcBorders>
              <w:top w:val="single" w:color="auto" w:sz="4" w:space="0"/>
              <w:left w:val="nil"/>
              <w:bottom w:val="single" w:color="auto" w:sz="4" w:space="0"/>
              <w:right w:val="single" w:color="auto" w:sz="4" w:space="0"/>
            </w:tcBorders>
            <w:noWrap w:val="0"/>
            <w:vAlign w:val="center"/>
          </w:tcPr>
          <w:p w14:paraId="54BD0B7F">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投标人自评分值</w:t>
            </w:r>
          </w:p>
        </w:tc>
      </w:tr>
      <w:tr w14:paraId="55C0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12" w:type="dxa"/>
            <w:noWrap w:val="0"/>
            <w:vAlign w:val="center"/>
          </w:tcPr>
          <w:p w14:paraId="31A21AC9">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1</w:t>
            </w:r>
          </w:p>
        </w:tc>
        <w:tc>
          <w:tcPr>
            <w:tcW w:w="2644" w:type="dxa"/>
            <w:noWrap w:val="0"/>
            <w:vAlign w:val="center"/>
          </w:tcPr>
          <w:p w14:paraId="763CA92D">
            <w:pPr>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投标人综合实力</w:t>
            </w:r>
          </w:p>
        </w:tc>
        <w:tc>
          <w:tcPr>
            <w:tcW w:w="984" w:type="dxa"/>
            <w:noWrap w:val="0"/>
            <w:vAlign w:val="center"/>
          </w:tcPr>
          <w:p w14:paraId="6641C2AD">
            <w:pPr>
              <w:jc w:val="center"/>
              <w:rPr>
                <w:rFonts w:hint="eastAsia" w:ascii="宋体" w:hAnsi="宋体" w:eastAsia="宋体"/>
                <w:color w:val="auto"/>
                <w:sz w:val="24"/>
                <w:highlight w:val="none"/>
                <w:lang w:val="en-US" w:eastAsia="zh-CN"/>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分</w:t>
            </w:r>
          </w:p>
        </w:tc>
        <w:tc>
          <w:tcPr>
            <w:tcW w:w="1134" w:type="dxa"/>
            <w:noWrap w:val="0"/>
            <w:vAlign w:val="center"/>
          </w:tcPr>
          <w:p w14:paraId="2562D10B">
            <w:pPr>
              <w:jc w:val="center"/>
              <w:rPr>
                <w:rFonts w:ascii="宋体"/>
                <w:bCs/>
                <w:color w:val="auto"/>
                <w:szCs w:val="21"/>
                <w:highlight w:val="none"/>
              </w:rPr>
            </w:pPr>
          </w:p>
        </w:tc>
        <w:tc>
          <w:tcPr>
            <w:tcW w:w="3315" w:type="dxa"/>
            <w:tcBorders>
              <w:top w:val="nil"/>
              <w:left w:val="nil"/>
              <w:bottom w:val="single" w:color="auto" w:sz="4" w:space="0"/>
              <w:right w:val="single" w:color="auto" w:sz="4" w:space="0"/>
            </w:tcBorders>
            <w:noWrap w:val="0"/>
            <w:vAlign w:val="center"/>
          </w:tcPr>
          <w:p w14:paraId="5274DFB5">
            <w:pPr>
              <w:jc w:val="left"/>
              <w:rPr>
                <w:rFonts w:ascii="宋体"/>
                <w:bCs/>
                <w:color w:val="auto"/>
                <w:szCs w:val="21"/>
                <w:highlight w:val="none"/>
              </w:rPr>
            </w:pPr>
          </w:p>
        </w:tc>
        <w:tc>
          <w:tcPr>
            <w:tcW w:w="1288" w:type="dxa"/>
            <w:tcBorders>
              <w:top w:val="nil"/>
              <w:left w:val="nil"/>
              <w:bottom w:val="single" w:color="auto" w:sz="4" w:space="0"/>
              <w:right w:val="single" w:color="auto" w:sz="4" w:space="0"/>
            </w:tcBorders>
            <w:noWrap w:val="0"/>
            <w:vAlign w:val="center"/>
          </w:tcPr>
          <w:p w14:paraId="510D8C3C">
            <w:pPr>
              <w:jc w:val="left"/>
              <w:rPr>
                <w:rFonts w:ascii="宋体"/>
                <w:bCs/>
                <w:color w:val="auto"/>
                <w:szCs w:val="21"/>
                <w:highlight w:val="none"/>
              </w:rPr>
            </w:pPr>
          </w:p>
        </w:tc>
      </w:tr>
      <w:tr w14:paraId="733B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12" w:type="dxa"/>
            <w:noWrap w:val="0"/>
            <w:vAlign w:val="center"/>
          </w:tcPr>
          <w:p w14:paraId="4743F3AC">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2</w:t>
            </w:r>
          </w:p>
        </w:tc>
        <w:tc>
          <w:tcPr>
            <w:tcW w:w="2644" w:type="dxa"/>
            <w:noWrap w:val="0"/>
            <w:vAlign w:val="center"/>
          </w:tcPr>
          <w:p w14:paraId="44E6000E">
            <w:pPr>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投标人业绩</w:t>
            </w:r>
          </w:p>
        </w:tc>
        <w:tc>
          <w:tcPr>
            <w:tcW w:w="984" w:type="dxa"/>
            <w:noWrap w:val="0"/>
            <w:vAlign w:val="center"/>
          </w:tcPr>
          <w:p w14:paraId="7BF1754D">
            <w:pPr>
              <w:jc w:val="center"/>
              <w:rPr>
                <w:rFonts w:hint="eastAsia" w:ascii="宋体" w:hAnsi="宋体" w:eastAsia="宋体"/>
                <w:color w:val="auto"/>
                <w:sz w:val="24"/>
                <w:highlight w:val="none"/>
                <w:lang w:val="en-US" w:eastAsia="zh-CN"/>
              </w:rPr>
            </w:pPr>
            <w:r>
              <w:rPr>
                <w:rFonts w:hint="eastAsia" w:ascii="宋体" w:hAnsi="宋体" w:eastAsia="宋体" w:cs="宋体"/>
                <w:color w:val="auto"/>
                <w:sz w:val="24"/>
                <w:szCs w:val="24"/>
                <w:highlight w:val="none"/>
                <w:lang w:val="en-US" w:eastAsia="zh-CN"/>
              </w:rPr>
              <w:t>3分</w:t>
            </w:r>
          </w:p>
        </w:tc>
        <w:tc>
          <w:tcPr>
            <w:tcW w:w="1134" w:type="dxa"/>
            <w:noWrap w:val="0"/>
            <w:vAlign w:val="center"/>
          </w:tcPr>
          <w:p w14:paraId="5150A66C">
            <w:pPr>
              <w:jc w:val="center"/>
              <w:rPr>
                <w:rFonts w:ascii="宋体"/>
                <w:bCs/>
                <w:color w:val="auto"/>
                <w:szCs w:val="21"/>
                <w:highlight w:val="none"/>
              </w:rPr>
            </w:pPr>
          </w:p>
        </w:tc>
        <w:tc>
          <w:tcPr>
            <w:tcW w:w="3315" w:type="dxa"/>
            <w:noWrap w:val="0"/>
            <w:vAlign w:val="center"/>
          </w:tcPr>
          <w:p w14:paraId="31C39818">
            <w:pPr>
              <w:jc w:val="left"/>
              <w:rPr>
                <w:rFonts w:ascii="宋体"/>
                <w:bCs/>
                <w:color w:val="auto"/>
                <w:szCs w:val="21"/>
                <w:highlight w:val="none"/>
              </w:rPr>
            </w:pPr>
            <w:r>
              <w:rPr>
                <w:rFonts w:hint="eastAsia" w:ascii="宋体" w:hAnsi="宋体" w:cs="宋体"/>
                <w:b/>
                <w:bCs/>
                <w:color w:val="000000"/>
                <w:kern w:val="0"/>
                <w:sz w:val="24"/>
                <w:shd w:val="pct10" w:color="auto" w:fill="FFFFFF"/>
              </w:rPr>
              <w:t>投标人务必将</w:t>
            </w:r>
            <w:r>
              <w:rPr>
                <w:rFonts w:hint="eastAsia" w:ascii="宋体" w:hAnsi="宋体" w:cs="宋体"/>
                <w:b/>
                <w:bCs/>
                <w:color w:val="000000"/>
                <w:kern w:val="0"/>
                <w:sz w:val="24"/>
                <w:shd w:val="pct10" w:color="auto" w:fill="FFFFFF"/>
                <w:lang w:val="en-US" w:eastAsia="zh-CN"/>
              </w:rPr>
              <w:t>应标内容</w:t>
            </w:r>
            <w:r>
              <w:rPr>
                <w:rFonts w:hint="eastAsia" w:ascii="宋体" w:hAnsi="宋体" w:cs="宋体"/>
                <w:b/>
                <w:bCs/>
                <w:color w:val="000000"/>
                <w:kern w:val="0"/>
                <w:sz w:val="24"/>
                <w:shd w:val="pct10" w:color="auto" w:fill="FFFFFF"/>
              </w:rPr>
              <w:t>逐项详细填写齐全，以方便评委进行更加优质、高效的评审</w:t>
            </w:r>
          </w:p>
        </w:tc>
        <w:tc>
          <w:tcPr>
            <w:tcW w:w="1288" w:type="dxa"/>
            <w:noWrap w:val="0"/>
            <w:vAlign w:val="center"/>
          </w:tcPr>
          <w:p w14:paraId="7B807561">
            <w:pPr>
              <w:jc w:val="left"/>
              <w:rPr>
                <w:rFonts w:ascii="宋体"/>
                <w:bCs/>
                <w:color w:val="auto"/>
                <w:szCs w:val="21"/>
                <w:highlight w:val="none"/>
              </w:rPr>
            </w:pPr>
            <w:r>
              <w:rPr>
                <w:rFonts w:hint="eastAsia" w:ascii="宋体" w:hAnsi="宋体" w:cs="宋体"/>
                <w:b/>
                <w:bCs/>
                <w:kern w:val="0"/>
                <w:sz w:val="24"/>
                <w:shd w:val="pct10" w:color="auto" w:fill="FFFFFF"/>
              </w:rPr>
              <w:t>投标人将应得分值填写准确</w:t>
            </w:r>
          </w:p>
        </w:tc>
      </w:tr>
      <w:tr w14:paraId="45CE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512" w:type="dxa"/>
            <w:noWrap w:val="0"/>
            <w:vAlign w:val="center"/>
          </w:tcPr>
          <w:p w14:paraId="01EEFDD7">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3</w:t>
            </w:r>
          </w:p>
        </w:tc>
        <w:tc>
          <w:tcPr>
            <w:tcW w:w="2644" w:type="dxa"/>
            <w:noWrap w:val="0"/>
            <w:vAlign w:val="center"/>
          </w:tcPr>
          <w:p w14:paraId="381760A8">
            <w:pPr>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项目团队情况</w:t>
            </w:r>
          </w:p>
        </w:tc>
        <w:tc>
          <w:tcPr>
            <w:tcW w:w="984" w:type="dxa"/>
            <w:noWrap w:val="0"/>
            <w:vAlign w:val="center"/>
          </w:tcPr>
          <w:p w14:paraId="78BC9A14">
            <w:pPr>
              <w:jc w:val="center"/>
              <w:rPr>
                <w:rFonts w:hint="eastAsia" w:ascii="宋体" w:hAnsi="宋体" w:eastAsia="宋体"/>
                <w:color w:val="auto"/>
                <w:sz w:val="24"/>
                <w:highlight w:val="none"/>
                <w:lang w:val="en-US" w:eastAsia="zh-CN"/>
              </w:rPr>
            </w:pPr>
            <w:r>
              <w:rPr>
                <w:rFonts w:hint="eastAsia" w:ascii="宋体" w:hAnsi="宋体" w:cs="宋体"/>
                <w:bCs/>
                <w:color w:val="auto"/>
                <w:kern w:val="2"/>
                <w:sz w:val="24"/>
                <w:szCs w:val="24"/>
                <w:highlight w:val="none"/>
                <w:lang w:val="en-US" w:eastAsia="zh-CN" w:bidi="ar-SA"/>
              </w:rPr>
              <w:t>5分</w:t>
            </w:r>
          </w:p>
        </w:tc>
        <w:tc>
          <w:tcPr>
            <w:tcW w:w="1134" w:type="dxa"/>
            <w:noWrap w:val="0"/>
            <w:vAlign w:val="center"/>
          </w:tcPr>
          <w:p w14:paraId="18414FDA">
            <w:pPr>
              <w:rPr>
                <w:rFonts w:ascii="宋体"/>
                <w:bCs/>
                <w:color w:val="auto"/>
                <w:szCs w:val="21"/>
                <w:highlight w:val="none"/>
              </w:rPr>
            </w:pPr>
          </w:p>
        </w:tc>
        <w:tc>
          <w:tcPr>
            <w:tcW w:w="3315" w:type="dxa"/>
            <w:noWrap w:val="0"/>
            <w:vAlign w:val="center"/>
          </w:tcPr>
          <w:p w14:paraId="34E7F0D7">
            <w:pPr>
              <w:jc w:val="left"/>
              <w:rPr>
                <w:rFonts w:hint="eastAsia" w:ascii="宋体" w:hAnsi="宋体" w:cs="宋体"/>
                <w:b/>
                <w:bCs/>
                <w:color w:val="auto"/>
                <w:kern w:val="0"/>
                <w:sz w:val="24"/>
                <w:highlight w:val="none"/>
                <w:shd w:val="pct10" w:color="auto" w:fill="FFFFFF"/>
              </w:rPr>
            </w:pPr>
          </w:p>
        </w:tc>
        <w:tc>
          <w:tcPr>
            <w:tcW w:w="1288" w:type="dxa"/>
            <w:noWrap w:val="0"/>
            <w:vAlign w:val="center"/>
          </w:tcPr>
          <w:p w14:paraId="23E1E4DF">
            <w:pPr>
              <w:jc w:val="left"/>
              <w:rPr>
                <w:rFonts w:hint="eastAsia" w:ascii="宋体" w:hAnsi="宋体" w:cs="宋体"/>
                <w:b/>
                <w:bCs/>
                <w:color w:val="auto"/>
                <w:kern w:val="0"/>
                <w:sz w:val="24"/>
                <w:highlight w:val="none"/>
                <w:shd w:val="pct10" w:color="auto" w:fill="FFFFFF"/>
              </w:rPr>
            </w:pPr>
          </w:p>
        </w:tc>
      </w:tr>
      <w:tr w14:paraId="0522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512" w:type="dxa"/>
            <w:noWrap w:val="0"/>
            <w:vAlign w:val="center"/>
          </w:tcPr>
          <w:p w14:paraId="7D23D4FA">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4</w:t>
            </w:r>
          </w:p>
        </w:tc>
        <w:tc>
          <w:tcPr>
            <w:tcW w:w="2644" w:type="dxa"/>
            <w:noWrap w:val="0"/>
            <w:vAlign w:val="center"/>
          </w:tcPr>
          <w:p w14:paraId="4634993A">
            <w:pPr>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技术参数符合情况</w:t>
            </w:r>
          </w:p>
        </w:tc>
        <w:tc>
          <w:tcPr>
            <w:tcW w:w="984" w:type="dxa"/>
            <w:noWrap w:val="0"/>
            <w:vAlign w:val="center"/>
          </w:tcPr>
          <w:p w14:paraId="3843FC08">
            <w:pPr>
              <w:jc w:val="center"/>
              <w:rPr>
                <w:rFonts w:hint="default" w:ascii="宋体" w:hAnsi="宋体" w:eastAsia="宋体"/>
                <w:color w:val="auto"/>
                <w:sz w:val="24"/>
                <w:highlight w:val="none"/>
                <w:lang w:val="en-US" w:eastAsia="zh-CN"/>
              </w:rPr>
            </w:pPr>
            <w:r>
              <w:rPr>
                <w:rFonts w:hint="eastAsia" w:ascii="宋体" w:hAnsi="宋体" w:cs="宋体"/>
                <w:bCs/>
                <w:color w:val="auto"/>
                <w:kern w:val="2"/>
                <w:sz w:val="24"/>
                <w:szCs w:val="24"/>
                <w:highlight w:val="none"/>
                <w:lang w:val="en-US" w:eastAsia="zh-CN" w:bidi="ar-SA"/>
              </w:rPr>
              <w:t>36分</w:t>
            </w:r>
          </w:p>
        </w:tc>
        <w:tc>
          <w:tcPr>
            <w:tcW w:w="1134" w:type="dxa"/>
            <w:noWrap w:val="0"/>
            <w:vAlign w:val="center"/>
          </w:tcPr>
          <w:p w14:paraId="36EA42B3">
            <w:pPr>
              <w:jc w:val="center"/>
              <w:rPr>
                <w:rFonts w:ascii="宋体"/>
                <w:bCs/>
                <w:color w:val="auto"/>
                <w:szCs w:val="21"/>
                <w:highlight w:val="none"/>
              </w:rPr>
            </w:pPr>
          </w:p>
        </w:tc>
        <w:tc>
          <w:tcPr>
            <w:tcW w:w="3315" w:type="dxa"/>
            <w:tcBorders>
              <w:top w:val="nil"/>
              <w:left w:val="nil"/>
              <w:bottom w:val="single" w:color="auto" w:sz="4" w:space="0"/>
              <w:right w:val="single" w:color="auto" w:sz="4" w:space="0"/>
            </w:tcBorders>
            <w:noWrap w:val="0"/>
            <w:vAlign w:val="center"/>
          </w:tcPr>
          <w:p w14:paraId="036CF884">
            <w:pPr>
              <w:jc w:val="center"/>
              <w:rPr>
                <w:rFonts w:ascii="宋体"/>
                <w:bCs/>
                <w:color w:val="auto"/>
                <w:szCs w:val="21"/>
                <w:highlight w:val="none"/>
              </w:rPr>
            </w:pPr>
          </w:p>
        </w:tc>
        <w:tc>
          <w:tcPr>
            <w:tcW w:w="1288" w:type="dxa"/>
            <w:tcBorders>
              <w:top w:val="nil"/>
              <w:left w:val="nil"/>
              <w:bottom w:val="single" w:color="auto" w:sz="4" w:space="0"/>
              <w:right w:val="single" w:color="auto" w:sz="4" w:space="0"/>
            </w:tcBorders>
            <w:noWrap w:val="0"/>
            <w:vAlign w:val="center"/>
          </w:tcPr>
          <w:p w14:paraId="47BAB2B1">
            <w:pPr>
              <w:jc w:val="center"/>
              <w:rPr>
                <w:rFonts w:ascii="宋体"/>
                <w:bCs/>
                <w:color w:val="auto"/>
                <w:szCs w:val="21"/>
                <w:highlight w:val="none"/>
              </w:rPr>
            </w:pPr>
          </w:p>
        </w:tc>
      </w:tr>
      <w:tr w14:paraId="5945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12" w:type="dxa"/>
            <w:noWrap w:val="0"/>
            <w:vAlign w:val="center"/>
          </w:tcPr>
          <w:p w14:paraId="2366338C">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5</w:t>
            </w:r>
          </w:p>
        </w:tc>
        <w:tc>
          <w:tcPr>
            <w:tcW w:w="2644" w:type="dxa"/>
            <w:noWrap w:val="0"/>
            <w:vAlign w:val="center"/>
          </w:tcPr>
          <w:p w14:paraId="57A6A5D9">
            <w:pPr>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项目具体实施方案</w:t>
            </w:r>
          </w:p>
        </w:tc>
        <w:tc>
          <w:tcPr>
            <w:tcW w:w="984" w:type="dxa"/>
            <w:noWrap w:val="0"/>
            <w:vAlign w:val="center"/>
          </w:tcPr>
          <w:p w14:paraId="4BD768A5">
            <w:pPr>
              <w:jc w:val="center"/>
              <w:rPr>
                <w:rFonts w:hint="eastAsia" w:ascii="宋体" w:hAnsi="宋体" w:eastAsia="宋体"/>
                <w:color w:val="auto"/>
                <w:sz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1134" w:type="dxa"/>
            <w:noWrap w:val="0"/>
            <w:vAlign w:val="center"/>
          </w:tcPr>
          <w:p w14:paraId="3D5E4ECB">
            <w:pPr>
              <w:jc w:val="center"/>
              <w:rPr>
                <w:rFonts w:ascii="宋体"/>
                <w:bCs/>
                <w:color w:val="auto"/>
                <w:szCs w:val="21"/>
                <w:highlight w:val="none"/>
              </w:rPr>
            </w:pPr>
          </w:p>
        </w:tc>
        <w:tc>
          <w:tcPr>
            <w:tcW w:w="3315" w:type="dxa"/>
            <w:tcBorders>
              <w:top w:val="nil"/>
              <w:left w:val="nil"/>
              <w:bottom w:val="single" w:color="auto" w:sz="4" w:space="0"/>
              <w:right w:val="single" w:color="auto" w:sz="4" w:space="0"/>
            </w:tcBorders>
            <w:noWrap w:val="0"/>
            <w:vAlign w:val="center"/>
          </w:tcPr>
          <w:p w14:paraId="3FC1C753">
            <w:pPr>
              <w:jc w:val="center"/>
              <w:rPr>
                <w:rFonts w:ascii="宋体"/>
                <w:bCs/>
                <w:color w:val="auto"/>
                <w:szCs w:val="21"/>
                <w:highlight w:val="none"/>
              </w:rPr>
            </w:pPr>
          </w:p>
        </w:tc>
        <w:tc>
          <w:tcPr>
            <w:tcW w:w="1288" w:type="dxa"/>
            <w:tcBorders>
              <w:top w:val="nil"/>
              <w:left w:val="nil"/>
              <w:bottom w:val="single" w:color="auto" w:sz="4" w:space="0"/>
              <w:right w:val="single" w:color="auto" w:sz="4" w:space="0"/>
            </w:tcBorders>
            <w:noWrap w:val="0"/>
            <w:vAlign w:val="center"/>
          </w:tcPr>
          <w:p w14:paraId="30D324DC">
            <w:pPr>
              <w:jc w:val="center"/>
              <w:rPr>
                <w:rFonts w:ascii="宋体"/>
                <w:bCs/>
                <w:color w:val="auto"/>
                <w:szCs w:val="21"/>
                <w:highlight w:val="none"/>
              </w:rPr>
            </w:pPr>
          </w:p>
        </w:tc>
      </w:tr>
      <w:tr w14:paraId="390C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12" w:type="dxa"/>
            <w:noWrap w:val="0"/>
            <w:vAlign w:val="center"/>
          </w:tcPr>
          <w:p w14:paraId="63B4F7BC">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6</w:t>
            </w:r>
          </w:p>
        </w:tc>
        <w:tc>
          <w:tcPr>
            <w:tcW w:w="2644" w:type="dxa"/>
            <w:noWrap w:val="0"/>
            <w:vAlign w:val="center"/>
          </w:tcPr>
          <w:p w14:paraId="2C6C8D69">
            <w:pPr>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eastAsia="zh-CN"/>
              </w:rPr>
              <w:t>培训方案</w:t>
            </w:r>
          </w:p>
        </w:tc>
        <w:tc>
          <w:tcPr>
            <w:tcW w:w="984" w:type="dxa"/>
            <w:noWrap w:val="0"/>
            <w:vAlign w:val="center"/>
          </w:tcPr>
          <w:p w14:paraId="607B2AA2">
            <w:pPr>
              <w:jc w:val="center"/>
              <w:rPr>
                <w:rFonts w:hint="eastAsia" w:ascii="宋体" w:eastAsia="宋体"/>
                <w:color w:val="auto"/>
                <w:sz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1134" w:type="dxa"/>
            <w:noWrap w:val="0"/>
            <w:vAlign w:val="center"/>
          </w:tcPr>
          <w:p w14:paraId="1C3E28EE">
            <w:pPr>
              <w:jc w:val="center"/>
              <w:rPr>
                <w:rFonts w:ascii="宋体"/>
                <w:bCs/>
                <w:color w:val="auto"/>
                <w:szCs w:val="21"/>
                <w:highlight w:val="none"/>
              </w:rPr>
            </w:pPr>
          </w:p>
        </w:tc>
        <w:tc>
          <w:tcPr>
            <w:tcW w:w="3315" w:type="dxa"/>
            <w:noWrap w:val="0"/>
            <w:vAlign w:val="center"/>
          </w:tcPr>
          <w:p w14:paraId="46C290D5">
            <w:pPr>
              <w:jc w:val="center"/>
              <w:rPr>
                <w:rFonts w:ascii="宋体"/>
                <w:bCs/>
                <w:color w:val="auto"/>
                <w:szCs w:val="21"/>
                <w:highlight w:val="none"/>
                <w:lang w:eastAsia="zh-CN"/>
              </w:rPr>
            </w:pPr>
          </w:p>
        </w:tc>
        <w:tc>
          <w:tcPr>
            <w:tcW w:w="1288" w:type="dxa"/>
            <w:noWrap w:val="0"/>
            <w:vAlign w:val="center"/>
          </w:tcPr>
          <w:p w14:paraId="67DDE643">
            <w:pPr>
              <w:jc w:val="center"/>
              <w:rPr>
                <w:rFonts w:ascii="宋体"/>
                <w:bCs/>
                <w:color w:val="auto"/>
                <w:szCs w:val="21"/>
                <w:highlight w:val="none"/>
                <w:lang w:eastAsia="zh-CN"/>
              </w:rPr>
            </w:pPr>
          </w:p>
        </w:tc>
      </w:tr>
      <w:tr w14:paraId="50E3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19958C84">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7</w:t>
            </w:r>
          </w:p>
        </w:tc>
        <w:tc>
          <w:tcPr>
            <w:tcW w:w="2644" w:type="dxa"/>
            <w:noWrap w:val="0"/>
            <w:vAlign w:val="center"/>
          </w:tcPr>
          <w:p w14:paraId="4CCB7C70">
            <w:pPr>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eastAsia="zh-CN"/>
              </w:rPr>
              <w:t>售后服务</w:t>
            </w:r>
          </w:p>
          <w:p w14:paraId="30A347C0">
            <w:pPr>
              <w:jc w:val="center"/>
              <w:rPr>
                <w:rFonts w:hint="eastAsia" w:ascii="宋体" w:hAnsi="宋体" w:eastAsia="宋体" w:cs="Times New Roman"/>
                <w:color w:val="auto"/>
                <w:sz w:val="24"/>
                <w:szCs w:val="24"/>
                <w:highlight w:val="none"/>
                <w:lang w:val="en-US" w:eastAsia="zh-CN"/>
              </w:rPr>
            </w:pPr>
          </w:p>
        </w:tc>
        <w:tc>
          <w:tcPr>
            <w:tcW w:w="984" w:type="dxa"/>
            <w:noWrap w:val="0"/>
            <w:vAlign w:val="center"/>
          </w:tcPr>
          <w:p w14:paraId="6E1FC6D3">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2EE470A9">
            <w:pPr>
              <w:jc w:val="center"/>
              <w:rPr>
                <w:rFonts w:hint="eastAsia" w:ascii="宋体" w:eastAsia="宋体"/>
                <w:color w:val="auto"/>
                <w:sz w:val="24"/>
                <w:highlight w:val="none"/>
                <w:lang w:val="en-US" w:eastAsia="zh-CN"/>
              </w:rPr>
            </w:pPr>
          </w:p>
        </w:tc>
        <w:tc>
          <w:tcPr>
            <w:tcW w:w="1134" w:type="dxa"/>
            <w:noWrap w:val="0"/>
            <w:vAlign w:val="center"/>
          </w:tcPr>
          <w:p w14:paraId="7F4D5210">
            <w:pPr>
              <w:jc w:val="center"/>
              <w:rPr>
                <w:rFonts w:ascii="宋体"/>
                <w:bCs/>
                <w:color w:val="auto"/>
                <w:szCs w:val="21"/>
                <w:highlight w:val="none"/>
              </w:rPr>
            </w:pPr>
          </w:p>
        </w:tc>
        <w:tc>
          <w:tcPr>
            <w:tcW w:w="3315" w:type="dxa"/>
            <w:noWrap w:val="0"/>
            <w:vAlign w:val="center"/>
          </w:tcPr>
          <w:p w14:paraId="4808A90B">
            <w:pPr>
              <w:jc w:val="center"/>
              <w:rPr>
                <w:rFonts w:ascii="宋体"/>
                <w:bCs/>
                <w:color w:val="auto"/>
                <w:szCs w:val="21"/>
                <w:highlight w:val="none"/>
                <w:lang w:eastAsia="zh-CN"/>
              </w:rPr>
            </w:pPr>
          </w:p>
        </w:tc>
        <w:tc>
          <w:tcPr>
            <w:tcW w:w="1288" w:type="dxa"/>
            <w:noWrap w:val="0"/>
            <w:vAlign w:val="center"/>
          </w:tcPr>
          <w:p w14:paraId="72F12703">
            <w:pPr>
              <w:jc w:val="center"/>
              <w:rPr>
                <w:rFonts w:ascii="宋体"/>
                <w:bCs/>
                <w:color w:val="auto"/>
                <w:szCs w:val="21"/>
                <w:highlight w:val="none"/>
                <w:lang w:eastAsia="zh-CN"/>
              </w:rPr>
            </w:pPr>
          </w:p>
        </w:tc>
      </w:tr>
      <w:tr w14:paraId="1A7D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156" w:type="dxa"/>
            <w:gridSpan w:val="2"/>
            <w:noWrap w:val="0"/>
            <w:vAlign w:val="center"/>
          </w:tcPr>
          <w:p w14:paraId="0A07B19B">
            <w:pPr>
              <w:jc w:val="center"/>
              <w:rPr>
                <w:rFonts w:ascii="宋体"/>
                <w:color w:val="auto"/>
                <w:sz w:val="24"/>
                <w:highlight w:val="none"/>
              </w:rPr>
            </w:pPr>
            <w:r>
              <w:rPr>
                <w:rFonts w:hint="eastAsia" w:ascii="宋体" w:hAnsi="宋体"/>
                <w:color w:val="auto"/>
                <w:sz w:val="24"/>
                <w:highlight w:val="none"/>
              </w:rPr>
              <w:t>合计</w:t>
            </w:r>
          </w:p>
        </w:tc>
        <w:tc>
          <w:tcPr>
            <w:tcW w:w="984" w:type="dxa"/>
            <w:noWrap w:val="0"/>
            <w:vAlign w:val="center"/>
          </w:tcPr>
          <w:p w14:paraId="634EE850">
            <w:pPr>
              <w:jc w:val="center"/>
              <w:rPr>
                <w:rFonts w:hint="default" w:ascii="宋体" w:eastAsia="宋体"/>
                <w:color w:val="auto"/>
                <w:sz w:val="24"/>
                <w:highlight w:val="none"/>
                <w:lang w:val="en-US" w:eastAsia="zh-CN"/>
              </w:rPr>
            </w:pPr>
            <w:r>
              <w:rPr>
                <w:rFonts w:hint="eastAsia" w:ascii="宋体"/>
                <w:color w:val="auto"/>
                <w:sz w:val="24"/>
                <w:highlight w:val="none"/>
                <w:lang w:val="en-US" w:eastAsia="zh-CN"/>
              </w:rPr>
              <w:t>70分</w:t>
            </w:r>
          </w:p>
        </w:tc>
        <w:tc>
          <w:tcPr>
            <w:tcW w:w="1134" w:type="dxa"/>
            <w:noWrap w:val="0"/>
            <w:vAlign w:val="center"/>
          </w:tcPr>
          <w:p w14:paraId="0C639EAE">
            <w:pPr>
              <w:jc w:val="center"/>
              <w:rPr>
                <w:rFonts w:ascii="宋体"/>
                <w:bCs/>
                <w:color w:val="auto"/>
                <w:szCs w:val="21"/>
                <w:highlight w:val="none"/>
                <w:lang w:val="zh-CN"/>
              </w:rPr>
            </w:pPr>
          </w:p>
        </w:tc>
        <w:tc>
          <w:tcPr>
            <w:tcW w:w="3315" w:type="dxa"/>
            <w:tcBorders>
              <w:top w:val="nil"/>
              <w:left w:val="nil"/>
              <w:bottom w:val="single" w:color="auto" w:sz="4" w:space="0"/>
              <w:right w:val="single" w:color="auto" w:sz="4" w:space="0"/>
            </w:tcBorders>
            <w:noWrap w:val="0"/>
            <w:vAlign w:val="center"/>
          </w:tcPr>
          <w:p w14:paraId="4C3CEFC9">
            <w:pPr>
              <w:snapToGrid w:val="0"/>
              <w:jc w:val="center"/>
              <w:rPr>
                <w:rFonts w:ascii="宋体"/>
                <w:bCs/>
                <w:color w:val="auto"/>
                <w:szCs w:val="21"/>
                <w:highlight w:val="none"/>
                <w:lang w:val="zh-CN"/>
              </w:rPr>
            </w:pPr>
          </w:p>
        </w:tc>
        <w:tc>
          <w:tcPr>
            <w:tcW w:w="1288" w:type="dxa"/>
            <w:tcBorders>
              <w:top w:val="nil"/>
              <w:left w:val="nil"/>
              <w:bottom w:val="single" w:color="auto" w:sz="4" w:space="0"/>
              <w:right w:val="single" w:color="auto" w:sz="4" w:space="0"/>
            </w:tcBorders>
            <w:noWrap w:val="0"/>
            <w:vAlign w:val="center"/>
          </w:tcPr>
          <w:p w14:paraId="2B4DFF76">
            <w:pPr>
              <w:snapToGrid w:val="0"/>
              <w:jc w:val="center"/>
              <w:rPr>
                <w:rFonts w:ascii="宋体"/>
                <w:bCs/>
                <w:color w:val="auto"/>
                <w:szCs w:val="21"/>
                <w:highlight w:val="none"/>
                <w:lang w:val="zh-CN"/>
              </w:rPr>
            </w:pPr>
          </w:p>
        </w:tc>
      </w:tr>
    </w:tbl>
    <w:p w14:paraId="4C12B4E4">
      <w:pPr>
        <w:jc w:val="left"/>
        <w:rPr>
          <w:rFonts w:hint="eastAsia" w:ascii="宋体" w:hAnsi="宋体" w:cs="宋体"/>
          <w:b/>
          <w:color w:val="auto"/>
          <w:spacing w:val="-4"/>
          <w:sz w:val="24"/>
          <w:highlight w:val="none"/>
        </w:rPr>
      </w:pPr>
    </w:p>
    <w:p w14:paraId="4CF30538">
      <w:pPr>
        <w:jc w:val="left"/>
        <w:rPr>
          <w:rFonts w:ascii="宋体" w:hAnsi="宋体" w:cs="宋体"/>
          <w:color w:val="auto"/>
          <w:sz w:val="30"/>
          <w:szCs w:val="30"/>
          <w:highlight w:val="none"/>
        </w:rPr>
      </w:pPr>
      <w:r>
        <w:rPr>
          <w:rFonts w:hint="eastAsia" w:ascii="宋体" w:hAnsi="宋体" w:cs="宋体"/>
          <w:b/>
          <w:color w:val="auto"/>
          <w:spacing w:val="-4"/>
          <w:sz w:val="24"/>
          <w:highlight w:val="none"/>
        </w:rPr>
        <w:t>重要提示：本采购项目评分索引表放在商务技术文件目录的前页，</w:t>
      </w:r>
      <w:r>
        <w:rPr>
          <w:rFonts w:hint="eastAsia" w:ascii="宋体" w:hAnsi="宋体" w:cs="宋体"/>
          <w:b/>
          <w:color w:val="auto"/>
          <w:spacing w:val="-4"/>
          <w:sz w:val="24"/>
          <w:highlight w:val="none"/>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5E85AF4">
      <w:pPr>
        <w:jc w:val="center"/>
        <w:rPr>
          <w:rFonts w:ascii="宋体" w:hAnsi="宋体" w:cs="宋体"/>
          <w:b/>
          <w:color w:val="auto"/>
          <w:sz w:val="30"/>
          <w:szCs w:val="30"/>
          <w:highlight w:val="none"/>
        </w:rPr>
      </w:pPr>
      <w:r>
        <w:rPr>
          <w:rFonts w:hint="eastAsia" w:ascii="宋体" w:hAnsi="宋体" w:cs="宋体"/>
          <w:b/>
          <w:color w:val="auto"/>
          <w:sz w:val="30"/>
          <w:szCs w:val="30"/>
          <w:highlight w:val="none"/>
        </w:rPr>
        <w:br w:type="page"/>
      </w:r>
    </w:p>
    <w:p w14:paraId="131D0973">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5" w:name="_Toc12005"/>
      <w:r>
        <w:rPr>
          <w:rFonts w:hint="eastAsia" w:ascii="宋体" w:hAnsi="宋体" w:eastAsia="宋体" w:cs="Arial"/>
          <w:b/>
          <w:bCs/>
          <w:color w:val="auto"/>
          <w:sz w:val="28"/>
          <w:szCs w:val="28"/>
          <w:highlight w:val="none"/>
        </w:rPr>
        <w:t>第五章  合同主要条款</w:t>
      </w:r>
      <w:bookmarkEnd w:id="45"/>
    </w:p>
    <w:p w14:paraId="08E12D2F">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bookmarkStart w:id="46" w:name="_Toc14350"/>
      <w:bookmarkStart w:id="47" w:name="_Toc24427"/>
      <w:r>
        <w:rPr>
          <w:rFonts w:hint="eastAsia" w:ascii="宋体" w:hAnsi="宋体" w:eastAsia="宋体" w:cs="宋体"/>
          <w:color w:val="auto"/>
          <w:kern w:val="0"/>
          <w:sz w:val="24"/>
          <w:szCs w:val="24"/>
          <w:highlight w:val="none"/>
          <w:shd w:val="clear" w:color="auto" w:fill="auto"/>
          <w:lang w:val="en-US" w:eastAsia="zh-CN" w:bidi="ar-SA"/>
        </w:rPr>
        <w:t xml:space="preserve">项目名称：                                </w:t>
      </w:r>
    </w:p>
    <w:p w14:paraId="086466CB">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项目编号：</w:t>
      </w:r>
    </w:p>
    <w:p w14:paraId="54D22FD6">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甲方：                              </w:t>
      </w:r>
    </w:p>
    <w:p w14:paraId="7D01A4A3">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乙方：</w:t>
      </w:r>
    </w:p>
    <w:p w14:paraId="7CA180AA">
      <w:pPr>
        <w:widowControl w:val="0"/>
        <w:snapToGrid w:val="0"/>
        <w:spacing w:before="156" w:beforeLines="50" w:after="156" w:afterLines="50" w:line="480" w:lineRule="exact"/>
        <w:ind w:firstLine="480" w:firstLineChars="200"/>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甲、乙双方根据《中华人民共和国民法典》和_________________项目招标文件的相关规定，双方达成一致签署本合同。</w:t>
      </w:r>
    </w:p>
    <w:p w14:paraId="36BB066F">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一、货物内容</w:t>
      </w:r>
    </w:p>
    <w:p w14:paraId="45C88636">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详见附件明细表</w:t>
      </w:r>
    </w:p>
    <w:p w14:paraId="2964255E">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二、合同金额</w:t>
      </w:r>
    </w:p>
    <w:p w14:paraId="3EBADE20">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本合同</w:t>
      </w:r>
      <w:r>
        <w:rPr>
          <w:rFonts w:hint="eastAsia" w:ascii="宋体" w:hAnsi="宋体" w:cs="宋体"/>
          <w:color w:val="auto"/>
          <w:kern w:val="0"/>
          <w:sz w:val="24"/>
          <w:szCs w:val="24"/>
          <w:highlight w:val="none"/>
          <w:shd w:val="clear" w:color="auto" w:fill="auto"/>
          <w:lang w:val="en-US" w:eastAsia="zh-CN" w:bidi="ar-SA"/>
        </w:rPr>
        <w:t>含税</w:t>
      </w:r>
      <w:r>
        <w:rPr>
          <w:rFonts w:hint="eastAsia" w:ascii="宋体" w:hAnsi="宋体" w:eastAsia="宋体" w:cs="宋体"/>
          <w:color w:val="auto"/>
          <w:kern w:val="0"/>
          <w:sz w:val="24"/>
          <w:szCs w:val="24"/>
          <w:highlight w:val="none"/>
          <w:shd w:val="clear" w:color="auto" w:fill="auto"/>
          <w:lang w:val="en-US" w:eastAsia="zh-CN" w:bidi="ar-SA"/>
        </w:rPr>
        <w:t>金额为（大写）：_____________________________元（￥_____元）人民币</w:t>
      </w:r>
    </w:p>
    <w:p w14:paraId="4380F131">
      <w:pPr>
        <w:widowControl w:val="0"/>
        <w:adjustRightInd w:val="0"/>
        <w:snapToGrid w:val="0"/>
        <w:spacing w:beforeLines="0" w:afterLines="0" w:line="360" w:lineRule="auto"/>
        <w:ind w:firstLine="482" w:firstLineChars="200"/>
        <w:jc w:val="both"/>
        <w:rPr>
          <w:rFonts w:hint="eastAsia" w:ascii="宋体" w:hAnsi="宋体" w:eastAsia="宋体" w:cs="Times New Roman"/>
          <w:b/>
          <w:color w:val="auto"/>
          <w:kern w:val="0"/>
          <w:sz w:val="24"/>
          <w:szCs w:val="24"/>
          <w:highlight w:val="none"/>
          <w:u w:val="single"/>
          <w:shd w:val="clear" w:color="auto" w:fill="auto"/>
          <w:lang w:val="en-US" w:eastAsia="zh-CN" w:bidi="ar-SA"/>
        </w:rPr>
      </w:pPr>
      <w:r>
        <w:rPr>
          <w:rFonts w:hint="eastAsia" w:ascii="宋体" w:hAnsi="宋体" w:eastAsia="宋体" w:cs="Times New Roman"/>
          <w:b/>
          <w:color w:val="auto"/>
          <w:kern w:val="0"/>
          <w:sz w:val="24"/>
          <w:szCs w:val="24"/>
          <w:highlight w:val="none"/>
          <w:u w:val="single"/>
          <w:shd w:val="clear" w:color="auto" w:fill="auto"/>
          <w:lang w:val="en-US" w:eastAsia="zh-CN" w:bidi="ar-SA"/>
        </w:rPr>
        <w:t>本合同价款采用固定全费用单价确定。</w:t>
      </w:r>
    </w:p>
    <w:p w14:paraId="6DB80EBB">
      <w:pPr>
        <w:widowControl w:val="0"/>
        <w:adjustRightInd w:val="0"/>
        <w:snapToGrid w:val="0"/>
        <w:spacing w:beforeLines="0" w:afterLines="0" w:line="360" w:lineRule="auto"/>
        <w:ind w:firstLine="482" w:firstLineChars="200"/>
        <w:jc w:val="both"/>
        <w:rPr>
          <w:rFonts w:hint="eastAsia" w:ascii="宋体" w:hAnsi="宋体" w:eastAsia="宋体" w:cs="Times New Roman"/>
          <w:b/>
          <w:color w:val="auto"/>
          <w:kern w:val="0"/>
          <w:sz w:val="24"/>
          <w:szCs w:val="24"/>
          <w:highlight w:val="none"/>
          <w:u w:val="single"/>
          <w:shd w:val="clear" w:color="auto" w:fill="auto"/>
          <w:lang w:val="en-US" w:eastAsia="zh-CN" w:bidi="ar-SA"/>
        </w:rPr>
      </w:pPr>
      <w:r>
        <w:rPr>
          <w:rFonts w:hint="eastAsia" w:ascii="宋体" w:hAnsi="宋体" w:eastAsia="宋体" w:cs="Times New Roman"/>
          <w:b/>
          <w:color w:val="auto"/>
          <w:kern w:val="0"/>
          <w:sz w:val="24"/>
          <w:szCs w:val="24"/>
          <w:highlight w:val="none"/>
          <w:u w:val="single"/>
          <w:shd w:val="clear" w:color="auto" w:fill="auto"/>
          <w:lang w:val="en-US" w:eastAsia="zh-CN" w:bidi="ar-SA"/>
        </w:rPr>
        <w:t>本工程竣工结算价的计算方式为：全费用单价包死，数量按实结算（清单中未列出，但实际所产生的相关费用，由</w:t>
      </w:r>
      <w:r>
        <w:rPr>
          <w:rFonts w:hint="eastAsia" w:ascii="宋体" w:hAnsi="宋体" w:cs="Times New Roman"/>
          <w:b/>
          <w:color w:val="auto"/>
          <w:kern w:val="0"/>
          <w:sz w:val="24"/>
          <w:szCs w:val="24"/>
          <w:highlight w:val="none"/>
          <w:u w:val="single"/>
          <w:shd w:val="clear" w:color="auto" w:fill="auto"/>
          <w:lang w:val="en-US" w:eastAsia="zh-CN" w:bidi="ar-SA"/>
        </w:rPr>
        <w:t>乙方</w:t>
      </w:r>
      <w:r>
        <w:rPr>
          <w:rFonts w:hint="eastAsia" w:ascii="宋体" w:hAnsi="宋体" w:eastAsia="宋体" w:cs="Times New Roman"/>
          <w:b/>
          <w:color w:val="auto"/>
          <w:kern w:val="0"/>
          <w:sz w:val="24"/>
          <w:szCs w:val="24"/>
          <w:highlight w:val="none"/>
          <w:u w:val="single"/>
          <w:shd w:val="clear" w:color="auto" w:fill="auto"/>
          <w:lang w:val="en-US" w:eastAsia="zh-CN" w:bidi="ar-SA"/>
        </w:rPr>
        <w:t>在报价时自行考虑，不另外增加工程款）。</w:t>
      </w:r>
    </w:p>
    <w:p w14:paraId="0B130868">
      <w:pPr>
        <w:widowControl w:val="0"/>
        <w:adjustRightInd w:val="0"/>
        <w:snapToGrid w:val="0"/>
        <w:spacing w:beforeLines="0" w:afterLines="0" w:line="360" w:lineRule="auto"/>
        <w:ind w:firstLine="482" w:firstLineChars="200"/>
        <w:jc w:val="both"/>
        <w:rPr>
          <w:rFonts w:hint="eastAsia" w:ascii="宋体" w:hAnsi="宋体" w:eastAsia="宋体" w:cs="Times New Roman"/>
          <w:b/>
          <w:color w:val="auto"/>
          <w:kern w:val="0"/>
          <w:sz w:val="24"/>
          <w:szCs w:val="24"/>
          <w:highlight w:val="none"/>
          <w:u w:val="single"/>
          <w:shd w:val="clear" w:color="auto" w:fill="auto"/>
          <w:lang w:val="en-US" w:eastAsia="zh-CN" w:bidi="ar-SA"/>
        </w:rPr>
      </w:pPr>
      <w:r>
        <w:rPr>
          <w:rFonts w:hint="eastAsia" w:ascii="宋体" w:hAnsi="宋体" w:eastAsia="宋体" w:cs="Times New Roman"/>
          <w:b/>
          <w:color w:val="auto"/>
          <w:kern w:val="0"/>
          <w:sz w:val="24"/>
          <w:szCs w:val="24"/>
          <w:highlight w:val="none"/>
          <w:u w:val="single"/>
          <w:shd w:val="clear" w:color="auto" w:fill="auto"/>
          <w:lang w:val="en-US" w:eastAsia="zh-CN" w:bidi="ar-SA"/>
        </w:rPr>
        <w:t>全费用单价包含人工、制造、材料、设备、运输、装卸、安装、机械、试车、二次搬运、产品保护、水电费、调试、措施费、综合管理、修复安装时被破坏的建筑和装修、孔洞修补、售后服务、</w:t>
      </w:r>
      <w:r>
        <w:rPr>
          <w:rFonts w:hint="eastAsia" w:ascii="宋体" w:hAnsi="宋体"/>
          <w:b/>
          <w:color w:val="auto"/>
          <w:kern w:val="0"/>
          <w:sz w:val="24"/>
          <w:szCs w:val="24"/>
          <w:highlight w:val="none"/>
          <w:u w:val="single"/>
          <w:shd w:val="clear" w:color="auto" w:fill="auto"/>
        </w:rPr>
        <w:t>培训、第三方检测费</w:t>
      </w:r>
      <w:r>
        <w:rPr>
          <w:rFonts w:hint="eastAsia" w:ascii="宋体" w:hAnsi="宋体"/>
          <w:b/>
          <w:color w:val="auto"/>
          <w:kern w:val="0"/>
          <w:sz w:val="24"/>
          <w:szCs w:val="24"/>
          <w:highlight w:val="none"/>
          <w:u w:val="single"/>
          <w:shd w:val="clear" w:color="auto" w:fill="auto"/>
          <w:lang w:eastAsia="zh-CN"/>
        </w:rPr>
        <w:t>、</w:t>
      </w:r>
      <w:r>
        <w:rPr>
          <w:rFonts w:hint="eastAsia" w:ascii="宋体" w:hAnsi="宋体" w:eastAsia="宋体" w:cs="Times New Roman"/>
          <w:b/>
          <w:color w:val="auto"/>
          <w:kern w:val="0"/>
          <w:sz w:val="24"/>
          <w:szCs w:val="24"/>
          <w:highlight w:val="none"/>
          <w:u w:val="single"/>
          <w:shd w:val="clear" w:color="auto" w:fill="auto"/>
          <w:lang w:val="en-US" w:eastAsia="zh-CN" w:bidi="ar-SA"/>
        </w:rPr>
        <w:t>保险、规费、利润、税金、风险费及工程相关协调费等一切费用。</w:t>
      </w:r>
    </w:p>
    <w:p w14:paraId="160F4D29">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三、技术资料</w:t>
      </w:r>
    </w:p>
    <w:p w14:paraId="54BD6D3E">
      <w:pPr>
        <w:widowControl w:val="0"/>
        <w:snapToGrid w:val="0"/>
        <w:spacing w:beforeLines="0" w:afterLines="0" w:line="480" w:lineRule="exact"/>
        <w:ind w:left="359" w:hanging="410" w:hangingChars="171"/>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1.乙方应在项目验收前向甲方提供使用货物的有关技术资料。</w:t>
      </w:r>
    </w:p>
    <w:p w14:paraId="62CB38A1">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F4B5F01">
      <w:pPr>
        <w:widowControl w:val="0"/>
        <w:snapToGrid w:val="0"/>
        <w:spacing w:beforeLines="0" w:afterLines="0" w:line="480" w:lineRule="exact"/>
        <w:ind w:left="360" w:hanging="412" w:hangingChars="171"/>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四、知识产权</w:t>
      </w:r>
    </w:p>
    <w:p w14:paraId="07142D9F">
      <w:pPr>
        <w:widowControl w:val="0"/>
        <w:snapToGrid w:val="0"/>
        <w:spacing w:beforeLines="0" w:afterLines="0" w:line="480" w:lineRule="exact"/>
        <w:jc w:val="both"/>
        <w:rPr>
          <w:rFonts w:hint="eastAsia" w:ascii="宋体" w:hAnsi="宋体" w:eastAsia="宋体" w:cs="宋体"/>
          <w:bCs/>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乙方应保证所提供的货物或其任何一部分均不会侵犯任何第三方的知识产权</w:t>
      </w:r>
      <w:r>
        <w:rPr>
          <w:rFonts w:hint="eastAsia" w:ascii="宋体" w:hAnsi="宋体" w:eastAsia="宋体" w:cs="宋体"/>
          <w:bCs/>
          <w:color w:val="auto"/>
          <w:kern w:val="0"/>
          <w:sz w:val="24"/>
          <w:szCs w:val="24"/>
          <w:highlight w:val="none"/>
          <w:shd w:val="clear" w:color="auto" w:fill="auto"/>
          <w:lang w:val="en-US" w:eastAsia="zh-CN" w:bidi="ar-SA"/>
        </w:rPr>
        <w:t>。</w:t>
      </w:r>
    </w:p>
    <w:p w14:paraId="574453B5">
      <w:pPr>
        <w:widowControl w:val="0"/>
        <w:snapToGrid w:val="0"/>
        <w:spacing w:beforeLines="0" w:afterLines="0" w:line="480" w:lineRule="exact"/>
        <w:jc w:val="both"/>
        <w:rPr>
          <w:rFonts w:hint="eastAsia" w:ascii="宋体" w:hAnsi="宋体" w:eastAsia="宋体" w:cs="宋体"/>
          <w:color w:val="auto"/>
          <w:kern w:val="0"/>
          <w:sz w:val="24"/>
          <w:szCs w:val="24"/>
          <w:highlight w:val="none"/>
          <w:u w:val="singl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五、产权担保</w:t>
      </w:r>
    </w:p>
    <w:p w14:paraId="2E178D55">
      <w:pPr>
        <w:widowControl w:val="0"/>
        <w:snapToGrid w:val="0"/>
        <w:spacing w:beforeLines="0" w:afterLines="0" w:line="480" w:lineRule="exact"/>
        <w:ind w:left="357" w:hanging="408" w:hangingChars="170"/>
        <w:jc w:val="both"/>
        <w:rPr>
          <w:rFonts w:hint="eastAsia" w:ascii="宋体" w:hAnsi="宋体" w:eastAsia="宋体" w:cs="宋体"/>
          <w:color w:val="auto"/>
          <w:kern w:val="0"/>
          <w:sz w:val="24"/>
          <w:szCs w:val="24"/>
          <w:highlight w:val="none"/>
          <w:u w:val="singl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乙方保证所交付的货物的所有权完全属于乙方且无任何抵押、查封等产权瑕疵。</w:t>
      </w:r>
    </w:p>
    <w:p w14:paraId="4E91F5D1">
      <w:pPr>
        <w:widowControl w:val="0"/>
        <w:snapToGrid w:val="0"/>
        <w:spacing w:beforeLines="0" w:afterLines="0" w:line="480" w:lineRule="exact"/>
        <w:ind w:left="358" w:hanging="410" w:hangingChars="170"/>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六、履约保证金</w:t>
      </w:r>
    </w:p>
    <w:p w14:paraId="7136D770">
      <w:pPr>
        <w:spacing w:line="480" w:lineRule="exact"/>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乙方应当在合同签订前向甲方缴纳（提供）履约保证金人民币        元 （￥       元）（现金、银行保函或者保险公司保函），履约保证金在验收合格后退还。</w:t>
      </w:r>
    </w:p>
    <w:p w14:paraId="64122DE7">
      <w:pPr>
        <w:spacing w:line="48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七、转包或分包</w:t>
      </w:r>
    </w:p>
    <w:p w14:paraId="0BE902D2">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1.本合同范围的货物，应由乙方直接供应，不得转让他人供应；</w:t>
      </w:r>
    </w:p>
    <w:p w14:paraId="6AE91BD0">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2.除非得到甲方的书面同意，乙方不得将本合同范围的货物全部或部分分包给他人供应；</w:t>
      </w:r>
    </w:p>
    <w:p w14:paraId="7717CF19">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3.如有转让和未经甲方同意的分包行为，甲方有权解除合同，履约保证金不予退回并追究乙方的违约责任。</w:t>
      </w:r>
    </w:p>
    <w:p w14:paraId="757DC173">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八、质量要求及质保期</w:t>
      </w:r>
    </w:p>
    <w:p w14:paraId="738A7F3A">
      <w:pPr>
        <w:widowControl w:val="0"/>
        <w:snapToGrid w:val="0"/>
        <w:spacing w:beforeLines="0" w:afterLines="0" w:line="480" w:lineRule="exact"/>
        <w:jc w:val="both"/>
        <w:rPr>
          <w:rFonts w:hint="eastAsia" w:ascii="宋体" w:hAnsi="宋体" w:eastAsia="宋体" w:cs="宋体"/>
          <w:b w:val="0"/>
          <w:bCs/>
          <w:color w:val="auto"/>
          <w:kern w:val="0"/>
          <w:sz w:val="24"/>
          <w:szCs w:val="24"/>
          <w:highlight w:val="none"/>
          <w:shd w:val="clear" w:color="auto" w:fill="auto"/>
          <w:lang w:val="en-US" w:eastAsia="zh-CN" w:bidi="ar-SA"/>
        </w:rPr>
      </w:pPr>
      <w:r>
        <w:rPr>
          <w:rFonts w:hint="eastAsia" w:ascii="宋体" w:hAnsi="宋体" w:eastAsia="宋体" w:cs="宋体"/>
          <w:b w:val="0"/>
          <w:bCs/>
          <w:color w:val="auto"/>
          <w:kern w:val="0"/>
          <w:sz w:val="24"/>
          <w:szCs w:val="24"/>
          <w:highlight w:val="none"/>
          <w:shd w:val="clear" w:color="auto" w:fill="auto"/>
          <w:lang w:val="en-US" w:eastAsia="zh-CN" w:bidi="ar-SA"/>
        </w:rPr>
        <w:t>1.质量要求：合格及以上，符合国家规定的质量要求。</w:t>
      </w:r>
    </w:p>
    <w:p w14:paraId="4ED13E2D">
      <w:pPr>
        <w:widowControl w:val="0"/>
        <w:snapToGrid w:val="0"/>
        <w:spacing w:beforeLines="0" w:afterLines="0" w:line="480" w:lineRule="exact"/>
        <w:ind w:left="359" w:hanging="410" w:hangingChars="171"/>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2.质保期</w:t>
      </w:r>
      <w:r>
        <w:rPr>
          <w:rFonts w:hint="eastAsia" w:ascii="宋体" w:hAnsi="宋体" w:eastAsia="宋体" w:cs="宋体"/>
          <w:color w:val="auto"/>
          <w:kern w:val="0"/>
          <w:sz w:val="24"/>
          <w:szCs w:val="24"/>
          <w:highlight w:val="none"/>
          <w:u w:val="single"/>
          <w:shd w:val="clear" w:color="auto" w:fill="auto"/>
          <w:lang w:val="en-US" w:eastAsia="zh-CN" w:bidi="ar-SA"/>
        </w:rPr>
        <w:t xml:space="preserve">   </w:t>
      </w:r>
      <w:r>
        <w:rPr>
          <w:rFonts w:hint="eastAsia" w:ascii="宋体" w:hAnsi="宋体" w:cs="宋体"/>
          <w:color w:val="auto"/>
          <w:kern w:val="0"/>
          <w:sz w:val="24"/>
          <w:szCs w:val="24"/>
          <w:highlight w:val="none"/>
          <w:u w:val="single"/>
          <w:shd w:val="clear" w:color="auto" w:fill="auto"/>
          <w:lang w:val="en-US" w:eastAsia="zh-CN" w:bidi="ar-SA"/>
        </w:rPr>
        <w:t xml:space="preserve">  </w:t>
      </w:r>
      <w:r>
        <w:rPr>
          <w:rFonts w:hint="eastAsia" w:ascii="宋体" w:hAnsi="宋体" w:eastAsia="宋体" w:cs="宋体"/>
          <w:color w:val="auto"/>
          <w:kern w:val="0"/>
          <w:sz w:val="24"/>
          <w:szCs w:val="24"/>
          <w:highlight w:val="none"/>
          <w:u w:val="single"/>
          <w:shd w:val="clear" w:color="auto" w:fill="auto"/>
          <w:lang w:val="en-US" w:eastAsia="zh-CN" w:bidi="ar-SA"/>
        </w:rPr>
        <w:t xml:space="preserve"> </w:t>
      </w:r>
      <w:r>
        <w:rPr>
          <w:rFonts w:hint="eastAsia" w:ascii="宋体" w:hAnsi="宋体" w:eastAsia="宋体" w:cs="宋体"/>
          <w:color w:val="auto"/>
          <w:kern w:val="0"/>
          <w:sz w:val="24"/>
          <w:szCs w:val="24"/>
          <w:highlight w:val="none"/>
          <w:shd w:val="clear" w:color="auto" w:fill="auto"/>
          <w:lang w:val="en-US" w:eastAsia="zh-CN" w:bidi="ar-SA"/>
        </w:rPr>
        <w:t>年。（自验收合格之日起计）</w:t>
      </w:r>
    </w:p>
    <w:p w14:paraId="39E74144">
      <w:pPr>
        <w:widowControl w:val="0"/>
        <w:snapToGrid w:val="0"/>
        <w:spacing w:beforeLines="0" w:afterLines="0" w:line="480" w:lineRule="exact"/>
        <w:jc w:val="both"/>
        <w:rPr>
          <w:rFonts w:hint="eastAsia" w:ascii="宋体" w:hAnsi="宋体" w:eastAsia="宋体" w:cs="宋体"/>
          <w:bCs/>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九、</w:t>
      </w:r>
      <w:r>
        <w:rPr>
          <w:rFonts w:hint="eastAsia" w:ascii="宋体" w:hAnsi="宋体" w:cs="宋体"/>
          <w:b/>
          <w:color w:val="auto"/>
          <w:kern w:val="0"/>
          <w:sz w:val="24"/>
          <w:szCs w:val="24"/>
          <w:highlight w:val="none"/>
          <w:shd w:val="clear" w:color="auto" w:fill="auto"/>
          <w:lang w:val="en-US" w:eastAsia="zh-CN" w:bidi="ar-SA"/>
        </w:rPr>
        <w:t>工期</w:t>
      </w:r>
    </w:p>
    <w:p w14:paraId="5FA5F263">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cs="Arial"/>
          <w:bCs/>
          <w:color w:val="auto"/>
          <w:sz w:val="24"/>
          <w:szCs w:val="24"/>
          <w:highlight w:val="none"/>
        </w:rPr>
        <w:t>根据工程进度，配合总承包单位及装修单位整体进度同步完成全部工作内容</w:t>
      </w:r>
    </w:p>
    <w:p w14:paraId="25B9B8FA">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十、付款方式</w:t>
      </w:r>
    </w:p>
    <w:p w14:paraId="0D81DB4E">
      <w:pPr>
        <w:widowControl w:val="0"/>
        <w:snapToGrid w:val="0"/>
        <w:spacing w:beforeLines="0" w:afterLines="0" w:line="480" w:lineRule="exact"/>
        <w:jc w:val="both"/>
        <w:rPr>
          <w:rFonts w:hint="eastAsia" w:ascii="Times New Roman" w:hAnsi="Times New Roman" w:eastAsia="宋体" w:cs="Arial"/>
          <w:bCs/>
          <w:color w:val="auto"/>
          <w:sz w:val="24"/>
          <w:szCs w:val="24"/>
          <w:highlight w:val="none"/>
          <w:lang w:eastAsia="zh-CN"/>
        </w:rPr>
      </w:pPr>
      <w:r>
        <w:rPr>
          <w:rFonts w:hint="eastAsia" w:ascii="Times New Roman" w:hAnsi="Times New Roman" w:eastAsia="宋体" w:cs="Arial"/>
          <w:bCs/>
          <w:color w:val="auto"/>
          <w:sz w:val="24"/>
          <w:szCs w:val="24"/>
          <w:highlight w:val="none"/>
          <w:lang w:eastAsia="zh-CN"/>
        </w:rPr>
        <w:t>1、合同生效并具备实施条件后支付至合同价的30%，每批次货物到达现场查验合格后付至该批次货物价款的50%，项目整体安装调试完成并验收合格后付至合同金额的85%，项目结算经审定后付至结算价的95%,剩余5%作为质保金，质保期满后退回。增值税发票应随付款进度及时提供。</w:t>
      </w:r>
    </w:p>
    <w:p w14:paraId="378C11C3">
      <w:pPr>
        <w:widowControl w:val="0"/>
        <w:snapToGrid w:val="0"/>
        <w:spacing w:beforeLines="0" w:afterLines="0" w:line="480" w:lineRule="exact"/>
        <w:jc w:val="both"/>
        <w:rPr>
          <w:rFonts w:hint="eastAsia" w:ascii="Times New Roman" w:hAnsi="Times New Roman" w:eastAsia="宋体" w:cs="Arial"/>
          <w:bCs/>
          <w:color w:val="auto"/>
          <w:sz w:val="24"/>
          <w:szCs w:val="24"/>
          <w:highlight w:val="none"/>
          <w:lang w:eastAsia="zh-CN"/>
        </w:rPr>
      </w:pPr>
      <w:r>
        <w:rPr>
          <w:rFonts w:hint="eastAsia" w:ascii="Times New Roman" w:hAnsi="Times New Roman" w:eastAsia="宋体" w:cs="Arial"/>
          <w:bCs/>
          <w:color w:val="auto"/>
          <w:sz w:val="24"/>
          <w:szCs w:val="24"/>
          <w:highlight w:val="none"/>
          <w:lang w:eastAsia="zh-CN"/>
        </w:rPr>
        <w:t>2、当</w:t>
      </w:r>
      <w:r>
        <w:rPr>
          <w:rFonts w:hint="eastAsia" w:ascii="Times New Roman" w:hAnsi="Times New Roman" w:eastAsia="宋体" w:cs="Arial"/>
          <w:bCs/>
          <w:color w:val="auto"/>
          <w:sz w:val="24"/>
          <w:szCs w:val="24"/>
          <w:highlight w:val="none"/>
          <w:lang w:val="en-US" w:eastAsia="zh-CN"/>
        </w:rPr>
        <w:t>甲方</w:t>
      </w:r>
      <w:r>
        <w:rPr>
          <w:rFonts w:hint="eastAsia" w:ascii="Times New Roman" w:hAnsi="Times New Roman" w:eastAsia="宋体" w:cs="Arial"/>
          <w:bCs/>
          <w:color w:val="auto"/>
          <w:sz w:val="24"/>
          <w:szCs w:val="24"/>
          <w:highlight w:val="none"/>
          <w:lang w:eastAsia="zh-CN"/>
        </w:rPr>
        <w:t>可根据实际情况增加或减少工程量，乙方须无条件服从，并按实际工程量结算。工程量不论增减多少，单价不变，乙方不得拒绝。结算时乙方必须根据实际工程量供货及安装，最终结算金额按实际工程量乘以成交单价进行计算。</w:t>
      </w:r>
    </w:p>
    <w:p w14:paraId="7EC9D3ED">
      <w:pPr>
        <w:widowControl w:val="0"/>
        <w:snapToGrid w:val="0"/>
        <w:spacing w:beforeLines="0" w:afterLines="0" w:line="480" w:lineRule="exact"/>
        <w:jc w:val="both"/>
        <w:rPr>
          <w:rFonts w:hint="eastAsia" w:ascii="Times New Roman" w:hAnsi="Times New Roman" w:eastAsia="宋体" w:cs="Arial"/>
          <w:bCs/>
          <w:color w:val="auto"/>
          <w:sz w:val="24"/>
          <w:szCs w:val="24"/>
          <w:highlight w:val="none"/>
          <w:lang w:eastAsia="zh-CN"/>
        </w:rPr>
      </w:pPr>
      <w:r>
        <w:rPr>
          <w:rFonts w:hint="eastAsia" w:ascii="Times New Roman" w:hAnsi="Times New Roman" w:eastAsia="宋体" w:cs="Arial"/>
          <w:bCs/>
          <w:color w:val="auto"/>
          <w:sz w:val="24"/>
          <w:szCs w:val="24"/>
          <w:highlight w:val="none"/>
          <w:lang w:eastAsia="zh-CN"/>
        </w:rPr>
        <w:t>3、增加的部分，仅支付设备费用、材料费及税金，其他相关费用不予支付。</w:t>
      </w:r>
    </w:p>
    <w:p w14:paraId="5635E79B">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十一、税费</w:t>
      </w:r>
    </w:p>
    <w:p w14:paraId="61012509">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本合同执行中相关的一切税费均由乙方负担。</w:t>
      </w:r>
    </w:p>
    <w:p w14:paraId="78BA24BA">
      <w:pPr>
        <w:widowControl w:val="0"/>
        <w:snapToGrid w:val="0"/>
        <w:spacing w:beforeLines="0" w:afterLines="0" w:line="480" w:lineRule="exact"/>
        <w:ind w:left="360" w:hanging="412" w:hangingChars="171"/>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十二、质量保证及售后服务</w:t>
      </w:r>
    </w:p>
    <w:p w14:paraId="45E123A7">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 乙方应按招标文件规定的货物性能、技术要求、质量标准向甲方提供未经使用的全新产品。</w:t>
      </w:r>
    </w:p>
    <w:p w14:paraId="56174946">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2.乙方提供的货物在</w:t>
      </w:r>
      <w:r>
        <w:rPr>
          <w:rFonts w:hint="eastAsia" w:ascii="宋体" w:hAnsi="宋体" w:cs="宋体"/>
          <w:color w:val="auto"/>
          <w:kern w:val="0"/>
          <w:sz w:val="24"/>
          <w:szCs w:val="24"/>
          <w:highlight w:val="none"/>
          <w:shd w:val="clear" w:color="auto" w:fill="auto"/>
          <w:lang w:val="en-US" w:eastAsia="zh-CN" w:bidi="ar-SA"/>
        </w:rPr>
        <w:t>质保期</w:t>
      </w:r>
      <w:r>
        <w:rPr>
          <w:rFonts w:hint="eastAsia" w:ascii="宋体" w:hAnsi="宋体" w:eastAsia="宋体" w:cs="宋体"/>
          <w:color w:val="auto"/>
          <w:kern w:val="0"/>
          <w:sz w:val="24"/>
          <w:szCs w:val="24"/>
          <w:highlight w:val="none"/>
          <w:shd w:val="clear" w:color="auto" w:fill="auto"/>
          <w:lang w:val="en-US" w:eastAsia="zh-CN" w:bidi="ar-SA"/>
        </w:rPr>
        <w:t>内因货物本身的质量问题发生故障，乙方应负责免费更换。</w:t>
      </w:r>
    </w:p>
    <w:p w14:paraId="13E7B1D0">
      <w:pPr>
        <w:widowControl w:val="0"/>
        <w:snapToGrid w:val="0"/>
        <w:spacing w:beforeLines="0" w:afterLines="0" w:line="480" w:lineRule="exact"/>
        <w:ind w:left="420" w:hanging="480" w:hangingChars="2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对达不到技术要求者，根据实际情况，经双方协商，可按以下办法处理：</w:t>
      </w:r>
    </w:p>
    <w:p w14:paraId="6EFBF262">
      <w:pPr>
        <w:widowControl w:val="0"/>
        <w:snapToGrid w:val="0"/>
        <w:spacing w:beforeLines="0" w:afterLines="0" w:line="480" w:lineRule="exact"/>
        <w:ind w:firstLine="42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⑴更换：由乙方承担所发生的全部费用。</w:t>
      </w:r>
    </w:p>
    <w:p w14:paraId="0AC2C91A">
      <w:pPr>
        <w:widowControl w:val="0"/>
        <w:snapToGrid w:val="0"/>
        <w:spacing w:beforeLines="0" w:afterLines="0" w:line="480" w:lineRule="exact"/>
        <w:ind w:firstLine="42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⑵贬值处理：由甲乙双方合议定价。</w:t>
      </w:r>
    </w:p>
    <w:p w14:paraId="31754CDB">
      <w:pPr>
        <w:widowControl w:val="0"/>
        <w:snapToGrid w:val="0"/>
        <w:spacing w:beforeLines="0" w:afterLines="0" w:line="480" w:lineRule="exact"/>
        <w:ind w:left="420" w:leftChars="2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⑶退货处理：乙方应退还甲方支付的合同款，同时应承担该货物的直接费用（运输、保险、检验、货款利息及银行手续费等）。</w:t>
      </w:r>
    </w:p>
    <w:p w14:paraId="1802BEB2">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3.在</w:t>
      </w:r>
      <w:r>
        <w:rPr>
          <w:rFonts w:hint="eastAsia" w:ascii="宋体" w:hAnsi="宋体" w:cs="宋体"/>
          <w:color w:val="auto"/>
          <w:kern w:val="0"/>
          <w:sz w:val="24"/>
          <w:szCs w:val="24"/>
          <w:highlight w:val="none"/>
          <w:shd w:val="clear" w:color="auto" w:fill="auto"/>
          <w:lang w:val="en-US" w:eastAsia="zh-CN" w:bidi="ar-SA"/>
        </w:rPr>
        <w:t>质保期</w:t>
      </w:r>
      <w:r>
        <w:rPr>
          <w:rFonts w:hint="eastAsia" w:ascii="宋体" w:hAnsi="宋体" w:eastAsia="宋体" w:cs="宋体"/>
          <w:color w:val="auto"/>
          <w:kern w:val="0"/>
          <w:sz w:val="24"/>
          <w:szCs w:val="24"/>
          <w:highlight w:val="none"/>
          <w:shd w:val="clear" w:color="auto" w:fill="auto"/>
          <w:lang w:val="en-US" w:eastAsia="zh-CN" w:bidi="ar-SA"/>
        </w:rPr>
        <w:t>内，乙方应对货物出现的质量及安全问题负责处理解决并承担一切费用。</w:t>
      </w:r>
    </w:p>
    <w:p w14:paraId="4F15A5E8">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4.上述的货物免费</w:t>
      </w:r>
      <w:r>
        <w:rPr>
          <w:rFonts w:hint="eastAsia" w:ascii="宋体" w:hAnsi="宋体" w:cs="宋体"/>
          <w:color w:val="auto"/>
          <w:kern w:val="0"/>
          <w:sz w:val="24"/>
          <w:szCs w:val="24"/>
          <w:highlight w:val="none"/>
          <w:shd w:val="clear" w:color="auto" w:fill="auto"/>
          <w:lang w:val="en-US" w:eastAsia="zh-CN" w:bidi="ar-SA"/>
        </w:rPr>
        <w:t>质保期</w:t>
      </w:r>
      <w:r>
        <w:rPr>
          <w:rFonts w:hint="eastAsia" w:ascii="宋体" w:hAnsi="宋体" w:eastAsia="宋体" w:cs="宋体"/>
          <w:color w:val="auto"/>
          <w:kern w:val="0"/>
          <w:sz w:val="24"/>
          <w:szCs w:val="24"/>
          <w:highlight w:val="none"/>
          <w:shd w:val="clear" w:color="auto" w:fill="auto"/>
          <w:lang w:val="en-US" w:eastAsia="zh-CN" w:bidi="ar-SA"/>
        </w:rPr>
        <w:t>为</w:t>
      </w:r>
      <w:r>
        <w:rPr>
          <w:rFonts w:hint="eastAsia" w:ascii="宋体" w:hAnsi="宋体" w:eastAsia="宋体" w:cs="宋体"/>
          <w:color w:val="auto"/>
          <w:kern w:val="0"/>
          <w:sz w:val="24"/>
          <w:szCs w:val="24"/>
          <w:highlight w:val="none"/>
          <w:u w:val="single"/>
          <w:shd w:val="clear" w:color="auto" w:fill="auto"/>
          <w:lang w:val="en-US" w:eastAsia="zh-CN" w:bidi="ar-SA"/>
        </w:rPr>
        <w:t xml:space="preserve">    </w:t>
      </w:r>
      <w:r>
        <w:rPr>
          <w:rFonts w:hint="eastAsia" w:ascii="宋体" w:hAnsi="宋体" w:eastAsia="宋体" w:cs="宋体"/>
          <w:color w:val="auto"/>
          <w:kern w:val="0"/>
          <w:sz w:val="24"/>
          <w:szCs w:val="24"/>
          <w:highlight w:val="none"/>
          <w:shd w:val="clear" w:color="auto" w:fill="auto"/>
          <w:lang w:val="en-US" w:eastAsia="zh-CN" w:bidi="ar-SA"/>
        </w:rPr>
        <w:t>年，因人为因素出现的故障不在免费保修范围内。超过</w:t>
      </w:r>
      <w:r>
        <w:rPr>
          <w:rFonts w:hint="eastAsia" w:ascii="宋体" w:hAnsi="宋体" w:cs="宋体"/>
          <w:color w:val="auto"/>
          <w:kern w:val="0"/>
          <w:sz w:val="24"/>
          <w:szCs w:val="24"/>
          <w:highlight w:val="none"/>
          <w:shd w:val="clear" w:color="auto" w:fill="auto"/>
          <w:lang w:val="en-US" w:eastAsia="zh-CN" w:bidi="ar-SA"/>
        </w:rPr>
        <w:t>质保期</w:t>
      </w:r>
      <w:r>
        <w:rPr>
          <w:rFonts w:hint="eastAsia" w:ascii="宋体" w:hAnsi="宋体" w:eastAsia="宋体" w:cs="宋体"/>
          <w:color w:val="auto"/>
          <w:kern w:val="0"/>
          <w:sz w:val="24"/>
          <w:szCs w:val="24"/>
          <w:highlight w:val="none"/>
          <w:shd w:val="clear" w:color="auto" w:fill="auto"/>
          <w:lang w:val="en-US" w:eastAsia="zh-CN" w:bidi="ar-SA"/>
        </w:rPr>
        <w:t>的机器设备，终生维修，维修时只收部件成本费。</w:t>
      </w:r>
    </w:p>
    <w:p w14:paraId="4FF65976">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5.质保期</w:t>
      </w:r>
      <w:r>
        <w:rPr>
          <w:rFonts w:hint="eastAsia" w:ascii="宋体" w:hAnsi="宋体" w:eastAsia="宋体" w:cs="宋体"/>
          <w:color w:val="auto"/>
          <w:kern w:val="0"/>
          <w:sz w:val="24"/>
          <w:szCs w:val="24"/>
          <w:highlight w:val="none"/>
          <w:shd w:val="clear" w:color="auto" w:fill="auto"/>
          <w:lang w:val="en-US" w:eastAsia="zh-CN" w:bidi="ar-SA"/>
        </w:rPr>
        <w:t>内，如因修理货物或更换部件，而非人为因素出现故障而造成短期停用时，则质保期和免费维修期相应顺延。如停用时间累计超过20天，则货物</w:t>
      </w:r>
      <w:r>
        <w:rPr>
          <w:rFonts w:hint="eastAsia" w:ascii="宋体" w:hAnsi="宋体" w:cs="宋体"/>
          <w:color w:val="auto"/>
          <w:kern w:val="0"/>
          <w:sz w:val="24"/>
          <w:szCs w:val="24"/>
          <w:highlight w:val="none"/>
          <w:shd w:val="clear" w:color="auto" w:fill="auto"/>
          <w:lang w:val="en-US" w:eastAsia="zh-CN" w:bidi="ar-SA"/>
        </w:rPr>
        <w:t>质保期</w:t>
      </w:r>
      <w:r>
        <w:rPr>
          <w:rFonts w:hint="eastAsia" w:ascii="宋体" w:hAnsi="宋体" w:eastAsia="宋体" w:cs="宋体"/>
          <w:color w:val="auto"/>
          <w:kern w:val="0"/>
          <w:sz w:val="24"/>
          <w:szCs w:val="24"/>
          <w:highlight w:val="none"/>
          <w:shd w:val="clear" w:color="auto" w:fill="auto"/>
          <w:lang w:val="en-US" w:eastAsia="zh-CN" w:bidi="ar-SA"/>
        </w:rPr>
        <w:t>重新计算。</w:t>
      </w:r>
    </w:p>
    <w:p w14:paraId="5802306C">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6.</w:t>
      </w:r>
      <w:r>
        <w:rPr>
          <w:rFonts w:hint="eastAsia" w:ascii="宋体" w:hAnsi="宋体" w:eastAsia="宋体" w:cs="宋体"/>
          <w:color w:val="auto"/>
          <w:kern w:val="0"/>
          <w:sz w:val="24"/>
          <w:szCs w:val="24"/>
          <w:highlight w:val="none"/>
          <w:shd w:val="clear" w:color="auto" w:fill="auto"/>
          <w:lang w:val="en-US" w:eastAsia="zh-CN" w:bidi="ar-SA"/>
        </w:rPr>
        <w:t>所有的替代零配件必须是新的未使用和未经修复的,除非最终用户提供书面许可，否则不可使用此范围外的其他（非新的）配件。</w:t>
      </w:r>
    </w:p>
    <w:p w14:paraId="04D172D0">
      <w:pPr>
        <w:spacing w:line="440" w:lineRule="exact"/>
        <w:rPr>
          <w:rFonts w:hint="eastAsia" w:ascii="宋体" w:hAnsi="宋体" w:eastAsia="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lang w:val="en-US" w:eastAsia="zh-CN"/>
        </w:rPr>
        <w:t>7.</w:t>
      </w:r>
      <w:r>
        <w:rPr>
          <w:rFonts w:hint="eastAsia" w:ascii="宋体" w:hAnsi="宋体" w:eastAsia="宋体" w:cs="Times New Roman"/>
          <w:color w:val="auto"/>
          <w:sz w:val="24"/>
          <w:szCs w:val="24"/>
          <w:highlight w:val="none"/>
          <w:shd w:val="clear" w:color="auto" w:fill="auto"/>
          <w:lang w:eastAsia="zh-CN"/>
        </w:rPr>
        <w:t>乙方</w:t>
      </w:r>
      <w:r>
        <w:rPr>
          <w:rFonts w:hint="eastAsia" w:ascii="宋体" w:hAnsi="宋体" w:eastAsia="宋体" w:cs="Times New Roman"/>
          <w:color w:val="auto"/>
          <w:sz w:val="24"/>
          <w:szCs w:val="24"/>
          <w:highlight w:val="none"/>
          <w:shd w:val="clear" w:color="auto" w:fill="auto"/>
        </w:rPr>
        <w:t>必须有可靠的售后服务保障，包括但不限于在台州附近有固定的维修服务点，能提供正常的技术、备品备件服务。当发生故障时，</w:t>
      </w:r>
      <w:r>
        <w:rPr>
          <w:rFonts w:hint="eastAsia" w:ascii="宋体" w:hAnsi="宋体" w:eastAsia="宋体" w:cs="Times New Roman"/>
          <w:color w:val="auto"/>
          <w:sz w:val="24"/>
          <w:szCs w:val="24"/>
          <w:highlight w:val="none"/>
          <w:shd w:val="clear" w:color="auto" w:fill="auto"/>
          <w:lang w:eastAsia="zh-CN"/>
        </w:rPr>
        <w:t>乙方</w:t>
      </w:r>
      <w:r>
        <w:rPr>
          <w:rFonts w:hint="eastAsia" w:ascii="宋体" w:hAnsi="宋体" w:eastAsia="宋体" w:cs="Times New Roman"/>
          <w:color w:val="auto"/>
          <w:sz w:val="24"/>
          <w:szCs w:val="24"/>
          <w:highlight w:val="none"/>
          <w:shd w:val="clear" w:color="auto" w:fill="auto"/>
        </w:rPr>
        <w:t>在接到</w:t>
      </w:r>
      <w:r>
        <w:rPr>
          <w:rFonts w:hint="eastAsia" w:ascii="宋体" w:hAnsi="宋体" w:eastAsia="宋体" w:cs="Times New Roman"/>
          <w:color w:val="auto"/>
          <w:sz w:val="24"/>
          <w:szCs w:val="24"/>
          <w:highlight w:val="none"/>
          <w:shd w:val="clear" w:color="auto" w:fill="auto"/>
          <w:lang w:eastAsia="zh-CN"/>
        </w:rPr>
        <w:t>甲方</w:t>
      </w:r>
      <w:r>
        <w:rPr>
          <w:rFonts w:hint="eastAsia" w:ascii="宋体" w:hAnsi="宋体" w:eastAsia="宋体" w:cs="Times New Roman"/>
          <w:color w:val="auto"/>
          <w:sz w:val="24"/>
          <w:szCs w:val="24"/>
          <w:highlight w:val="none"/>
          <w:shd w:val="clear" w:color="auto" w:fill="auto"/>
        </w:rPr>
        <w:t>通知后，临海及附近地区</w:t>
      </w:r>
      <w:r>
        <w:rPr>
          <w:rFonts w:hint="eastAsia" w:ascii="宋体" w:hAnsi="宋体" w:eastAsia="宋体" w:cs="Times New Roman"/>
          <w:color w:val="auto"/>
          <w:sz w:val="24"/>
          <w:szCs w:val="24"/>
          <w:highlight w:val="none"/>
          <w:shd w:val="clear" w:color="auto" w:fill="auto"/>
          <w:lang w:val="en-US" w:eastAsia="zh-CN"/>
        </w:rPr>
        <w:t>2</w:t>
      </w:r>
      <w:r>
        <w:rPr>
          <w:rFonts w:hint="eastAsia" w:ascii="宋体" w:hAnsi="宋体" w:eastAsia="宋体" w:cs="Times New Roman"/>
          <w:color w:val="auto"/>
          <w:sz w:val="24"/>
          <w:szCs w:val="24"/>
          <w:highlight w:val="none"/>
          <w:shd w:val="clear" w:color="auto" w:fill="auto"/>
        </w:rPr>
        <w:t>小时内，外地</w:t>
      </w:r>
      <w:r>
        <w:rPr>
          <w:rFonts w:hint="eastAsia" w:ascii="宋体" w:hAnsi="宋体" w:eastAsia="宋体" w:cs="Times New Roman"/>
          <w:color w:val="auto"/>
          <w:sz w:val="24"/>
          <w:szCs w:val="24"/>
          <w:highlight w:val="none"/>
          <w:shd w:val="clear" w:color="auto" w:fill="auto"/>
          <w:lang w:val="en-US" w:eastAsia="zh-CN"/>
        </w:rPr>
        <w:t>4</w:t>
      </w:r>
      <w:r>
        <w:rPr>
          <w:rFonts w:hint="eastAsia" w:ascii="宋体" w:hAnsi="宋体" w:eastAsia="宋体" w:cs="Times New Roman"/>
          <w:color w:val="auto"/>
          <w:sz w:val="24"/>
          <w:szCs w:val="24"/>
          <w:highlight w:val="none"/>
          <w:shd w:val="clear" w:color="auto" w:fill="auto"/>
        </w:rPr>
        <w:t>小时内派人赴现场处理设备质量问题。24小时内不能修复的，则无偿提供备机或备用零件供</w:t>
      </w:r>
      <w:r>
        <w:rPr>
          <w:rFonts w:hint="eastAsia" w:ascii="宋体" w:hAnsi="宋体" w:eastAsia="宋体" w:cs="Times New Roman"/>
          <w:color w:val="auto"/>
          <w:sz w:val="24"/>
          <w:szCs w:val="24"/>
          <w:highlight w:val="none"/>
          <w:shd w:val="clear" w:color="auto" w:fill="auto"/>
          <w:lang w:val="en-US" w:eastAsia="zh-CN"/>
        </w:rPr>
        <w:t>甲方</w:t>
      </w:r>
      <w:r>
        <w:rPr>
          <w:rFonts w:hint="eastAsia" w:ascii="宋体" w:hAnsi="宋体" w:eastAsia="宋体" w:cs="Times New Roman"/>
          <w:color w:val="auto"/>
          <w:sz w:val="24"/>
          <w:szCs w:val="24"/>
          <w:highlight w:val="none"/>
          <w:shd w:val="clear" w:color="auto" w:fill="auto"/>
        </w:rPr>
        <w:t>使用。</w:t>
      </w:r>
    </w:p>
    <w:p w14:paraId="1920823B">
      <w:pPr>
        <w:spacing w:line="440" w:lineRule="exact"/>
        <w:rPr>
          <w:rFonts w:hint="eastAsia" w:ascii="宋体" w:hAnsi="宋体" w:eastAsia="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lang w:val="en-US" w:eastAsia="zh-CN"/>
        </w:rPr>
        <w:t>8.</w:t>
      </w:r>
      <w:r>
        <w:rPr>
          <w:rFonts w:hint="eastAsia" w:ascii="宋体" w:hAnsi="宋体" w:eastAsia="宋体" w:cs="Times New Roman"/>
          <w:color w:val="auto"/>
          <w:sz w:val="24"/>
          <w:szCs w:val="24"/>
          <w:highlight w:val="none"/>
          <w:shd w:val="clear" w:color="auto" w:fill="auto"/>
          <w:lang w:eastAsia="zh-CN"/>
        </w:rPr>
        <w:t>乙方</w:t>
      </w:r>
      <w:r>
        <w:rPr>
          <w:rFonts w:hint="eastAsia" w:ascii="宋体" w:hAnsi="宋体" w:eastAsia="宋体" w:cs="Times New Roman"/>
          <w:color w:val="auto"/>
          <w:sz w:val="24"/>
          <w:szCs w:val="24"/>
          <w:highlight w:val="none"/>
          <w:shd w:val="clear" w:color="auto" w:fill="auto"/>
        </w:rPr>
        <w:t>服务维修人员均经过良好的系统技术培训，并有丰富的现场维修经验。</w:t>
      </w:r>
    </w:p>
    <w:p w14:paraId="2CFDD76D">
      <w:pPr>
        <w:spacing w:line="440" w:lineRule="exact"/>
        <w:rPr>
          <w:rFonts w:hint="eastAsia" w:ascii="宋体" w:hAnsi="宋体" w:eastAsia="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lang w:val="en-US" w:eastAsia="zh-CN"/>
        </w:rPr>
        <w:t>9.</w:t>
      </w:r>
      <w:r>
        <w:rPr>
          <w:rFonts w:hint="eastAsia" w:ascii="宋体" w:hAnsi="宋体" w:eastAsia="宋体" w:cs="Times New Roman"/>
          <w:color w:val="auto"/>
          <w:sz w:val="24"/>
          <w:szCs w:val="24"/>
          <w:highlight w:val="none"/>
          <w:shd w:val="clear" w:color="auto" w:fill="auto"/>
        </w:rPr>
        <w:t>若</w:t>
      </w:r>
      <w:r>
        <w:rPr>
          <w:rFonts w:hint="eastAsia" w:ascii="宋体" w:hAnsi="宋体" w:eastAsia="宋体" w:cs="Times New Roman"/>
          <w:color w:val="auto"/>
          <w:sz w:val="24"/>
          <w:szCs w:val="24"/>
          <w:highlight w:val="none"/>
          <w:shd w:val="clear" w:color="auto" w:fill="auto"/>
          <w:lang w:eastAsia="zh-CN"/>
        </w:rPr>
        <w:t>乙方</w:t>
      </w:r>
      <w:r>
        <w:rPr>
          <w:rFonts w:hint="eastAsia" w:ascii="宋体" w:hAnsi="宋体" w:eastAsia="宋体" w:cs="Times New Roman"/>
          <w:color w:val="auto"/>
          <w:sz w:val="24"/>
          <w:szCs w:val="24"/>
          <w:highlight w:val="none"/>
          <w:shd w:val="clear" w:color="auto" w:fill="auto"/>
        </w:rPr>
        <w:t>未能满足上述售后服务要求中的任何一条，</w:t>
      </w:r>
      <w:r>
        <w:rPr>
          <w:rFonts w:hint="eastAsia" w:ascii="宋体" w:hAnsi="宋体" w:eastAsia="宋体" w:cs="Times New Roman"/>
          <w:color w:val="auto"/>
          <w:sz w:val="24"/>
          <w:szCs w:val="24"/>
          <w:highlight w:val="none"/>
          <w:shd w:val="clear" w:color="auto" w:fill="auto"/>
          <w:lang w:eastAsia="zh-CN"/>
        </w:rPr>
        <w:t>甲方</w:t>
      </w:r>
      <w:r>
        <w:rPr>
          <w:rFonts w:hint="eastAsia" w:ascii="宋体" w:hAnsi="宋体" w:eastAsia="宋体" w:cs="Times New Roman"/>
          <w:color w:val="auto"/>
          <w:sz w:val="24"/>
          <w:szCs w:val="24"/>
          <w:highlight w:val="none"/>
          <w:shd w:val="clear" w:color="auto" w:fill="auto"/>
        </w:rPr>
        <w:t>有权委托第三方单位提供售后服务，由此产生的一切费用由</w:t>
      </w:r>
      <w:r>
        <w:rPr>
          <w:rFonts w:hint="eastAsia" w:ascii="宋体" w:hAnsi="宋体" w:eastAsia="宋体" w:cs="Times New Roman"/>
          <w:color w:val="auto"/>
          <w:sz w:val="24"/>
          <w:szCs w:val="24"/>
          <w:highlight w:val="none"/>
          <w:shd w:val="clear" w:color="auto" w:fill="auto"/>
          <w:lang w:eastAsia="zh-CN"/>
        </w:rPr>
        <w:t>乙方</w:t>
      </w:r>
      <w:r>
        <w:rPr>
          <w:rFonts w:hint="eastAsia" w:ascii="宋体" w:hAnsi="宋体" w:eastAsia="宋体" w:cs="Times New Roman"/>
          <w:color w:val="auto"/>
          <w:sz w:val="24"/>
          <w:szCs w:val="24"/>
          <w:highlight w:val="none"/>
          <w:shd w:val="clear" w:color="auto" w:fill="auto"/>
        </w:rPr>
        <w:t>承担。</w:t>
      </w:r>
    </w:p>
    <w:p w14:paraId="56B90A1C">
      <w:pPr>
        <w:spacing w:line="440" w:lineRule="exact"/>
        <w:rPr>
          <w:rFonts w:hint="eastAsia" w:ascii="宋体" w:hAnsi="宋体" w:eastAsia="宋体" w:cs="Times New Roman"/>
          <w:color w:val="auto"/>
          <w:sz w:val="24"/>
          <w:szCs w:val="24"/>
          <w:highlight w:val="none"/>
          <w:shd w:val="clear" w:color="auto" w:fill="auto"/>
          <w:lang w:eastAsia="zh-CN"/>
        </w:rPr>
      </w:pPr>
      <w:r>
        <w:rPr>
          <w:rFonts w:hint="eastAsia" w:ascii="宋体" w:hAnsi="宋体" w:cs="Times New Roman"/>
          <w:color w:val="auto"/>
          <w:sz w:val="24"/>
          <w:szCs w:val="24"/>
          <w:highlight w:val="none"/>
          <w:shd w:val="clear" w:color="auto" w:fill="auto"/>
          <w:lang w:val="en-US" w:eastAsia="zh-CN"/>
        </w:rPr>
        <w:t>10.</w:t>
      </w:r>
      <w:r>
        <w:rPr>
          <w:rFonts w:hint="eastAsia" w:ascii="宋体" w:hAnsi="宋体" w:eastAsia="宋体" w:cs="Times New Roman"/>
          <w:color w:val="auto"/>
          <w:sz w:val="24"/>
          <w:szCs w:val="24"/>
          <w:highlight w:val="none"/>
          <w:shd w:val="clear" w:color="auto" w:fill="auto"/>
          <w:lang w:val="en-US" w:eastAsia="zh-CN"/>
        </w:rPr>
        <w:t>乙方</w:t>
      </w:r>
      <w:r>
        <w:rPr>
          <w:rFonts w:hint="eastAsia" w:ascii="宋体" w:hAnsi="宋体" w:eastAsia="宋体" w:cs="Times New Roman"/>
          <w:color w:val="auto"/>
          <w:sz w:val="24"/>
          <w:szCs w:val="24"/>
          <w:highlight w:val="none"/>
          <w:shd w:val="clear" w:color="auto" w:fill="auto"/>
        </w:rPr>
        <w:t>在</w:t>
      </w:r>
      <w:r>
        <w:rPr>
          <w:rFonts w:hint="eastAsia" w:ascii="宋体" w:hAnsi="宋体" w:cs="Times New Roman"/>
          <w:color w:val="auto"/>
          <w:sz w:val="24"/>
          <w:szCs w:val="24"/>
          <w:highlight w:val="none"/>
          <w:shd w:val="clear" w:color="auto" w:fill="auto"/>
          <w:lang w:eastAsia="zh-CN"/>
        </w:rPr>
        <w:t>质保期</w:t>
      </w:r>
      <w:r>
        <w:rPr>
          <w:rFonts w:hint="eastAsia" w:ascii="宋体" w:hAnsi="宋体" w:eastAsia="宋体" w:cs="Times New Roman"/>
          <w:color w:val="auto"/>
          <w:sz w:val="24"/>
          <w:szCs w:val="24"/>
          <w:highlight w:val="none"/>
          <w:shd w:val="clear" w:color="auto" w:fill="auto"/>
        </w:rPr>
        <w:t>内</w:t>
      </w:r>
      <w:r>
        <w:rPr>
          <w:rFonts w:hint="eastAsia" w:ascii="宋体" w:hAnsi="宋体" w:eastAsia="宋体" w:cs="Times New Roman"/>
          <w:color w:val="auto"/>
          <w:sz w:val="24"/>
          <w:szCs w:val="24"/>
          <w:highlight w:val="none"/>
          <w:shd w:val="clear" w:color="auto" w:fill="auto"/>
          <w:lang w:eastAsia="zh-CN"/>
        </w:rPr>
        <w:t>，</w:t>
      </w:r>
      <w:r>
        <w:rPr>
          <w:rFonts w:hint="eastAsia" w:ascii="宋体" w:hAnsi="宋体" w:eastAsia="宋体" w:cs="Times New Roman"/>
          <w:color w:val="auto"/>
          <w:sz w:val="24"/>
          <w:szCs w:val="24"/>
          <w:highlight w:val="none"/>
          <w:shd w:val="clear" w:color="auto" w:fill="auto"/>
          <w:lang w:val="en-US" w:eastAsia="zh-CN"/>
        </w:rPr>
        <w:t>如设备出现反复维修超过3次的，必须更换相应零部件，</w:t>
      </w:r>
      <w:r>
        <w:rPr>
          <w:rFonts w:hint="eastAsia" w:ascii="宋体" w:hAnsi="宋体" w:eastAsia="宋体" w:cs="Times New Roman"/>
          <w:color w:val="auto"/>
          <w:sz w:val="24"/>
          <w:szCs w:val="24"/>
          <w:highlight w:val="none"/>
          <w:shd w:val="clear" w:color="auto" w:fill="auto"/>
        </w:rPr>
        <w:t>安装（更换）的任何零配件，必须是货物制造商原产的或是经</w:t>
      </w:r>
      <w:r>
        <w:rPr>
          <w:rFonts w:hint="eastAsia" w:ascii="宋体" w:hAnsi="宋体" w:eastAsia="宋体" w:cs="Times New Roman"/>
          <w:color w:val="auto"/>
          <w:sz w:val="24"/>
          <w:szCs w:val="24"/>
          <w:highlight w:val="none"/>
          <w:shd w:val="clear" w:color="auto" w:fill="auto"/>
          <w:lang w:val="en-US" w:eastAsia="zh-CN"/>
        </w:rPr>
        <w:t>甲方</w:t>
      </w:r>
      <w:r>
        <w:rPr>
          <w:rFonts w:hint="eastAsia" w:ascii="宋体" w:hAnsi="宋体" w:eastAsia="宋体" w:cs="Times New Roman"/>
          <w:color w:val="auto"/>
          <w:sz w:val="24"/>
          <w:szCs w:val="24"/>
          <w:highlight w:val="none"/>
          <w:shd w:val="clear" w:color="auto" w:fill="auto"/>
        </w:rPr>
        <w:t>认可的</w:t>
      </w:r>
      <w:r>
        <w:rPr>
          <w:rFonts w:hint="eastAsia" w:ascii="宋体" w:hAnsi="宋体" w:eastAsia="宋体" w:cs="Times New Roman"/>
          <w:color w:val="auto"/>
          <w:sz w:val="24"/>
          <w:szCs w:val="24"/>
          <w:highlight w:val="none"/>
          <w:shd w:val="clear" w:color="auto" w:fill="auto"/>
          <w:lang w:eastAsia="zh-CN"/>
        </w:rPr>
        <w:t>。</w:t>
      </w:r>
    </w:p>
    <w:p w14:paraId="47302D58">
      <w:pPr>
        <w:spacing w:line="440" w:lineRule="exact"/>
        <w:rPr>
          <w:rFonts w:hint="eastAsia" w:ascii="宋体" w:hAnsi="宋体" w:eastAsia="宋体" w:cs="Times New Roman"/>
          <w:color w:val="auto"/>
          <w:sz w:val="24"/>
          <w:szCs w:val="24"/>
          <w:highlight w:val="none"/>
          <w:shd w:val="clear" w:color="auto" w:fill="auto"/>
          <w:lang w:eastAsia="zh-CN"/>
        </w:rPr>
      </w:pPr>
      <w:r>
        <w:rPr>
          <w:rFonts w:hint="eastAsia" w:ascii="宋体" w:hAnsi="宋体" w:cs="Times New Roman"/>
          <w:color w:val="auto"/>
          <w:sz w:val="24"/>
          <w:szCs w:val="24"/>
          <w:highlight w:val="none"/>
          <w:shd w:val="clear" w:color="auto" w:fill="auto"/>
          <w:lang w:val="en-US" w:eastAsia="zh-CN"/>
        </w:rPr>
        <w:t>11.质保期</w:t>
      </w:r>
      <w:r>
        <w:rPr>
          <w:rFonts w:hint="eastAsia" w:ascii="宋体" w:hAnsi="宋体" w:eastAsia="宋体" w:cs="Times New Roman"/>
          <w:color w:val="auto"/>
          <w:sz w:val="24"/>
          <w:szCs w:val="24"/>
          <w:highlight w:val="none"/>
          <w:shd w:val="clear" w:color="auto" w:fill="auto"/>
          <w:lang w:eastAsia="zh-CN"/>
        </w:rPr>
        <w:t>结束前，须由</w:t>
      </w:r>
      <w:r>
        <w:rPr>
          <w:rFonts w:hint="eastAsia" w:ascii="宋体" w:hAnsi="宋体" w:cs="Times New Roman"/>
          <w:color w:val="auto"/>
          <w:sz w:val="24"/>
          <w:szCs w:val="24"/>
          <w:highlight w:val="none"/>
          <w:shd w:val="clear" w:color="auto" w:fill="auto"/>
          <w:lang w:val="en-US" w:eastAsia="zh-CN"/>
        </w:rPr>
        <w:t>乙方</w:t>
      </w:r>
      <w:r>
        <w:rPr>
          <w:rFonts w:hint="eastAsia" w:ascii="宋体" w:hAnsi="宋体" w:eastAsia="宋体" w:cs="Times New Roman"/>
          <w:color w:val="auto"/>
          <w:sz w:val="24"/>
          <w:szCs w:val="24"/>
          <w:highlight w:val="none"/>
          <w:shd w:val="clear" w:color="auto" w:fill="auto"/>
          <w:lang w:eastAsia="zh-CN"/>
        </w:rPr>
        <w:t>和</w:t>
      </w:r>
      <w:r>
        <w:rPr>
          <w:rFonts w:hint="eastAsia" w:ascii="宋体" w:hAnsi="宋体" w:cs="Times New Roman"/>
          <w:color w:val="auto"/>
          <w:sz w:val="24"/>
          <w:szCs w:val="24"/>
          <w:highlight w:val="none"/>
          <w:shd w:val="clear" w:color="auto" w:fill="auto"/>
          <w:lang w:val="en-US" w:eastAsia="zh-CN"/>
        </w:rPr>
        <w:t>甲方</w:t>
      </w:r>
      <w:r>
        <w:rPr>
          <w:rFonts w:hint="eastAsia" w:ascii="宋体" w:hAnsi="宋体" w:eastAsia="宋体" w:cs="Times New Roman"/>
          <w:color w:val="auto"/>
          <w:sz w:val="24"/>
          <w:szCs w:val="24"/>
          <w:highlight w:val="none"/>
          <w:shd w:val="clear" w:color="auto" w:fill="auto"/>
          <w:lang w:eastAsia="zh-CN"/>
        </w:rPr>
        <w:t>进行一次全面检查，任何缺陷必须由</w:t>
      </w:r>
      <w:r>
        <w:rPr>
          <w:rFonts w:hint="eastAsia" w:ascii="宋体" w:hAnsi="宋体" w:cs="Times New Roman"/>
          <w:color w:val="auto"/>
          <w:sz w:val="24"/>
          <w:szCs w:val="24"/>
          <w:highlight w:val="none"/>
          <w:shd w:val="clear" w:color="auto" w:fill="auto"/>
          <w:lang w:val="en-US" w:eastAsia="zh-CN"/>
        </w:rPr>
        <w:t>乙方</w:t>
      </w:r>
      <w:r>
        <w:rPr>
          <w:rFonts w:hint="eastAsia" w:ascii="宋体" w:hAnsi="宋体" w:eastAsia="宋体" w:cs="Times New Roman"/>
          <w:color w:val="auto"/>
          <w:sz w:val="24"/>
          <w:szCs w:val="24"/>
          <w:highlight w:val="none"/>
          <w:shd w:val="clear" w:color="auto" w:fill="auto"/>
          <w:lang w:eastAsia="zh-CN"/>
        </w:rPr>
        <w:t>负责修理，在修理之后，</w:t>
      </w:r>
      <w:r>
        <w:rPr>
          <w:rFonts w:hint="eastAsia" w:ascii="宋体" w:hAnsi="宋体" w:cs="Times New Roman"/>
          <w:color w:val="auto"/>
          <w:sz w:val="24"/>
          <w:szCs w:val="24"/>
          <w:highlight w:val="none"/>
          <w:shd w:val="clear" w:color="auto" w:fill="auto"/>
          <w:lang w:val="en-US" w:eastAsia="zh-CN"/>
        </w:rPr>
        <w:t>乙方</w:t>
      </w:r>
      <w:r>
        <w:rPr>
          <w:rFonts w:hint="eastAsia" w:ascii="宋体" w:hAnsi="宋体" w:eastAsia="宋体" w:cs="Times New Roman"/>
          <w:color w:val="auto"/>
          <w:sz w:val="24"/>
          <w:szCs w:val="24"/>
          <w:highlight w:val="none"/>
          <w:shd w:val="clear" w:color="auto" w:fill="auto"/>
          <w:lang w:eastAsia="zh-CN"/>
        </w:rPr>
        <w:t>应将缺陷原因、修理内容、完成修理及恢复正常的时间和日期等报告给</w:t>
      </w:r>
      <w:r>
        <w:rPr>
          <w:rFonts w:hint="eastAsia" w:ascii="宋体" w:hAnsi="宋体" w:cs="Times New Roman"/>
          <w:color w:val="auto"/>
          <w:sz w:val="24"/>
          <w:szCs w:val="24"/>
          <w:highlight w:val="none"/>
          <w:shd w:val="clear" w:color="auto" w:fill="auto"/>
          <w:lang w:val="en-US" w:eastAsia="zh-CN"/>
        </w:rPr>
        <w:t>甲方</w:t>
      </w:r>
      <w:r>
        <w:rPr>
          <w:rFonts w:hint="eastAsia" w:ascii="宋体" w:hAnsi="宋体" w:eastAsia="宋体" w:cs="Times New Roman"/>
          <w:color w:val="auto"/>
          <w:sz w:val="24"/>
          <w:szCs w:val="24"/>
          <w:highlight w:val="none"/>
          <w:shd w:val="clear" w:color="auto" w:fill="auto"/>
          <w:lang w:eastAsia="zh-CN"/>
        </w:rPr>
        <w:t>，报告一式两份。</w:t>
      </w:r>
    </w:p>
    <w:p w14:paraId="228A9B1A">
      <w:pPr>
        <w:spacing w:line="440" w:lineRule="exact"/>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十三、安装</w:t>
      </w:r>
    </w:p>
    <w:p w14:paraId="72A528A4">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1、乙方须提供与工程建设总进度相适应的安装计划，并须由甲方书面认可。</w:t>
      </w:r>
    </w:p>
    <w:p w14:paraId="4707CCEF">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2、土建结构建造已完成，任何在结构内的挖掘，都须在具体施工图中标明，并提交甲方书面认可。</w:t>
      </w:r>
    </w:p>
    <w:p w14:paraId="572F9B0A">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3、现场安装须符合国家的相关条例，服从监理单位和总承包单位的管理和检查。</w:t>
      </w:r>
    </w:p>
    <w:p w14:paraId="698FD5D0">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4、在安装期间，乙方负责安装中需要的起重、运输、装卸、动力等所需辅助设备及材料，所有这些设备都须符合安全作业要求，安装现场的安全防范工作及设施由乙方负责。</w:t>
      </w:r>
    </w:p>
    <w:p w14:paraId="4904C772">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5、对合同内分期完成的成品和半成品，在工程接收证书颁发前，由乙方承担保护责任。在工程接收证书颁发前，成品或半成品损坏的，由乙方负责修复或更换，并承担由此增加的费用和（或）延误的工期。</w:t>
      </w:r>
    </w:p>
    <w:p w14:paraId="329AABBD">
      <w:pPr>
        <w:spacing w:line="440" w:lineRule="exac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6、本项目施工安全由乙方负责。投保安全生产责任险的费用由乙方在投标时自行综合考虑，结算时不再额外计取。</w:t>
      </w:r>
    </w:p>
    <w:p w14:paraId="47D17040">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十四、调试和验收</w:t>
      </w:r>
    </w:p>
    <w:p w14:paraId="02367EA1">
      <w:pPr>
        <w:widowControl w:val="0"/>
        <w:snapToGrid w:val="0"/>
        <w:spacing w:beforeLines="0" w:afterLines="0" w:line="480" w:lineRule="exact"/>
        <w:jc w:val="left"/>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59FD2653">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2.乙方交货前应对产品作出全面检查和对验收文件进行整理，并列出清单，作为甲方收货验收和使用的技术条件依据，检验的结果应随货物交甲方。</w:t>
      </w:r>
    </w:p>
    <w:p w14:paraId="0D46EA07">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3.乙方</w:t>
      </w:r>
      <w:r>
        <w:rPr>
          <w:rFonts w:hint="eastAsia" w:ascii="宋体" w:hAnsi="宋体" w:cs="宋体"/>
          <w:color w:val="auto"/>
          <w:kern w:val="0"/>
          <w:sz w:val="24"/>
          <w:szCs w:val="24"/>
          <w:highlight w:val="none"/>
          <w:shd w:val="clear" w:color="auto" w:fill="auto"/>
          <w:lang w:val="en-US" w:eastAsia="zh-CN" w:bidi="ar-SA"/>
        </w:rPr>
        <w:t>负责对</w:t>
      </w:r>
      <w:r>
        <w:rPr>
          <w:rFonts w:hint="eastAsia" w:ascii="宋体" w:hAnsi="宋体" w:eastAsia="宋体" w:cs="宋体"/>
          <w:color w:val="auto"/>
          <w:kern w:val="0"/>
          <w:sz w:val="24"/>
          <w:szCs w:val="24"/>
          <w:highlight w:val="none"/>
          <w:shd w:val="clear" w:color="auto" w:fill="auto"/>
          <w:lang w:val="en-US" w:eastAsia="zh-CN" w:bidi="ar-SA"/>
        </w:rPr>
        <w:t>提供的货物在使用前进行调试，乙方需负责安装并培训甲方的使用操作人员，直到</w:t>
      </w:r>
      <w:r>
        <w:rPr>
          <w:rFonts w:hint="eastAsia" w:ascii="宋体" w:hAnsi="宋体" w:cs="宋体"/>
          <w:color w:val="auto"/>
          <w:kern w:val="0"/>
          <w:sz w:val="24"/>
          <w:szCs w:val="24"/>
          <w:highlight w:val="none"/>
          <w:shd w:val="clear" w:color="auto" w:fill="auto"/>
          <w:lang w:val="en-US" w:eastAsia="zh-CN" w:bidi="ar-SA"/>
        </w:rPr>
        <w:t>货物</w:t>
      </w:r>
      <w:r>
        <w:rPr>
          <w:rFonts w:hint="eastAsia" w:ascii="宋体" w:hAnsi="宋体" w:eastAsia="宋体" w:cs="宋体"/>
          <w:color w:val="auto"/>
          <w:kern w:val="0"/>
          <w:sz w:val="24"/>
          <w:szCs w:val="24"/>
          <w:highlight w:val="none"/>
          <w:shd w:val="clear" w:color="auto" w:fill="auto"/>
          <w:lang w:val="en-US" w:eastAsia="zh-CN" w:bidi="ar-SA"/>
        </w:rPr>
        <w:t>符合技术要求，甲方才做最终验收。</w:t>
      </w:r>
    </w:p>
    <w:p w14:paraId="59FBC7F4">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4.对技术复杂的货物，甲方应请国家认可的专业检测机构参与初步验收及最终验收，并由其出具质量检测报告。</w:t>
      </w:r>
    </w:p>
    <w:p w14:paraId="3884F7DB">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5.验收时乙方必须在现场，验收完毕后作出验收结果报告；验收费用由乙方负责。</w:t>
      </w:r>
    </w:p>
    <w:p w14:paraId="207D4F95">
      <w:pPr>
        <w:widowControl w:val="0"/>
        <w:snapToGrid w:val="0"/>
        <w:spacing w:beforeLines="0" w:afterLines="0" w:line="480" w:lineRule="exact"/>
        <w:jc w:val="both"/>
        <w:rPr>
          <w:rFonts w:hint="default"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6.</w:t>
      </w:r>
      <w:r>
        <w:rPr>
          <w:rFonts w:hint="eastAsia" w:ascii="宋体" w:hAnsi="宋体" w:eastAsia="宋体" w:cs="Times New Roman"/>
          <w:bCs/>
          <w:color w:val="auto"/>
          <w:sz w:val="24"/>
          <w:szCs w:val="24"/>
          <w:highlight w:val="none"/>
          <w:shd w:val="clear" w:color="auto" w:fill="auto"/>
          <w:lang w:val="en-US" w:eastAsia="zh-CN"/>
        </w:rPr>
        <w:t>本项目清单所涉智慧校园系统、多媒体会议系统内LED显示屏搬迁工作，以及校园广播系统中网络广播中心搬迁工作，不纳入项目整体验收范畴，由采购人组织二次单独验收。</w:t>
      </w:r>
    </w:p>
    <w:p w14:paraId="061469D9">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十五、货物包装、发运及运输</w:t>
      </w:r>
    </w:p>
    <w:p w14:paraId="5D219059">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1.乙方应在货物发运前对其进行满足运输距离、防潮、防震、防锈和防破损装卸等要求包装，以保证货物安全运达甲方指定地点。</w:t>
      </w:r>
    </w:p>
    <w:p w14:paraId="73D9CD39">
      <w:pPr>
        <w:widowControl w:val="0"/>
        <w:snapToGrid w:val="0"/>
        <w:spacing w:beforeLines="0" w:afterLines="0" w:line="480" w:lineRule="exact"/>
        <w:ind w:left="420" w:hanging="480" w:hangingChars="2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2.使用说明书、质量检验证明书、随配附件和工具以及清单一并附于货物内。</w:t>
      </w:r>
    </w:p>
    <w:p w14:paraId="6069DE6C">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3.乙方在货物发运手续办理完毕后24小时内或货到甲方48小时前通知甲方，以准备接货。</w:t>
      </w:r>
    </w:p>
    <w:p w14:paraId="5542DA1A">
      <w:pPr>
        <w:widowControl w:val="0"/>
        <w:snapToGrid w:val="0"/>
        <w:spacing w:beforeLines="0" w:afterLines="0" w:line="480" w:lineRule="exact"/>
        <w:ind w:left="420" w:hanging="480" w:hangingChars="2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4.货物在交付甲方前发生的风险均由乙方负责。</w:t>
      </w:r>
    </w:p>
    <w:p w14:paraId="12A5CAEB">
      <w:pPr>
        <w:widowControl w:val="0"/>
        <w:snapToGrid w:val="0"/>
        <w:spacing w:beforeLines="0" w:afterLines="0" w:line="480" w:lineRule="exact"/>
        <w:ind w:right="26"/>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5.货物在规定的交付期限内由乙方送达甲方指定的地点</w:t>
      </w:r>
      <w:r>
        <w:rPr>
          <w:rFonts w:hint="eastAsia" w:ascii="宋体" w:hAnsi="宋体" w:cs="宋体"/>
          <w:color w:val="auto"/>
          <w:kern w:val="0"/>
          <w:sz w:val="24"/>
          <w:szCs w:val="24"/>
          <w:highlight w:val="none"/>
          <w:shd w:val="clear" w:color="auto" w:fill="auto"/>
          <w:lang w:val="en-US" w:eastAsia="zh-CN" w:bidi="ar-SA"/>
        </w:rPr>
        <w:t>并通过最终验收后</w:t>
      </w:r>
      <w:r>
        <w:rPr>
          <w:rFonts w:hint="eastAsia" w:ascii="宋体" w:hAnsi="宋体" w:eastAsia="宋体" w:cs="宋体"/>
          <w:color w:val="auto"/>
          <w:kern w:val="0"/>
          <w:sz w:val="24"/>
          <w:szCs w:val="24"/>
          <w:highlight w:val="none"/>
          <w:shd w:val="clear" w:color="auto" w:fill="auto"/>
          <w:lang w:val="en-US" w:eastAsia="zh-CN" w:bidi="ar-SA"/>
        </w:rPr>
        <w:t>视为交付，乙方同时需通知甲方货物已送达。</w:t>
      </w:r>
    </w:p>
    <w:p w14:paraId="69EB811A">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十六、违约责任</w:t>
      </w:r>
    </w:p>
    <w:p w14:paraId="10AB3456">
      <w:pPr>
        <w:widowControl w:val="0"/>
        <w:snapToGrid w:val="0"/>
        <w:spacing w:beforeLines="0" w:afterLines="0" w:line="480" w:lineRule="exact"/>
        <w:ind w:left="359" w:hanging="410" w:hangingChars="171"/>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1.甲方无正当理由拒收货物的，甲方向乙方偿付拒收货款总值的百分之五违约金。</w:t>
      </w:r>
    </w:p>
    <w:p w14:paraId="19482422">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甲方无故逾期验收和办理货款支付手续的,甲方应付工程进度款的利息，利率按中国人民银行授权全国银行间同业拆借中心发布的贷款市场报价利率一年期（LPR）计算（不计复利），时间为从约定应付之日起至支付之日止计算利息。</w:t>
      </w:r>
    </w:p>
    <w:p w14:paraId="3C346E5B">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3.乙方逾期</w:t>
      </w:r>
      <w:r>
        <w:rPr>
          <w:rFonts w:hint="eastAsia" w:ascii="宋体" w:hAnsi="宋体" w:cs="宋体"/>
          <w:color w:val="auto"/>
          <w:kern w:val="0"/>
          <w:sz w:val="24"/>
          <w:szCs w:val="24"/>
          <w:highlight w:val="none"/>
          <w:shd w:val="clear" w:color="auto" w:fill="auto"/>
          <w:lang w:val="en-US" w:eastAsia="zh-CN" w:bidi="ar-SA"/>
        </w:rPr>
        <w:t>完工</w:t>
      </w:r>
      <w:r>
        <w:rPr>
          <w:rFonts w:hint="eastAsia" w:ascii="宋体" w:hAnsi="宋体" w:eastAsia="宋体" w:cs="宋体"/>
          <w:color w:val="auto"/>
          <w:kern w:val="0"/>
          <w:sz w:val="24"/>
          <w:szCs w:val="24"/>
          <w:highlight w:val="none"/>
          <w:shd w:val="clear" w:color="auto" w:fill="auto"/>
          <w:lang w:val="en-US" w:eastAsia="zh-CN" w:bidi="ar-SA"/>
        </w:rPr>
        <w:t>的，</w:t>
      </w:r>
      <w:r>
        <w:rPr>
          <w:rFonts w:hint="eastAsia" w:ascii="宋体" w:hAnsi="宋体" w:cs="宋体"/>
          <w:color w:val="auto"/>
          <w:kern w:val="0"/>
          <w:sz w:val="24"/>
          <w:szCs w:val="24"/>
          <w:highlight w:val="none"/>
          <w:shd w:val="clear" w:color="auto" w:fill="auto"/>
          <w:lang w:val="en-US" w:eastAsia="zh-CN" w:bidi="ar-SA"/>
        </w:rPr>
        <w:t>每逾期一天</w:t>
      </w:r>
      <w:r>
        <w:rPr>
          <w:rFonts w:hint="eastAsia" w:ascii="宋体" w:hAnsi="宋体" w:eastAsia="宋体" w:cs="宋体"/>
          <w:color w:val="auto"/>
          <w:kern w:val="0"/>
          <w:sz w:val="24"/>
          <w:szCs w:val="24"/>
          <w:highlight w:val="none"/>
          <w:shd w:val="clear" w:color="auto" w:fill="auto"/>
          <w:lang w:val="en-US" w:eastAsia="zh-CN" w:bidi="ar-SA"/>
        </w:rPr>
        <w:t>乙方按</w:t>
      </w:r>
      <w:r>
        <w:rPr>
          <w:rFonts w:hint="eastAsia" w:ascii="宋体" w:hAnsi="宋体" w:cs="宋体"/>
          <w:color w:val="auto"/>
          <w:kern w:val="0"/>
          <w:sz w:val="24"/>
          <w:szCs w:val="24"/>
          <w:highlight w:val="none"/>
          <w:shd w:val="clear" w:color="auto" w:fill="auto"/>
          <w:lang w:val="en-US" w:eastAsia="zh-CN" w:bidi="ar-SA"/>
        </w:rPr>
        <w:t>合同价的万</w:t>
      </w:r>
      <w:r>
        <w:rPr>
          <w:rFonts w:hint="eastAsia" w:ascii="宋体" w:hAnsi="宋体" w:eastAsia="宋体" w:cs="宋体"/>
          <w:color w:val="auto"/>
          <w:kern w:val="0"/>
          <w:sz w:val="24"/>
          <w:szCs w:val="24"/>
          <w:highlight w:val="none"/>
          <w:shd w:val="clear" w:color="auto" w:fill="auto"/>
          <w:lang w:val="en-US" w:eastAsia="zh-CN" w:bidi="ar-SA"/>
        </w:rPr>
        <w:t>分之</w:t>
      </w:r>
      <w:r>
        <w:rPr>
          <w:rFonts w:hint="eastAsia" w:ascii="宋体" w:hAnsi="宋体" w:cs="宋体"/>
          <w:color w:val="auto"/>
          <w:kern w:val="0"/>
          <w:sz w:val="24"/>
          <w:szCs w:val="24"/>
          <w:highlight w:val="none"/>
          <w:shd w:val="clear" w:color="auto" w:fill="auto"/>
          <w:lang w:val="en-US" w:eastAsia="zh-CN" w:bidi="ar-SA"/>
        </w:rPr>
        <w:t>五</w:t>
      </w:r>
      <w:r>
        <w:rPr>
          <w:rFonts w:hint="eastAsia" w:ascii="宋体" w:hAnsi="宋体" w:eastAsia="宋体" w:cs="宋体"/>
          <w:color w:val="auto"/>
          <w:kern w:val="0"/>
          <w:sz w:val="24"/>
          <w:szCs w:val="24"/>
          <w:highlight w:val="none"/>
          <w:shd w:val="clear" w:color="auto" w:fill="auto"/>
          <w:lang w:val="en-US" w:eastAsia="zh-CN" w:bidi="ar-SA"/>
        </w:rPr>
        <w:t>向甲方支付违约金，由甲方从待付</w:t>
      </w:r>
      <w:r>
        <w:rPr>
          <w:rFonts w:hint="eastAsia" w:ascii="宋体" w:hAnsi="宋体" w:cs="宋体"/>
          <w:color w:val="auto"/>
          <w:kern w:val="0"/>
          <w:sz w:val="24"/>
          <w:szCs w:val="24"/>
          <w:highlight w:val="none"/>
          <w:shd w:val="clear" w:color="auto" w:fill="auto"/>
          <w:lang w:val="en-US" w:eastAsia="zh-CN" w:bidi="ar-SA"/>
        </w:rPr>
        <w:t>合同价款</w:t>
      </w:r>
      <w:r>
        <w:rPr>
          <w:rFonts w:hint="eastAsia" w:ascii="宋体" w:hAnsi="宋体" w:eastAsia="宋体" w:cs="宋体"/>
          <w:color w:val="auto"/>
          <w:kern w:val="0"/>
          <w:sz w:val="24"/>
          <w:szCs w:val="24"/>
          <w:highlight w:val="none"/>
          <w:shd w:val="clear" w:color="auto" w:fill="auto"/>
          <w:lang w:val="en-US" w:eastAsia="zh-CN" w:bidi="ar-SA"/>
        </w:rPr>
        <w:t>中扣除。</w:t>
      </w:r>
      <w:r>
        <w:rPr>
          <w:rFonts w:hint="eastAsia" w:ascii="宋体" w:hAnsi="宋体" w:cs="宋体"/>
          <w:color w:val="auto"/>
          <w:kern w:val="0"/>
          <w:sz w:val="24"/>
          <w:szCs w:val="24"/>
          <w:highlight w:val="none"/>
          <w:shd w:val="clear" w:color="auto" w:fill="auto"/>
          <w:lang w:val="en-US" w:eastAsia="zh-CN" w:bidi="ar-SA"/>
        </w:rPr>
        <w:t>如逾期完工超一个月的，甲方有权解除合同。</w:t>
      </w:r>
      <w:r>
        <w:rPr>
          <w:rFonts w:hint="eastAsia" w:ascii="宋体" w:hAnsi="宋体" w:eastAsia="宋体" w:cs="宋体"/>
          <w:color w:val="auto"/>
          <w:kern w:val="0"/>
          <w:sz w:val="24"/>
          <w:szCs w:val="24"/>
          <w:highlight w:val="none"/>
          <w:shd w:val="clear" w:color="auto" w:fill="auto"/>
          <w:lang w:val="en-US" w:eastAsia="zh-CN" w:bidi="ar-SA"/>
        </w:rPr>
        <w:t xml:space="preserve">乙方因逾期或因其他违约行为导致甲方解除合同的，履约保证金不予退回。 </w:t>
      </w:r>
    </w:p>
    <w:p w14:paraId="3DF41052">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4.乙方所交的货物品种、型号、规格、技术参数、质量不符合合同规定及招标文件规定标准的，甲方有权拒收该货物，乙方愿意更换货物但逾期</w:t>
      </w:r>
      <w:r>
        <w:rPr>
          <w:rFonts w:hint="eastAsia" w:ascii="宋体" w:hAnsi="宋体" w:cs="宋体"/>
          <w:color w:val="auto"/>
          <w:kern w:val="0"/>
          <w:sz w:val="24"/>
          <w:szCs w:val="24"/>
          <w:highlight w:val="none"/>
          <w:shd w:val="clear" w:color="auto" w:fill="auto"/>
          <w:lang w:val="en-US" w:eastAsia="zh-CN" w:bidi="ar-SA"/>
        </w:rPr>
        <w:t>完工</w:t>
      </w:r>
      <w:r>
        <w:rPr>
          <w:rFonts w:hint="eastAsia" w:ascii="宋体" w:hAnsi="宋体" w:eastAsia="宋体" w:cs="宋体"/>
          <w:color w:val="auto"/>
          <w:kern w:val="0"/>
          <w:sz w:val="24"/>
          <w:szCs w:val="24"/>
          <w:highlight w:val="none"/>
          <w:shd w:val="clear" w:color="auto" w:fill="auto"/>
          <w:lang w:val="en-US" w:eastAsia="zh-CN" w:bidi="ar-SA"/>
        </w:rPr>
        <w:t>的，按乙方逾期</w:t>
      </w:r>
      <w:r>
        <w:rPr>
          <w:rFonts w:hint="eastAsia" w:ascii="宋体" w:hAnsi="宋体" w:cs="宋体"/>
          <w:color w:val="auto"/>
          <w:kern w:val="0"/>
          <w:sz w:val="24"/>
          <w:szCs w:val="24"/>
          <w:highlight w:val="none"/>
          <w:shd w:val="clear" w:color="auto" w:fill="auto"/>
          <w:lang w:val="en-US" w:eastAsia="zh-CN" w:bidi="ar-SA"/>
        </w:rPr>
        <w:t>完工</w:t>
      </w:r>
      <w:r>
        <w:rPr>
          <w:rFonts w:hint="eastAsia" w:ascii="宋体" w:hAnsi="宋体" w:eastAsia="宋体" w:cs="宋体"/>
          <w:color w:val="auto"/>
          <w:kern w:val="0"/>
          <w:sz w:val="24"/>
          <w:szCs w:val="24"/>
          <w:highlight w:val="none"/>
          <w:shd w:val="clear" w:color="auto" w:fill="auto"/>
          <w:lang w:val="en-US" w:eastAsia="zh-CN" w:bidi="ar-SA"/>
        </w:rPr>
        <w:t>处理。乙方拒绝更换货物的，甲方可单方面解除合同，履约保证金不予退回。</w:t>
      </w:r>
    </w:p>
    <w:p w14:paraId="62E2C9FE">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5.乙方应按国家相关规定要求做好现场防护工作，甲方现场检查发现乙方未做好安全防护的，每次罚金500元。因乙方未做好安全防护造成的安全责任由乙方承担。</w:t>
      </w:r>
    </w:p>
    <w:p w14:paraId="02A79952">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十七、不可抗力事件处理</w:t>
      </w:r>
    </w:p>
    <w:p w14:paraId="2BE577B2">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1.在合同有效期内，任何一方因不可抗力事件导致不能履行合同，则合同履行期可延长，其延长期与不可抗力影响期相同。</w:t>
      </w:r>
    </w:p>
    <w:p w14:paraId="74C3DD40">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2.不可抗力事件发生后，应立即通知对方，并寄送有关权威机构出具的证明。</w:t>
      </w:r>
    </w:p>
    <w:p w14:paraId="5BAD77C0">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3.不可抗力事件延续120天以上，双方应通过友好协商，确定是否继续履行合同。</w:t>
      </w:r>
    </w:p>
    <w:p w14:paraId="3337688C">
      <w:pPr>
        <w:spacing w:line="440" w:lineRule="exact"/>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lang w:eastAsia="zh-CN"/>
        </w:rPr>
        <w:t>十八</w:t>
      </w:r>
      <w:r>
        <w:rPr>
          <w:rFonts w:hint="eastAsia" w:ascii="宋体" w:hAnsi="宋体" w:eastAsia="宋体" w:cs="Times New Roman"/>
          <w:b/>
          <w:bCs/>
          <w:color w:val="auto"/>
          <w:sz w:val="24"/>
          <w:szCs w:val="24"/>
          <w:highlight w:val="none"/>
          <w:shd w:val="clear" w:color="auto" w:fill="auto"/>
        </w:rPr>
        <w:t>、其他要求</w:t>
      </w:r>
    </w:p>
    <w:p w14:paraId="18750C02">
      <w:pPr>
        <w:spacing w:line="440" w:lineRule="exact"/>
        <w:rPr>
          <w:rFonts w:hint="eastAsia" w:ascii="宋体" w:hAnsi="宋体" w:eastAsia="宋体" w:cs="Times New Roman"/>
          <w:bCs/>
          <w:color w:val="auto"/>
          <w:sz w:val="24"/>
          <w:szCs w:val="24"/>
          <w:highlight w:val="none"/>
          <w:shd w:val="clear" w:color="auto" w:fill="auto"/>
        </w:rPr>
      </w:pPr>
      <w:r>
        <w:rPr>
          <w:rFonts w:hint="eastAsia" w:ascii="宋体" w:hAnsi="宋体" w:eastAsia="宋体" w:cs="Times New Roman"/>
          <w:bCs/>
          <w:color w:val="auto"/>
          <w:sz w:val="24"/>
          <w:szCs w:val="24"/>
          <w:highlight w:val="none"/>
          <w:shd w:val="clear" w:color="auto" w:fill="auto"/>
        </w:rPr>
        <w:t>1、所有产品和器件均应符合有关国家的标准及相关规定要求。</w:t>
      </w:r>
    </w:p>
    <w:p w14:paraId="3962AF73">
      <w:pPr>
        <w:spacing w:line="440" w:lineRule="exact"/>
        <w:rPr>
          <w:rFonts w:hint="eastAsia" w:ascii="宋体" w:hAnsi="宋体" w:eastAsia="宋体" w:cs="Times New Roman"/>
          <w:bCs/>
          <w:color w:val="auto"/>
          <w:sz w:val="24"/>
          <w:szCs w:val="24"/>
          <w:highlight w:val="none"/>
          <w:shd w:val="clear" w:color="auto" w:fill="auto"/>
        </w:rPr>
      </w:pPr>
      <w:r>
        <w:rPr>
          <w:rFonts w:hint="eastAsia" w:ascii="宋体" w:hAnsi="宋体" w:eastAsia="宋体" w:cs="Times New Roman"/>
          <w:bCs/>
          <w:color w:val="auto"/>
          <w:sz w:val="24"/>
          <w:szCs w:val="24"/>
          <w:highlight w:val="none"/>
          <w:shd w:val="clear" w:color="auto" w:fill="auto"/>
        </w:rPr>
        <w:t>2、本工程为交钥匙工程，各系统软件均视为包含在内，由</w:t>
      </w:r>
      <w:r>
        <w:rPr>
          <w:rFonts w:hint="eastAsia" w:ascii="宋体" w:hAnsi="宋体" w:cs="Times New Roman"/>
          <w:bCs/>
          <w:color w:val="auto"/>
          <w:sz w:val="24"/>
          <w:szCs w:val="24"/>
          <w:highlight w:val="none"/>
          <w:shd w:val="clear" w:color="auto" w:fill="auto"/>
          <w:lang w:val="en-US" w:eastAsia="zh-CN"/>
        </w:rPr>
        <w:t>乙方</w:t>
      </w:r>
      <w:r>
        <w:rPr>
          <w:rFonts w:hint="eastAsia" w:ascii="宋体" w:hAnsi="宋体" w:eastAsia="宋体" w:cs="Times New Roman"/>
          <w:bCs/>
          <w:color w:val="auto"/>
          <w:sz w:val="24"/>
          <w:szCs w:val="24"/>
          <w:highlight w:val="none"/>
          <w:shd w:val="clear" w:color="auto" w:fill="auto"/>
        </w:rPr>
        <w:t>提供，不另行计算。各系统协议确保开放提供软件二次开发接口和必要文档资料，日后确保无障碍免费升级维护。并保证各系统所用软件为正版授权软件，若因软件版权引起的纠纷均由</w:t>
      </w:r>
      <w:r>
        <w:rPr>
          <w:rFonts w:hint="eastAsia" w:ascii="宋体" w:hAnsi="宋体" w:cs="Times New Roman"/>
          <w:bCs/>
          <w:color w:val="auto"/>
          <w:sz w:val="24"/>
          <w:szCs w:val="24"/>
          <w:highlight w:val="none"/>
          <w:shd w:val="clear" w:color="auto" w:fill="auto"/>
          <w:lang w:val="en-US" w:eastAsia="zh-CN"/>
        </w:rPr>
        <w:t>乙方</w:t>
      </w:r>
      <w:r>
        <w:rPr>
          <w:rFonts w:hint="eastAsia" w:ascii="宋体" w:hAnsi="宋体" w:eastAsia="宋体" w:cs="Times New Roman"/>
          <w:bCs/>
          <w:color w:val="auto"/>
          <w:sz w:val="24"/>
          <w:szCs w:val="24"/>
          <w:highlight w:val="none"/>
          <w:shd w:val="clear" w:color="auto" w:fill="auto"/>
        </w:rPr>
        <w:t>承担。在本项目软件系统运行期间，</w:t>
      </w:r>
      <w:r>
        <w:rPr>
          <w:rFonts w:hint="eastAsia" w:ascii="宋体" w:hAnsi="宋体" w:cs="Times New Roman"/>
          <w:bCs/>
          <w:color w:val="auto"/>
          <w:sz w:val="24"/>
          <w:szCs w:val="24"/>
          <w:highlight w:val="none"/>
          <w:shd w:val="clear" w:color="auto" w:fill="auto"/>
          <w:lang w:val="en-US" w:eastAsia="zh-CN"/>
        </w:rPr>
        <w:t>乙方</w:t>
      </w:r>
      <w:r>
        <w:rPr>
          <w:rFonts w:hint="eastAsia" w:ascii="宋体" w:hAnsi="宋体" w:eastAsia="宋体" w:cs="Times New Roman"/>
          <w:bCs/>
          <w:color w:val="auto"/>
          <w:sz w:val="24"/>
          <w:szCs w:val="24"/>
          <w:highlight w:val="none"/>
          <w:shd w:val="clear" w:color="auto" w:fill="auto"/>
        </w:rPr>
        <w:t>不再向</w:t>
      </w:r>
      <w:r>
        <w:rPr>
          <w:rFonts w:hint="eastAsia" w:ascii="宋体" w:hAnsi="宋体" w:cs="Times New Roman"/>
          <w:bCs/>
          <w:color w:val="auto"/>
          <w:sz w:val="24"/>
          <w:szCs w:val="24"/>
          <w:highlight w:val="none"/>
          <w:shd w:val="clear" w:color="auto" w:fill="auto"/>
          <w:lang w:val="en-US" w:eastAsia="zh-CN"/>
        </w:rPr>
        <w:t>甲方</w:t>
      </w:r>
      <w:r>
        <w:rPr>
          <w:rFonts w:hint="eastAsia" w:ascii="宋体" w:hAnsi="宋体" w:eastAsia="宋体" w:cs="Times New Roman"/>
          <w:bCs/>
          <w:color w:val="auto"/>
          <w:sz w:val="24"/>
          <w:szCs w:val="24"/>
          <w:highlight w:val="none"/>
          <w:shd w:val="clear" w:color="auto" w:fill="auto"/>
        </w:rPr>
        <w:t>收取任何软件使用费用。</w:t>
      </w:r>
    </w:p>
    <w:p w14:paraId="4E638914">
      <w:pPr>
        <w:spacing w:line="440" w:lineRule="exact"/>
        <w:rPr>
          <w:rFonts w:hint="eastAsia" w:ascii="宋体" w:hAnsi="宋体" w:cs="Times New Roman"/>
          <w:bCs/>
          <w:strike w:val="0"/>
          <w:dstrike w:val="0"/>
          <w:color w:val="auto"/>
          <w:sz w:val="24"/>
          <w:szCs w:val="24"/>
          <w:highlight w:val="none"/>
          <w:shd w:val="clear" w:color="auto" w:fill="auto"/>
          <w:lang w:eastAsia="zh-CN"/>
        </w:rPr>
      </w:pPr>
      <w:r>
        <w:rPr>
          <w:rFonts w:hint="eastAsia" w:ascii="宋体" w:hAnsi="宋体" w:cs="Times New Roman"/>
          <w:bCs/>
          <w:color w:val="auto"/>
          <w:sz w:val="24"/>
          <w:szCs w:val="24"/>
          <w:highlight w:val="none"/>
          <w:shd w:val="clear" w:color="auto" w:fill="auto"/>
          <w:lang w:val="en-US" w:eastAsia="zh-CN"/>
        </w:rPr>
        <w:t>3</w:t>
      </w:r>
      <w:r>
        <w:rPr>
          <w:rFonts w:hint="eastAsia" w:ascii="宋体" w:hAnsi="宋体" w:eastAsia="宋体" w:cs="Times New Roman"/>
          <w:bCs/>
          <w:color w:val="auto"/>
          <w:sz w:val="24"/>
          <w:szCs w:val="24"/>
          <w:highlight w:val="none"/>
          <w:shd w:val="clear" w:color="auto" w:fill="auto"/>
        </w:rPr>
        <w:t>、</w:t>
      </w:r>
      <w:r>
        <w:rPr>
          <w:rFonts w:hint="eastAsia" w:ascii="宋体" w:hAnsi="宋体" w:cs="Times New Roman"/>
          <w:bCs/>
          <w:strike w:val="0"/>
          <w:dstrike w:val="0"/>
          <w:color w:val="auto"/>
          <w:sz w:val="24"/>
          <w:szCs w:val="24"/>
          <w:highlight w:val="none"/>
          <w:shd w:val="clear" w:color="auto" w:fill="auto"/>
        </w:rPr>
        <w:t>安全文明</w:t>
      </w:r>
      <w:r>
        <w:rPr>
          <w:rFonts w:hint="eastAsia" w:ascii="宋体" w:hAnsi="宋体" w:cs="Times New Roman"/>
          <w:bCs/>
          <w:strike w:val="0"/>
          <w:dstrike w:val="0"/>
          <w:color w:val="auto"/>
          <w:sz w:val="24"/>
          <w:szCs w:val="24"/>
          <w:highlight w:val="none"/>
          <w:shd w:val="clear" w:color="auto" w:fill="auto"/>
          <w:lang w:val="en-US" w:eastAsia="zh-CN"/>
        </w:rPr>
        <w:t>相关费用已</w:t>
      </w:r>
      <w:r>
        <w:rPr>
          <w:rFonts w:hint="eastAsia" w:ascii="宋体" w:hAnsi="宋体" w:cs="Times New Roman"/>
          <w:bCs/>
          <w:strike w:val="0"/>
          <w:dstrike w:val="0"/>
          <w:color w:val="auto"/>
          <w:sz w:val="24"/>
          <w:szCs w:val="24"/>
          <w:highlight w:val="none"/>
          <w:shd w:val="clear" w:color="auto" w:fill="auto"/>
        </w:rPr>
        <w:t>包含在</w:t>
      </w:r>
      <w:r>
        <w:rPr>
          <w:rFonts w:hint="eastAsia" w:ascii="宋体" w:hAnsi="宋体" w:cs="Times New Roman"/>
          <w:bCs/>
          <w:strike w:val="0"/>
          <w:dstrike w:val="0"/>
          <w:color w:val="auto"/>
          <w:sz w:val="24"/>
          <w:szCs w:val="24"/>
          <w:highlight w:val="none"/>
          <w:shd w:val="clear" w:color="auto" w:fill="auto"/>
          <w:lang w:val="en-US" w:eastAsia="zh-CN"/>
        </w:rPr>
        <w:t>合同价</w:t>
      </w:r>
      <w:r>
        <w:rPr>
          <w:rFonts w:hint="eastAsia" w:ascii="宋体" w:hAnsi="宋体" w:cs="Times New Roman"/>
          <w:bCs/>
          <w:strike w:val="0"/>
          <w:dstrike w:val="0"/>
          <w:color w:val="auto"/>
          <w:sz w:val="24"/>
          <w:szCs w:val="24"/>
          <w:highlight w:val="none"/>
          <w:shd w:val="clear" w:color="auto" w:fill="auto"/>
        </w:rPr>
        <w:t>中，不再另行</w:t>
      </w:r>
      <w:r>
        <w:rPr>
          <w:rFonts w:hint="eastAsia" w:ascii="宋体" w:hAnsi="宋体" w:cs="Times New Roman"/>
          <w:bCs/>
          <w:strike w:val="0"/>
          <w:dstrike w:val="0"/>
          <w:color w:val="auto"/>
          <w:sz w:val="24"/>
          <w:szCs w:val="24"/>
          <w:highlight w:val="none"/>
          <w:shd w:val="clear" w:color="auto" w:fill="auto"/>
          <w:lang w:eastAsia="zh-CN"/>
        </w:rPr>
        <w:t>计</w:t>
      </w:r>
      <w:r>
        <w:rPr>
          <w:rFonts w:hint="eastAsia" w:ascii="宋体" w:hAnsi="宋体" w:cs="Times New Roman"/>
          <w:bCs/>
          <w:strike w:val="0"/>
          <w:dstrike w:val="0"/>
          <w:color w:val="auto"/>
          <w:sz w:val="24"/>
          <w:szCs w:val="24"/>
          <w:highlight w:val="none"/>
          <w:shd w:val="clear" w:color="auto" w:fill="auto"/>
        </w:rPr>
        <w:t>取</w:t>
      </w:r>
      <w:r>
        <w:rPr>
          <w:rFonts w:hint="eastAsia" w:ascii="宋体" w:hAnsi="宋体" w:cs="Times New Roman"/>
          <w:bCs/>
          <w:strike w:val="0"/>
          <w:dstrike w:val="0"/>
          <w:color w:val="auto"/>
          <w:sz w:val="24"/>
          <w:szCs w:val="24"/>
          <w:highlight w:val="none"/>
          <w:shd w:val="clear" w:color="auto" w:fill="auto"/>
          <w:lang w:eastAsia="zh-CN"/>
        </w:rPr>
        <w:t>。</w:t>
      </w:r>
    </w:p>
    <w:p w14:paraId="3D0171BB">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4、服从总承包单位的总包管理，执行总包的各项管理制度。</w:t>
      </w:r>
    </w:p>
    <w:p w14:paraId="4824A6DC">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5、按总承包单位总进度计划安排施工，并必须与其它专业工程密切配合。</w:t>
      </w:r>
    </w:p>
    <w:p w14:paraId="2EEE15EA">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6、如遇到本项目与其他工种的交界点不明确时，由招标人工程师来确定实施单位，投标人不得拒绝施工。</w:t>
      </w:r>
    </w:p>
    <w:p w14:paraId="4E94079E">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7、阳光厨房系统必须满足当地相关部门的验收要求，相关费用由投标人投标时自行综合考虑。</w:t>
      </w:r>
    </w:p>
    <w:p w14:paraId="44626261">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8、本项目涉及部分利旧设备（详见利旧清单），投标人需承担业主方提供的利旧设备的拆卸、搬迁、重新安装及调试等全部工作。相关费用由乙方综合考虑在合同价内，不再另行计取。</w:t>
      </w:r>
    </w:p>
    <w:p w14:paraId="0502878B">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9、本项目的定制软件开发部分所有权和知识产权归甲方所有，乙方应保证提供服务过程中不会侵犯任何第三方的知识产权。</w:t>
      </w:r>
    </w:p>
    <w:p w14:paraId="28D65CEC">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10、涉及的源代码（含质保期内的后续升级版本）必须遵循相关标准和规范,并无条件提交给甲方。</w:t>
      </w:r>
    </w:p>
    <w:p w14:paraId="1FC0DA3E">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11、涉及接口的必须遵循相关标准和规范，向下部署的，必须无条件开放所有接口且满足国家共享相关规定要求，项目承建单位（施工单位、实施单位）有义务配合甲方做好有关信息共享工作。</w:t>
      </w:r>
    </w:p>
    <w:p w14:paraId="0647F514">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12、本项目在开发、使用和维护过程中接触到的甲方的所有资料，未经甲方授权代表书面许可，不得留存，私自查阅及向任何第三方泄露。</w:t>
      </w:r>
    </w:p>
    <w:p w14:paraId="541984D7">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13、本项目的设计开发专利申请权、技术秘密的使用权和转让权归甲方所有。</w:t>
      </w:r>
    </w:p>
    <w:p w14:paraId="465EB784">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14、为方便智慧校园平台的对接和开发应用，智能化各子系统设备应提供相应的硬件和软件控制及通讯协议。</w:t>
      </w:r>
    </w:p>
    <w:p w14:paraId="1C5EAD98">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15、由于软件部分属于定制开发部分，软件内容需要符合甲方实际需求。因此乙方在软件定制开发期间必须无条件配合甲方的实际需求，直至满足甲方需求为止。相关费用含在合同价内，不再另行计取。</w:t>
      </w:r>
    </w:p>
    <w:p w14:paraId="2FECECF1">
      <w:pPr>
        <w:spacing w:line="440" w:lineRule="exact"/>
        <w:rPr>
          <w:rFonts w:hint="eastAsia" w:ascii="宋体" w:hAnsi="宋体" w:cs="Times New Roman"/>
          <w:bCs/>
          <w:color w:val="auto"/>
          <w:sz w:val="24"/>
          <w:szCs w:val="24"/>
          <w:highlight w:val="none"/>
          <w:shd w:val="clear" w:color="auto" w:fill="auto"/>
          <w:lang w:val="en-US" w:eastAsia="zh-CN"/>
        </w:rPr>
      </w:pPr>
      <w:r>
        <w:rPr>
          <w:rFonts w:hint="eastAsia" w:ascii="宋体" w:hAnsi="宋体" w:cs="Times New Roman"/>
          <w:bCs/>
          <w:color w:val="auto"/>
          <w:sz w:val="24"/>
          <w:szCs w:val="24"/>
          <w:highlight w:val="none"/>
          <w:shd w:val="clear" w:color="auto" w:fill="auto"/>
          <w:lang w:val="en-US" w:eastAsia="zh-CN"/>
        </w:rPr>
        <w:t>16、本次广播子系统新增设备需无缝接入原迪士普网络广播中心，乙方需考虑向原广播中心供应商支付无缝接入服务费用，该笔费用由乙方与原广播中心供应商自行洽商结算。</w:t>
      </w:r>
      <w:r>
        <w:rPr>
          <w:rFonts w:hint="eastAsia" w:ascii="宋体" w:hAnsi="宋体" w:cs="Times New Roman"/>
          <w:bCs/>
          <w:color w:val="auto"/>
          <w:sz w:val="24"/>
          <w:szCs w:val="24"/>
          <w:highlight w:val="none"/>
          <w:shd w:val="clear" w:color="auto" w:fill="auto"/>
          <w:lang w:val="en-US" w:eastAsia="zh-CN"/>
        </w:rPr>
        <w:t>相关费用含在合同价内，</w:t>
      </w:r>
      <w:r>
        <w:rPr>
          <w:rFonts w:hint="eastAsia" w:ascii="宋体" w:hAnsi="宋体" w:cs="Times New Roman"/>
          <w:bCs/>
          <w:color w:val="auto"/>
          <w:sz w:val="24"/>
          <w:szCs w:val="24"/>
          <w:highlight w:val="none"/>
          <w:shd w:val="clear" w:color="auto" w:fill="auto"/>
          <w:lang w:val="en-US" w:eastAsia="zh-CN"/>
        </w:rPr>
        <w:t>不再另行计取。</w:t>
      </w:r>
    </w:p>
    <w:p w14:paraId="73614EBB">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十九、诉讼</w:t>
      </w:r>
    </w:p>
    <w:p w14:paraId="397BEDFA">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双方在执行合同中所发生的一切争议，应通过协商解决。如协商不成，可向甲方所在地人民法院起诉。</w:t>
      </w:r>
    </w:p>
    <w:p w14:paraId="5C2FDF1B">
      <w:pPr>
        <w:widowControl w:val="0"/>
        <w:snapToGrid w:val="0"/>
        <w:spacing w:beforeLines="0" w:afterLines="0" w:line="480" w:lineRule="exact"/>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b/>
          <w:color w:val="auto"/>
          <w:kern w:val="0"/>
          <w:sz w:val="24"/>
          <w:szCs w:val="24"/>
          <w:highlight w:val="none"/>
          <w:shd w:val="clear" w:color="auto" w:fill="auto"/>
          <w:lang w:val="en-US" w:eastAsia="zh-CN" w:bidi="ar-SA"/>
        </w:rPr>
        <w:t>二十、合同生效及其它</w:t>
      </w:r>
    </w:p>
    <w:p w14:paraId="4B713562">
      <w:pPr>
        <w:widowControl w:val="0"/>
        <w:adjustRightInd w:val="0"/>
        <w:snapToGrid w:val="0"/>
        <w:spacing w:beforeLines="0" w:afterLines="0" w:line="360" w:lineRule="auto"/>
        <w:jc w:val="both"/>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1.合同经双方法定代表人或授权代表签字并加盖单位公章后生效。</w:t>
      </w:r>
    </w:p>
    <w:p w14:paraId="06374890">
      <w:pPr>
        <w:widowControl w:val="0"/>
        <w:adjustRightInd w:val="0"/>
        <w:snapToGrid w:val="0"/>
        <w:spacing w:beforeLines="0" w:afterLines="0" w:line="360" w:lineRule="auto"/>
        <w:jc w:val="both"/>
        <w:rPr>
          <w:rFonts w:hint="eastAsia" w:ascii="宋体" w:hAnsi="宋体" w:eastAsia="宋体" w:cs="Times New Roman"/>
          <w:color w:val="auto"/>
          <w:kern w:val="0"/>
          <w:sz w:val="24"/>
          <w:szCs w:val="24"/>
          <w:highlight w:val="none"/>
          <w:lang w:val="en-US" w:eastAsia="zh-CN" w:bidi="ar-SA"/>
        </w:rPr>
      </w:pPr>
      <w:r>
        <w:rPr>
          <w:rFonts w:hint="eastAsia" w:ascii="宋体" w:hAnsi="宋体" w:cs="Times New Roman"/>
          <w:color w:val="auto"/>
          <w:kern w:val="0"/>
          <w:sz w:val="24"/>
          <w:szCs w:val="24"/>
          <w:highlight w:val="none"/>
          <w:lang w:val="en-US" w:eastAsia="zh-CN" w:bidi="ar-SA"/>
        </w:rPr>
        <w:t>2</w:t>
      </w:r>
      <w:r>
        <w:rPr>
          <w:rFonts w:hint="eastAsia" w:ascii="宋体" w:hAnsi="宋体" w:eastAsia="宋体" w:cs="Times New Roman"/>
          <w:color w:val="auto"/>
          <w:kern w:val="0"/>
          <w:sz w:val="24"/>
          <w:szCs w:val="24"/>
          <w:highlight w:val="none"/>
          <w:lang w:val="en-US" w:eastAsia="zh-CN" w:bidi="ar-SA"/>
        </w:rPr>
        <w:t>.</w:t>
      </w:r>
      <w:r>
        <w:rPr>
          <w:rFonts w:hint="eastAsia" w:ascii="宋体" w:hAnsi="宋体"/>
          <w:color w:val="auto"/>
          <w:sz w:val="24"/>
          <w:szCs w:val="24"/>
          <w:highlight w:val="none"/>
        </w:rPr>
        <w:t>本合同未尽事宜，遵照《中华人民共和国民法典》有关条文执行</w:t>
      </w:r>
      <w:r>
        <w:rPr>
          <w:rFonts w:hint="eastAsia" w:ascii="宋体" w:hAnsi="宋体" w:eastAsia="宋体" w:cs="Times New Roman"/>
          <w:color w:val="auto"/>
          <w:kern w:val="0"/>
          <w:sz w:val="24"/>
          <w:szCs w:val="24"/>
          <w:highlight w:val="none"/>
          <w:lang w:val="en-US" w:eastAsia="zh-CN" w:bidi="ar-SA"/>
        </w:rPr>
        <w:t>。</w:t>
      </w:r>
    </w:p>
    <w:p w14:paraId="3C56A1D2">
      <w:pPr>
        <w:widowControl w:val="0"/>
        <w:adjustRightInd w:val="0"/>
        <w:snapToGrid w:val="0"/>
        <w:spacing w:beforeLines="0" w:afterLines="0" w:line="360" w:lineRule="auto"/>
        <w:jc w:val="both"/>
        <w:rPr>
          <w:rFonts w:hint="eastAsia" w:ascii="宋体" w:hAnsi="宋体" w:eastAsia="宋体" w:cs="宋体"/>
          <w:color w:val="auto"/>
          <w:kern w:val="0"/>
          <w:sz w:val="24"/>
          <w:szCs w:val="24"/>
          <w:highlight w:val="none"/>
          <w:lang w:val="en-US" w:eastAsia="zh-CN" w:bidi="ar-SA"/>
        </w:rPr>
      </w:pPr>
      <w:r>
        <w:rPr>
          <w:rFonts w:hint="eastAsia" w:ascii="宋体" w:hAnsi="宋体" w:cs="Times New Roman"/>
          <w:color w:val="auto"/>
          <w:kern w:val="0"/>
          <w:sz w:val="24"/>
          <w:szCs w:val="24"/>
          <w:highlight w:val="none"/>
          <w:lang w:val="en-US" w:eastAsia="zh-CN" w:bidi="ar-SA"/>
        </w:rPr>
        <w:t>3</w:t>
      </w:r>
      <w:r>
        <w:rPr>
          <w:rFonts w:hint="eastAsia" w:ascii="宋体" w:hAnsi="宋体" w:eastAsia="宋体" w:cs="Times New Roman"/>
          <w:color w:val="auto"/>
          <w:kern w:val="0"/>
          <w:sz w:val="24"/>
          <w:szCs w:val="24"/>
          <w:highlight w:val="none"/>
          <w:lang w:val="en-US" w:eastAsia="zh-CN" w:bidi="ar-SA"/>
        </w:rPr>
        <w:t>.本合同一式捌份，甲方叁份，乙方叁份，代理机构贰份。</w:t>
      </w:r>
    </w:p>
    <w:p w14:paraId="143FC204">
      <w:pPr>
        <w:widowControl w:val="0"/>
        <w:snapToGrid w:val="0"/>
        <w:spacing w:beforeLines="0" w:afterLines="0" w:line="480" w:lineRule="exact"/>
        <w:ind w:firstLine="240" w:firstLineChars="1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甲方：                                   乙方： </w:t>
      </w:r>
    </w:p>
    <w:p w14:paraId="3485ADBF">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地址：                                   地址： </w:t>
      </w:r>
    </w:p>
    <w:p w14:paraId="292AF280">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法定（授权）代表人：                     法定（授权）代表人：</w:t>
      </w:r>
    </w:p>
    <w:p w14:paraId="72B907C5">
      <w:pPr>
        <w:widowControl w:val="0"/>
        <w:snapToGrid w:val="0"/>
        <w:spacing w:beforeLines="0" w:afterLines="0" w:line="480" w:lineRule="exact"/>
        <w:ind w:firstLine="240" w:firstLineChars="10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签订日期：     年　  月　 日            签订日期：     年　  月　 日</w:t>
      </w:r>
    </w:p>
    <w:p w14:paraId="1769B58F">
      <w:pPr>
        <w:pStyle w:val="157"/>
        <w:keepNext w:val="0"/>
        <w:keepLines w:val="0"/>
        <w:pageBreakBefore w:val="0"/>
        <w:widowControl w:val="0"/>
        <w:kinsoku/>
        <w:wordWrap/>
        <w:overflowPunct/>
        <w:topLinePunct w:val="0"/>
        <w:bidi w:val="0"/>
        <w:spacing w:line="420" w:lineRule="exact"/>
        <w:ind w:left="0" w:leftChars="0" w:firstLine="241" w:firstLineChars="100"/>
        <w:textAlignment w:val="auto"/>
        <w:rPr>
          <w:rFonts w:hint="eastAsia" w:ascii="宋体" w:hAnsi="宋体" w:eastAsia="宋体" w:cs="Times New Roman"/>
          <w:b/>
          <w:bCs/>
          <w:color w:val="auto"/>
          <w:kern w:val="0"/>
          <w:sz w:val="24"/>
          <w:szCs w:val="24"/>
          <w:highlight w:val="none"/>
          <w:shd w:val="clear" w:color="auto" w:fill="auto"/>
          <w:lang w:val="en-US" w:eastAsia="zh-CN" w:bidi="ar-SA"/>
        </w:rPr>
      </w:pPr>
    </w:p>
    <w:p w14:paraId="4620F5C6">
      <w:pPr>
        <w:pStyle w:val="157"/>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ascii="宋体" w:hAnsi="宋体" w:eastAsia="宋体" w:cs="Times New Roman"/>
          <w:b/>
          <w:bCs/>
          <w:color w:val="auto"/>
          <w:kern w:val="0"/>
          <w:sz w:val="24"/>
          <w:szCs w:val="24"/>
          <w:highlight w:val="none"/>
          <w:shd w:val="clear" w:color="auto" w:fill="auto"/>
          <w:lang w:val="en-US" w:eastAsia="zh-CN" w:bidi="ar-SA"/>
        </w:rPr>
      </w:pPr>
    </w:p>
    <w:p w14:paraId="15B58768">
      <w:pPr>
        <w:pStyle w:val="157"/>
        <w:keepNext w:val="0"/>
        <w:keepLines w:val="0"/>
        <w:pageBreakBefore w:val="0"/>
        <w:widowControl w:val="0"/>
        <w:kinsoku/>
        <w:wordWrap/>
        <w:overflowPunct/>
        <w:topLinePunct w:val="0"/>
        <w:bidi w:val="0"/>
        <w:spacing w:line="420" w:lineRule="exact"/>
        <w:ind w:left="0" w:leftChars="0" w:firstLine="241" w:firstLineChars="100"/>
        <w:textAlignment w:val="auto"/>
        <w:rPr>
          <w:rFonts w:hint="default" w:ascii="宋体" w:hAnsi="宋体" w:eastAsia="宋体" w:cs="Times New Roman"/>
          <w:b/>
          <w:bCs/>
          <w:color w:val="auto"/>
          <w:kern w:val="0"/>
          <w:sz w:val="24"/>
          <w:szCs w:val="24"/>
          <w:highlight w:val="none"/>
          <w:shd w:val="clear" w:color="auto" w:fill="auto"/>
          <w:lang w:val="en-US" w:eastAsia="zh-CN" w:bidi="ar-SA"/>
        </w:rPr>
      </w:pPr>
      <w:r>
        <w:rPr>
          <w:rFonts w:hint="eastAsia" w:ascii="宋体" w:hAnsi="宋体" w:eastAsia="宋体" w:cs="Times New Roman"/>
          <w:b/>
          <w:bCs/>
          <w:color w:val="auto"/>
          <w:kern w:val="0"/>
          <w:sz w:val="24"/>
          <w:szCs w:val="24"/>
          <w:highlight w:val="none"/>
          <w:shd w:val="clear" w:color="auto" w:fill="auto"/>
          <w:lang w:val="en-US" w:eastAsia="zh-CN" w:bidi="ar-SA"/>
        </w:rPr>
        <w:t>见证方：</w:t>
      </w:r>
    </w:p>
    <w:p w14:paraId="16C752F2">
      <w:pPr>
        <w:pStyle w:val="157"/>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ascii="宋体" w:hAnsi="宋体" w:eastAsia="宋体" w:cs="Times New Roman"/>
          <w:b/>
          <w:bCs/>
          <w:color w:val="auto"/>
          <w:kern w:val="0"/>
          <w:sz w:val="24"/>
          <w:szCs w:val="24"/>
          <w:highlight w:val="none"/>
          <w:shd w:val="clear" w:color="auto" w:fill="auto"/>
          <w:lang w:val="en-US" w:eastAsia="zh-CN" w:bidi="ar-SA"/>
        </w:rPr>
      </w:pPr>
    </w:p>
    <w:p w14:paraId="5838ED92">
      <w:pPr>
        <w:pStyle w:val="157"/>
        <w:keepNext w:val="0"/>
        <w:keepLines w:val="0"/>
        <w:pageBreakBefore w:val="0"/>
        <w:widowControl w:val="0"/>
        <w:kinsoku/>
        <w:wordWrap/>
        <w:overflowPunct/>
        <w:topLinePunct w:val="0"/>
        <w:bidi w:val="0"/>
        <w:spacing w:line="420" w:lineRule="exact"/>
        <w:ind w:left="0" w:leftChars="0" w:firstLine="241" w:firstLineChars="100"/>
        <w:textAlignment w:val="auto"/>
        <w:rPr>
          <w:rFonts w:hint="eastAsia"/>
          <w:color w:val="auto"/>
          <w:sz w:val="24"/>
          <w:szCs w:val="24"/>
          <w:highlight w:val="none"/>
        </w:rPr>
      </w:pPr>
      <w:r>
        <w:rPr>
          <w:rFonts w:hint="eastAsia" w:ascii="宋体" w:hAnsi="宋体" w:eastAsia="宋体" w:cs="Times New Roman"/>
          <w:b/>
          <w:bCs/>
          <w:color w:val="auto"/>
          <w:kern w:val="0"/>
          <w:sz w:val="24"/>
          <w:szCs w:val="24"/>
          <w:highlight w:val="none"/>
          <w:shd w:val="clear" w:color="auto" w:fill="auto"/>
          <w:lang w:val="en-US" w:eastAsia="zh-CN" w:bidi="ar-SA"/>
        </w:rPr>
        <w:t xml:space="preserve">附件：附上报价明细表 </w:t>
      </w:r>
    </w:p>
    <w:p w14:paraId="48BB51B2">
      <w:pPr>
        <w:pStyle w:val="60"/>
        <w:rPr>
          <w:rFonts w:hint="eastAsia"/>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3E24C707">
      <w:pPr>
        <w:pStyle w:val="60"/>
        <w:rPr>
          <w:rFonts w:hint="eastAsia"/>
        </w:rPr>
      </w:pPr>
    </w:p>
    <w:p w14:paraId="51E5F768">
      <w:pPr>
        <w:pStyle w:val="31"/>
        <w:snapToGrid w:val="0"/>
        <w:spacing w:beforeLines="0" w:afterLines="0" w:line="440" w:lineRule="exact"/>
        <w:jc w:val="center"/>
        <w:rPr>
          <w:rFonts w:hint="eastAsia" w:hAnsi="宋体" w:cs="宋体"/>
          <w:b/>
          <w:sz w:val="30"/>
          <w:szCs w:val="30"/>
        </w:rPr>
      </w:pPr>
    </w:p>
    <w:p w14:paraId="50EC2C65">
      <w:pPr>
        <w:pStyle w:val="31"/>
        <w:snapToGrid w:val="0"/>
        <w:spacing w:beforeLines="0" w:afterLines="0" w:line="440" w:lineRule="exact"/>
        <w:jc w:val="center"/>
        <w:rPr>
          <w:rFonts w:hint="eastAsia" w:hAnsi="宋体" w:cs="宋体"/>
          <w:b/>
          <w:sz w:val="30"/>
          <w:szCs w:val="30"/>
        </w:rPr>
      </w:pPr>
    </w:p>
    <w:p w14:paraId="4654BA43">
      <w:pPr>
        <w:pStyle w:val="31"/>
        <w:snapToGrid w:val="0"/>
        <w:spacing w:beforeLines="0" w:afterLines="0" w:line="440" w:lineRule="exact"/>
        <w:jc w:val="center"/>
        <w:rPr>
          <w:rFonts w:hAnsi="宋体" w:cs="宋体"/>
          <w:b/>
          <w:sz w:val="30"/>
          <w:szCs w:val="30"/>
        </w:rPr>
      </w:pPr>
      <w:r>
        <w:rPr>
          <w:rFonts w:hint="eastAsia" w:hAnsi="宋体" w:cs="宋体"/>
          <w:b/>
          <w:sz w:val="30"/>
          <w:szCs w:val="30"/>
        </w:rPr>
        <w:t>第六章　投标文件格式</w:t>
      </w:r>
      <w:bookmarkEnd w:id="46"/>
      <w:bookmarkEnd w:id="47"/>
    </w:p>
    <w:p w14:paraId="04F2C2B7">
      <w:pPr>
        <w:pStyle w:val="31"/>
        <w:snapToGrid w:val="0"/>
        <w:spacing w:beforeLines="0" w:afterLines="0" w:line="420" w:lineRule="exact"/>
        <w:jc w:val="center"/>
        <w:rPr>
          <w:rFonts w:hAnsi="宋体" w:cs="宋体"/>
          <w:sz w:val="30"/>
          <w:szCs w:val="30"/>
        </w:rPr>
      </w:pPr>
    </w:p>
    <w:p w14:paraId="25303177">
      <w:pPr>
        <w:snapToGrid w:val="0"/>
        <w:spacing w:beforeLines="50" w:after="50"/>
        <w:jc w:val="center"/>
        <w:outlineLvl w:val="1"/>
        <w:rPr>
          <w:rFonts w:ascii="宋体" w:hAnsi="宋体" w:cs="宋体"/>
          <w:b/>
          <w:bCs/>
          <w:sz w:val="28"/>
          <w:szCs w:val="28"/>
        </w:rPr>
      </w:pPr>
      <w:bookmarkStart w:id="48" w:name="_Toc29949"/>
      <w:bookmarkStart w:id="49" w:name="_Toc30690"/>
      <w:bookmarkStart w:id="50" w:name="_Toc265669850"/>
      <w:r>
        <w:rPr>
          <w:rFonts w:hint="eastAsia" w:ascii="宋体" w:hAnsi="宋体" w:cs="宋体"/>
          <w:b/>
          <w:bCs/>
          <w:sz w:val="28"/>
          <w:szCs w:val="28"/>
        </w:rPr>
        <w:t>一、资格响应文件格式</w:t>
      </w:r>
      <w:bookmarkEnd w:id="48"/>
      <w:bookmarkEnd w:id="49"/>
    </w:p>
    <w:p w14:paraId="47320DB1">
      <w:pPr>
        <w:snapToGrid w:val="0"/>
        <w:spacing w:beforeLines="50" w:after="50"/>
        <w:jc w:val="center"/>
        <w:rPr>
          <w:rFonts w:ascii="宋体" w:hAnsi="宋体" w:cs="宋体"/>
          <w:sz w:val="28"/>
          <w:szCs w:val="28"/>
        </w:rPr>
      </w:pPr>
    </w:p>
    <w:p w14:paraId="72C8E94A">
      <w:pPr>
        <w:snapToGrid w:val="0"/>
        <w:spacing w:beforeLines="50" w:after="50"/>
        <w:jc w:val="center"/>
        <w:rPr>
          <w:rFonts w:ascii="宋体" w:hAnsi="宋体" w:cs="宋体"/>
          <w:sz w:val="28"/>
          <w:szCs w:val="28"/>
        </w:rPr>
      </w:pPr>
    </w:p>
    <w:p w14:paraId="749FD803">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5483D21A">
      <w:pPr>
        <w:snapToGrid w:val="0"/>
        <w:spacing w:beforeLines="50" w:after="50"/>
        <w:rPr>
          <w:rFonts w:ascii="宋体" w:hAnsi="宋体" w:cs="宋体"/>
          <w:b/>
          <w:bCs/>
          <w:sz w:val="28"/>
          <w:szCs w:val="28"/>
        </w:rPr>
      </w:pPr>
    </w:p>
    <w:p w14:paraId="516A6D78">
      <w:pPr>
        <w:snapToGrid w:val="0"/>
        <w:spacing w:beforeLines="50" w:after="50"/>
        <w:rPr>
          <w:rFonts w:ascii="宋体" w:hAnsi="宋体" w:cs="宋体"/>
          <w:sz w:val="28"/>
          <w:szCs w:val="28"/>
        </w:rPr>
      </w:pPr>
    </w:p>
    <w:p w14:paraId="6D3AE405">
      <w:pPr>
        <w:snapToGrid w:val="0"/>
        <w:spacing w:beforeLines="50" w:after="50"/>
        <w:jc w:val="center"/>
        <w:rPr>
          <w:rFonts w:ascii="宋体" w:hAnsi="宋体" w:cs="宋体"/>
          <w:bCs/>
          <w:sz w:val="28"/>
          <w:szCs w:val="28"/>
        </w:rPr>
      </w:pPr>
    </w:p>
    <w:p w14:paraId="23F3749E">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0F4C6249">
      <w:pPr>
        <w:snapToGrid w:val="0"/>
        <w:spacing w:beforeLines="50" w:after="50" w:line="360" w:lineRule="auto"/>
        <w:jc w:val="center"/>
        <w:rPr>
          <w:rFonts w:ascii="宋体" w:hAnsi="宋体" w:cs="宋体"/>
          <w:bCs/>
          <w:sz w:val="28"/>
          <w:szCs w:val="28"/>
        </w:rPr>
      </w:pPr>
    </w:p>
    <w:p w14:paraId="72689DB9">
      <w:pPr>
        <w:snapToGrid w:val="0"/>
        <w:spacing w:beforeLines="50" w:after="50" w:line="360" w:lineRule="auto"/>
        <w:jc w:val="center"/>
        <w:rPr>
          <w:rFonts w:ascii="宋体" w:hAnsi="宋体" w:cs="宋体"/>
          <w:bCs/>
          <w:sz w:val="28"/>
          <w:szCs w:val="28"/>
        </w:rPr>
      </w:pPr>
    </w:p>
    <w:p w14:paraId="4687C9AC">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B449C5D">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7D7D0019">
      <w:pPr>
        <w:pStyle w:val="13"/>
        <w:snapToGrid w:val="0"/>
        <w:spacing w:before="50" w:after="50" w:line="360" w:lineRule="auto"/>
        <w:ind w:firstLine="1164" w:firstLineChars="416"/>
        <w:rPr>
          <w:rFonts w:ascii="宋体" w:hAnsi="宋体" w:cs="宋体"/>
          <w:bCs/>
          <w:sz w:val="28"/>
          <w:szCs w:val="28"/>
        </w:rPr>
      </w:pPr>
    </w:p>
    <w:p w14:paraId="72E7F0C2">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44637873">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2724480">
      <w:pPr>
        <w:pStyle w:val="13"/>
        <w:snapToGrid w:val="0"/>
        <w:spacing w:before="50" w:after="50"/>
        <w:ind w:firstLine="1120" w:firstLineChars="400"/>
        <w:rPr>
          <w:rFonts w:ascii="宋体" w:hAnsi="宋体" w:cs="宋体"/>
          <w:bCs/>
          <w:sz w:val="28"/>
          <w:szCs w:val="28"/>
        </w:rPr>
      </w:pPr>
    </w:p>
    <w:p w14:paraId="61006330">
      <w:pPr>
        <w:snapToGrid w:val="0"/>
        <w:spacing w:line="360" w:lineRule="auto"/>
        <w:ind w:firstLine="3360" w:firstLineChars="1200"/>
        <w:jc w:val="left"/>
        <w:rPr>
          <w:rFonts w:ascii="宋体" w:hAnsi="宋体" w:cs="宋体"/>
          <w:sz w:val="28"/>
          <w:szCs w:val="28"/>
        </w:rPr>
      </w:pPr>
    </w:p>
    <w:p w14:paraId="2DDEFA65">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1" w:name="_Hlk60757343"/>
      <w:r>
        <w:rPr>
          <w:rFonts w:hint="eastAsia" w:ascii="宋体" w:hAnsi="宋体" w:cs="宋体"/>
          <w:sz w:val="24"/>
        </w:rPr>
        <w:t>2.营业执照</w:t>
      </w:r>
      <w:r>
        <w:rPr>
          <w:rFonts w:hint="eastAsia" w:ascii="宋体" w:hAnsi="宋体" w:cs="宋体"/>
          <w:sz w:val="24"/>
          <w:lang w:eastAsia="zh-CN"/>
        </w:rPr>
        <w:t>、资质证书</w:t>
      </w:r>
      <w:r>
        <w:rPr>
          <w:rFonts w:hint="eastAsia" w:ascii="宋体" w:hAnsi="宋体" w:cs="宋体"/>
          <w:sz w:val="24"/>
        </w:rPr>
        <w:t>等：</w:t>
      </w:r>
      <w:bookmarkEnd w:id="51"/>
    </w:p>
    <w:p w14:paraId="74305D19">
      <w:pPr>
        <w:snapToGrid w:val="0"/>
        <w:spacing w:line="360" w:lineRule="auto"/>
        <w:jc w:val="center"/>
        <w:rPr>
          <w:rFonts w:ascii="宋体" w:hAnsi="宋体" w:cs="宋体"/>
          <w:b/>
          <w:kern w:val="0"/>
          <w:sz w:val="32"/>
          <w:szCs w:val="32"/>
          <w:lang w:val="zh-CN"/>
        </w:rPr>
      </w:pPr>
    </w:p>
    <w:p w14:paraId="187D2EE9">
      <w:pPr>
        <w:snapToGrid w:val="0"/>
        <w:spacing w:line="360" w:lineRule="auto"/>
        <w:jc w:val="center"/>
        <w:rPr>
          <w:rFonts w:ascii="宋体" w:hAnsi="宋体" w:cs="宋体"/>
          <w:b/>
          <w:kern w:val="0"/>
          <w:sz w:val="32"/>
          <w:szCs w:val="32"/>
          <w:lang w:val="zh-CN"/>
        </w:rPr>
      </w:pPr>
    </w:p>
    <w:p w14:paraId="085CE1BA">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EC46FC2">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2C9BC2B7">
      <w:pPr>
        <w:snapToGrid w:val="0"/>
        <w:spacing w:line="360" w:lineRule="auto"/>
        <w:rPr>
          <w:rFonts w:hint="eastAsia"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728C5514">
      <w:pPr>
        <w:snapToGrid w:val="0"/>
        <w:spacing w:line="360" w:lineRule="auto"/>
        <w:rPr>
          <w:rFonts w:hint="eastAsia" w:ascii="宋体" w:hAnsi="宋体" w:cs="宋体"/>
          <w:bCs/>
          <w:kern w:val="0"/>
          <w:sz w:val="28"/>
          <w:szCs w:val="28"/>
          <w:lang w:val="zh-CN"/>
        </w:rPr>
      </w:pPr>
    </w:p>
    <w:p w14:paraId="6B0F1FBE">
      <w:pPr>
        <w:snapToGrid w:val="0"/>
        <w:spacing w:line="360" w:lineRule="auto"/>
        <w:rPr>
          <w:rFonts w:hint="eastAsia" w:ascii="宋体" w:hAnsi="宋体" w:cs="宋体"/>
          <w:bCs/>
          <w:kern w:val="0"/>
          <w:sz w:val="28"/>
          <w:szCs w:val="28"/>
          <w:lang w:val="zh-CN"/>
        </w:rPr>
      </w:pPr>
    </w:p>
    <w:p w14:paraId="438CBFF9">
      <w:pPr>
        <w:snapToGrid w:val="0"/>
        <w:spacing w:line="360" w:lineRule="auto"/>
        <w:jc w:val="center"/>
        <w:rPr>
          <w:rFonts w:hint="eastAsia" w:ascii="宋体" w:hAnsi="宋体" w:eastAsia="宋体" w:cs="宋体"/>
          <w:b/>
          <w:kern w:val="0"/>
          <w:sz w:val="32"/>
          <w:szCs w:val="32"/>
          <w:highlight w:val="none"/>
          <w:lang w:val="en-US" w:eastAsia="zh-CN"/>
        </w:rPr>
      </w:pPr>
      <w:r>
        <w:rPr>
          <w:rFonts w:hint="eastAsia" w:ascii="宋体" w:hAnsi="宋体" w:eastAsia="宋体" w:cs="宋体"/>
          <w:b/>
          <w:kern w:val="0"/>
          <w:sz w:val="32"/>
          <w:szCs w:val="32"/>
          <w:highlight w:val="none"/>
          <w:lang w:val="en-US" w:eastAsia="zh-CN"/>
        </w:rPr>
        <w:t>资质文件原件扫描件</w:t>
      </w:r>
    </w:p>
    <w:p w14:paraId="5F2E9AA9">
      <w:pPr>
        <w:snapToGrid w:val="0"/>
        <w:spacing w:line="360" w:lineRule="auto"/>
        <w:jc w:val="center"/>
        <w:rPr>
          <w:rFonts w:hint="eastAsia" w:ascii="宋体" w:hAnsi="宋体" w:eastAsia="宋体" w:cs="宋体"/>
          <w:bCs/>
          <w:kern w:val="0"/>
          <w:sz w:val="28"/>
          <w:szCs w:val="28"/>
          <w:lang w:val="zh-CN"/>
        </w:rPr>
      </w:pPr>
      <w:r>
        <w:rPr>
          <w:rFonts w:hint="eastAsia" w:ascii="宋体" w:hAnsi="宋体" w:eastAsia="宋体" w:cs="宋体"/>
          <w:bCs/>
          <w:kern w:val="0"/>
          <w:sz w:val="28"/>
          <w:szCs w:val="28"/>
          <w:lang w:val="en-US" w:eastAsia="zh-CN"/>
        </w:rPr>
        <w:t>具体要求详见招标公告</w:t>
      </w:r>
    </w:p>
    <w:p w14:paraId="20070B19">
      <w:pPr>
        <w:snapToGrid w:val="0"/>
        <w:spacing w:line="360" w:lineRule="auto"/>
        <w:jc w:val="center"/>
        <w:rPr>
          <w:rFonts w:ascii="宋体" w:hAnsi="宋体" w:cs="宋体"/>
          <w:b/>
          <w:sz w:val="30"/>
          <w:szCs w:val="30"/>
        </w:rPr>
      </w:pPr>
    </w:p>
    <w:p w14:paraId="1E22956E">
      <w:pPr>
        <w:spacing w:line="360" w:lineRule="auto"/>
        <w:jc w:val="center"/>
        <w:rPr>
          <w:rFonts w:ascii="宋体" w:hAnsi="宋体" w:cs="宋体"/>
          <w:b/>
          <w:sz w:val="32"/>
          <w:szCs w:val="32"/>
        </w:rPr>
      </w:pPr>
    </w:p>
    <w:p w14:paraId="45FCA3AF">
      <w:pPr>
        <w:spacing w:line="360" w:lineRule="auto"/>
        <w:jc w:val="center"/>
        <w:rPr>
          <w:rFonts w:ascii="宋体" w:hAnsi="宋体" w:cs="宋体"/>
          <w:b/>
          <w:bCs/>
          <w:sz w:val="32"/>
          <w:szCs w:val="32"/>
        </w:rPr>
      </w:pPr>
    </w:p>
    <w:p w14:paraId="37D43707">
      <w:pPr>
        <w:spacing w:line="360" w:lineRule="auto"/>
        <w:jc w:val="center"/>
        <w:rPr>
          <w:rFonts w:ascii="宋体" w:hAnsi="宋体" w:cs="宋体"/>
          <w:b/>
          <w:bCs/>
          <w:sz w:val="32"/>
          <w:szCs w:val="32"/>
        </w:rPr>
      </w:pPr>
    </w:p>
    <w:p w14:paraId="5507E33A">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65CA76F7">
      <w:pPr>
        <w:spacing w:line="360" w:lineRule="auto"/>
        <w:jc w:val="center"/>
        <w:rPr>
          <w:rFonts w:ascii="宋体" w:hAnsi="宋体" w:cs="宋体"/>
          <w:b/>
          <w:kern w:val="0"/>
          <w:sz w:val="32"/>
          <w:szCs w:val="32"/>
        </w:rPr>
      </w:pPr>
    </w:p>
    <w:p w14:paraId="06B2E26A">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570BC46C">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614B1B4">
      <w:pPr>
        <w:spacing w:line="520" w:lineRule="exact"/>
        <w:jc w:val="center"/>
        <w:rPr>
          <w:rFonts w:ascii="宋体" w:hAnsi="宋体" w:cs="宋体"/>
          <w:bCs/>
          <w:sz w:val="24"/>
        </w:rPr>
      </w:pPr>
    </w:p>
    <w:p w14:paraId="07549CEB">
      <w:pPr>
        <w:ind w:firstLine="420"/>
        <w:rPr>
          <w:rFonts w:ascii="宋体" w:hAnsi="宋体" w:cs="宋体"/>
          <w:sz w:val="24"/>
        </w:rPr>
      </w:pPr>
    </w:p>
    <w:p w14:paraId="27721313">
      <w:pPr>
        <w:spacing w:line="360" w:lineRule="auto"/>
        <w:rPr>
          <w:rFonts w:ascii="宋体" w:hAnsi="宋体" w:cs="宋体"/>
          <w:kern w:val="0"/>
          <w:sz w:val="24"/>
        </w:rPr>
      </w:pPr>
      <w:r>
        <w:rPr>
          <w:rFonts w:hint="eastAsia" w:ascii="宋体" w:hAnsi="宋体" w:cs="宋体"/>
          <w:bCs/>
          <w:sz w:val="24"/>
        </w:rPr>
        <w:t>致：临海市大洋建设投资有限公司</w:t>
      </w:r>
      <w:r>
        <w:rPr>
          <w:rFonts w:hint="eastAsia" w:ascii="宋体" w:hAnsi="宋体" w:cs="宋体"/>
          <w:sz w:val="24"/>
        </w:rPr>
        <w:t>（招标人名称）：</w:t>
      </w:r>
    </w:p>
    <w:p w14:paraId="3DCF8032">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我方郑重承诺，我方在参加项目</w:t>
      </w:r>
      <w:r>
        <w:rPr>
          <w:rFonts w:hint="eastAsia" w:ascii="宋体" w:hAnsi="宋体" w:cs="宋体"/>
          <w:sz w:val="24"/>
          <w:u w:val="single"/>
          <w:lang w:val="en-US" w:eastAsia="zh-CN"/>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C9BC73D">
      <w:pPr>
        <w:ind w:firstLine="420"/>
        <w:rPr>
          <w:rFonts w:ascii="宋体" w:hAnsi="宋体" w:cs="宋体"/>
          <w:sz w:val="24"/>
        </w:rPr>
      </w:pPr>
    </w:p>
    <w:p w14:paraId="1FD97737">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15B0126">
      <w:pPr>
        <w:snapToGrid w:val="0"/>
        <w:spacing w:before="50" w:afterLines="50"/>
        <w:jc w:val="left"/>
        <w:rPr>
          <w:rFonts w:ascii="宋体" w:hAnsi="宋体" w:cs="宋体"/>
          <w:kern w:val="0"/>
          <w:sz w:val="24"/>
          <w:lang w:val="zh-CN"/>
        </w:rPr>
      </w:pPr>
    </w:p>
    <w:p w14:paraId="3E30CE62">
      <w:pPr>
        <w:snapToGrid w:val="0"/>
        <w:spacing w:before="50" w:afterLines="50"/>
        <w:jc w:val="left"/>
        <w:rPr>
          <w:rFonts w:ascii="宋体" w:hAnsi="宋体" w:cs="宋体"/>
          <w:kern w:val="0"/>
          <w:sz w:val="24"/>
          <w:lang w:val="zh-CN"/>
        </w:rPr>
      </w:pPr>
    </w:p>
    <w:p w14:paraId="2CF65BDF">
      <w:pPr>
        <w:snapToGrid w:val="0"/>
        <w:spacing w:before="50" w:afterLines="50"/>
        <w:jc w:val="left"/>
        <w:rPr>
          <w:rFonts w:ascii="宋体" w:hAnsi="宋体" w:cs="宋体"/>
          <w:kern w:val="0"/>
          <w:sz w:val="24"/>
          <w:lang w:val="zh-CN"/>
        </w:rPr>
      </w:pPr>
    </w:p>
    <w:p w14:paraId="740A5313">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25AB0F75">
      <w:pPr>
        <w:snapToGrid w:val="0"/>
        <w:spacing w:before="50" w:afterLines="50"/>
        <w:jc w:val="left"/>
        <w:rPr>
          <w:rFonts w:ascii="宋体" w:hAnsi="宋体" w:cs="宋体"/>
          <w:b/>
          <w:sz w:val="24"/>
        </w:rPr>
      </w:pPr>
    </w:p>
    <w:p w14:paraId="3C801C26">
      <w:pPr>
        <w:snapToGrid w:val="0"/>
        <w:spacing w:before="50" w:afterLines="50"/>
        <w:jc w:val="left"/>
        <w:rPr>
          <w:rFonts w:ascii="宋体" w:hAnsi="宋体" w:cs="宋体"/>
          <w:b/>
          <w:sz w:val="24"/>
        </w:rPr>
      </w:pPr>
    </w:p>
    <w:p w14:paraId="26C7CF04">
      <w:pPr>
        <w:snapToGrid w:val="0"/>
        <w:spacing w:before="50" w:afterLines="50"/>
        <w:jc w:val="left"/>
        <w:rPr>
          <w:rFonts w:ascii="宋体" w:hAnsi="宋体" w:cs="宋体"/>
          <w:b/>
          <w:sz w:val="24"/>
        </w:rPr>
      </w:pPr>
      <w:r>
        <w:rPr>
          <w:rFonts w:hint="eastAsia" w:ascii="宋体" w:hAnsi="宋体" w:cs="宋体"/>
          <w:b/>
          <w:sz w:val="24"/>
        </w:rPr>
        <w:t>日期：  _____年___月___日</w:t>
      </w:r>
    </w:p>
    <w:p w14:paraId="55ED0140">
      <w:pPr>
        <w:snapToGrid w:val="0"/>
        <w:spacing w:before="50" w:afterLines="50"/>
        <w:jc w:val="left"/>
        <w:rPr>
          <w:rFonts w:ascii="宋体" w:hAnsi="宋体" w:cs="宋体"/>
          <w:sz w:val="28"/>
          <w:szCs w:val="28"/>
        </w:rPr>
      </w:pPr>
    </w:p>
    <w:p w14:paraId="52C7C06C">
      <w:pPr>
        <w:snapToGrid w:val="0"/>
        <w:spacing w:line="360" w:lineRule="auto"/>
        <w:rPr>
          <w:rFonts w:ascii="宋体" w:hAnsi="宋体" w:cs="宋体"/>
          <w:kern w:val="0"/>
          <w:sz w:val="24"/>
        </w:rPr>
      </w:pPr>
      <w:r>
        <w:rPr>
          <w:rFonts w:hint="eastAsia" w:ascii="宋体" w:hAnsi="宋体" w:cs="宋体"/>
          <w:kern w:val="0"/>
          <w:sz w:val="24"/>
          <w:lang w:val="zh-CN"/>
        </w:rPr>
        <w:br w:type="page"/>
      </w:r>
    </w:p>
    <w:p w14:paraId="15A9C602">
      <w:pPr>
        <w:snapToGrid w:val="0"/>
        <w:spacing w:beforeLines="50" w:after="50"/>
        <w:jc w:val="center"/>
        <w:outlineLvl w:val="1"/>
        <w:rPr>
          <w:rFonts w:ascii="宋体" w:hAnsi="宋体" w:cs="宋体"/>
          <w:b/>
          <w:bCs/>
          <w:sz w:val="24"/>
        </w:rPr>
      </w:pPr>
    </w:p>
    <w:p w14:paraId="7C7BFE83">
      <w:pPr>
        <w:snapToGrid w:val="0"/>
        <w:spacing w:beforeLines="50" w:after="50"/>
        <w:jc w:val="center"/>
        <w:outlineLvl w:val="1"/>
        <w:rPr>
          <w:rFonts w:ascii="宋体" w:hAnsi="宋体" w:cs="宋体"/>
          <w:b/>
          <w:bCs/>
          <w:sz w:val="28"/>
          <w:szCs w:val="28"/>
        </w:rPr>
      </w:pPr>
      <w:bookmarkStart w:id="52" w:name="_Toc15805"/>
      <w:bookmarkStart w:id="53" w:name="_Toc466534753"/>
      <w:bookmarkStart w:id="54" w:name="_Toc18185"/>
      <w:r>
        <w:rPr>
          <w:rFonts w:hint="eastAsia" w:ascii="宋体" w:hAnsi="宋体" w:cs="宋体"/>
          <w:b/>
          <w:bCs/>
          <w:sz w:val="28"/>
          <w:szCs w:val="28"/>
        </w:rPr>
        <w:t>二、商务技术文件格式</w:t>
      </w:r>
      <w:bookmarkEnd w:id="50"/>
      <w:bookmarkEnd w:id="52"/>
      <w:bookmarkEnd w:id="53"/>
      <w:bookmarkEnd w:id="54"/>
    </w:p>
    <w:p w14:paraId="3DB12263">
      <w:pPr>
        <w:snapToGrid w:val="0"/>
        <w:spacing w:beforeLines="50" w:after="50"/>
        <w:jc w:val="center"/>
        <w:rPr>
          <w:rFonts w:ascii="宋体" w:hAnsi="宋体" w:cs="宋体"/>
          <w:sz w:val="28"/>
          <w:szCs w:val="28"/>
        </w:rPr>
      </w:pPr>
    </w:p>
    <w:p w14:paraId="649C7178">
      <w:pPr>
        <w:snapToGrid w:val="0"/>
        <w:spacing w:beforeLines="50" w:after="50"/>
        <w:jc w:val="center"/>
        <w:rPr>
          <w:rFonts w:ascii="宋体" w:hAnsi="宋体" w:cs="宋体"/>
          <w:sz w:val="28"/>
          <w:szCs w:val="28"/>
        </w:rPr>
      </w:pPr>
    </w:p>
    <w:p w14:paraId="027BABE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081BE372">
      <w:pPr>
        <w:snapToGrid w:val="0"/>
        <w:spacing w:beforeLines="50" w:after="50"/>
        <w:rPr>
          <w:rFonts w:ascii="宋体" w:hAnsi="宋体" w:cs="宋体"/>
          <w:b/>
          <w:bCs/>
          <w:sz w:val="28"/>
          <w:szCs w:val="28"/>
        </w:rPr>
      </w:pPr>
    </w:p>
    <w:p w14:paraId="01C46AA0">
      <w:pPr>
        <w:snapToGrid w:val="0"/>
        <w:spacing w:beforeLines="50" w:after="50"/>
        <w:rPr>
          <w:rFonts w:ascii="宋体" w:hAnsi="宋体" w:cs="宋体"/>
          <w:sz w:val="28"/>
          <w:szCs w:val="28"/>
        </w:rPr>
      </w:pPr>
    </w:p>
    <w:p w14:paraId="34094BEC">
      <w:pPr>
        <w:snapToGrid w:val="0"/>
        <w:spacing w:beforeLines="50" w:after="50"/>
        <w:jc w:val="center"/>
        <w:rPr>
          <w:rFonts w:ascii="宋体" w:hAnsi="宋体" w:cs="宋体"/>
          <w:bCs/>
          <w:sz w:val="28"/>
          <w:szCs w:val="28"/>
        </w:rPr>
      </w:pPr>
    </w:p>
    <w:p w14:paraId="508C41B9">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3550A07B">
      <w:pPr>
        <w:snapToGrid w:val="0"/>
        <w:spacing w:beforeLines="50" w:after="50" w:line="360" w:lineRule="auto"/>
        <w:jc w:val="center"/>
        <w:rPr>
          <w:rFonts w:ascii="宋体" w:hAnsi="宋体" w:cs="宋体"/>
          <w:bCs/>
          <w:sz w:val="28"/>
          <w:szCs w:val="28"/>
        </w:rPr>
      </w:pPr>
    </w:p>
    <w:p w14:paraId="273CAD13">
      <w:pPr>
        <w:snapToGrid w:val="0"/>
        <w:spacing w:beforeLines="50" w:after="50" w:line="360" w:lineRule="auto"/>
        <w:jc w:val="center"/>
        <w:rPr>
          <w:rFonts w:ascii="宋体" w:hAnsi="宋体" w:cs="宋体"/>
          <w:bCs/>
          <w:sz w:val="28"/>
          <w:szCs w:val="28"/>
        </w:rPr>
      </w:pPr>
    </w:p>
    <w:p w14:paraId="7ADAD92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8DB6AB6">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049E6D7">
      <w:pPr>
        <w:pStyle w:val="13"/>
        <w:snapToGrid w:val="0"/>
        <w:spacing w:before="50" w:after="50" w:line="360" w:lineRule="auto"/>
        <w:ind w:firstLine="1164" w:firstLineChars="416"/>
        <w:rPr>
          <w:rFonts w:ascii="宋体" w:hAnsi="宋体" w:cs="宋体"/>
          <w:bCs/>
          <w:sz w:val="28"/>
          <w:szCs w:val="28"/>
        </w:rPr>
      </w:pPr>
    </w:p>
    <w:p w14:paraId="2ADBC994">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95538AD">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34B2E26">
      <w:pPr>
        <w:pStyle w:val="13"/>
        <w:snapToGrid w:val="0"/>
        <w:spacing w:before="50" w:after="50"/>
        <w:ind w:firstLine="1120" w:firstLineChars="400"/>
        <w:rPr>
          <w:rFonts w:ascii="宋体" w:hAnsi="宋体" w:cs="宋体"/>
          <w:bCs/>
          <w:sz w:val="28"/>
          <w:szCs w:val="28"/>
        </w:rPr>
      </w:pPr>
    </w:p>
    <w:p w14:paraId="4A2638AA">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5" w:name="_Hlk60757098"/>
      <w:r>
        <w:rPr>
          <w:rFonts w:hint="eastAsia" w:ascii="宋体" w:hAnsi="宋体" w:cs="宋体"/>
          <w:sz w:val="24"/>
        </w:rPr>
        <w:t>5.投标函格式：</w:t>
      </w:r>
      <w:bookmarkEnd w:id="55"/>
    </w:p>
    <w:p w14:paraId="495E5020">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0F4E2CD2">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临海市大洋建设投资有限公司</w:t>
      </w:r>
      <w:r>
        <w:rPr>
          <w:rFonts w:hint="eastAsia" w:ascii="宋体" w:hAnsi="宋体" w:cs="宋体"/>
          <w:sz w:val="24"/>
        </w:rPr>
        <w:t>（招标人名称）：</w:t>
      </w:r>
    </w:p>
    <w:p w14:paraId="675C90BB">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6C864808">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B65D8C">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691E2BD2">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56" w:name="_Hlk59707887"/>
      <w:r>
        <w:rPr>
          <w:rFonts w:hint="eastAsia" w:ascii="宋体" w:hAnsi="宋体" w:cs="宋体"/>
          <w:b/>
          <w:bCs/>
          <w:sz w:val="24"/>
        </w:rPr>
        <w:t>证书、合同、报告等</w:t>
      </w:r>
      <w:bookmarkEnd w:id="56"/>
      <w:r>
        <w:rPr>
          <w:rFonts w:hint="eastAsia" w:ascii="宋体" w:hAnsi="宋体" w:cs="宋体"/>
          <w:b/>
          <w:bCs/>
          <w:sz w:val="24"/>
        </w:rPr>
        <w:t>）都是准确、真实、合规的，如有虚假或隐瞒，我方愿意承担一切后果。</w:t>
      </w:r>
    </w:p>
    <w:p w14:paraId="64EC4391">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07758D42">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1D702E47">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52D2DE6">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6E087D90">
      <w:pPr>
        <w:snapToGrid w:val="0"/>
        <w:spacing w:line="360" w:lineRule="auto"/>
        <w:ind w:firstLine="361" w:firstLineChars="150"/>
        <w:rPr>
          <w:rFonts w:ascii="宋体" w:hAnsi="宋体" w:cs="宋体"/>
          <w:b/>
          <w:bCs/>
          <w:sz w:val="24"/>
          <w:u w:val="single"/>
        </w:rPr>
      </w:pPr>
      <w:bookmarkStart w:id="57"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7E0091F0">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5A366B2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58" w:name="_Hlk59370410"/>
      <w:r>
        <w:rPr>
          <w:rFonts w:hint="eastAsia" w:ascii="宋体" w:hAnsi="宋体" w:cs="宋体"/>
          <w:sz w:val="24"/>
        </w:rPr>
        <w:t>_______</w:t>
      </w:r>
      <w:r>
        <w:rPr>
          <w:rFonts w:hint="eastAsia" w:ascii="宋体" w:hAnsi="宋体" w:cs="宋体"/>
          <w:sz w:val="24"/>
          <w:u w:val="single"/>
        </w:rPr>
        <w:t xml:space="preserve">_       </w:t>
      </w:r>
      <w:bookmarkEnd w:id="58"/>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64172750">
      <w:pPr>
        <w:snapToGrid w:val="0"/>
        <w:spacing w:line="360" w:lineRule="auto"/>
        <w:ind w:firstLine="361" w:firstLineChars="150"/>
        <w:jc w:val="left"/>
        <w:rPr>
          <w:rFonts w:ascii="宋体" w:hAnsi="宋体" w:cs="宋体"/>
          <w:b/>
          <w:bCs/>
          <w:sz w:val="24"/>
        </w:rPr>
      </w:pPr>
      <w:bookmarkStart w:id="59"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297AA0C2">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59"/>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03DDA32D">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41413462">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60"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0"/>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57"/>
    <w:p w14:paraId="0588EDA9">
      <w:pPr>
        <w:snapToGrid w:val="0"/>
        <w:spacing w:line="360" w:lineRule="auto"/>
        <w:jc w:val="left"/>
        <w:rPr>
          <w:rFonts w:ascii="宋体" w:hAnsi="宋体" w:cs="宋体"/>
          <w:sz w:val="24"/>
        </w:rPr>
      </w:pPr>
    </w:p>
    <w:p w14:paraId="30C60145">
      <w:pPr>
        <w:snapToGrid w:val="0"/>
        <w:spacing w:line="360" w:lineRule="auto"/>
        <w:ind w:firstLine="482" w:firstLineChars="200"/>
        <w:jc w:val="left"/>
        <w:rPr>
          <w:rFonts w:ascii="宋体" w:hAnsi="宋体" w:cs="宋体"/>
          <w:sz w:val="24"/>
        </w:rPr>
      </w:pPr>
      <w:r>
        <w:rPr>
          <w:rFonts w:hint="eastAsia" w:ascii="宋体" w:hAnsi="宋体" w:cs="宋体"/>
          <w:b/>
          <w:bCs/>
          <w:sz w:val="24"/>
        </w:rPr>
        <w:t>投标人:(公章)</w:t>
      </w:r>
      <w:r>
        <w:rPr>
          <w:rFonts w:hint="eastAsia" w:ascii="宋体" w:hAnsi="宋体" w:cs="宋体"/>
          <w:b/>
          <w:bCs/>
          <w:sz w:val="24"/>
          <w:lang w:val="en-US" w:eastAsia="zh-CN"/>
        </w:rPr>
        <w:t xml:space="preserve">                              </w:t>
      </w:r>
      <w:r>
        <w:rPr>
          <w:rFonts w:hint="eastAsia" w:ascii="宋体" w:hAnsi="宋体" w:cs="宋体"/>
          <w:b/>
          <w:sz w:val="24"/>
        </w:rPr>
        <w:t>日期:_____年___月___日</w:t>
      </w:r>
    </w:p>
    <w:p w14:paraId="78AAF755">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7F29B855">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37EEFD02">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临海市大洋建设投资有限公司 </w:t>
      </w:r>
      <w:r>
        <w:rPr>
          <w:rFonts w:hint="eastAsia" w:ascii="宋体" w:hAnsi="宋体" w:cs="宋体"/>
          <w:sz w:val="24"/>
        </w:rPr>
        <w:t>（招标人名称）：</w:t>
      </w:r>
    </w:p>
    <w:p w14:paraId="2C04445C">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1"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1"/>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2" w:name="_Hlk12177819"/>
      <w:r>
        <w:rPr>
          <w:rFonts w:hint="eastAsia" w:ascii="宋体" w:hAnsi="宋体" w:cs="宋体"/>
          <w:sz w:val="24"/>
        </w:rPr>
        <w:t>______</w:t>
      </w:r>
      <w:r>
        <w:rPr>
          <w:rFonts w:hint="eastAsia" w:ascii="宋体" w:hAnsi="宋体" w:cs="宋体"/>
          <w:sz w:val="24"/>
          <w:u w:val="single"/>
        </w:rPr>
        <w:t xml:space="preserve">_ </w:t>
      </w:r>
      <w:bookmarkEnd w:id="62"/>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50551567">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7C1C1C08">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05306E2C">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2964FE07">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6E8F250">
      <w:pPr>
        <w:snapToGrid w:val="0"/>
        <w:spacing w:beforeLines="50" w:after="50" w:line="460" w:lineRule="exact"/>
        <w:rPr>
          <w:rFonts w:ascii="宋体" w:hAnsi="宋体" w:cs="宋体"/>
          <w:sz w:val="24"/>
          <w:szCs w:val="20"/>
          <w:u w:val="single"/>
        </w:rPr>
      </w:pPr>
    </w:p>
    <w:p w14:paraId="39874D70">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A4F15B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6285A89">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28449508">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319890B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4089742">
            <w:pPr>
              <w:spacing w:line="360" w:lineRule="auto"/>
              <w:rPr>
                <w:rFonts w:ascii="宋体" w:hAnsi="宋体" w:cs="宋体"/>
                <w:sz w:val="30"/>
                <w:szCs w:val="30"/>
              </w:rPr>
            </w:pPr>
          </w:p>
        </w:tc>
        <w:tc>
          <w:tcPr>
            <w:tcW w:w="4961" w:type="dxa"/>
          </w:tcPr>
          <w:p w14:paraId="08DB4586">
            <w:pPr>
              <w:spacing w:line="360" w:lineRule="auto"/>
              <w:rPr>
                <w:rFonts w:ascii="宋体" w:hAnsi="宋体" w:cs="宋体"/>
                <w:sz w:val="30"/>
                <w:szCs w:val="30"/>
              </w:rPr>
            </w:pPr>
          </w:p>
        </w:tc>
      </w:tr>
    </w:tbl>
    <w:p w14:paraId="3AE4657B">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6F83C109">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6CEAF56A">
      <w:pPr>
        <w:snapToGrid w:val="0"/>
        <w:spacing w:before="50" w:afterLines="50"/>
        <w:jc w:val="left"/>
        <w:rPr>
          <w:rFonts w:hint="eastAsia" w:ascii="宋体" w:hAnsi="宋体" w:cs="宋体"/>
          <w:sz w:val="24"/>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51956133">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2BA42EDC">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3101652F">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2E78050C">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FF0000"/>
        </w:rPr>
      </w:pPr>
      <w:r>
        <w:rPr>
          <w:rFonts w:hint="eastAsia" w:ascii="黑体" w:hAnsi="黑体" w:eastAsia="黑体" w:cs="Times New Roman"/>
          <w:b/>
          <w:color w:val="FF0000"/>
          <w:sz w:val="28"/>
          <w:szCs w:val="28"/>
          <w:lang w:val="en-US" w:eastAsia="zh-CN"/>
        </w:rPr>
        <w:t>（</w:t>
      </w:r>
      <w:r>
        <w:rPr>
          <w:rFonts w:hint="eastAsia" w:ascii="黑体" w:hAnsi="黑体" w:eastAsia="黑体"/>
          <w:b/>
          <w:color w:val="FF0000"/>
          <w:sz w:val="28"/>
          <w:szCs w:val="28"/>
          <w:highlight w:val="none"/>
          <w:lang w:val="en-US" w:eastAsia="zh-CN"/>
        </w:rPr>
        <w:t>适用于法定代表人、单位负责人本人代表投标人参加投标</w:t>
      </w:r>
      <w:r>
        <w:rPr>
          <w:rFonts w:hint="eastAsia" w:ascii="黑体" w:hAnsi="黑体" w:eastAsia="黑体" w:cs="Times New Roman"/>
          <w:b/>
          <w:color w:val="FF0000"/>
          <w:sz w:val="28"/>
          <w:szCs w:val="28"/>
          <w:lang w:val="en-US" w:eastAsia="zh-CN"/>
        </w:rPr>
        <w:t>）</w:t>
      </w:r>
    </w:p>
    <w:p w14:paraId="6F324FAF">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24C7AFF7">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001221BD">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460B553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1B73874E">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6F70F533">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E67AFB5">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77C84CD0">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81F1D4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noWrap w:val="0"/>
            <w:vAlign w:val="top"/>
          </w:tcPr>
          <w:p w14:paraId="0F127AAF">
            <w:pPr>
              <w:jc w:val="center"/>
              <w:rPr>
                <w:rFonts w:hint="eastAsia" w:ascii="宋体" w:hAnsi="宋体" w:eastAsia="宋体" w:cs="Times New Roman"/>
                <w:sz w:val="24"/>
                <w:szCs w:val="24"/>
              </w:rPr>
            </w:pPr>
          </w:p>
          <w:p w14:paraId="103D7B83">
            <w:pPr>
              <w:jc w:val="both"/>
              <w:rPr>
                <w:rFonts w:hint="eastAsia" w:ascii="宋体" w:hAnsi="宋体" w:eastAsia="宋体" w:cs="Times New Roman"/>
                <w:sz w:val="24"/>
                <w:szCs w:val="24"/>
              </w:rPr>
            </w:pPr>
          </w:p>
          <w:p w14:paraId="7E6188E3">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7CBA074F">
            <w:pPr>
              <w:spacing w:line="360" w:lineRule="auto"/>
              <w:rPr>
                <w:rFonts w:ascii="Times New Roman" w:hAnsi="Times New Roman" w:eastAsia="宋体" w:cs="Times New Roman"/>
                <w:sz w:val="30"/>
                <w:szCs w:val="30"/>
              </w:rPr>
            </w:pPr>
          </w:p>
        </w:tc>
      </w:tr>
      <w:tr w14:paraId="4A07BD0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6193D1E">
            <w:pPr>
              <w:jc w:val="both"/>
              <w:rPr>
                <w:rFonts w:hint="eastAsia" w:ascii="宋体" w:hAnsi="宋体" w:eastAsia="宋体" w:cs="Times New Roman"/>
                <w:sz w:val="24"/>
                <w:szCs w:val="24"/>
              </w:rPr>
            </w:pPr>
          </w:p>
          <w:p w14:paraId="54A3F8F0">
            <w:pPr>
              <w:jc w:val="both"/>
              <w:rPr>
                <w:rFonts w:hint="eastAsia" w:ascii="宋体" w:hAnsi="宋体" w:eastAsia="宋体" w:cs="Times New Roman"/>
                <w:sz w:val="24"/>
                <w:szCs w:val="24"/>
              </w:rPr>
            </w:pPr>
          </w:p>
          <w:p w14:paraId="68899C2B">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2FF55CD">
            <w:pPr>
              <w:jc w:val="center"/>
              <w:rPr>
                <w:rFonts w:hint="eastAsia" w:ascii="宋体" w:hAnsi="宋体" w:eastAsia="宋体" w:cs="Times New Roman"/>
                <w:sz w:val="21"/>
                <w:szCs w:val="21"/>
                <w:lang w:eastAsia="zh-CN"/>
              </w:rPr>
            </w:pPr>
          </w:p>
          <w:p w14:paraId="288C4097">
            <w:pPr>
              <w:spacing w:line="360" w:lineRule="auto"/>
              <w:rPr>
                <w:rFonts w:ascii="Times New Roman" w:hAnsi="Times New Roman" w:eastAsia="宋体" w:cs="Times New Roman"/>
                <w:sz w:val="30"/>
                <w:szCs w:val="30"/>
              </w:rPr>
            </w:pPr>
          </w:p>
        </w:tc>
      </w:tr>
    </w:tbl>
    <w:p w14:paraId="4EF0C4AE">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25D250D5">
      <w:pPr>
        <w:snapToGrid w:val="0"/>
        <w:spacing w:before="120" w:beforeLines="50" w:after="50" w:line="460" w:lineRule="exact"/>
        <w:rPr>
          <w:rFonts w:hint="eastAsia" w:ascii="宋体" w:hAnsi="宋体" w:eastAsia="宋体" w:cs="Times New Roman"/>
          <w:b/>
          <w:color w:val="000000"/>
          <w:sz w:val="24"/>
        </w:rPr>
      </w:pPr>
    </w:p>
    <w:p w14:paraId="23717E06">
      <w:pPr>
        <w:snapToGrid w:val="0"/>
        <w:spacing w:before="120" w:beforeLines="50" w:after="50" w:line="460" w:lineRule="exact"/>
        <w:rPr>
          <w:rFonts w:hint="eastAsia" w:ascii="宋体" w:hAnsi="宋体" w:eastAsia="宋体" w:cs="Times New Roman"/>
          <w:b/>
          <w:color w:val="000000"/>
          <w:sz w:val="24"/>
        </w:rPr>
      </w:pPr>
    </w:p>
    <w:p w14:paraId="744B22A6">
      <w:pPr>
        <w:snapToGrid w:val="0"/>
        <w:spacing w:before="120" w:beforeLines="50" w:after="50" w:line="460" w:lineRule="exact"/>
        <w:rPr>
          <w:rFonts w:hint="eastAsia" w:ascii="宋体" w:hAnsi="宋体" w:eastAsia="宋体" w:cs="Times New Roman"/>
          <w:b/>
          <w:color w:val="000000"/>
          <w:sz w:val="24"/>
        </w:rPr>
      </w:pPr>
    </w:p>
    <w:p w14:paraId="765E7B26">
      <w:pPr>
        <w:snapToGrid w:val="0"/>
        <w:spacing w:before="120" w:beforeLines="50" w:after="50" w:line="460" w:lineRule="exact"/>
        <w:rPr>
          <w:rFonts w:hint="eastAsia" w:ascii="宋体" w:hAnsi="宋体" w:eastAsia="宋体" w:cs="Times New Roman"/>
          <w:b/>
          <w:color w:val="000000"/>
          <w:sz w:val="24"/>
        </w:rPr>
      </w:pPr>
    </w:p>
    <w:p w14:paraId="203B0324">
      <w:pPr>
        <w:snapToGrid w:val="0"/>
        <w:spacing w:before="120" w:beforeLines="50" w:after="50" w:line="460" w:lineRule="exact"/>
        <w:rPr>
          <w:rFonts w:hint="eastAsia" w:ascii="宋体" w:hAnsi="宋体" w:eastAsia="宋体" w:cs="Times New Roman"/>
          <w:b/>
          <w:color w:val="000000"/>
          <w:sz w:val="24"/>
        </w:rPr>
      </w:pPr>
    </w:p>
    <w:p w14:paraId="667538C9">
      <w:pPr>
        <w:snapToGrid w:val="0"/>
        <w:spacing w:before="120" w:beforeLines="50" w:after="50" w:line="460" w:lineRule="exact"/>
        <w:rPr>
          <w:rFonts w:hint="eastAsia" w:ascii="宋体" w:hAnsi="宋体" w:eastAsia="宋体" w:cs="Times New Roman"/>
          <w:b/>
          <w:color w:val="000000"/>
          <w:sz w:val="24"/>
        </w:rPr>
      </w:pPr>
    </w:p>
    <w:p w14:paraId="6899150B">
      <w:pPr>
        <w:snapToGrid w:val="0"/>
        <w:spacing w:before="120" w:beforeLines="50" w:after="50" w:line="460" w:lineRule="exact"/>
        <w:rPr>
          <w:rFonts w:hint="eastAsia" w:ascii="宋体" w:hAnsi="宋体" w:eastAsia="宋体" w:cs="Times New Roman"/>
          <w:b/>
          <w:color w:val="000000"/>
          <w:sz w:val="24"/>
        </w:rPr>
      </w:pPr>
    </w:p>
    <w:p w14:paraId="3C808FC3">
      <w:pPr>
        <w:snapToGrid w:val="0"/>
        <w:spacing w:before="120" w:beforeLines="50" w:after="50" w:line="460" w:lineRule="exact"/>
        <w:rPr>
          <w:rFonts w:hint="eastAsia" w:ascii="宋体" w:hAnsi="宋体" w:eastAsia="宋体" w:cs="Times New Roman"/>
          <w:b/>
          <w:color w:val="000000"/>
          <w:sz w:val="24"/>
        </w:rPr>
      </w:pPr>
    </w:p>
    <w:p w14:paraId="054B7C65">
      <w:pPr>
        <w:snapToGrid w:val="0"/>
        <w:spacing w:before="120" w:beforeLines="50" w:after="50" w:line="460" w:lineRule="exact"/>
        <w:rPr>
          <w:rFonts w:hint="eastAsia" w:ascii="宋体" w:hAnsi="宋体" w:eastAsia="宋体" w:cs="Times New Roman"/>
          <w:b/>
          <w:color w:val="000000"/>
          <w:sz w:val="24"/>
        </w:rPr>
      </w:pPr>
    </w:p>
    <w:p w14:paraId="1B1E45FE">
      <w:pPr>
        <w:snapToGrid w:val="0"/>
        <w:spacing w:before="120" w:beforeLines="50" w:after="50" w:line="460" w:lineRule="exact"/>
        <w:rPr>
          <w:rFonts w:hint="eastAsia" w:ascii="宋体" w:hAnsi="宋体" w:eastAsia="宋体" w:cs="Times New Roman"/>
          <w:b/>
          <w:color w:val="000000"/>
          <w:sz w:val="24"/>
        </w:rPr>
      </w:pPr>
    </w:p>
    <w:p w14:paraId="7F52AB18">
      <w:pPr>
        <w:snapToGrid w:val="0"/>
        <w:spacing w:before="120" w:beforeLines="50" w:after="50" w:line="460" w:lineRule="exact"/>
        <w:rPr>
          <w:rFonts w:hint="eastAsia" w:ascii="宋体" w:hAnsi="宋体" w:eastAsia="宋体" w:cs="Times New Roman"/>
          <w:b/>
          <w:color w:val="000000"/>
          <w:sz w:val="24"/>
        </w:rPr>
      </w:pPr>
    </w:p>
    <w:p w14:paraId="4074CAF5">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3AF57BC4">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3AF57BC4">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3D2FCD6B">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0EF67D4B">
      <w:pPr>
        <w:shd w:val="clear"/>
        <w:snapToGrid w:val="0"/>
        <w:spacing w:before="120" w:beforeLines="50" w:after="50" w:line="360" w:lineRule="auto"/>
        <w:jc w:val="both"/>
        <w:rPr>
          <w:rFonts w:ascii="宋体" w:hAnsi="宋体"/>
          <w:color w:val="auto"/>
          <w:sz w:val="24"/>
          <w:szCs w:val="24"/>
          <w:highlight w:val="none"/>
        </w:rPr>
      </w:pPr>
      <w:bookmarkStart w:id="63" w:name="_Toc265669851"/>
      <w:r>
        <w:rPr>
          <w:rFonts w:hint="eastAsia" w:ascii="宋体" w:hAnsi="宋体" w:cs="宋体"/>
          <w:color w:val="auto"/>
          <w:sz w:val="24"/>
          <w:szCs w:val="24"/>
          <w:highlight w:val="none"/>
          <w:shd w:val="clear" w:color="auto" w:fill="auto"/>
          <w:lang w:val="en-US" w:eastAsia="zh-CN"/>
        </w:rPr>
        <w:t>8</w:t>
      </w:r>
      <w:r>
        <w:rPr>
          <w:rFonts w:hint="eastAsia" w:ascii="宋体" w:hAnsi="宋体" w:eastAsia="宋体" w:cs="宋体"/>
          <w:color w:val="auto"/>
          <w:sz w:val="24"/>
          <w:szCs w:val="24"/>
          <w:highlight w:val="none"/>
          <w:shd w:val="clear" w:color="auto" w:fill="auto"/>
        </w:rPr>
        <w:t>.</w:t>
      </w:r>
      <w:r>
        <w:rPr>
          <w:rFonts w:hint="eastAsia" w:ascii="宋体" w:hAnsi="宋体"/>
          <w:bCs/>
          <w:color w:val="auto"/>
          <w:sz w:val="24"/>
          <w:szCs w:val="24"/>
          <w:highlight w:val="none"/>
          <w:lang w:val="en-US" w:eastAsia="zh-CN"/>
        </w:rPr>
        <w:t>项目清单说明</w:t>
      </w:r>
      <w:r>
        <w:rPr>
          <w:rFonts w:hint="eastAsia" w:ascii="宋体" w:hAnsi="宋体"/>
          <w:bCs/>
          <w:color w:val="auto"/>
          <w:sz w:val="24"/>
          <w:szCs w:val="24"/>
          <w:highlight w:val="none"/>
        </w:rPr>
        <w:t>表</w:t>
      </w:r>
    </w:p>
    <w:p w14:paraId="75C57FDB">
      <w:pPr>
        <w:shd w:val="clear"/>
        <w:snapToGrid w:val="0"/>
        <w:spacing w:before="120" w:beforeLines="50" w:after="50" w:line="360" w:lineRule="auto"/>
        <w:jc w:val="center"/>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项目清单说明</w:t>
      </w:r>
      <w:r>
        <w:rPr>
          <w:rFonts w:hint="eastAsia" w:ascii="宋体" w:hAnsi="宋体"/>
          <w:bCs/>
          <w:color w:val="auto"/>
          <w:sz w:val="24"/>
          <w:szCs w:val="24"/>
          <w:highlight w:val="none"/>
        </w:rPr>
        <w:t>表</w:t>
      </w:r>
    </w:p>
    <w:p w14:paraId="7EBCE9F2">
      <w:pPr>
        <w:shd w:val="clear"/>
        <w:snapToGrid w:val="0"/>
        <w:spacing w:before="120" w:beforeLines="50" w:after="50" w:line="360" w:lineRule="auto"/>
        <w:rPr>
          <w:rFonts w:ascii="宋体" w:hAnsi="宋体"/>
          <w:bCs/>
          <w:color w:val="auto"/>
          <w:sz w:val="24"/>
          <w:szCs w:val="24"/>
          <w:highlight w:val="none"/>
        </w:rPr>
      </w:pPr>
      <w:r>
        <w:rPr>
          <w:rFonts w:hint="eastAsia" w:ascii="宋体" w:hAnsi="宋体"/>
          <w:bCs/>
          <w:color w:val="auto"/>
          <w:sz w:val="24"/>
          <w:szCs w:val="24"/>
          <w:highlight w:val="none"/>
        </w:rPr>
        <w:t>项目名称：</w:t>
      </w:r>
    </w:p>
    <w:tbl>
      <w:tblPr>
        <w:tblStyle w:val="51"/>
        <w:tblW w:w="9219" w:type="dxa"/>
        <w:tblInd w:w="93" w:type="dxa"/>
        <w:tblLayout w:type="fixed"/>
        <w:tblCellMar>
          <w:top w:w="0" w:type="dxa"/>
          <w:left w:w="108" w:type="dxa"/>
          <w:bottom w:w="0" w:type="dxa"/>
          <w:right w:w="108" w:type="dxa"/>
        </w:tblCellMar>
      </w:tblPr>
      <w:tblGrid>
        <w:gridCol w:w="728"/>
        <w:gridCol w:w="2122"/>
        <w:gridCol w:w="2006"/>
        <w:gridCol w:w="3097"/>
        <w:gridCol w:w="1266"/>
      </w:tblGrid>
      <w:tr w14:paraId="7F5A358D">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380567">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5BFE27">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设备名称</w:t>
            </w:r>
          </w:p>
        </w:tc>
        <w:tc>
          <w:tcPr>
            <w:tcW w:w="20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08FA1B">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参数</w:t>
            </w:r>
          </w:p>
        </w:tc>
        <w:tc>
          <w:tcPr>
            <w:tcW w:w="309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5ECA8">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品牌/型号</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1178CDAE">
            <w:pPr>
              <w:keepNext w:val="0"/>
              <w:keepLines w:val="0"/>
              <w:widowControl/>
              <w:suppressLineNumbers w:val="0"/>
              <w:shd w:val="clear"/>
              <w:spacing w:before="0" w:beforeAutospacing="0" w:after="0" w:afterAutospacing="0"/>
              <w:ind w:left="0" w:right="0"/>
              <w:jc w:val="center"/>
              <w:rPr>
                <w:rFonts w:hint="default" w:ascii="宋体" w:hAnsi="宋体" w:cs="宋体"/>
                <w:b/>
                <w:color w:val="auto"/>
                <w:kern w:val="0"/>
                <w:sz w:val="24"/>
                <w:szCs w:val="24"/>
                <w:highlight w:val="none"/>
              </w:rPr>
            </w:pPr>
            <w:r>
              <w:rPr>
                <w:rFonts w:hint="eastAsia" w:ascii="宋体" w:hAnsi="宋体" w:cs="宋体"/>
                <w:b/>
                <w:color w:val="auto"/>
                <w:kern w:val="0"/>
                <w:sz w:val="24"/>
                <w:szCs w:val="24"/>
                <w:highlight w:val="none"/>
              </w:rPr>
              <w:t>备注</w:t>
            </w:r>
          </w:p>
        </w:tc>
      </w:tr>
      <w:tr w14:paraId="11B54B64">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1B0938">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3808D1">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C6A939">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64C80C">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4A9B6573">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r>
      <w:tr w14:paraId="61B983B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9AA0C21">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012454F5">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710AAE5">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B7EB3C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6EEC64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1A474DE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2925D0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7F92A826">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2CC5156">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B75FCDA">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F20319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6E5AF17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B6CCA0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28034DFD">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EB9B248">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431B7B3">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172FBA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74364BB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DAAF03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19D2B31E">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DCE9399">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72F037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CE80425">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7916F42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4260C9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4E0E47EE">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73A38553">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9205BC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24D3C3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32D3A2B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AF95A9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68421D9F">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723D49F1">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C5C05A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F273F4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272B859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7BDE36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7076CAFF">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18D9E566">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285C53C">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09F1DD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1ED31B6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0B071F3">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5B4F7681">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4138A805">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7FA84458">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7F3A75E">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06E07C6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19DB701">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52B7B4E7">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1AE4CC3">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A823E59">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3CBF32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74802E4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1060E5A">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0B987B36">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455F9B65">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607B720">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CEC2C3D">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525B9F7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5D2489B">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6FD500CD">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80FD66A">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69B94604">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524213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4ADC54E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5A4F634">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1FDC54EF">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564E6E22">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17B8E37">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EEC1BF6">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r w14:paraId="239A5BF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76451DA">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7AE569B4">
            <w:pPr>
              <w:keepNext w:val="0"/>
              <w:keepLines w:val="0"/>
              <w:widowControl/>
              <w:suppressLineNumbers w:val="0"/>
              <w:shd w:val="clear"/>
              <w:spacing w:before="0" w:beforeAutospacing="0" w:after="0" w:afterAutospacing="0"/>
              <w:ind w:left="0" w:right="0"/>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w:t>
            </w:r>
          </w:p>
        </w:tc>
        <w:tc>
          <w:tcPr>
            <w:tcW w:w="2006" w:type="dxa"/>
            <w:tcBorders>
              <w:top w:val="nil"/>
              <w:left w:val="nil"/>
              <w:bottom w:val="single" w:color="000000" w:sz="4" w:space="0"/>
              <w:right w:val="single" w:color="000000" w:sz="4" w:space="0"/>
            </w:tcBorders>
            <w:shd w:val="clear" w:color="auto" w:fill="FFFFFF"/>
            <w:noWrap w:val="0"/>
            <w:vAlign w:val="center"/>
          </w:tcPr>
          <w:p w14:paraId="0F6ECC52">
            <w:pPr>
              <w:keepNext w:val="0"/>
              <w:keepLines w:val="0"/>
              <w:widowControl/>
              <w:suppressLineNumbers w:val="0"/>
              <w:shd w:val="clear"/>
              <w:spacing w:before="0" w:beforeAutospacing="0" w:after="0" w:afterAutospacing="0"/>
              <w:ind w:left="0" w:right="0"/>
              <w:jc w:val="left"/>
              <w:rPr>
                <w:rFonts w:hint="default" w:ascii="宋体" w:hAnsi="宋体" w:cs="宋体"/>
                <w:color w:val="auto"/>
                <w:kern w:val="0"/>
                <w:sz w:val="24"/>
                <w:szCs w:val="24"/>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60685BEA">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FB1693F">
            <w:pPr>
              <w:keepNext w:val="0"/>
              <w:keepLines w:val="0"/>
              <w:widowControl/>
              <w:suppressLineNumbers w:val="0"/>
              <w:shd w:val="clear"/>
              <w:spacing w:before="0" w:beforeAutospacing="0" w:after="0" w:afterAutospacing="0"/>
              <w:ind w:left="0" w:right="0"/>
              <w:jc w:val="center"/>
              <w:rPr>
                <w:rFonts w:hint="default" w:ascii="宋体" w:hAnsi="宋体" w:cs="宋体"/>
                <w:color w:val="auto"/>
                <w:kern w:val="0"/>
                <w:sz w:val="24"/>
                <w:szCs w:val="24"/>
                <w:highlight w:val="none"/>
              </w:rPr>
            </w:pPr>
          </w:p>
        </w:tc>
      </w:tr>
    </w:tbl>
    <w:p w14:paraId="04721DC8">
      <w:pPr>
        <w:shd w:val="clear"/>
        <w:snapToGrid w:val="0"/>
        <w:spacing w:before="50" w:after="120" w:afterLines="50"/>
        <w:jc w:val="left"/>
        <w:rPr>
          <w:rFonts w:ascii="宋体" w:hAnsi="宋体"/>
          <w:color w:val="auto"/>
          <w:spacing w:val="20"/>
          <w:sz w:val="24"/>
          <w:szCs w:val="24"/>
          <w:highlight w:val="none"/>
        </w:rPr>
      </w:pPr>
      <w:r>
        <w:rPr>
          <w:rFonts w:hint="eastAsia" w:ascii="宋体" w:hAnsi="宋体"/>
          <w:color w:val="auto"/>
          <w:spacing w:val="20"/>
          <w:sz w:val="24"/>
          <w:szCs w:val="24"/>
          <w:highlight w:val="none"/>
        </w:rPr>
        <w:t>法定代表人签字（或盖章）：            投标人（盖章）：</w:t>
      </w:r>
    </w:p>
    <w:p w14:paraId="30D7CA5C">
      <w:pPr>
        <w:shd w:val="clear"/>
        <w:snapToGrid w:val="0"/>
        <w:spacing w:before="50" w:after="120" w:afterLines="50"/>
        <w:jc w:val="left"/>
        <w:rPr>
          <w:rFonts w:ascii="宋体" w:hAnsi="宋体"/>
          <w:color w:val="auto"/>
          <w:sz w:val="24"/>
          <w:szCs w:val="24"/>
          <w:highlight w:val="none"/>
        </w:rPr>
      </w:pPr>
      <w:r>
        <w:rPr>
          <w:rFonts w:hint="eastAsia" w:ascii="宋体" w:hAnsi="宋体"/>
          <w:color w:val="auto"/>
          <w:sz w:val="24"/>
          <w:szCs w:val="24"/>
          <w:highlight w:val="none"/>
        </w:rPr>
        <w:t>日期：</w:t>
      </w:r>
    </w:p>
    <w:p w14:paraId="21D646B1">
      <w:pPr>
        <w:shd w:val="clear"/>
        <w:snapToGrid w:val="0"/>
        <w:spacing w:before="50" w:after="120" w:afterLines="50"/>
        <w:jc w:val="left"/>
        <w:rPr>
          <w:rFonts w:hint="eastAsia" w:ascii="宋体" w:hAnsi="宋体"/>
          <w:color w:val="auto"/>
          <w:sz w:val="24"/>
          <w:szCs w:val="24"/>
          <w:highlight w:val="none"/>
        </w:rPr>
      </w:pPr>
    </w:p>
    <w:p w14:paraId="3BB64A10">
      <w:pPr>
        <w:shd w:val="clear"/>
        <w:snapToGrid w:val="0"/>
        <w:spacing w:before="50" w:after="120" w:afterLines="50"/>
        <w:jc w:val="left"/>
        <w:rPr>
          <w:rFonts w:hint="eastAsia" w:ascii="宋体" w:hAnsi="宋体" w:eastAsia="宋体" w:cs="宋体"/>
          <w:color w:val="auto"/>
          <w:sz w:val="24"/>
          <w:szCs w:val="24"/>
          <w:highlight w:val="none"/>
          <w:shd w:val="clear" w:color="auto" w:fill="auto"/>
        </w:rPr>
      </w:pPr>
    </w:p>
    <w:p w14:paraId="37DD20D6">
      <w:pPr>
        <w:shd w:val="clear"/>
        <w:snapToGrid w:val="0"/>
        <w:spacing w:before="50" w:after="120" w:afterLines="50"/>
        <w:jc w:val="left"/>
        <w:rPr>
          <w:rFonts w:hint="eastAsia" w:ascii="宋体" w:hAnsi="宋体" w:eastAsia="宋体" w:cs="宋体"/>
          <w:color w:val="auto"/>
          <w:sz w:val="24"/>
          <w:szCs w:val="24"/>
          <w:highlight w:val="none"/>
          <w:shd w:val="clear" w:color="auto" w:fill="auto"/>
        </w:rPr>
      </w:pPr>
    </w:p>
    <w:p w14:paraId="4EEF9A5D">
      <w:pPr>
        <w:pStyle w:val="409"/>
        <w:shd w:val="clear"/>
        <w:rPr>
          <w:rFonts w:hint="eastAsia" w:ascii="宋体" w:hAnsi="宋体" w:eastAsia="宋体" w:cs="宋体"/>
          <w:color w:val="auto"/>
          <w:sz w:val="24"/>
          <w:szCs w:val="24"/>
          <w:highlight w:val="none"/>
          <w:shd w:val="clear" w:color="auto" w:fill="auto"/>
        </w:rPr>
      </w:pPr>
    </w:p>
    <w:p w14:paraId="5DA21C89">
      <w:pPr>
        <w:pStyle w:val="409"/>
        <w:shd w:val="clear"/>
        <w:rPr>
          <w:rFonts w:hint="eastAsia" w:ascii="宋体" w:hAnsi="宋体" w:eastAsia="宋体" w:cs="宋体"/>
          <w:color w:val="auto"/>
          <w:sz w:val="24"/>
          <w:szCs w:val="24"/>
          <w:highlight w:val="none"/>
          <w:shd w:val="clear" w:color="auto" w:fill="auto"/>
        </w:rPr>
      </w:pPr>
    </w:p>
    <w:p w14:paraId="2C1CD5C3">
      <w:pPr>
        <w:pStyle w:val="409"/>
        <w:shd w:val="clear"/>
        <w:rPr>
          <w:rFonts w:hint="eastAsia" w:ascii="宋体" w:hAnsi="宋体" w:eastAsia="宋体" w:cs="宋体"/>
          <w:color w:val="auto"/>
          <w:sz w:val="24"/>
          <w:szCs w:val="24"/>
          <w:highlight w:val="none"/>
          <w:shd w:val="clear" w:color="auto" w:fill="auto"/>
        </w:rPr>
      </w:pPr>
    </w:p>
    <w:p w14:paraId="647A1FDC">
      <w:pPr>
        <w:pStyle w:val="409"/>
        <w:shd w:val="clear"/>
        <w:rPr>
          <w:rFonts w:hint="eastAsia" w:ascii="宋体" w:hAnsi="宋体" w:eastAsia="宋体" w:cs="宋体"/>
          <w:color w:val="auto"/>
          <w:sz w:val="24"/>
          <w:szCs w:val="24"/>
          <w:highlight w:val="none"/>
          <w:shd w:val="clear" w:color="auto" w:fill="auto"/>
        </w:rPr>
      </w:pPr>
    </w:p>
    <w:p w14:paraId="2F529F84">
      <w:pPr>
        <w:pStyle w:val="409"/>
        <w:shd w:val="clear"/>
        <w:rPr>
          <w:rFonts w:hint="eastAsia" w:ascii="宋体" w:hAnsi="宋体" w:eastAsia="宋体" w:cs="宋体"/>
          <w:color w:val="auto"/>
          <w:sz w:val="24"/>
          <w:szCs w:val="24"/>
          <w:highlight w:val="none"/>
          <w:shd w:val="clear" w:color="auto" w:fill="auto"/>
        </w:rPr>
      </w:pPr>
    </w:p>
    <w:p w14:paraId="6282304E">
      <w:pPr>
        <w:pStyle w:val="409"/>
        <w:shd w:val="clear"/>
        <w:rPr>
          <w:rFonts w:hint="eastAsia" w:ascii="宋体" w:hAnsi="宋体" w:eastAsia="宋体" w:cs="宋体"/>
          <w:color w:val="auto"/>
          <w:sz w:val="24"/>
          <w:szCs w:val="24"/>
          <w:highlight w:val="none"/>
          <w:shd w:val="clear" w:color="auto" w:fill="auto"/>
        </w:rPr>
      </w:pPr>
    </w:p>
    <w:p w14:paraId="51C01AD3">
      <w:pPr>
        <w:pStyle w:val="409"/>
        <w:shd w:val="clear"/>
        <w:rPr>
          <w:rFonts w:hint="eastAsia" w:ascii="宋体" w:hAnsi="宋体" w:eastAsia="宋体" w:cs="宋体"/>
          <w:color w:val="auto"/>
          <w:sz w:val="24"/>
          <w:szCs w:val="24"/>
          <w:highlight w:val="none"/>
          <w:shd w:val="clear" w:color="auto" w:fill="auto"/>
        </w:rPr>
      </w:pPr>
    </w:p>
    <w:p w14:paraId="557E9AF3">
      <w:pPr>
        <w:shd w:val="clear"/>
        <w:snapToGrid w:val="0"/>
        <w:spacing w:before="50" w:after="120" w:afterLines="50"/>
        <w:jc w:val="lef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shd w:val="clear" w:color="auto" w:fill="auto"/>
        </w:rPr>
        <w:t>.项目负责人简历：</w:t>
      </w:r>
    </w:p>
    <w:p w14:paraId="29D34A50">
      <w:pPr>
        <w:shd w:val="clear"/>
        <w:snapToGrid w:val="0"/>
        <w:spacing w:before="50" w:after="120" w:afterLines="50"/>
        <w:jc w:val="left"/>
        <w:rPr>
          <w:rFonts w:hint="eastAsia" w:ascii="宋体" w:hAnsi="宋体" w:eastAsia="宋体" w:cs="宋体"/>
          <w:color w:val="auto"/>
          <w:sz w:val="24"/>
          <w:szCs w:val="24"/>
          <w:highlight w:val="none"/>
          <w:shd w:val="clear" w:color="auto" w:fill="auto"/>
        </w:rPr>
      </w:pPr>
    </w:p>
    <w:p w14:paraId="13237CDA">
      <w:pPr>
        <w:shd w:val="clear"/>
        <w:jc w:val="center"/>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snapToGrid w:val="0"/>
          <w:color w:val="auto"/>
          <w:sz w:val="24"/>
          <w:szCs w:val="24"/>
          <w:highlight w:val="none"/>
          <w:shd w:val="clear" w:color="auto" w:fill="auto"/>
        </w:rPr>
        <w:t>项目负责人简历表</w:t>
      </w:r>
    </w:p>
    <w:p w14:paraId="7DFA9E28">
      <w:pPr>
        <w:shd w:val="clear"/>
        <w:snapToGrid w:val="0"/>
        <w:spacing w:before="120" w:beforeLines="50" w:after="50" w:line="360" w:lineRule="auto"/>
        <w:jc w:val="center"/>
        <w:rPr>
          <w:rFonts w:hint="eastAsia" w:ascii="宋体" w:hAnsi="宋体" w:eastAsia="宋体" w:cs="宋体"/>
          <w:bCs/>
          <w:color w:val="auto"/>
          <w:sz w:val="24"/>
          <w:szCs w:val="24"/>
          <w:highlight w:val="none"/>
          <w:shd w:val="clear" w:color="auto" w:fill="auto"/>
        </w:rPr>
      </w:pPr>
    </w:p>
    <w:p w14:paraId="4FEBD28D">
      <w:pPr>
        <w:shd w:val="clear"/>
        <w:snapToGrid w:val="0"/>
        <w:spacing w:before="120" w:beforeLines="50" w:after="50"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56B6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324ADEA">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38F41D90">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5AC62C1">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69F40797">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r w14:paraId="1D2D8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3B70FB3">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E4870D9">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4F2F6BD">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16B6C462">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r w14:paraId="02CD4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EF3D548">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1880F266">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c>
          <w:tcPr>
            <w:tcW w:w="1952" w:type="dxa"/>
            <w:tcBorders>
              <w:top w:val="single" w:color="auto" w:sz="4" w:space="0"/>
              <w:left w:val="single" w:color="auto" w:sz="4" w:space="0"/>
              <w:bottom w:val="single" w:color="auto" w:sz="4" w:space="0"/>
              <w:right w:val="single" w:color="auto" w:sz="4" w:space="0"/>
            </w:tcBorders>
            <w:vAlign w:val="center"/>
          </w:tcPr>
          <w:p w14:paraId="71D44C8F">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E6DC6DF">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r w14:paraId="199D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B7EBCC3">
            <w:pPr>
              <w:keepNext w:val="0"/>
              <w:keepLines w:val="0"/>
              <w:suppressLineNumbers w:val="0"/>
              <w:shd w:val="clear"/>
              <w:spacing w:before="0" w:beforeAutospacing="0" w:after="0" w:afterAutospacing="0" w:line="351" w:lineRule="atLeast"/>
              <w:ind w:left="0" w:right="0" w:firstLine="477" w:firstLineChars="199"/>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21BB74F4">
            <w:pPr>
              <w:keepNext w:val="0"/>
              <w:keepLines w:val="0"/>
              <w:suppressLineNumbers w:val="0"/>
              <w:shd w:val="clear"/>
              <w:spacing w:before="0" w:beforeAutospacing="0" w:after="0" w:afterAutospacing="0" w:line="351" w:lineRule="atLeast"/>
              <w:ind w:left="0" w:right="0" w:firstLine="419"/>
              <w:jc w:val="center"/>
              <w:rPr>
                <w:rFonts w:hint="eastAsia" w:ascii="宋体" w:hAnsi="宋体" w:eastAsia="宋体" w:cs="宋体"/>
                <w:color w:val="auto"/>
                <w:sz w:val="24"/>
                <w:szCs w:val="24"/>
                <w:highlight w:val="none"/>
                <w:u w:color="000000"/>
                <w:shd w:val="clear" w:color="auto" w:fill="auto"/>
              </w:rPr>
            </w:pPr>
          </w:p>
        </w:tc>
        <w:tc>
          <w:tcPr>
            <w:tcW w:w="1952" w:type="dxa"/>
            <w:tcBorders>
              <w:top w:val="single" w:color="auto" w:sz="4" w:space="0"/>
              <w:left w:val="single" w:color="auto" w:sz="4" w:space="0"/>
              <w:bottom w:val="single" w:color="000000" w:sz="4" w:space="0"/>
              <w:right w:val="single" w:color="auto" w:sz="4" w:space="0"/>
            </w:tcBorders>
            <w:vAlign w:val="center"/>
          </w:tcPr>
          <w:p w14:paraId="6D973F07">
            <w:pPr>
              <w:keepNext w:val="0"/>
              <w:keepLines w:val="0"/>
              <w:suppressLineNumbers w:val="0"/>
              <w:shd w:val="clear"/>
              <w:spacing w:before="0" w:beforeAutospacing="0" w:after="0" w:afterAutospacing="0" w:line="351" w:lineRule="atLeast"/>
              <w:ind w:left="0" w:right="0" w:firstLine="475" w:firstLineChars="198"/>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4F33E1FE">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r w14:paraId="096B7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4B4EABCB">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u w:color="000000"/>
                <w:shd w:val="clear" w:color="auto" w:fill="auto"/>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0AB79EAA">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c>
          <w:tcPr>
            <w:tcW w:w="1952" w:type="dxa"/>
            <w:tcBorders>
              <w:top w:val="single" w:color="auto" w:sz="4" w:space="0"/>
              <w:left w:val="single" w:color="auto" w:sz="4" w:space="0"/>
              <w:bottom w:val="single" w:color="000000" w:sz="4" w:space="0"/>
              <w:right w:val="single" w:color="auto" w:sz="4" w:space="0"/>
            </w:tcBorders>
            <w:vAlign w:val="center"/>
          </w:tcPr>
          <w:p w14:paraId="5D5004B3">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u w:color="000000"/>
                <w:shd w:val="clear" w:color="auto" w:fill="auto"/>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55F147C4">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r w14:paraId="245D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706B29A">
            <w:pPr>
              <w:keepNext w:val="0"/>
              <w:keepLines w:val="0"/>
              <w:suppressLineNumbers w:val="0"/>
              <w:shd w:val="clear"/>
              <w:spacing w:before="0" w:beforeAutospacing="0" w:after="0" w:afterAutospacing="0"/>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简</w:t>
            </w:r>
          </w:p>
          <w:p w14:paraId="45FD292D">
            <w:pPr>
              <w:keepNext w:val="0"/>
              <w:keepLines w:val="0"/>
              <w:suppressLineNumbers w:val="0"/>
              <w:shd w:val="clear"/>
              <w:spacing w:before="0" w:beforeAutospacing="0" w:after="0" w:afterAutospacing="0"/>
              <w:ind w:left="0" w:right="0"/>
              <w:jc w:val="center"/>
              <w:rPr>
                <w:rFonts w:hint="eastAsia" w:ascii="宋体" w:hAnsi="宋体" w:eastAsia="宋体" w:cs="宋体"/>
                <w:color w:val="auto"/>
                <w:sz w:val="24"/>
                <w:szCs w:val="24"/>
                <w:highlight w:val="none"/>
                <w:shd w:val="clear" w:color="auto" w:fill="auto"/>
              </w:rPr>
            </w:pPr>
          </w:p>
          <w:p w14:paraId="67BBA7E9">
            <w:pPr>
              <w:keepNext w:val="0"/>
              <w:keepLines w:val="0"/>
              <w:suppressLineNumbers w:val="0"/>
              <w:shd w:val="clear"/>
              <w:spacing w:before="0" w:beforeAutospacing="0" w:after="0" w:afterAutospacing="0"/>
              <w:ind w:left="0" w:right="0"/>
              <w:jc w:val="center"/>
              <w:rPr>
                <w:rFonts w:hint="eastAsia" w:ascii="宋体" w:hAnsi="宋体" w:eastAsia="宋体" w:cs="宋体"/>
                <w:color w:val="auto"/>
                <w:sz w:val="24"/>
                <w:szCs w:val="24"/>
                <w:highlight w:val="none"/>
                <w:shd w:val="clear" w:color="auto" w:fill="auto"/>
              </w:rPr>
            </w:pPr>
          </w:p>
          <w:p w14:paraId="694EDF86">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r>
              <w:rPr>
                <w:rFonts w:hint="eastAsia" w:ascii="宋体" w:hAnsi="宋体" w:eastAsia="宋体" w:cs="宋体"/>
                <w:color w:val="auto"/>
                <w:sz w:val="24"/>
                <w:szCs w:val="24"/>
                <w:highlight w:val="none"/>
                <w:shd w:val="clear" w:color="auto" w:fill="auto"/>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AE6EC3D">
            <w:pPr>
              <w:keepNext w:val="0"/>
              <w:keepLines w:val="0"/>
              <w:suppressLineNumbers w:val="0"/>
              <w:shd w:val="clear"/>
              <w:spacing w:before="0" w:beforeAutospacing="0" w:after="0" w:afterAutospacing="0" w:line="351" w:lineRule="atLeast"/>
              <w:ind w:left="0" w:right="0"/>
              <w:jc w:val="center"/>
              <w:rPr>
                <w:rFonts w:hint="eastAsia" w:ascii="宋体" w:hAnsi="宋体" w:eastAsia="宋体" w:cs="宋体"/>
                <w:color w:val="auto"/>
                <w:sz w:val="24"/>
                <w:szCs w:val="24"/>
                <w:highlight w:val="none"/>
                <w:u w:color="000000"/>
                <w:shd w:val="clear" w:color="auto" w:fill="auto"/>
              </w:rPr>
            </w:pPr>
          </w:p>
        </w:tc>
      </w:tr>
    </w:tbl>
    <w:p w14:paraId="4EA54208">
      <w:pPr>
        <w:shd w:val="clear"/>
        <w:rPr>
          <w:rFonts w:hint="eastAsia" w:ascii="宋体" w:hAnsi="宋体" w:eastAsia="宋体" w:cs="宋体"/>
          <w:bCs/>
          <w:snapToGrid w:val="0"/>
          <w:color w:val="auto"/>
          <w:sz w:val="24"/>
          <w:szCs w:val="24"/>
          <w:highlight w:val="none"/>
          <w:shd w:val="clear" w:color="auto" w:fill="auto"/>
        </w:rPr>
      </w:pPr>
    </w:p>
    <w:p w14:paraId="51C5C0E0">
      <w:pPr>
        <w:shd w:val="clear"/>
        <w:snapToGrid w:val="0"/>
        <w:spacing w:before="50" w:after="120" w:afterLines="50"/>
        <w:jc w:val="left"/>
        <w:rPr>
          <w:rFonts w:hint="eastAsia" w:ascii="宋体" w:hAnsi="宋体" w:eastAsia="宋体" w:cs="宋体"/>
          <w:b/>
          <w:color w:val="auto"/>
          <w:spacing w:val="20"/>
          <w:sz w:val="24"/>
          <w:szCs w:val="24"/>
          <w:highlight w:val="none"/>
          <w:shd w:val="clear" w:color="auto" w:fill="auto"/>
        </w:rPr>
      </w:pPr>
      <w:bookmarkStart w:id="64" w:name="_Hlk60757472"/>
      <w:r>
        <w:rPr>
          <w:rFonts w:hint="eastAsia" w:ascii="宋体" w:hAnsi="宋体" w:eastAsia="宋体" w:cs="宋体"/>
          <w:b/>
          <w:color w:val="auto"/>
          <w:spacing w:val="20"/>
          <w:sz w:val="24"/>
          <w:szCs w:val="24"/>
          <w:highlight w:val="none"/>
          <w:shd w:val="clear" w:color="auto" w:fill="auto"/>
        </w:rPr>
        <w:t>法定代表人签字（或盖章）：            投标人（盖章）：</w:t>
      </w:r>
    </w:p>
    <w:p w14:paraId="05F1494D">
      <w:pPr>
        <w:shd w:val="clear"/>
        <w:snapToGrid w:val="0"/>
        <w:spacing w:before="50" w:after="120" w:afterLines="50"/>
        <w:jc w:val="left"/>
        <w:rPr>
          <w:rFonts w:hint="eastAsia" w:ascii="宋体" w:hAnsi="宋体" w:eastAsia="宋体" w:cs="宋体"/>
          <w:b/>
          <w:color w:val="auto"/>
          <w:sz w:val="24"/>
          <w:szCs w:val="24"/>
          <w:highlight w:val="none"/>
          <w:shd w:val="clear" w:color="auto" w:fill="auto"/>
        </w:rPr>
      </w:pPr>
    </w:p>
    <w:p w14:paraId="60833783">
      <w:pPr>
        <w:shd w:val="clear"/>
        <w:snapToGrid w:val="0"/>
        <w:spacing w:before="50" w:after="120" w:afterLines="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日期：  _____年___月___日</w:t>
      </w:r>
      <w:r>
        <w:rPr>
          <w:rFonts w:hint="eastAsia" w:ascii="宋体" w:hAnsi="宋体" w:eastAsia="宋体" w:cs="宋体"/>
          <w:b/>
          <w:color w:val="auto"/>
          <w:sz w:val="24"/>
          <w:szCs w:val="24"/>
          <w:highlight w:val="none"/>
          <w:shd w:val="clear" w:color="auto" w:fill="auto"/>
        </w:rPr>
        <w:br w:type="page"/>
      </w:r>
      <w:bookmarkEnd w:id="64"/>
      <w:r>
        <w:rPr>
          <w:rFonts w:hint="eastAsia" w:ascii="宋体" w:hAnsi="宋体" w:cs="宋体"/>
          <w:color w:val="auto"/>
          <w:sz w:val="24"/>
          <w:szCs w:val="24"/>
          <w:highlight w:val="none"/>
          <w:shd w:val="clear" w:color="auto" w:fill="auto"/>
          <w:lang w:val="en-US" w:eastAsia="zh-CN"/>
        </w:rPr>
        <w:t>10</w:t>
      </w:r>
      <w:r>
        <w:rPr>
          <w:rFonts w:hint="eastAsia" w:ascii="宋体" w:hAnsi="宋体" w:eastAsia="宋体" w:cs="宋体"/>
          <w:color w:val="auto"/>
          <w:sz w:val="24"/>
          <w:szCs w:val="24"/>
          <w:highlight w:val="none"/>
          <w:shd w:val="clear" w:color="auto" w:fill="auto"/>
        </w:rPr>
        <w:t>、项目实施人员一览表格式</w:t>
      </w:r>
    </w:p>
    <w:p w14:paraId="5878041A">
      <w:pPr>
        <w:shd w:val="clear"/>
        <w:snapToGrid w:val="0"/>
        <w:spacing w:before="50" w:after="120" w:afterLines="50"/>
        <w:jc w:val="left"/>
        <w:rPr>
          <w:rFonts w:hint="eastAsia" w:ascii="宋体" w:hAnsi="宋体" w:eastAsia="宋体" w:cs="宋体"/>
          <w:color w:val="auto"/>
          <w:sz w:val="24"/>
          <w:szCs w:val="24"/>
          <w:highlight w:val="none"/>
          <w:shd w:val="clear" w:color="auto" w:fill="auto"/>
        </w:rPr>
      </w:pPr>
    </w:p>
    <w:p w14:paraId="3DCC2C9E">
      <w:pPr>
        <w:shd w:val="clear"/>
        <w:snapToGrid w:val="0"/>
        <w:spacing w:before="120" w:beforeLines="50" w:after="5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项目实施人员（主要从业人员及其技术资格）一览表</w:t>
      </w:r>
    </w:p>
    <w:p w14:paraId="5C182477">
      <w:pPr>
        <w:shd w:val="clear"/>
        <w:snapToGrid w:val="0"/>
        <w:spacing w:before="120" w:beforeLines="50" w:after="50"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tbl>
      <w:tblPr>
        <w:tblStyle w:val="51"/>
        <w:tblW w:w="9878"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80"/>
        <w:gridCol w:w="2060"/>
        <w:gridCol w:w="2246"/>
        <w:gridCol w:w="2432"/>
        <w:gridCol w:w="2060"/>
      </w:tblGrid>
      <w:tr w14:paraId="0B7EC2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vAlign w:val="center"/>
          </w:tcPr>
          <w:p w14:paraId="0325BAEA">
            <w:pPr>
              <w:keepNext w:val="0"/>
              <w:keepLines w:val="0"/>
              <w:suppressLineNumbers w:val="0"/>
              <w:shd w:val="clear"/>
              <w:snapToGrid w:val="0"/>
              <w:spacing w:before="120" w:beforeLines="50" w:beforeAutospacing="0" w:after="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2060" w:type="dxa"/>
            <w:tcBorders>
              <w:top w:val="single" w:color="auto" w:sz="4" w:space="0"/>
              <w:left w:val="single" w:color="auto" w:sz="4" w:space="0"/>
              <w:bottom w:val="single" w:color="auto" w:sz="4" w:space="0"/>
              <w:right w:val="single" w:color="auto" w:sz="4" w:space="0"/>
            </w:tcBorders>
            <w:vAlign w:val="center"/>
          </w:tcPr>
          <w:p w14:paraId="6791CEB7">
            <w:pPr>
              <w:keepNext w:val="0"/>
              <w:keepLines w:val="0"/>
              <w:suppressLineNumbers w:val="0"/>
              <w:shd w:val="clear"/>
              <w:snapToGrid w:val="0"/>
              <w:spacing w:before="120" w:beforeLines="50" w:beforeAutospacing="0" w:after="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姓名</w:t>
            </w:r>
          </w:p>
        </w:tc>
        <w:tc>
          <w:tcPr>
            <w:tcW w:w="2246" w:type="dxa"/>
            <w:tcBorders>
              <w:top w:val="single" w:color="auto" w:sz="4" w:space="0"/>
              <w:left w:val="single" w:color="auto" w:sz="4" w:space="0"/>
              <w:bottom w:val="single" w:color="auto" w:sz="4" w:space="0"/>
              <w:right w:val="single" w:color="auto" w:sz="4" w:space="0"/>
            </w:tcBorders>
            <w:vAlign w:val="center"/>
          </w:tcPr>
          <w:p w14:paraId="723BC527">
            <w:pPr>
              <w:keepNext w:val="0"/>
              <w:keepLines w:val="0"/>
              <w:suppressLineNumbers w:val="0"/>
              <w:shd w:val="clear"/>
              <w:snapToGrid w:val="0"/>
              <w:spacing w:before="120" w:beforeLines="50" w:beforeAutospacing="0" w:after="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职务</w:t>
            </w:r>
          </w:p>
        </w:tc>
        <w:tc>
          <w:tcPr>
            <w:tcW w:w="2432" w:type="dxa"/>
            <w:tcBorders>
              <w:top w:val="single" w:color="auto" w:sz="4" w:space="0"/>
              <w:left w:val="single" w:color="auto" w:sz="4" w:space="0"/>
              <w:bottom w:val="single" w:color="auto" w:sz="4" w:space="0"/>
              <w:right w:val="single" w:color="auto" w:sz="4" w:space="0"/>
            </w:tcBorders>
            <w:vAlign w:val="center"/>
          </w:tcPr>
          <w:p w14:paraId="550F553E">
            <w:pPr>
              <w:keepNext w:val="0"/>
              <w:keepLines w:val="0"/>
              <w:suppressLineNumbers w:val="0"/>
              <w:shd w:val="clear"/>
              <w:snapToGrid w:val="0"/>
              <w:spacing w:before="120" w:beforeLines="50" w:beforeAutospacing="0" w:after="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专业技术资格</w:t>
            </w:r>
          </w:p>
        </w:tc>
        <w:tc>
          <w:tcPr>
            <w:tcW w:w="2060" w:type="dxa"/>
            <w:tcBorders>
              <w:top w:val="single" w:color="auto" w:sz="4" w:space="0"/>
              <w:left w:val="single" w:color="auto" w:sz="4" w:space="0"/>
              <w:bottom w:val="single" w:color="auto" w:sz="4" w:space="0"/>
              <w:right w:val="single" w:color="auto" w:sz="4" w:space="0"/>
            </w:tcBorders>
            <w:vAlign w:val="center"/>
          </w:tcPr>
          <w:p w14:paraId="3F62B245">
            <w:pPr>
              <w:keepNext w:val="0"/>
              <w:keepLines w:val="0"/>
              <w:suppressLineNumbers w:val="0"/>
              <w:shd w:val="clear"/>
              <w:snapToGrid w:val="0"/>
              <w:spacing w:before="120" w:beforeLines="50" w:beforeAutospacing="0" w:after="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证书编号</w:t>
            </w:r>
          </w:p>
        </w:tc>
      </w:tr>
      <w:tr w14:paraId="6143F7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2AC19E52">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18017CAB">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18B77713">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7CFD359C">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2C5CCDFC">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671009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2DF697E9">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1B4CAD56">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323136FC">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54F86B6D">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3FEEE6A6">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301328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797DDBED">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31EF6520">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1F161DC7">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4EC4EAFB">
            <w:pPr>
              <w:pStyle w:val="32"/>
              <w:keepNext w:val="0"/>
              <w:keepLines w:val="0"/>
              <w:suppressLineNumbers w:val="0"/>
              <w:shd w:val="clear"/>
              <w:snapToGrid w:val="0"/>
              <w:spacing w:before="120" w:beforeLines="50" w:beforeAutospacing="0" w:after="50" w:afterAutospacing="0" w:line="360" w:lineRule="auto"/>
              <w:ind w:left="5250" w:right="0"/>
              <w:rPr>
                <w:rFonts w:hint="eastAsia" w:ascii="宋体" w:hAnsi="宋体" w:eastAsia="宋体" w:cs="宋体"/>
                <w:color w:val="auto"/>
                <w:kern w:val="2"/>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707D8EE3">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137997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0B455F56">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7D513ACA">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69FA80EC">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559028EC">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6BD755E5">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7E3E29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6A5C435A">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52DBF582">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008D568F">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5876DACB">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21ACB0E1">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11FB4E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7FA55E85">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428C1F88">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7394A8FA">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1608BF53">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0DE23F73">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24F755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7E17059F">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57735AF3">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4AE00933">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0BF7E3D2">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7928C36A">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510FBA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80" w:type="dxa"/>
            <w:tcBorders>
              <w:top w:val="single" w:color="auto" w:sz="4" w:space="0"/>
              <w:left w:val="single" w:color="auto" w:sz="4" w:space="0"/>
              <w:bottom w:val="single" w:color="auto" w:sz="4" w:space="0"/>
              <w:right w:val="single" w:color="auto" w:sz="4" w:space="0"/>
            </w:tcBorders>
          </w:tcPr>
          <w:p w14:paraId="60109EB3">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612AB4D3">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30EC4C9E">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02BE4385">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193DA530">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r w14:paraId="209D45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1080" w:type="dxa"/>
            <w:tcBorders>
              <w:top w:val="single" w:color="auto" w:sz="4" w:space="0"/>
              <w:left w:val="single" w:color="auto" w:sz="4" w:space="0"/>
              <w:bottom w:val="single" w:color="auto" w:sz="4" w:space="0"/>
              <w:right w:val="single" w:color="auto" w:sz="4" w:space="0"/>
            </w:tcBorders>
          </w:tcPr>
          <w:p w14:paraId="07918826">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76379FC8">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246" w:type="dxa"/>
            <w:tcBorders>
              <w:top w:val="single" w:color="auto" w:sz="4" w:space="0"/>
              <w:left w:val="single" w:color="auto" w:sz="4" w:space="0"/>
              <w:bottom w:val="single" w:color="auto" w:sz="4" w:space="0"/>
              <w:right w:val="single" w:color="auto" w:sz="4" w:space="0"/>
            </w:tcBorders>
          </w:tcPr>
          <w:p w14:paraId="426C8A08">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432" w:type="dxa"/>
            <w:tcBorders>
              <w:top w:val="single" w:color="auto" w:sz="4" w:space="0"/>
              <w:left w:val="single" w:color="auto" w:sz="4" w:space="0"/>
              <w:bottom w:val="single" w:color="auto" w:sz="4" w:space="0"/>
              <w:right w:val="single" w:color="auto" w:sz="4" w:space="0"/>
            </w:tcBorders>
          </w:tcPr>
          <w:p w14:paraId="594CDBB3">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c>
          <w:tcPr>
            <w:tcW w:w="2060" w:type="dxa"/>
            <w:tcBorders>
              <w:top w:val="single" w:color="auto" w:sz="4" w:space="0"/>
              <w:left w:val="single" w:color="auto" w:sz="4" w:space="0"/>
              <w:bottom w:val="single" w:color="auto" w:sz="4" w:space="0"/>
              <w:right w:val="single" w:color="auto" w:sz="4" w:space="0"/>
            </w:tcBorders>
          </w:tcPr>
          <w:p w14:paraId="2A96FE89">
            <w:pPr>
              <w:keepNext w:val="0"/>
              <w:keepLines w:val="0"/>
              <w:suppressLineNumbers w:val="0"/>
              <w:shd w:val="clear"/>
              <w:snapToGrid w:val="0"/>
              <w:spacing w:before="120" w:beforeLines="50" w:beforeAutospacing="0" w:after="50" w:afterAutospacing="0" w:line="360" w:lineRule="auto"/>
              <w:ind w:left="0" w:right="0"/>
              <w:rPr>
                <w:rFonts w:hint="eastAsia" w:ascii="宋体" w:hAnsi="宋体" w:eastAsia="宋体" w:cs="宋体"/>
                <w:color w:val="auto"/>
                <w:sz w:val="24"/>
                <w:szCs w:val="24"/>
                <w:highlight w:val="none"/>
                <w:shd w:val="clear" w:color="auto" w:fill="auto"/>
              </w:rPr>
            </w:pPr>
          </w:p>
        </w:tc>
      </w:tr>
    </w:tbl>
    <w:p w14:paraId="329236A0">
      <w:pPr>
        <w:shd w:val="clear"/>
        <w:snapToGrid w:val="0"/>
        <w:spacing w:before="50" w:after="120" w:afterLines="50"/>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注：在填写时，如本表格不适合投标人的实际情况，可根据本表格式自行划表填写。</w:t>
      </w:r>
    </w:p>
    <w:p w14:paraId="5FEC3F8A">
      <w:pPr>
        <w:shd w:val="clear"/>
        <w:snapToGrid w:val="0"/>
        <w:spacing w:before="50" w:after="120" w:afterLines="50" w:line="360" w:lineRule="auto"/>
        <w:jc w:val="left"/>
        <w:rPr>
          <w:rFonts w:hint="eastAsia" w:ascii="宋体" w:hAnsi="宋体" w:eastAsia="宋体" w:cs="宋体"/>
          <w:color w:val="auto"/>
          <w:sz w:val="24"/>
          <w:szCs w:val="24"/>
          <w:highlight w:val="none"/>
          <w:shd w:val="clear" w:color="auto" w:fill="auto"/>
        </w:rPr>
      </w:pPr>
    </w:p>
    <w:p w14:paraId="626CD48B">
      <w:pPr>
        <w:shd w:val="clear"/>
        <w:snapToGrid w:val="0"/>
        <w:spacing w:before="50" w:after="120" w:afterLines="50" w:line="360" w:lineRule="auto"/>
        <w:jc w:val="left"/>
        <w:rPr>
          <w:rFonts w:hint="eastAsia" w:ascii="宋体" w:hAnsi="宋体" w:eastAsia="宋体" w:cs="宋体"/>
          <w:color w:val="auto"/>
          <w:sz w:val="24"/>
          <w:szCs w:val="24"/>
          <w:highlight w:val="none"/>
          <w:shd w:val="clear" w:color="auto" w:fill="auto"/>
        </w:rPr>
      </w:pPr>
    </w:p>
    <w:p w14:paraId="5FB2D06A">
      <w:pPr>
        <w:shd w:val="clear"/>
        <w:snapToGrid w:val="0"/>
        <w:spacing w:before="50" w:after="5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 xml:space="preserve">法定代表人签字（或盖章）：            投标人（盖章）：          </w:t>
      </w:r>
    </w:p>
    <w:p w14:paraId="1CF59876">
      <w:pPr>
        <w:pStyle w:val="31"/>
        <w:shd w:val="clear"/>
        <w:snapToGrid w:val="0"/>
        <w:spacing w:beforeLines="0" w:afterLines="0" w:line="240" w:lineRule="auto"/>
        <w:rPr>
          <w:rFonts w:hint="eastAsia" w:ascii="宋体" w:hAnsi="宋体" w:eastAsia="宋体" w:cs="宋体"/>
          <w:b/>
          <w:color w:val="auto"/>
          <w:sz w:val="24"/>
          <w:szCs w:val="24"/>
          <w:highlight w:val="none"/>
          <w:shd w:val="clear" w:color="auto" w:fill="auto"/>
        </w:rPr>
      </w:pPr>
    </w:p>
    <w:p w14:paraId="1B9A81BF">
      <w:pPr>
        <w:pStyle w:val="31"/>
        <w:shd w:val="clear"/>
        <w:snapToGrid w:val="0"/>
        <w:spacing w:beforeLines="0" w:afterLines="0" w:line="24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日期：  _____年___月___日</w:t>
      </w:r>
    </w:p>
    <w:p w14:paraId="6B262DCC">
      <w:pPr>
        <w:pStyle w:val="31"/>
        <w:shd w:val="clear"/>
        <w:snapToGrid w:val="0"/>
        <w:spacing w:beforeLines="0" w:afterLines="0" w:line="240" w:lineRule="auto"/>
        <w:rPr>
          <w:rFonts w:hint="eastAsia" w:ascii="宋体" w:hAnsi="宋体" w:eastAsia="宋体" w:cs="宋体"/>
          <w:color w:val="auto"/>
          <w:sz w:val="24"/>
          <w:szCs w:val="24"/>
          <w:highlight w:val="none"/>
          <w:shd w:val="clear" w:color="auto" w:fill="auto"/>
        </w:rPr>
      </w:pPr>
    </w:p>
    <w:p w14:paraId="3119A474">
      <w:pPr>
        <w:pStyle w:val="31"/>
        <w:shd w:val="clear"/>
        <w:snapToGrid w:val="0"/>
        <w:spacing w:beforeLines="0" w:afterLines="0" w:line="240" w:lineRule="auto"/>
        <w:rPr>
          <w:rFonts w:hint="eastAsia" w:ascii="宋体" w:hAnsi="宋体" w:eastAsia="宋体" w:cs="宋体"/>
          <w:color w:val="auto"/>
          <w:sz w:val="24"/>
          <w:szCs w:val="24"/>
          <w:highlight w:val="none"/>
          <w:shd w:val="clear" w:color="auto" w:fill="auto"/>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3A50BCD3">
      <w:pPr>
        <w:shd w:val="clear"/>
        <w:snapToGrid w:val="0"/>
        <w:spacing w:before="50" w:after="120" w:afterLines="50"/>
        <w:ind w:firstLine="360" w:firstLineChars="150"/>
        <w:jc w:val="lef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11</w:t>
      </w:r>
      <w:r>
        <w:rPr>
          <w:rFonts w:hint="eastAsia" w:ascii="宋体" w:hAnsi="宋体" w:eastAsia="宋体" w:cs="宋体"/>
          <w:color w:val="auto"/>
          <w:sz w:val="24"/>
          <w:szCs w:val="24"/>
          <w:highlight w:val="none"/>
          <w:shd w:val="clear" w:color="auto" w:fill="auto"/>
        </w:rPr>
        <w:t>.投标人类似合同案例一览表格式：</w:t>
      </w:r>
    </w:p>
    <w:p w14:paraId="6CDE53F7">
      <w:pPr>
        <w:shd w:val="clear"/>
        <w:snapToGrid w:val="0"/>
        <w:spacing w:before="50" w:after="120" w:afterLines="5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投标人类似合同案例一览表</w:t>
      </w:r>
    </w:p>
    <w:p w14:paraId="7073782C">
      <w:pPr>
        <w:shd w:val="clear"/>
        <w:snapToGrid w:val="0"/>
        <w:spacing w:before="120" w:beforeLines="50" w:after="50" w:line="480" w:lineRule="auto"/>
        <w:ind w:firstLine="1068" w:firstLineChars="445"/>
        <w:rPr>
          <w:rFonts w:hint="eastAsia" w:ascii="宋体" w:hAnsi="宋体" w:eastAsia="宋体" w:cs="宋体"/>
          <w:bCs/>
          <w:color w:val="auto"/>
          <w:sz w:val="24"/>
          <w:szCs w:val="24"/>
          <w:highlight w:val="none"/>
          <w:shd w:val="clear" w:color="auto" w:fill="auto"/>
        </w:rPr>
      </w:pPr>
    </w:p>
    <w:p w14:paraId="278D5DFE">
      <w:pPr>
        <w:shd w:val="clear"/>
        <w:snapToGrid w:val="0"/>
        <w:spacing w:before="120" w:beforeLines="50" w:after="50" w:line="480" w:lineRule="auto"/>
        <w:ind w:firstLine="1068" w:firstLineChars="445"/>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项目名称：                                            </w:t>
      </w:r>
    </w:p>
    <w:tbl>
      <w:tblPr>
        <w:tblStyle w:val="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3E1411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22C1A6D4">
            <w:pPr>
              <w:keepNext w:val="0"/>
              <w:keepLines w:val="0"/>
              <w:suppressLineNumbers w:val="0"/>
              <w:shd w:val="clear"/>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0F4DFCFF">
            <w:pPr>
              <w:keepNext w:val="0"/>
              <w:keepLines w:val="0"/>
              <w:suppressLineNumbers w:val="0"/>
              <w:shd w:val="clear"/>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1CDB0D3C">
            <w:pPr>
              <w:keepNext w:val="0"/>
              <w:keepLines w:val="0"/>
              <w:suppressLineNumbers w:val="0"/>
              <w:shd w:val="clear"/>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合同金额（万元）</w:t>
            </w:r>
          </w:p>
        </w:tc>
        <w:tc>
          <w:tcPr>
            <w:tcW w:w="1843" w:type="dxa"/>
            <w:tcBorders>
              <w:top w:val="single" w:color="auto" w:sz="4" w:space="0"/>
              <w:left w:val="single" w:color="auto" w:sz="4" w:space="0"/>
              <w:right w:val="single" w:color="auto" w:sz="4" w:space="0"/>
            </w:tcBorders>
            <w:vAlign w:val="center"/>
          </w:tcPr>
          <w:p w14:paraId="1D87F5A5">
            <w:pPr>
              <w:keepNext w:val="0"/>
              <w:keepLines w:val="0"/>
              <w:suppressLineNumbers w:val="0"/>
              <w:shd w:val="clear"/>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6324CD0E">
            <w:pPr>
              <w:keepNext w:val="0"/>
              <w:keepLines w:val="0"/>
              <w:suppressLineNumbers w:val="0"/>
              <w:shd w:val="clear"/>
              <w:snapToGrid w:val="0"/>
              <w:spacing w:before="0" w:beforeAutospacing="0" w:after="0" w:afterAutospacing="0" w:line="400" w:lineRule="exact"/>
              <w:ind w:left="0" w:right="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4C33373F">
            <w:pPr>
              <w:keepNext w:val="0"/>
              <w:keepLines w:val="0"/>
              <w:suppressLineNumbers w:val="0"/>
              <w:shd w:val="clear"/>
              <w:snapToGrid w:val="0"/>
              <w:spacing w:before="0" w:beforeAutospacing="0" w:after="0" w:afterAutospacing="0" w:line="400" w:lineRule="exact"/>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5736A260">
            <w:pPr>
              <w:keepNext w:val="0"/>
              <w:keepLines w:val="0"/>
              <w:widowControl/>
              <w:suppressLineNumbers w:val="0"/>
              <w:shd w:val="clear"/>
              <w:spacing w:before="0" w:beforeAutospacing="0" w:after="0" w:afterAutospacing="0" w:line="400" w:lineRule="exact"/>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w:t>
            </w:r>
          </w:p>
        </w:tc>
      </w:tr>
      <w:tr w14:paraId="346004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0C902C44">
            <w:pPr>
              <w:keepNext w:val="0"/>
              <w:keepLines w:val="0"/>
              <w:suppressLineNumbers w:val="0"/>
              <w:shd w:val="clear"/>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4D18D1A5">
            <w:pPr>
              <w:keepNext w:val="0"/>
              <w:keepLines w:val="0"/>
              <w:suppressLineNumbers w:val="0"/>
              <w:shd w:val="clear"/>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3FD59CB7">
            <w:pPr>
              <w:keepNext w:val="0"/>
              <w:keepLines w:val="0"/>
              <w:suppressLineNumbers w:val="0"/>
              <w:shd w:val="clear"/>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3D9914E9">
            <w:pPr>
              <w:keepNext w:val="0"/>
              <w:keepLines w:val="0"/>
              <w:suppressLineNumbers w:val="0"/>
              <w:shd w:val="clear"/>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04FFC0A2">
            <w:pPr>
              <w:keepNext w:val="0"/>
              <w:keepLines w:val="0"/>
              <w:suppressLineNumbers w:val="0"/>
              <w:shd w:val="clear"/>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232206E5">
            <w:pPr>
              <w:keepNext w:val="0"/>
              <w:keepLines w:val="0"/>
              <w:suppressLineNumbers w:val="0"/>
              <w:shd w:val="clear"/>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1FE55E3A">
            <w:pPr>
              <w:keepNext w:val="0"/>
              <w:keepLines w:val="0"/>
              <w:suppressLineNumbers w:val="0"/>
              <w:shd w:val="clear"/>
              <w:snapToGrid w:val="0"/>
              <w:spacing w:before="0" w:beforeAutospacing="0" w:after="0" w:afterAutospacing="0" w:line="240" w:lineRule="exact"/>
              <w:ind w:left="0" w:right="0"/>
              <w:jc w:val="left"/>
              <w:rPr>
                <w:rFonts w:hint="eastAsia" w:ascii="宋体" w:hAnsi="宋体" w:eastAsia="宋体" w:cs="宋体"/>
                <w:color w:val="auto"/>
                <w:sz w:val="24"/>
                <w:szCs w:val="24"/>
                <w:highlight w:val="none"/>
                <w:shd w:val="clear" w:color="auto" w:fill="auto"/>
              </w:rPr>
            </w:pPr>
          </w:p>
        </w:tc>
      </w:tr>
      <w:tr w14:paraId="6A483E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5A6BA54">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76D2189A">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25F4AD4F">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2DA22898">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111F46F8">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23B6E7FB">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660CFD64">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r>
      <w:tr w14:paraId="284A11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1BEA6051">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7683BDA2">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62830681">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2E6BD8C9">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4F73A9DB">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49D8DA0C">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4C13E34B">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r>
      <w:tr w14:paraId="1BE0EE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F3ECA46">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401AFE31">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2C97E4E3">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0E3CD69C">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22143030">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577AF061">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10E8693B">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r>
      <w:tr w14:paraId="17574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0B9A4E3">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5B5CDABD">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1B27DC75">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7E7D3AD5">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76152C27">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248C1C3A">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0451FF9E">
            <w:pPr>
              <w:keepNext w:val="0"/>
              <w:keepLines w:val="0"/>
              <w:suppressLineNumbers w:val="0"/>
              <w:shd w:val="clear"/>
              <w:snapToGrid w:val="0"/>
              <w:spacing w:before="50" w:beforeAutospacing="0" w:after="120" w:afterLines="50" w:afterAutospacing="0" w:line="400" w:lineRule="exact"/>
              <w:ind w:left="0" w:right="0"/>
              <w:jc w:val="left"/>
              <w:rPr>
                <w:rFonts w:hint="eastAsia" w:ascii="宋体" w:hAnsi="宋体" w:eastAsia="宋体" w:cs="宋体"/>
                <w:color w:val="auto"/>
                <w:sz w:val="24"/>
                <w:szCs w:val="24"/>
                <w:highlight w:val="none"/>
                <w:shd w:val="clear" w:color="auto" w:fill="auto"/>
              </w:rPr>
            </w:pPr>
          </w:p>
        </w:tc>
      </w:tr>
    </w:tbl>
    <w:p w14:paraId="2D458E3E">
      <w:pPr>
        <w:pStyle w:val="14"/>
        <w:shd w:val="clear"/>
        <w:snapToGrid w:val="0"/>
        <w:ind w:firstLine="960" w:firstLineChars="4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695797AB">
      <w:pPr>
        <w:pStyle w:val="14"/>
        <w:shd w:val="clear"/>
        <w:snapToGrid w:val="0"/>
        <w:ind w:firstLine="361" w:firstLineChars="150"/>
        <w:rPr>
          <w:rFonts w:hint="eastAsia" w:ascii="宋体" w:hAnsi="宋体" w:eastAsia="宋体" w:cs="宋体"/>
          <w:b/>
          <w:color w:val="auto"/>
          <w:sz w:val="24"/>
          <w:szCs w:val="24"/>
          <w:highlight w:val="none"/>
          <w:shd w:val="clear" w:color="auto" w:fill="auto"/>
        </w:rPr>
      </w:pPr>
    </w:p>
    <w:p w14:paraId="092175E5">
      <w:pPr>
        <w:pStyle w:val="14"/>
        <w:shd w:val="clear"/>
        <w:snapToGrid w:val="0"/>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法定代表人签字（或盖章）：                            投标人（盖章）：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日期：  _____年___月___日</w:t>
      </w:r>
    </w:p>
    <w:p w14:paraId="5BA4350F">
      <w:pPr>
        <w:pStyle w:val="14"/>
        <w:shd w:val="clear"/>
        <w:snapToGrid w:val="0"/>
        <w:rPr>
          <w:rFonts w:hint="eastAsia" w:ascii="宋体" w:hAnsi="宋体" w:eastAsia="宋体" w:cs="宋体"/>
          <w:color w:val="auto"/>
          <w:sz w:val="24"/>
          <w:szCs w:val="24"/>
          <w:highlight w:val="none"/>
          <w:shd w:val="clear" w:color="auto" w:fill="auto"/>
        </w:rPr>
        <w:sectPr>
          <w:pgSz w:w="16838" w:h="11906" w:orient="landscape"/>
          <w:pgMar w:top="1588" w:right="1021" w:bottom="1588" w:left="851" w:header="851" w:footer="851" w:gutter="0"/>
          <w:pgBorders>
            <w:top w:val="none" w:sz="0" w:space="0"/>
            <w:left w:val="none" w:sz="0" w:space="0"/>
            <w:bottom w:val="none" w:sz="0" w:space="0"/>
            <w:right w:val="none" w:sz="0" w:space="0"/>
          </w:pgBorders>
          <w:pgNumType w:fmt="decimal"/>
          <w:cols w:space="720" w:num="1"/>
        </w:sectPr>
      </w:pPr>
    </w:p>
    <w:p w14:paraId="63E6A065">
      <w:pPr>
        <w:shd w:val="clear"/>
        <w:snapToGrid w:val="0"/>
        <w:spacing w:before="50" w:after="120" w:afterLines="50"/>
        <w:jc w:val="lef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12</w:t>
      </w:r>
      <w:r>
        <w:rPr>
          <w:rFonts w:hint="eastAsia" w:ascii="宋体" w:hAnsi="宋体" w:eastAsia="宋体" w:cs="宋体"/>
          <w:color w:val="auto"/>
          <w:sz w:val="24"/>
          <w:szCs w:val="24"/>
          <w:highlight w:val="none"/>
          <w:shd w:val="clear" w:color="auto" w:fill="auto"/>
        </w:rPr>
        <w:t>.售后服务网点情况表格式：</w:t>
      </w:r>
    </w:p>
    <w:p w14:paraId="4704B1B8">
      <w:pPr>
        <w:shd w:val="clear"/>
        <w:snapToGrid w:val="0"/>
        <w:spacing w:before="50" w:after="120" w:afterLines="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58416269">
      <w:pPr>
        <w:pStyle w:val="40"/>
        <w:shd w:val="clear"/>
        <w:snapToGrid w:val="0"/>
        <w:ind w:left="480" w:hanging="480"/>
        <w:rPr>
          <w:rFonts w:hint="eastAsia" w:ascii="宋体" w:hAnsi="宋体" w:eastAsia="宋体" w:cs="宋体"/>
          <w:color w:val="auto"/>
          <w:sz w:val="24"/>
          <w:szCs w:val="24"/>
          <w:highlight w:val="none"/>
          <w:shd w:val="clear" w:color="auto" w:fill="auto"/>
        </w:rPr>
      </w:pPr>
    </w:p>
    <w:p w14:paraId="7AB05037">
      <w:pPr>
        <w:pStyle w:val="40"/>
        <w:shd w:val="clear"/>
        <w:snapToGrid w:val="0"/>
        <w:ind w:left="482" w:hanging="482"/>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售后服务网点情况表</w:t>
      </w:r>
    </w:p>
    <w:p w14:paraId="05700532">
      <w:pPr>
        <w:shd w:val="clear"/>
        <w:snapToGrid w:val="0"/>
        <w:spacing w:before="120" w:beforeLines="50" w:after="50" w:line="360" w:lineRule="auto"/>
        <w:jc w:val="center"/>
        <w:rPr>
          <w:rFonts w:hint="eastAsia" w:ascii="宋体" w:hAnsi="宋体" w:eastAsia="宋体" w:cs="宋体"/>
          <w:bCs/>
          <w:color w:val="auto"/>
          <w:sz w:val="24"/>
          <w:szCs w:val="24"/>
          <w:highlight w:val="none"/>
          <w:shd w:val="clear" w:color="auto" w:fill="auto"/>
        </w:rPr>
      </w:pPr>
    </w:p>
    <w:p w14:paraId="26FED952">
      <w:pPr>
        <w:shd w:val="clear"/>
        <w:snapToGrid w:val="0"/>
        <w:spacing w:before="120" w:beforeLines="50" w:after="50" w:line="48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58B8F7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9FDF8BD">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5C99C81">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tcPr>
          <w:p w14:paraId="6384A983">
            <w:pPr>
              <w:keepNext w:val="0"/>
              <w:keepLines w:val="0"/>
              <w:suppressLineNumbers w:val="0"/>
              <w:shd w:val="clear"/>
              <w:snapToGrid w:val="0"/>
              <w:spacing w:before="50" w:beforeAutospacing="0" w:after="120" w:afterLines="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投标文件页码</w:t>
            </w:r>
          </w:p>
        </w:tc>
      </w:tr>
      <w:tr w14:paraId="7A9CF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493EF18">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1E13065C">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F7A6D3F">
            <w:pPr>
              <w:keepNext w:val="0"/>
              <w:keepLines w:val="0"/>
              <w:widowControl/>
              <w:suppressLineNumbers w:val="0"/>
              <w:shd w:val="clear"/>
              <w:spacing w:before="0" w:beforeAutospacing="0" w:after="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31BE8F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652131F">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tcPr>
          <w:p w14:paraId="31C68F68">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2B2A03D0">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27079CA4">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4F7A037A">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523274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764A39">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tcPr>
          <w:p w14:paraId="6281978F">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6AD875B4">
            <w:pPr>
              <w:keepNext w:val="0"/>
              <w:keepLines w:val="0"/>
              <w:suppressLineNumbers w:val="0"/>
              <w:shd w:val="clear"/>
              <w:snapToGrid w:val="0"/>
              <w:spacing w:before="50" w:beforeAutospacing="0" w:after="120" w:afterLines="50" w:afterAutospacing="0" w:line="360" w:lineRule="auto"/>
              <w:ind w:left="12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DE18C53">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23F25E95">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3E4E71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C0C74F7">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2536470D">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0E937EFF">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1718C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AA4190D">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856C5B7">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204BD050">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010229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FC9E831">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0319EF6C">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6F6F8A60">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44ED1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5320047">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4E2203C">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5E9B1257">
            <w:pPr>
              <w:keepNext w:val="0"/>
              <w:keepLines w:val="0"/>
              <w:suppressLineNumbers w:val="0"/>
              <w:shd w:val="clear"/>
              <w:snapToGrid w:val="0"/>
              <w:spacing w:before="50" w:beforeAutospacing="0" w:after="120" w:afterLines="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6E40D8FA">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tcPr>
          <w:p w14:paraId="74221C54">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r w14:paraId="65E4F1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471BF3A6">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02F498AD">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73FEFEDC">
            <w:pPr>
              <w:keepNext w:val="0"/>
              <w:keepLines w:val="0"/>
              <w:suppressLineNumbers w:val="0"/>
              <w:shd w:val="clear"/>
              <w:snapToGrid w:val="0"/>
              <w:spacing w:before="50" w:beforeAutospacing="0" w:after="120" w:afterLines="50" w:afterAutospacing="0" w:line="360" w:lineRule="auto"/>
              <w:ind w:left="0" w:right="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A99E8A1">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74D73301">
            <w:pPr>
              <w:keepNext w:val="0"/>
              <w:keepLines w:val="0"/>
              <w:suppressLineNumbers w:val="0"/>
              <w:shd w:val="clear"/>
              <w:snapToGrid w:val="0"/>
              <w:spacing w:before="50" w:beforeAutospacing="0" w:after="120" w:afterLines="50" w:afterAutospacing="0" w:line="360" w:lineRule="auto"/>
              <w:ind w:left="0" w:right="0"/>
              <w:jc w:val="left"/>
              <w:rPr>
                <w:rFonts w:hint="eastAsia" w:ascii="宋体" w:hAnsi="宋体" w:eastAsia="宋体" w:cs="宋体"/>
                <w:color w:val="auto"/>
                <w:sz w:val="24"/>
                <w:szCs w:val="24"/>
                <w:highlight w:val="none"/>
                <w:shd w:val="clear" w:color="auto" w:fill="auto"/>
              </w:rPr>
            </w:pPr>
          </w:p>
        </w:tc>
      </w:tr>
    </w:tbl>
    <w:p w14:paraId="760300E3">
      <w:pPr>
        <w:pStyle w:val="40"/>
        <w:shd w:val="clear"/>
        <w:snapToGrid w:val="0"/>
        <w:ind w:left="199" w:hanging="199" w:hangingChars="83"/>
        <w:rPr>
          <w:rFonts w:hint="eastAsia" w:ascii="宋体" w:hAnsi="宋体" w:eastAsia="宋体" w:cs="宋体"/>
          <w:color w:val="auto"/>
          <w:sz w:val="24"/>
          <w:szCs w:val="24"/>
          <w:highlight w:val="none"/>
          <w:shd w:val="clear" w:color="auto" w:fill="auto"/>
        </w:rPr>
      </w:pPr>
    </w:p>
    <w:p w14:paraId="1524FB38">
      <w:pPr>
        <w:pStyle w:val="14"/>
        <w:shd w:val="clear"/>
        <w:snapToGrid w:val="0"/>
        <w:rPr>
          <w:rFonts w:hint="eastAsia" w:ascii="宋体" w:hAnsi="宋体" w:eastAsia="宋体" w:cs="宋体"/>
          <w:color w:val="auto"/>
          <w:sz w:val="24"/>
          <w:szCs w:val="24"/>
          <w:highlight w:val="none"/>
          <w:shd w:val="clear" w:color="auto" w:fill="auto"/>
        </w:rPr>
      </w:pPr>
    </w:p>
    <w:p w14:paraId="5B3975A0">
      <w:pPr>
        <w:pStyle w:val="20"/>
        <w:shd w:val="clear"/>
        <w:snapToGrid w:val="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 xml:space="preserve">法定代表人签字（或盖章）：            投标人（盖章）： </w:t>
      </w:r>
      <w:r>
        <w:rPr>
          <w:rFonts w:hint="eastAsia" w:ascii="宋体" w:hAnsi="宋体" w:eastAsia="宋体" w:cs="宋体"/>
          <w:b/>
          <w:color w:val="auto"/>
          <w:sz w:val="24"/>
          <w:szCs w:val="24"/>
          <w:highlight w:val="none"/>
          <w:shd w:val="clear" w:color="auto" w:fill="auto"/>
        </w:rPr>
        <w:t xml:space="preserve">           　 </w:t>
      </w:r>
    </w:p>
    <w:p w14:paraId="019EE376">
      <w:pPr>
        <w:pStyle w:val="20"/>
        <w:shd w:val="clear"/>
        <w:snapToGrid w:val="0"/>
        <w:rPr>
          <w:rFonts w:hint="eastAsia" w:ascii="宋体" w:hAnsi="宋体" w:eastAsia="宋体" w:cs="宋体"/>
          <w:b/>
          <w:color w:val="auto"/>
          <w:sz w:val="24"/>
          <w:szCs w:val="24"/>
          <w:highlight w:val="none"/>
          <w:shd w:val="clear" w:color="auto" w:fill="auto"/>
        </w:rPr>
      </w:pPr>
    </w:p>
    <w:p w14:paraId="63281121">
      <w:pPr>
        <w:shd w:val="clear"/>
        <w:snapToGrid w:val="0"/>
        <w:spacing w:before="50" w:after="120" w:afterLines="5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日期：  _____年___月___日</w:t>
      </w:r>
    </w:p>
    <w:p w14:paraId="78DCC295">
      <w:pPr>
        <w:shd w:val="clear"/>
        <w:snapToGrid w:val="0"/>
        <w:spacing w:before="50"/>
        <w:jc w:val="left"/>
        <w:rPr>
          <w:rFonts w:hint="eastAsia" w:ascii="宋体" w:hAnsi="宋体" w:eastAsia="宋体" w:cs="宋体"/>
          <w:color w:val="auto"/>
          <w:sz w:val="24"/>
          <w:szCs w:val="24"/>
          <w:highlight w:val="none"/>
          <w:shd w:val="clear" w:color="auto" w:fill="auto"/>
        </w:rPr>
      </w:pPr>
    </w:p>
    <w:p w14:paraId="1CFF26B6">
      <w:pPr>
        <w:shd w:val="clear"/>
        <w:snapToGrid w:val="0"/>
        <w:spacing w:before="50"/>
        <w:jc w:val="left"/>
        <w:rPr>
          <w:rFonts w:hint="eastAsia" w:ascii="宋体" w:hAnsi="宋体" w:eastAsia="宋体" w:cs="宋体"/>
          <w:color w:val="auto"/>
          <w:sz w:val="24"/>
          <w:szCs w:val="24"/>
          <w:highlight w:val="none"/>
          <w:shd w:val="clear" w:color="auto" w:fill="auto"/>
        </w:rPr>
      </w:pPr>
    </w:p>
    <w:p w14:paraId="0CC3D84A">
      <w:pPr>
        <w:shd w:val="clear"/>
        <w:snapToGrid w:val="0"/>
        <w:spacing w:before="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bookmarkStart w:id="65" w:name="_Hlk77588362"/>
      <w:r>
        <w:rPr>
          <w:rFonts w:hint="eastAsia" w:ascii="宋体" w:hAnsi="宋体" w:eastAsia="宋体" w:cs="宋体"/>
          <w:color w:val="auto"/>
          <w:sz w:val="24"/>
          <w:szCs w:val="24"/>
          <w:highlight w:val="none"/>
          <w:shd w:val="clear" w:color="auto" w:fill="auto"/>
        </w:rPr>
        <w:t>1</w:t>
      </w:r>
      <w:r>
        <w:rPr>
          <w:rFonts w:hint="eastAsia" w:ascii="宋体" w:hAnsi="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.商务及技术响应表格式：</w:t>
      </w:r>
      <w:bookmarkEnd w:id="65"/>
    </w:p>
    <w:p w14:paraId="76ACC0BE">
      <w:pPr>
        <w:shd w:val="clear"/>
        <w:snapToGrid w:val="0"/>
        <w:spacing w:before="50"/>
        <w:jc w:val="left"/>
        <w:rPr>
          <w:rFonts w:hint="eastAsia" w:ascii="宋体" w:hAnsi="宋体" w:eastAsia="宋体" w:cs="宋体"/>
          <w:color w:val="auto"/>
          <w:sz w:val="24"/>
          <w:szCs w:val="24"/>
          <w:highlight w:val="none"/>
          <w:shd w:val="clear" w:color="auto" w:fill="auto"/>
        </w:rPr>
      </w:pPr>
    </w:p>
    <w:p w14:paraId="05FEA271">
      <w:pPr>
        <w:shd w:val="clear"/>
        <w:snapToGrid w:val="0"/>
        <w:spacing w:before="50"/>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商务及技术响应表</w:t>
      </w:r>
    </w:p>
    <w:p w14:paraId="1BA24513">
      <w:pPr>
        <w:shd w:val="clear"/>
        <w:snapToGrid w:val="0"/>
        <w:spacing w:before="120" w:beforeLines="50" w:after="50" w:line="48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r>
        <w:rPr>
          <w:rFonts w:hint="eastAsia" w:ascii="宋体" w:hAnsi="宋体" w:cs="宋体"/>
          <w:bCs/>
          <w:color w:val="auto"/>
          <w:sz w:val="24"/>
          <w:szCs w:val="24"/>
          <w:highlight w:val="none"/>
          <w:shd w:val="clear" w:color="auto" w:fill="auto"/>
          <w:lang w:val="en-US" w:eastAsia="zh-CN"/>
        </w:rPr>
        <w:t xml:space="preserve">                                    </w:t>
      </w:r>
    </w:p>
    <w:tbl>
      <w:tblPr>
        <w:tblStyle w:val="51"/>
        <w:tblW w:w="997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1275"/>
        <w:gridCol w:w="5145"/>
        <w:gridCol w:w="1470"/>
        <w:gridCol w:w="1368"/>
      </w:tblGrid>
      <w:tr w14:paraId="6425E3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720" w:type="dxa"/>
            <w:tcBorders>
              <w:top w:val="single" w:color="auto" w:sz="4" w:space="0"/>
              <w:left w:val="single" w:color="auto" w:sz="4" w:space="0"/>
              <w:bottom w:val="single" w:color="auto" w:sz="4" w:space="0"/>
              <w:right w:val="single" w:color="auto" w:sz="4" w:space="0"/>
            </w:tcBorders>
            <w:vAlign w:val="center"/>
          </w:tcPr>
          <w:p w14:paraId="3C6C0351">
            <w:pPr>
              <w:keepNext w:val="0"/>
              <w:keepLines w:val="0"/>
              <w:suppressLineNumbers w:val="0"/>
              <w:shd w:val="clear"/>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61D6F133">
            <w:pPr>
              <w:keepNext w:val="0"/>
              <w:keepLines w:val="0"/>
              <w:suppressLineNumbers w:val="0"/>
              <w:shd w:val="clear"/>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名称</w:t>
            </w:r>
          </w:p>
        </w:tc>
        <w:tc>
          <w:tcPr>
            <w:tcW w:w="5145" w:type="dxa"/>
            <w:tcBorders>
              <w:top w:val="single" w:color="auto" w:sz="4" w:space="0"/>
              <w:left w:val="single" w:color="auto" w:sz="4" w:space="0"/>
              <w:bottom w:val="single" w:color="auto" w:sz="4" w:space="0"/>
              <w:right w:val="single" w:color="auto" w:sz="4" w:space="0"/>
            </w:tcBorders>
            <w:vAlign w:val="center"/>
          </w:tcPr>
          <w:p w14:paraId="5D02C31B">
            <w:pPr>
              <w:keepNext w:val="0"/>
              <w:keepLines w:val="0"/>
              <w:suppressLineNumbers w:val="0"/>
              <w:shd w:val="clear"/>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招标文件要求</w:t>
            </w:r>
          </w:p>
        </w:tc>
        <w:tc>
          <w:tcPr>
            <w:tcW w:w="1470" w:type="dxa"/>
            <w:tcBorders>
              <w:top w:val="single" w:color="auto" w:sz="4" w:space="0"/>
              <w:left w:val="single" w:color="auto" w:sz="4" w:space="0"/>
              <w:bottom w:val="single" w:color="auto" w:sz="4" w:space="0"/>
              <w:right w:val="single" w:color="auto" w:sz="4" w:space="0"/>
            </w:tcBorders>
            <w:vAlign w:val="center"/>
          </w:tcPr>
          <w:p w14:paraId="58D79B45">
            <w:pPr>
              <w:keepNext w:val="0"/>
              <w:keepLines w:val="0"/>
              <w:suppressLineNumbers w:val="0"/>
              <w:shd w:val="clear"/>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是否响应</w:t>
            </w:r>
          </w:p>
        </w:tc>
        <w:tc>
          <w:tcPr>
            <w:tcW w:w="1368" w:type="dxa"/>
            <w:tcBorders>
              <w:top w:val="single" w:color="auto" w:sz="4" w:space="0"/>
              <w:left w:val="single" w:color="auto" w:sz="4" w:space="0"/>
              <w:bottom w:val="single" w:color="auto" w:sz="4" w:space="0"/>
              <w:right w:val="single" w:color="auto" w:sz="4" w:space="0"/>
            </w:tcBorders>
            <w:vAlign w:val="center"/>
          </w:tcPr>
          <w:p w14:paraId="7FFA93AE">
            <w:pPr>
              <w:keepNext w:val="0"/>
              <w:keepLines w:val="0"/>
              <w:suppressLineNumbers w:val="0"/>
              <w:shd w:val="clear"/>
              <w:snapToGrid w:val="0"/>
              <w:spacing w:before="120" w:beforeLines="50" w:beforeAutospacing="0" w:after="0" w:afterAutospacing="0" w:line="360" w:lineRule="exact"/>
              <w:ind w:left="0" w:right="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投标人的应标情况</w:t>
            </w:r>
          </w:p>
        </w:tc>
      </w:tr>
      <w:tr w14:paraId="15CACE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20" w:type="dxa"/>
            <w:tcBorders>
              <w:top w:val="single" w:color="auto" w:sz="4" w:space="0"/>
              <w:left w:val="single" w:color="auto" w:sz="4" w:space="0"/>
              <w:bottom w:val="single" w:color="auto" w:sz="4" w:space="0"/>
              <w:right w:val="single" w:color="auto" w:sz="4" w:space="0"/>
            </w:tcBorders>
            <w:vAlign w:val="center"/>
          </w:tcPr>
          <w:p w14:paraId="3E2DB69D">
            <w:pPr>
              <w:keepNext w:val="0"/>
              <w:keepLines w:val="0"/>
              <w:suppressLineNumbers w:val="0"/>
              <w:snapToGrid w:val="0"/>
              <w:spacing w:before="0" w:beforeLines="50" w:beforeAutospacing="0" w:after="0" w:afterAutospacing="0" w:line="240" w:lineRule="auto"/>
              <w:ind w:left="0" w:leftChars="0" w:right="0" w:rightChars="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0"/>
              </w:rPr>
              <w:t>1</w:t>
            </w:r>
          </w:p>
        </w:tc>
        <w:tc>
          <w:tcPr>
            <w:tcW w:w="1275" w:type="dxa"/>
            <w:tcBorders>
              <w:top w:val="single" w:color="auto" w:sz="4" w:space="0"/>
              <w:left w:val="single" w:color="auto" w:sz="4" w:space="0"/>
              <w:bottom w:val="single" w:color="auto" w:sz="4" w:space="0"/>
              <w:right w:val="single" w:color="auto" w:sz="4" w:space="0"/>
            </w:tcBorders>
            <w:vAlign w:val="center"/>
          </w:tcPr>
          <w:p w14:paraId="25A648A3">
            <w:pPr>
              <w:keepNext w:val="0"/>
              <w:keepLines w:val="0"/>
              <w:suppressLineNumbers w:val="0"/>
              <w:snapToGrid w:val="0"/>
              <w:spacing w:before="0" w:beforeLines="50" w:beforeAutospacing="0" w:after="0" w:afterAutospacing="0" w:line="240" w:lineRule="auto"/>
              <w:ind w:left="0" w:leftChars="0" w:right="0" w:rightChars="0"/>
              <w:jc w:val="center"/>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供货</w:t>
            </w:r>
            <w:r>
              <w:rPr>
                <w:rFonts w:hint="eastAsia" w:ascii="宋体" w:hAnsi="宋体" w:eastAsia="宋体" w:cs="宋体"/>
                <w:color w:val="auto"/>
                <w:sz w:val="24"/>
                <w:szCs w:val="20"/>
              </w:rPr>
              <w:t>期</w:t>
            </w:r>
          </w:p>
        </w:tc>
        <w:tc>
          <w:tcPr>
            <w:tcW w:w="5145" w:type="dxa"/>
            <w:tcBorders>
              <w:top w:val="single" w:color="auto" w:sz="4" w:space="0"/>
              <w:left w:val="single" w:color="auto" w:sz="4" w:space="0"/>
              <w:bottom w:val="single" w:color="auto" w:sz="4" w:space="0"/>
              <w:right w:val="single" w:color="auto" w:sz="4" w:space="0"/>
            </w:tcBorders>
            <w:vAlign w:val="top"/>
          </w:tcPr>
          <w:p w14:paraId="5D9FBE60">
            <w:pPr>
              <w:keepNext w:val="0"/>
              <w:keepLines w:val="0"/>
              <w:suppressLineNumbers w:val="0"/>
              <w:snapToGrid w:val="0"/>
              <w:spacing w:before="0" w:beforeLines="50" w:beforeAutospacing="0" w:after="0" w:afterAutospacing="0" w:line="240" w:lineRule="auto"/>
              <w:ind w:left="0" w:leftChars="0" w:right="0" w:rightChars="0"/>
              <w:jc w:val="left"/>
              <w:rPr>
                <w:rFonts w:hint="eastAsia" w:ascii="宋体" w:hAnsi="宋体" w:eastAsia="宋体" w:cs="宋体"/>
                <w:color w:val="auto"/>
                <w:sz w:val="24"/>
                <w:szCs w:val="20"/>
              </w:rPr>
            </w:pPr>
            <w:r>
              <w:rPr>
                <w:rFonts w:hint="eastAsia" w:ascii="宋体" w:hAnsi="宋体" w:eastAsia="宋体" w:cs="宋体"/>
                <w:color w:val="auto"/>
                <w:sz w:val="24"/>
                <w:szCs w:val="20"/>
                <w:lang w:eastAsia="zh-CN"/>
              </w:rPr>
              <w:t>根据工程进度，配合总承包单位及装修单位整体进度同步完成全部工作内容。</w:t>
            </w:r>
          </w:p>
        </w:tc>
        <w:tc>
          <w:tcPr>
            <w:tcW w:w="1470" w:type="dxa"/>
            <w:tcBorders>
              <w:top w:val="single" w:color="auto" w:sz="4" w:space="0"/>
              <w:left w:val="single" w:color="auto" w:sz="4" w:space="0"/>
              <w:bottom w:val="single" w:color="auto" w:sz="4" w:space="0"/>
              <w:right w:val="single" w:color="auto" w:sz="4" w:space="0"/>
            </w:tcBorders>
          </w:tcPr>
          <w:p w14:paraId="755434FD">
            <w:pPr>
              <w:keepNext w:val="0"/>
              <w:keepLines w:val="0"/>
              <w:suppressLineNumbers w:val="0"/>
              <w:shd w:val="clear"/>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3ABEAAB4">
            <w:pPr>
              <w:keepNext w:val="0"/>
              <w:keepLines w:val="0"/>
              <w:suppressLineNumbers w:val="0"/>
              <w:shd w:val="clear"/>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r w14:paraId="7F426D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720" w:type="dxa"/>
            <w:tcBorders>
              <w:left w:val="single" w:color="auto" w:sz="4" w:space="0"/>
              <w:bottom w:val="single" w:color="auto" w:sz="4" w:space="0"/>
              <w:right w:val="single" w:color="auto" w:sz="4" w:space="0"/>
            </w:tcBorders>
            <w:vAlign w:val="center"/>
          </w:tcPr>
          <w:p w14:paraId="5DE6ACAA">
            <w:pPr>
              <w:keepNext w:val="0"/>
              <w:keepLines w:val="0"/>
              <w:suppressLineNumbers w:val="0"/>
              <w:snapToGrid w:val="0"/>
              <w:spacing w:before="0" w:beforeLines="50" w:beforeAutospacing="0" w:after="0" w:afterAutospacing="0" w:line="240" w:lineRule="auto"/>
              <w:ind w:left="0" w:leftChars="0" w:right="0" w:rightChars="0"/>
              <w:jc w:val="center"/>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0"/>
              </w:rPr>
              <w:t>2</w:t>
            </w:r>
          </w:p>
        </w:tc>
        <w:tc>
          <w:tcPr>
            <w:tcW w:w="1275" w:type="dxa"/>
            <w:tcBorders>
              <w:left w:val="single" w:color="auto" w:sz="4" w:space="0"/>
              <w:bottom w:val="single" w:color="auto" w:sz="4" w:space="0"/>
              <w:right w:val="single" w:color="auto" w:sz="4" w:space="0"/>
            </w:tcBorders>
            <w:vAlign w:val="center"/>
          </w:tcPr>
          <w:p w14:paraId="59A122C7">
            <w:pPr>
              <w:keepNext w:val="0"/>
              <w:keepLines w:val="0"/>
              <w:suppressLineNumbers w:val="0"/>
              <w:snapToGrid w:val="0"/>
              <w:spacing w:before="0" w:beforeLines="50" w:beforeAutospacing="0" w:after="0" w:afterAutospacing="0" w:line="240" w:lineRule="auto"/>
              <w:ind w:left="0" w:leftChars="0" w:right="0" w:rightChars="0"/>
              <w:jc w:val="center"/>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eastAsia="zh-CN"/>
              </w:rPr>
              <w:t>付款方式</w:t>
            </w:r>
          </w:p>
        </w:tc>
        <w:tc>
          <w:tcPr>
            <w:tcW w:w="5145" w:type="dxa"/>
            <w:tcBorders>
              <w:top w:val="single" w:color="auto" w:sz="4" w:space="0"/>
              <w:left w:val="single" w:color="auto" w:sz="4" w:space="0"/>
              <w:bottom w:val="single" w:color="auto" w:sz="4" w:space="0"/>
              <w:right w:val="single" w:color="auto" w:sz="4" w:space="0"/>
            </w:tcBorders>
            <w:vAlign w:val="top"/>
          </w:tcPr>
          <w:p w14:paraId="1771A3C0">
            <w:pPr>
              <w:keepNext w:val="0"/>
              <w:keepLines w:val="0"/>
              <w:suppressLineNumbers w:val="0"/>
              <w:snapToGrid w:val="0"/>
              <w:spacing w:before="0" w:beforeLines="50" w:beforeAutospacing="0" w:after="0" w:afterAutospacing="0" w:line="240" w:lineRule="auto"/>
              <w:ind w:left="0" w:leftChars="0" w:right="0" w:rightChars="0"/>
              <w:jc w:val="left"/>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1、合同生效并具备实施条件后支付至合同价的30%，每批次货物到达现场查验合格后付至该批次货物价款的50%，项目整体安装调试完成并验收合格后付至合同金额的85%，项目结算经审定后付至结算价的95%,剩余5%作为质保金，质保期满后退回。增值税发票应随付款进度及时提供。</w:t>
            </w:r>
          </w:p>
          <w:p w14:paraId="3767D53A">
            <w:pPr>
              <w:keepNext w:val="0"/>
              <w:keepLines w:val="0"/>
              <w:suppressLineNumbers w:val="0"/>
              <w:snapToGrid w:val="0"/>
              <w:spacing w:before="0" w:beforeLines="50" w:beforeAutospacing="0" w:after="0" w:afterAutospacing="0" w:line="240" w:lineRule="auto"/>
              <w:ind w:left="0" w:leftChars="0" w:right="0" w:rightChars="0"/>
              <w:jc w:val="left"/>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2、当招标人可根据实际情况增加或减少工程量，中标人须无条件服从，并按实际工程量结算。工程量不论增减多少，单价不变，乙方不得拒绝。结算时乙方必须根据实际工程量供货及安装，最终结算金额按实际工程量乘以成交单价进行计算。</w:t>
            </w:r>
          </w:p>
          <w:p w14:paraId="72C7013E">
            <w:pPr>
              <w:keepNext w:val="0"/>
              <w:keepLines w:val="0"/>
              <w:suppressLineNumbers w:val="0"/>
              <w:snapToGrid w:val="0"/>
              <w:spacing w:before="0" w:beforeLines="50" w:beforeAutospacing="0" w:after="0" w:afterAutospacing="0" w:line="240" w:lineRule="auto"/>
              <w:ind w:left="0" w:leftChars="0" w:right="0" w:rightChars="0"/>
              <w:jc w:val="left"/>
              <w:rPr>
                <w:rFonts w:hint="eastAsia" w:ascii="宋体" w:hAnsi="宋体" w:eastAsia="宋体" w:cs="宋体"/>
                <w:color w:val="auto"/>
                <w:sz w:val="24"/>
                <w:szCs w:val="20"/>
              </w:rPr>
            </w:pPr>
            <w:r>
              <w:rPr>
                <w:rFonts w:hint="eastAsia" w:ascii="宋体" w:hAnsi="宋体" w:eastAsia="宋体" w:cs="宋体"/>
                <w:color w:val="auto"/>
                <w:sz w:val="24"/>
                <w:szCs w:val="20"/>
                <w:lang w:eastAsia="zh-CN"/>
              </w:rPr>
              <w:t>3、增加的部分，仅支付设备费用、材料费及税金，其他相关费用不予支付。</w:t>
            </w:r>
          </w:p>
        </w:tc>
        <w:tc>
          <w:tcPr>
            <w:tcW w:w="1470" w:type="dxa"/>
            <w:tcBorders>
              <w:top w:val="single" w:color="auto" w:sz="4" w:space="0"/>
              <w:left w:val="single" w:color="auto" w:sz="4" w:space="0"/>
              <w:bottom w:val="single" w:color="auto" w:sz="4" w:space="0"/>
              <w:right w:val="single" w:color="auto" w:sz="4" w:space="0"/>
            </w:tcBorders>
          </w:tcPr>
          <w:p w14:paraId="31D6413A">
            <w:pPr>
              <w:keepNext w:val="0"/>
              <w:keepLines w:val="0"/>
              <w:suppressLineNumbers w:val="0"/>
              <w:shd w:val="clear"/>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50184BA1">
            <w:pPr>
              <w:keepNext w:val="0"/>
              <w:keepLines w:val="0"/>
              <w:suppressLineNumbers w:val="0"/>
              <w:shd w:val="clear"/>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r w14:paraId="4ABEEB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720" w:type="dxa"/>
            <w:tcBorders>
              <w:top w:val="single" w:color="auto" w:sz="4" w:space="0"/>
              <w:left w:val="single" w:color="auto" w:sz="4" w:space="0"/>
              <w:bottom w:val="single" w:color="auto" w:sz="4" w:space="0"/>
              <w:right w:val="single" w:color="auto" w:sz="4" w:space="0"/>
            </w:tcBorders>
            <w:vAlign w:val="center"/>
          </w:tcPr>
          <w:p w14:paraId="7928CB0A">
            <w:pPr>
              <w:keepNext w:val="0"/>
              <w:keepLines w:val="0"/>
              <w:suppressLineNumbers w:val="0"/>
              <w:snapToGrid w:val="0"/>
              <w:spacing w:before="0" w:beforeLines="50" w:beforeAutospacing="0" w:after="0" w:afterAutospacing="0" w:line="240" w:lineRule="auto"/>
              <w:ind w:left="0" w:leftChars="0" w:right="0" w:rightChars="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0"/>
              </w:rPr>
              <w:t>3</w:t>
            </w:r>
          </w:p>
        </w:tc>
        <w:tc>
          <w:tcPr>
            <w:tcW w:w="1275" w:type="dxa"/>
            <w:tcBorders>
              <w:top w:val="single" w:color="auto" w:sz="4" w:space="0"/>
              <w:left w:val="single" w:color="auto" w:sz="4" w:space="0"/>
              <w:bottom w:val="single" w:color="auto" w:sz="4" w:space="0"/>
              <w:right w:val="single" w:color="auto" w:sz="4" w:space="0"/>
            </w:tcBorders>
            <w:vAlign w:val="center"/>
          </w:tcPr>
          <w:p w14:paraId="3E850DEF">
            <w:pPr>
              <w:keepNext w:val="0"/>
              <w:keepLines w:val="0"/>
              <w:suppressLineNumbers w:val="0"/>
              <w:snapToGrid w:val="0"/>
              <w:spacing w:before="0" w:beforeLines="50" w:beforeAutospacing="0" w:after="0" w:afterAutospacing="0" w:line="240" w:lineRule="auto"/>
              <w:ind w:left="0" w:leftChars="0" w:right="0" w:rightChars="0"/>
              <w:jc w:val="center"/>
              <w:rPr>
                <w:rFonts w:hint="eastAsia" w:ascii="宋体" w:hAnsi="宋体" w:eastAsia="宋体" w:cs="宋体"/>
                <w:color w:val="auto"/>
                <w:sz w:val="24"/>
                <w:szCs w:val="20"/>
              </w:rPr>
            </w:pPr>
            <w:r>
              <w:rPr>
                <w:rFonts w:hint="eastAsia" w:ascii="宋体" w:hAnsi="宋体" w:eastAsia="宋体" w:cs="宋体"/>
                <w:color w:val="auto"/>
                <w:sz w:val="24"/>
                <w:szCs w:val="20"/>
                <w:lang w:eastAsia="zh-CN"/>
              </w:rPr>
              <w:t>质保期</w:t>
            </w:r>
          </w:p>
        </w:tc>
        <w:tc>
          <w:tcPr>
            <w:tcW w:w="5145" w:type="dxa"/>
            <w:tcBorders>
              <w:top w:val="single" w:color="auto" w:sz="4" w:space="0"/>
              <w:left w:val="single" w:color="auto" w:sz="4" w:space="0"/>
              <w:bottom w:val="single" w:color="auto" w:sz="4" w:space="0"/>
              <w:right w:val="single" w:color="auto" w:sz="4" w:space="0"/>
            </w:tcBorders>
            <w:vAlign w:val="top"/>
          </w:tcPr>
          <w:p w14:paraId="5FB0020E">
            <w:pPr>
              <w:keepNext w:val="0"/>
              <w:keepLines w:val="0"/>
              <w:suppressLineNumbers w:val="0"/>
              <w:snapToGrid w:val="0"/>
              <w:spacing w:before="0" w:beforeLines="50" w:beforeAutospacing="0" w:after="0" w:afterAutospacing="0" w:line="240" w:lineRule="auto"/>
              <w:ind w:left="0" w:leftChars="0" w:right="0" w:rightChars="0"/>
              <w:jc w:val="left"/>
              <w:rPr>
                <w:rFonts w:hint="eastAsia" w:ascii="宋体" w:hAnsi="宋体" w:eastAsia="宋体" w:cs="宋体"/>
                <w:color w:val="auto"/>
                <w:sz w:val="24"/>
                <w:szCs w:val="20"/>
              </w:rPr>
            </w:pPr>
            <w:r>
              <w:rPr>
                <w:rFonts w:hint="eastAsia" w:ascii="宋体" w:hAnsi="宋体" w:eastAsia="宋体" w:cs="宋体"/>
                <w:color w:val="auto"/>
                <w:sz w:val="24"/>
                <w:szCs w:val="20"/>
                <w:lang w:eastAsia="zh-CN"/>
              </w:rPr>
              <w:t>本项目整体质保不少于5年。软件提供不少于三年免费升级。（供应商可提供更优惠的质保期）。</w:t>
            </w:r>
          </w:p>
        </w:tc>
        <w:tc>
          <w:tcPr>
            <w:tcW w:w="1470" w:type="dxa"/>
            <w:tcBorders>
              <w:top w:val="single" w:color="auto" w:sz="4" w:space="0"/>
              <w:left w:val="single" w:color="auto" w:sz="4" w:space="0"/>
              <w:bottom w:val="single" w:color="auto" w:sz="4" w:space="0"/>
              <w:right w:val="single" w:color="auto" w:sz="4" w:space="0"/>
            </w:tcBorders>
          </w:tcPr>
          <w:p w14:paraId="744E4D62">
            <w:pPr>
              <w:keepNext w:val="0"/>
              <w:keepLines w:val="0"/>
              <w:suppressLineNumbers w:val="0"/>
              <w:shd w:val="clear"/>
              <w:snapToGrid w:val="0"/>
              <w:spacing w:before="120" w:beforeLines="50" w:beforeAutospacing="0" w:after="0" w:afterAutospacing="0" w:line="360" w:lineRule="auto"/>
              <w:ind w:left="86" w:right="0"/>
              <w:rPr>
                <w:rFonts w:hint="eastAsia" w:ascii="宋体" w:hAnsi="宋体" w:eastAsia="宋体" w:cs="宋体"/>
                <w:color w:val="auto"/>
                <w:sz w:val="24"/>
                <w:szCs w:val="24"/>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69D83AF1">
            <w:pPr>
              <w:keepNext w:val="0"/>
              <w:keepLines w:val="0"/>
              <w:suppressLineNumbers w:val="0"/>
              <w:shd w:val="clear"/>
              <w:snapToGrid w:val="0"/>
              <w:spacing w:before="120" w:beforeLines="50" w:beforeAutospacing="0" w:after="0" w:afterAutospacing="0" w:line="360" w:lineRule="auto"/>
              <w:ind w:left="86" w:right="0"/>
              <w:rPr>
                <w:rFonts w:hint="eastAsia" w:ascii="宋体" w:hAnsi="宋体" w:eastAsia="宋体" w:cs="宋体"/>
                <w:color w:val="auto"/>
                <w:sz w:val="24"/>
                <w:szCs w:val="24"/>
                <w:highlight w:val="none"/>
                <w:shd w:val="clear" w:color="auto" w:fill="auto"/>
              </w:rPr>
            </w:pPr>
          </w:p>
        </w:tc>
      </w:tr>
      <w:tr w14:paraId="6C1B2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1" w:hRule="atLeast"/>
        </w:trPr>
        <w:tc>
          <w:tcPr>
            <w:tcW w:w="720" w:type="dxa"/>
            <w:tcBorders>
              <w:top w:val="single" w:color="auto" w:sz="4" w:space="0"/>
              <w:left w:val="single" w:color="auto" w:sz="4" w:space="0"/>
              <w:bottom w:val="single" w:color="auto" w:sz="4" w:space="0"/>
              <w:right w:val="single" w:color="auto" w:sz="4" w:space="0"/>
            </w:tcBorders>
            <w:vAlign w:val="center"/>
          </w:tcPr>
          <w:p w14:paraId="6D6AD97C">
            <w:pPr>
              <w:keepNext w:val="0"/>
              <w:keepLines w:val="0"/>
              <w:suppressLineNumbers w:val="0"/>
              <w:snapToGrid w:val="0"/>
              <w:spacing w:before="0" w:beforeLines="50" w:beforeAutospacing="0" w:after="0" w:afterAutospacing="0" w:line="240" w:lineRule="auto"/>
              <w:ind w:left="0" w:leftChars="0" w:right="0" w:rightChars="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0"/>
                <w:lang w:val="en-US" w:eastAsia="zh-CN"/>
              </w:rPr>
              <w:t>4</w:t>
            </w:r>
          </w:p>
        </w:tc>
        <w:tc>
          <w:tcPr>
            <w:tcW w:w="1275" w:type="dxa"/>
            <w:tcBorders>
              <w:top w:val="single" w:color="auto" w:sz="4" w:space="0"/>
              <w:left w:val="single" w:color="auto" w:sz="4" w:space="0"/>
              <w:bottom w:val="single" w:color="auto" w:sz="4" w:space="0"/>
              <w:right w:val="single" w:color="auto" w:sz="4" w:space="0"/>
            </w:tcBorders>
            <w:vAlign w:val="center"/>
          </w:tcPr>
          <w:p w14:paraId="1AECF288">
            <w:pPr>
              <w:keepNext w:val="0"/>
              <w:keepLines w:val="0"/>
              <w:suppressLineNumbers w:val="0"/>
              <w:snapToGrid w:val="0"/>
              <w:spacing w:before="0" w:beforeLines="50" w:beforeAutospacing="0" w:after="0" w:afterAutospacing="0" w:line="240" w:lineRule="auto"/>
              <w:ind w:left="0" w:leftChars="0" w:right="0" w:rightChars="0"/>
              <w:jc w:val="center"/>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rPr>
              <w:t>投标有效期</w:t>
            </w:r>
          </w:p>
        </w:tc>
        <w:tc>
          <w:tcPr>
            <w:tcW w:w="5145" w:type="dxa"/>
            <w:tcBorders>
              <w:top w:val="single" w:color="auto" w:sz="4" w:space="0"/>
              <w:left w:val="single" w:color="auto" w:sz="4" w:space="0"/>
              <w:bottom w:val="single" w:color="auto" w:sz="4" w:space="0"/>
              <w:right w:val="single" w:color="auto" w:sz="4" w:space="0"/>
            </w:tcBorders>
            <w:vAlign w:val="top"/>
          </w:tcPr>
          <w:p w14:paraId="7CAEB513">
            <w:pPr>
              <w:keepNext w:val="0"/>
              <w:keepLines w:val="0"/>
              <w:suppressLineNumbers w:val="0"/>
              <w:snapToGrid w:val="0"/>
              <w:spacing w:before="0" w:beforeLines="50" w:beforeAutospacing="0" w:after="0" w:afterAutospacing="0" w:line="240" w:lineRule="auto"/>
              <w:ind w:left="0" w:leftChars="0" w:right="0" w:rightChars="0"/>
              <w:jc w:val="left"/>
              <w:rPr>
                <w:rFonts w:hint="eastAsia" w:ascii="宋体" w:hAnsi="宋体" w:eastAsia="宋体" w:cs="宋体"/>
                <w:color w:val="auto"/>
                <w:sz w:val="24"/>
                <w:szCs w:val="20"/>
              </w:rPr>
            </w:pPr>
            <w:r>
              <w:rPr>
                <w:rFonts w:hint="eastAsia" w:ascii="宋体" w:hAnsi="宋体" w:eastAsia="宋体" w:cs="宋体"/>
                <w:color w:val="auto"/>
                <w:sz w:val="24"/>
                <w:szCs w:val="20"/>
              </w:rPr>
              <w:t>自投标截止日起 90 天投标文件应保持有效</w:t>
            </w:r>
          </w:p>
        </w:tc>
        <w:tc>
          <w:tcPr>
            <w:tcW w:w="1470" w:type="dxa"/>
            <w:tcBorders>
              <w:top w:val="single" w:color="auto" w:sz="4" w:space="0"/>
              <w:left w:val="single" w:color="auto" w:sz="4" w:space="0"/>
              <w:bottom w:val="single" w:color="auto" w:sz="4" w:space="0"/>
              <w:right w:val="single" w:color="auto" w:sz="4" w:space="0"/>
            </w:tcBorders>
          </w:tcPr>
          <w:p w14:paraId="56636289">
            <w:pPr>
              <w:keepNext w:val="0"/>
              <w:keepLines w:val="0"/>
              <w:suppressLineNumbers w:val="0"/>
              <w:shd w:val="clear"/>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02CFD548">
            <w:pPr>
              <w:keepNext w:val="0"/>
              <w:keepLines w:val="0"/>
              <w:suppressLineNumbers w:val="0"/>
              <w:shd w:val="clear"/>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r w14:paraId="1491FB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720" w:type="dxa"/>
            <w:tcBorders>
              <w:top w:val="single" w:color="auto" w:sz="4" w:space="0"/>
              <w:left w:val="single" w:color="auto" w:sz="4" w:space="0"/>
              <w:bottom w:val="single" w:color="auto" w:sz="4" w:space="0"/>
              <w:right w:val="single" w:color="auto" w:sz="4" w:space="0"/>
            </w:tcBorders>
            <w:vAlign w:val="top"/>
          </w:tcPr>
          <w:p w14:paraId="3E8D38D8">
            <w:pPr>
              <w:keepNext w:val="0"/>
              <w:keepLines w:val="0"/>
              <w:suppressLineNumbers w:val="0"/>
              <w:snapToGrid w:val="0"/>
              <w:spacing w:before="0" w:beforeLines="50" w:beforeAutospacing="0" w:after="0" w:afterAutospacing="0" w:line="360" w:lineRule="auto"/>
              <w:ind w:left="0" w:leftChars="0" w:right="0" w:rightChars="0"/>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sz w:val="24"/>
                <w:szCs w:val="20"/>
              </w:rPr>
              <w:t>...</w:t>
            </w:r>
          </w:p>
        </w:tc>
        <w:tc>
          <w:tcPr>
            <w:tcW w:w="1275" w:type="dxa"/>
            <w:tcBorders>
              <w:top w:val="single" w:color="auto" w:sz="4" w:space="0"/>
              <w:left w:val="single" w:color="auto" w:sz="4" w:space="0"/>
              <w:bottom w:val="single" w:color="auto" w:sz="4" w:space="0"/>
              <w:right w:val="single" w:color="auto" w:sz="4" w:space="0"/>
            </w:tcBorders>
            <w:vAlign w:val="top"/>
          </w:tcPr>
          <w:p w14:paraId="3DAEB84C">
            <w:pPr>
              <w:keepNext w:val="0"/>
              <w:keepLines w:val="0"/>
              <w:suppressLineNumbers w:val="0"/>
              <w:snapToGrid w:val="0"/>
              <w:spacing w:before="0" w:beforeLines="50" w:beforeAutospacing="0" w:after="0" w:afterAutospacing="0" w:line="360" w:lineRule="auto"/>
              <w:ind w:left="0" w:leftChars="0" w:right="0" w:rightChars="0"/>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sz w:val="24"/>
                <w:szCs w:val="20"/>
              </w:rPr>
              <w:t>...</w:t>
            </w:r>
          </w:p>
        </w:tc>
        <w:tc>
          <w:tcPr>
            <w:tcW w:w="5145" w:type="dxa"/>
            <w:tcBorders>
              <w:top w:val="single" w:color="auto" w:sz="4" w:space="0"/>
              <w:left w:val="single" w:color="auto" w:sz="4" w:space="0"/>
              <w:bottom w:val="single" w:color="auto" w:sz="4" w:space="0"/>
              <w:right w:val="single" w:color="auto" w:sz="4" w:space="0"/>
            </w:tcBorders>
            <w:vAlign w:val="top"/>
          </w:tcPr>
          <w:p w14:paraId="38E01478">
            <w:pPr>
              <w:keepNext w:val="0"/>
              <w:keepLines w:val="0"/>
              <w:suppressLineNumbers w:val="0"/>
              <w:snapToGrid w:val="0"/>
              <w:spacing w:before="0" w:beforeLines="50" w:beforeAutospacing="0" w:after="0" w:afterAutospacing="0" w:line="240" w:lineRule="auto"/>
              <w:ind w:left="0" w:leftChars="0" w:right="0" w:rightChars="0"/>
              <w:jc w:val="left"/>
              <w:rPr>
                <w:rFonts w:hint="eastAsia" w:ascii="宋体" w:hAnsi="宋体" w:eastAsia="宋体" w:cs="宋体"/>
                <w:color w:val="auto"/>
                <w:sz w:val="24"/>
                <w:szCs w:val="24"/>
                <w:highlight w:val="none"/>
                <w:shd w:val="clear" w:color="auto" w:fill="auto"/>
              </w:rPr>
            </w:pPr>
          </w:p>
        </w:tc>
        <w:tc>
          <w:tcPr>
            <w:tcW w:w="1470" w:type="dxa"/>
            <w:tcBorders>
              <w:top w:val="single" w:color="auto" w:sz="4" w:space="0"/>
              <w:left w:val="single" w:color="auto" w:sz="4" w:space="0"/>
              <w:bottom w:val="single" w:color="auto" w:sz="4" w:space="0"/>
              <w:right w:val="single" w:color="auto" w:sz="4" w:space="0"/>
            </w:tcBorders>
          </w:tcPr>
          <w:p w14:paraId="64B2A66A">
            <w:pPr>
              <w:keepNext w:val="0"/>
              <w:keepLines w:val="0"/>
              <w:suppressLineNumbers w:val="0"/>
              <w:shd w:val="clear"/>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0FD6FBBF">
            <w:pPr>
              <w:keepNext w:val="0"/>
              <w:keepLines w:val="0"/>
              <w:suppressLineNumbers w:val="0"/>
              <w:shd w:val="clear"/>
              <w:snapToGrid w:val="0"/>
              <w:spacing w:before="120" w:beforeLines="50" w:beforeAutospacing="0" w:after="0" w:afterAutospacing="0" w:line="360" w:lineRule="auto"/>
              <w:ind w:left="0" w:right="0"/>
              <w:rPr>
                <w:rFonts w:hint="eastAsia" w:ascii="宋体" w:hAnsi="宋体" w:eastAsia="宋体" w:cs="宋体"/>
                <w:color w:val="auto"/>
                <w:sz w:val="24"/>
                <w:szCs w:val="24"/>
                <w:highlight w:val="none"/>
                <w:shd w:val="clear" w:color="auto" w:fill="auto"/>
              </w:rPr>
            </w:pPr>
          </w:p>
        </w:tc>
      </w:tr>
    </w:tbl>
    <w:p w14:paraId="2E28B159">
      <w:pPr>
        <w:shd w:val="clear"/>
        <w:snapToGrid w:val="0"/>
        <w:spacing w:line="400" w:lineRule="exact"/>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u w:val="single"/>
          <w:shd w:val="clear" w:color="auto" w:fill="auto"/>
        </w:rPr>
        <w:t>特别说明：</w:t>
      </w:r>
    </w:p>
    <w:p w14:paraId="62B09CF7">
      <w:pPr>
        <w:numPr>
          <w:ilvl w:val="0"/>
          <w:numId w:val="6"/>
        </w:numPr>
        <w:shd w:val="clear"/>
        <w:snapToGrid w:val="0"/>
        <w:spacing w:line="400" w:lineRule="exact"/>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u w:val="single"/>
          <w:shd w:val="clear" w:color="auto" w:fill="auto"/>
        </w:rPr>
        <w:t>投标人应在此表中将招标文件中列明</w:t>
      </w:r>
      <w:bookmarkStart w:id="66" w:name="_Hlk535995896"/>
      <w:r>
        <w:rPr>
          <w:rFonts w:hint="eastAsia" w:ascii="宋体" w:hAnsi="宋体" w:eastAsia="宋体" w:cs="宋体"/>
          <w:b/>
          <w:color w:val="auto"/>
          <w:sz w:val="24"/>
          <w:szCs w:val="24"/>
          <w:highlight w:val="none"/>
          <w:u w:val="single"/>
          <w:shd w:val="clear" w:color="auto" w:fill="auto"/>
        </w:rPr>
        <w:t>的商务要求和技术参数要求的正偏离或负偏离的应标内容详细写明，</w:t>
      </w:r>
      <w:bookmarkEnd w:id="66"/>
      <w:r>
        <w:rPr>
          <w:rFonts w:hint="eastAsia" w:ascii="宋体" w:hAnsi="宋体" w:eastAsia="宋体" w:cs="宋体"/>
          <w:b/>
          <w:color w:val="auto"/>
          <w:sz w:val="24"/>
          <w:szCs w:val="24"/>
          <w:highlight w:val="none"/>
          <w:u w:val="single"/>
          <w:shd w:val="clear" w:color="auto" w:fill="auto"/>
        </w:rPr>
        <w:t>特别是勿遗漏招标文件中打▲的商务和技术要求的应标内容。</w:t>
      </w:r>
    </w:p>
    <w:p w14:paraId="292880C9">
      <w:pPr>
        <w:numPr>
          <w:ilvl w:val="0"/>
          <w:numId w:val="6"/>
        </w:numPr>
        <w:shd w:val="clear"/>
        <w:snapToGrid w:val="0"/>
        <w:spacing w:line="400" w:lineRule="exact"/>
        <w:rPr>
          <w:rFonts w:hint="eastAsia" w:ascii="宋体" w:hAnsi="宋体" w:eastAsia="宋体" w:cs="宋体"/>
          <w:b/>
          <w:color w:val="FF0000"/>
          <w:sz w:val="24"/>
          <w:szCs w:val="24"/>
          <w:highlight w:val="none"/>
          <w:u w:val="single"/>
          <w:shd w:val="clear" w:color="auto" w:fill="auto"/>
          <w:lang w:val="en-US" w:eastAsia="zh-CN"/>
        </w:rPr>
      </w:pPr>
      <w:r>
        <w:rPr>
          <w:rFonts w:hint="eastAsia" w:ascii="宋体" w:hAnsi="宋体" w:eastAsia="宋体" w:cs="宋体"/>
          <w:b/>
          <w:color w:val="FF0000"/>
          <w:sz w:val="24"/>
          <w:szCs w:val="24"/>
          <w:highlight w:val="none"/>
          <w:u w:val="single"/>
          <w:shd w:val="clear" w:color="auto" w:fill="auto"/>
          <w:lang w:val="en-US" w:eastAsia="zh-CN"/>
        </w:rPr>
        <w:t>投标人应在本表格中--投标人的应标情况栏中列出具体的应标内容。</w:t>
      </w:r>
    </w:p>
    <w:p w14:paraId="6958F22C">
      <w:pPr>
        <w:pStyle w:val="31"/>
        <w:shd w:val="clear"/>
        <w:snapToGrid w:val="0"/>
        <w:spacing w:beforeLines="0" w:afterLines="0" w:line="240" w:lineRule="auto"/>
        <w:rPr>
          <w:rFonts w:hint="eastAsia" w:ascii="宋体" w:hAnsi="宋体" w:eastAsia="宋体" w:cs="宋体"/>
          <w:color w:val="auto"/>
          <w:spacing w:val="20"/>
          <w:sz w:val="24"/>
          <w:szCs w:val="24"/>
          <w:highlight w:val="none"/>
          <w:shd w:val="clear" w:color="auto" w:fill="auto"/>
        </w:rPr>
      </w:pPr>
    </w:p>
    <w:p w14:paraId="1925A069">
      <w:pPr>
        <w:pStyle w:val="31"/>
        <w:shd w:val="clear"/>
        <w:snapToGrid w:val="0"/>
        <w:spacing w:beforeLines="0" w:afterLines="0" w:line="24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法定代表人签字（或盖章）：            投标人（盖章）：</w:t>
      </w:r>
    </w:p>
    <w:p w14:paraId="2D301846">
      <w:pPr>
        <w:shd w:val="clear"/>
        <w:snapToGrid w:val="0"/>
        <w:spacing w:before="50" w:after="120" w:afterLines="5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日期：  _____年___月___日</w:t>
      </w:r>
    </w:p>
    <w:p w14:paraId="761CE57A">
      <w:pPr>
        <w:snapToGrid w:val="0"/>
        <w:spacing w:line="400" w:lineRule="exact"/>
        <w:ind w:firstLine="472" w:firstLineChars="196"/>
        <w:jc w:val="left"/>
        <w:rPr>
          <w:rFonts w:ascii="宋体" w:hAnsi="宋体" w:cs="宋体"/>
          <w:b/>
          <w:bCs/>
          <w:sz w:val="24"/>
        </w:rPr>
      </w:pPr>
    </w:p>
    <w:p w14:paraId="0C1F3C5C">
      <w:pPr>
        <w:snapToGrid w:val="0"/>
        <w:spacing w:before="50" w:afterLines="50"/>
        <w:jc w:val="center"/>
        <w:outlineLvl w:val="1"/>
        <w:rPr>
          <w:rFonts w:hint="eastAsia" w:ascii="宋体" w:hAnsi="宋体" w:cs="宋体"/>
          <w:b/>
          <w:sz w:val="30"/>
          <w:szCs w:val="30"/>
        </w:rPr>
        <w:sectPr>
          <w:footerReference r:id="rId7" w:type="default"/>
          <w:pgSz w:w="11906" w:h="16838"/>
          <w:pgMar w:top="1021" w:right="1588" w:bottom="851" w:left="1588" w:header="851" w:footer="851" w:gutter="0"/>
          <w:pgBorders>
            <w:top w:val="none" w:sz="0" w:space="0"/>
            <w:left w:val="none" w:sz="0" w:space="0"/>
            <w:bottom w:val="none" w:sz="0" w:space="0"/>
            <w:right w:val="none" w:sz="0" w:space="0"/>
          </w:pgBorders>
          <w:cols w:space="720" w:num="1"/>
        </w:sectPr>
      </w:pPr>
      <w:bookmarkStart w:id="67" w:name="_Toc16395"/>
      <w:bookmarkStart w:id="68" w:name="_Toc11354"/>
      <w:bookmarkStart w:id="69" w:name="_Toc466534754"/>
      <w:bookmarkStart w:id="71" w:name="_GoBack"/>
      <w:bookmarkEnd w:id="71"/>
    </w:p>
    <w:p w14:paraId="54974384">
      <w:pPr>
        <w:snapToGrid w:val="0"/>
        <w:spacing w:before="50" w:afterLines="50"/>
        <w:jc w:val="center"/>
        <w:outlineLvl w:val="1"/>
        <w:rPr>
          <w:rFonts w:hint="eastAsia" w:ascii="宋体" w:hAnsi="宋体" w:cs="宋体"/>
          <w:b/>
          <w:sz w:val="30"/>
          <w:szCs w:val="30"/>
        </w:rPr>
      </w:pPr>
    </w:p>
    <w:p w14:paraId="2EB4D024">
      <w:pPr>
        <w:snapToGrid w:val="0"/>
        <w:spacing w:before="50" w:afterLines="50"/>
        <w:jc w:val="center"/>
        <w:outlineLvl w:val="1"/>
        <w:rPr>
          <w:rFonts w:ascii="宋体" w:hAnsi="宋体" w:cs="宋体"/>
          <w:b/>
          <w:sz w:val="30"/>
          <w:szCs w:val="30"/>
        </w:rPr>
      </w:pPr>
      <w:r>
        <w:rPr>
          <w:rFonts w:hint="eastAsia" w:ascii="宋体" w:hAnsi="宋体" w:cs="宋体"/>
          <w:b/>
          <w:sz w:val="30"/>
          <w:szCs w:val="30"/>
        </w:rPr>
        <w:t>三、报价文件格式</w:t>
      </w:r>
      <w:bookmarkEnd w:id="63"/>
      <w:bookmarkEnd w:id="67"/>
      <w:bookmarkEnd w:id="68"/>
      <w:bookmarkEnd w:id="69"/>
    </w:p>
    <w:p w14:paraId="5F7CC972">
      <w:pPr>
        <w:snapToGrid w:val="0"/>
        <w:spacing w:beforeLines="50" w:after="50"/>
        <w:ind w:firstLine="645"/>
        <w:jc w:val="center"/>
        <w:rPr>
          <w:rFonts w:ascii="宋体" w:hAnsi="宋体" w:cs="宋体"/>
          <w:sz w:val="24"/>
          <w:szCs w:val="20"/>
        </w:rPr>
      </w:pPr>
    </w:p>
    <w:p w14:paraId="71253B0C">
      <w:pPr>
        <w:snapToGrid w:val="0"/>
        <w:spacing w:beforeLines="50" w:after="50"/>
        <w:rPr>
          <w:rFonts w:ascii="宋体" w:hAnsi="宋体" w:cs="宋体"/>
          <w:sz w:val="24"/>
          <w:szCs w:val="20"/>
        </w:rPr>
      </w:pPr>
    </w:p>
    <w:p w14:paraId="1A8E493B">
      <w:pPr>
        <w:snapToGrid w:val="0"/>
        <w:spacing w:beforeLines="50" w:after="50"/>
        <w:rPr>
          <w:rFonts w:ascii="宋体" w:hAnsi="宋体" w:cs="宋体"/>
          <w:sz w:val="24"/>
          <w:szCs w:val="20"/>
        </w:rPr>
      </w:pPr>
    </w:p>
    <w:p w14:paraId="2955A6E1">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4</w:t>
      </w:r>
      <w:r>
        <w:rPr>
          <w:rFonts w:hint="eastAsia" w:ascii="宋体" w:hAnsi="宋体" w:cs="宋体"/>
          <w:sz w:val="28"/>
          <w:szCs w:val="28"/>
        </w:rPr>
        <w:t xml:space="preserve">.报价文件封面格式： </w:t>
      </w:r>
    </w:p>
    <w:p w14:paraId="497BEBC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67CED504">
      <w:pPr>
        <w:snapToGrid w:val="0"/>
        <w:spacing w:beforeLines="50" w:after="50"/>
        <w:jc w:val="center"/>
        <w:rPr>
          <w:rFonts w:ascii="宋体" w:hAnsi="宋体" w:cs="宋体"/>
          <w:b/>
          <w:bCs/>
          <w:sz w:val="28"/>
          <w:szCs w:val="28"/>
        </w:rPr>
      </w:pPr>
    </w:p>
    <w:p w14:paraId="78BCBE17">
      <w:pPr>
        <w:snapToGrid w:val="0"/>
        <w:spacing w:beforeLines="50" w:after="50" w:line="360" w:lineRule="auto"/>
        <w:jc w:val="center"/>
        <w:rPr>
          <w:rFonts w:ascii="宋体" w:hAnsi="宋体" w:cs="宋体"/>
          <w:bCs/>
          <w:sz w:val="28"/>
          <w:szCs w:val="28"/>
        </w:rPr>
      </w:pPr>
    </w:p>
    <w:p w14:paraId="011DADCF">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578AC852">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C346D46">
      <w:pPr>
        <w:pStyle w:val="13"/>
        <w:snapToGrid w:val="0"/>
        <w:spacing w:before="50" w:after="50" w:line="360" w:lineRule="auto"/>
        <w:ind w:firstLine="1164" w:firstLineChars="416"/>
        <w:rPr>
          <w:rFonts w:ascii="宋体" w:hAnsi="宋体" w:cs="宋体"/>
          <w:bCs/>
          <w:sz w:val="28"/>
          <w:szCs w:val="28"/>
        </w:rPr>
      </w:pPr>
    </w:p>
    <w:p w14:paraId="1CFBABE8">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5D9D848">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38CF657">
      <w:pPr>
        <w:snapToGrid w:val="0"/>
        <w:spacing w:beforeLines="50" w:after="50" w:line="360" w:lineRule="auto"/>
        <w:jc w:val="center"/>
        <w:rPr>
          <w:rFonts w:ascii="宋体" w:hAnsi="宋体" w:cs="宋体"/>
          <w:sz w:val="28"/>
          <w:szCs w:val="28"/>
        </w:rPr>
      </w:pPr>
    </w:p>
    <w:p w14:paraId="4EA6D170">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5D4E4AA4">
      <w:pPr>
        <w:pStyle w:val="31"/>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5</w:t>
      </w:r>
      <w:r>
        <w:rPr>
          <w:rFonts w:hint="eastAsia" w:hAnsi="宋体" w:cs="宋体"/>
        </w:rPr>
        <w:t>.开标一览表格式：</w:t>
      </w:r>
    </w:p>
    <w:p w14:paraId="202F0E3D">
      <w:pPr>
        <w:pStyle w:val="31"/>
        <w:snapToGrid w:val="0"/>
        <w:spacing w:beforeLines="0" w:afterLines="0" w:line="240" w:lineRule="auto"/>
        <w:jc w:val="center"/>
        <w:rPr>
          <w:rFonts w:hAnsi="宋体" w:cs="宋体"/>
          <w:b/>
        </w:rPr>
      </w:pPr>
      <w:r>
        <w:rPr>
          <w:rFonts w:hint="eastAsia" w:hAnsi="宋体" w:cs="宋体"/>
          <w:b/>
        </w:rPr>
        <w:t>开标一览表</w:t>
      </w:r>
    </w:p>
    <w:p w14:paraId="50E990F1">
      <w:pPr>
        <w:snapToGrid w:val="0"/>
        <w:spacing w:beforeLines="50" w:after="50" w:line="480" w:lineRule="auto"/>
        <w:rPr>
          <w:rFonts w:ascii="宋体" w:hAnsi="宋体" w:cs="宋体"/>
          <w:b/>
          <w:sz w:val="24"/>
        </w:rPr>
      </w:pPr>
    </w:p>
    <w:p w14:paraId="7440C833">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788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5E429263">
            <w:pPr>
              <w:pStyle w:val="31"/>
              <w:snapToGrid w:val="0"/>
              <w:spacing w:before="120" w:after="120" w:line="240" w:lineRule="auto"/>
              <w:jc w:val="center"/>
              <w:rPr>
                <w:rFonts w:hAnsi="宋体" w:cs="宋体"/>
                <w:b/>
              </w:rPr>
            </w:pPr>
            <w:r>
              <w:rPr>
                <w:rFonts w:hint="eastAsia" w:hAnsi="宋体" w:cs="宋体"/>
                <w:b/>
              </w:rPr>
              <w:t>名称</w:t>
            </w:r>
          </w:p>
        </w:tc>
        <w:tc>
          <w:tcPr>
            <w:tcW w:w="6052" w:type="dxa"/>
            <w:noWrap/>
          </w:tcPr>
          <w:p w14:paraId="1F9FE7C3">
            <w:pPr>
              <w:pStyle w:val="31"/>
              <w:snapToGrid w:val="0"/>
              <w:spacing w:before="120" w:after="120" w:line="240" w:lineRule="auto"/>
              <w:jc w:val="center"/>
              <w:rPr>
                <w:rFonts w:hAnsi="宋体" w:cs="宋体"/>
                <w:b/>
              </w:rPr>
            </w:pPr>
            <w:r>
              <w:rPr>
                <w:rFonts w:hint="eastAsia" w:hAnsi="宋体" w:cs="宋体"/>
                <w:b/>
              </w:rPr>
              <w:t>内容</w:t>
            </w:r>
          </w:p>
        </w:tc>
        <w:tc>
          <w:tcPr>
            <w:tcW w:w="1328" w:type="dxa"/>
            <w:noWrap/>
          </w:tcPr>
          <w:p w14:paraId="23494F0D">
            <w:pPr>
              <w:pStyle w:val="31"/>
              <w:snapToGrid w:val="0"/>
              <w:spacing w:before="120" w:after="120" w:line="240" w:lineRule="auto"/>
              <w:jc w:val="center"/>
              <w:rPr>
                <w:rFonts w:hAnsi="宋体" w:cs="宋体"/>
                <w:b/>
              </w:rPr>
            </w:pPr>
            <w:r>
              <w:rPr>
                <w:rFonts w:hint="eastAsia" w:hAnsi="宋体" w:cs="宋体"/>
                <w:b/>
              </w:rPr>
              <w:t>备注</w:t>
            </w:r>
          </w:p>
        </w:tc>
      </w:tr>
      <w:tr w14:paraId="6AF90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69DBF243">
            <w:pPr>
              <w:pStyle w:val="31"/>
              <w:snapToGrid w:val="0"/>
              <w:spacing w:before="120" w:after="120" w:line="240" w:lineRule="auto"/>
              <w:jc w:val="center"/>
              <w:rPr>
                <w:rFonts w:hAnsi="宋体" w:cs="宋体"/>
                <w:b/>
              </w:rPr>
            </w:pPr>
          </w:p>
          <w:p w14:paraId="78059C5D">
            <w:pPr>
              <w:pStyle w:val="31"/>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3202E24E">
            <w:pPr>
              <w:pStyle w:val="31"/>
              <w:snapToGrid w:val="0"/>
              <w:spacing w:before="120" w:after="120" w:line="240" w:lineRule="auto"/>
              <w:jc w:val="center"/>
              <w:rPr>
                <w:rFonts w:hAnsi="宋体" w:cs="宋体"/>
                <w:b/>
              </w:rPr>
            </w:pPr>
          </w:p>
          <w:p w14:paraId="07D89105">
            <w:pPr>
              <w:pStyle w:val="31"/>
              <w:snapToGrid w:val="0"/>
              <w:spacing w:before="120" w:after="120" w:line="240" w:lineRule="auto"/>
              <w:jc w:val="center"/>
              <w:rPr>
                <w:rFonts w:hAnsi="宋体" w:cs="宋体"/>
                <w:b/>
              </w:rPr>
            </w:pPr>
          </w:p>
        </w:tc>
        <w:tc>
          <w:tcPr>
            <w:tcW w:w="6052" w:type="dxa"/>
            <w:noWrap/>
            <w:vAlign w:val="center"/>
          </w:tcPr>
          <w:p w14:paraId="2C7FE18F">
            <w:pPr>
              <w:pStyle w:val="31"/>
              <w:snapToGrid w:val="0"/>
              <w:spacing w:before="120" w:after="120" w:line="240" w:lineRule="auto"/>
              <w:rPr>
                <w:rFonts w:hAnsi="宋体" w:cs="宋体"/>
              </w:rPr>
            </w:pPr>
          </w:p>
          <w:p w14:paraId="6CA491EF">
            <w:pPr>
              <w:widowControl w:val="0"/>
              <w:snapToGrid w:val="0"/>
              <w:spacing w:beforeLines="0" w:afterLines="0" w:line="240" w:lineRule="auto"/>
              <w:ind w:left="240" w:hanging="240" w:hangingChars="1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none"/>
                <w:lang w:val="en-US" w:eastAsia="zh-CN" w:bidi="ar-SA"/>
              </w:rPr>
              <w:t>大写：人民币</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564604B0">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26152DF5">
            <w:pPr>
              <w:pStyle w:val="31"/>
              <w:snapToGrid w:val="0"/>
              <w:spacing w:beforeLines="0" w:afterLines="0" w:line="240" w:lineRule="auto"/>
              <w:ind w:left="720" w:hanging="720" w:hangingChars="300"/>
              <w:rPr>
                <w:rFonts w:hAnsi="宋体" w:cs="宋体"/>
                <w:kern w:val="2"/>
              </w:rPr>
            </w:pPr>
          </w:p>
          <w:p w14:paraId="5D852205">
            <w:pPr>
              <w:pStyle w:val="31"/>
              <w:snapToGrid w:val="0"/>
              <w:spacing w:beforeLines="0" w:afterLines="0" w:line="240" w:lineRule="auto"/>
              <w:rPr>
                <w:rFonts w:hAnsi="宋体" w:cs="宋体"/>
                <w:kern w:val="2"/>
              </w:rPr>
            </w:pPr>
          </w:p>
          <w:p w14:paraId="396FDE0D">
            <w:pPr>
              <w:pStyle w:val="31"/>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0DC05A85">
            <w:pPr>
              <w:rPr>
                <w:rFonts w:ascii="宋体" w:hAnsi="宋体" w:cs="宋体"/>
              </w:rPr>
            </w:pPr>
          </w:p>
          <w:p w14:paraId="2078593D">
            <w:pPr>
              <w:pStyle w:val="31"/>
              <w:snapToGrid w:val="0"/>
              <w:spacing w:before="120" w:after="120" w:line="240" w:lineRule="auto"/>
              <w:rPr>
                <w:rFonts w:hAnsi="宋体" w:cs="宋体"/>
                <w:b/>
              </w:rPr>
            </w:pPr>
          </w:p>
        </w:tc>
        <w:tc>
          <w:tcPr>
            <w:tcW w:w="1328" w:type="dxa"/>
            <w:noWrap/>
          </w:tcPr>
          <w:p w14:paraId="518733B0">
            <w:pPr>
              <w:rPr>
                <w:rFonts w:ascii="宋体" w:hAnsi="宋体" w:cs="宋体"/>
              </w:rPr>
            </w:pPr>
          </w:p>
        </w:tc>
      </w:tr>
    </w:tbl>
    <w:p w14:paraId="3A6C1E55">
      <w:pPr>
        <w:pStyle w:val="31"/>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51CAAAD">
      <w:pPr>
        <w:pStyle w:val="31"/>
        <w:snapToGrid w:val="0"/>
        <w:spacing w:beforeLines="0" w:afterLines="0" w:line="240" w:lineRule="auto"/>
        <w:rPr>
          <w:rFonts w:hAnsi="宋体" w:cs="宋体"/>
          <w:b/>
        </w:rPr>
      </w:pPr>
    </w:p>
    <w:p w14:paraId="5DDAB2F9">
      <w:pPr>
        <w:pStyle w:val="31"/>
        <w:snapToGrid w:val="0"/>
        <w:spacing w:beforeLines="0" w:afterLines="0" w:line="240" w:lineRule="auto"/>
        <w:rPr>
          <w:rFonts w:hAnsi="宋体" w:cs="宋体"/>
          <w:spacing w:val="20"/>
        </w:rPr>
      </w:pPr>
    </w:p>
    <w:p w14:paraId="79C35A16">
      <w:pPr>
        <w:pStyle w:val="31"/>
        <w:snapToGrid w:val="0"/>
        <w:spacing w:beforeLines="0" w:afterLines="0" w:line="240" w:lineRule="auto"/>
        <w:rPr>
          <w:rFonts w:hAnsi="宋体" w:cs="宋体"/>
          <w:spacing w:val="20"/>
        </w:rPr>
      </w:pPr>
    </w:p>
    <w:p w14:paraId="6B672848">
      <w:pPr>
        <w:pStyle w:val="31"/>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22AFF6F7">
      <w:pPr>
        <w:pStyle w:val="31"/>
        <w:snapToGrid w:val="0"/>
        <w:spacing w:beforeLines="0" w:afterLines="0" w:line="240" w:lineRule="auto"/>
        <w:rPr>
          <w:rFonts w:hAnsi="宋体" w:cs="宋体"/>
          <w:b/>
        </w:rPr>
      </w:pPr>
    </w:p>
    <w:p w14:paraId="66BCE624">
      <w:pPr>
        <w:snapToGrid w:val="0"/>
        <w:spacing w:before="50" w:afterLines="50"/>
        <w:jc w:val="left"/>
        <w:rPr>
          <w:rFonts w:ascii="宋体" w:hAnsi="宋体" w:cs="宋体"/>
          <w:b/>
          <w:kern w:val="0"/>
          <w:sz w:val="24"/>
        </w:rPr>
      </w:pPr>
    </w:p>
    <w:p w14:paraId="5BFB242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4FB9C12B">
      <w:pPr>
        <w:pStyle w:val="31"/>
        <w:snapToGrid w:val="0"/>
        <w:spacing w:beforeLines="0" w:afterLines="0" w:line="240" w:lineRule="auto"/>
        <w:rPr>
          <w:rFonts w:hAnsi="宋体" w:cs="宋体"/>
        </w:rPr>
      </w:pPr>
    </w:p>
    <w:p w14:paraId="2A0CD52F">
      <w:pPr>
        <w:pStyle w:val="31"/>
        <w:snapToGrid w:val="0"/>
        <w:spacing w:beforeLines="0" w:afterLines="0" w:line="240" w:lineRule="auto"/>
        <w:rPr>
          <w:rFonts w:hAnsi="宋体" w:cs="宋体"/>
        </w:rPr>
      </w:pPr>
    </w:p>
    <w:p w14:paraId="4BCC01D7">
      <w:pPr>
        <w:pStyle w:val="31"/>
        <w:snapToGrid w:val="0"/>
        <w:spacing w:beforeLines="0" w:afterLines="0" w:line="240" w:lineRule="auto"/>
        <w:rPr>
          <w:rFonts w:hAnsi="宋体" w:cs="宋体"/>
        </w:rPr>
      </w:pPr>
    </w:p>
    <w:p w14:paraId="14AEEEE0">
      <w:pPr>
        <w:rPr>
          <w:rFonts w:ascii="宋体" w:hAnsi="宋体" w:cs="宋体"/>
          <w:sz w:val="24"/>
        </w:rPr>
      </w:pPr>
      <w:r>
        <w:rPr>
          <w:rFonts w:hint="eastAsia" w:ascii="宋体" w:hAnsi="宋体" w:cs="宋体"/>
        </w:rPr>
        <w:br w:type="page"/>
      </w:r>
    </w:p>
    <w:p w14:paraId="546B06B0">
      <w:pPr>
        <w:pStyle w:val="31"/>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6</w:t>
      </w:r>
      <w:r>
        <w:rPr>
          <w:rFonts w:hint="eastAsia" w:hAnsi="宋体"/>
          <w:color w:val="000000"/>
        </w:rPr>
        <w:t xml:space="preserve">.报价明细表格式：       </w:t>
      </w:r>
    </w:p>
    <w:p w14:paraId="466F534D">
      <w:pPr>
        <w:pStyle w:val="31"/>
        <w:snapToGrid w:val="0"/>
        <w:spacing w:beforeLines="0" w:afterLines="0" w:line="240" w:lineRule="auto"/>
        <w:jc w:val="center"/>
        <w:rPr>
          <w:rFonts w:hAnsi="宋体"/>
          <w:b/>
          <w:color w:val="000000"/>
        </w:rPr>
      </w:pPr>
      <w:r>
        <w:rPr>
          <w:rFonts w:hint="eastAsia" w:hAnsi="宋体"/>
          <w:b/>
          <w:color w:val="000000"/>
        </w:rPr>
        <w:t>报价明细表</w:t>
      </w:r>
    </w:p>
    <w:p w14:paraId="2298EB9C">
      <w:pPr>
        <w:pStyle w:val="32"/>
        <w:ind w:left="5250"/>
      </w:pPr>
    </w:p>
    <w:p w14:paraId="52581032">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pPr w:leftFromText="180" w:rightFromText="180" w:vertAnchor="text" w:horzAnchor="page" w:tblpX="629" w:tblpY="508"/>
        <w:tblOverlap w:val="never"/>
        <w:tblW w:w="10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3969"/>
        <w:gridCol w:w="993"/>
        <w:gridCol w:w="850"/>
        <w:gridCol w:w="992"/>
        <w:gridCol w:w="993"/>
        <w:gridCol w:w="935"/>
      </w:tblGrid>
      <w:tr w14:paraId="07711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828" w:type="dxa"/>
            <w:noWrap w:val="0"/>
            <w:vAlign w:val="center"/>
          </w:tcPr>
          <w:p w14:paraId="15517BA0">
            <w:pPr>
              <w:jc w:val="center"/>
              <w:rPr>
                <w:b/>
                <w:color w:val="000000"/>
                <w:sz w:val="24"/>
                <w:highlight w:val="none"/>
              </w:rPr>
            </w:pPr>
            <w:bookmarkStart w:id="70" w:name="_Hlk78207666"/>
            <w:r>
              <w:rPr>
                <w:rFonts w:hint="eastAsia"/>
                <w:b/>
                <w:color w:val="000000"/>
                <w:sz w:val="24"/>
                <w:highlight w:val="none"/>
              </w:rPr>
              <w:t>序号</w:t>
            </w:r>
          </w:p>
        </w:tc>
        <w:tc>
          <w:tcPr>
            <w:tcW w:w="1302" w:type="dxa"/>
            <w:noWrap w:val="0"/>
            <w:vAlign w:val="center"/>
          </w:tcPr>
          <w:p w14:paraId="505502B7">
            <w:pPr>
              <w:keepNext w:val="0"/>
              <w:keepLines w:val="0"/>
              <w:suppressLineNumbers w:val="0"/>
              <w:shd w:val="clear"/>
              <w:spacing w:before="0" w:beforeAutospacing="0" w:after="0" w:afterAutospacing="0"/>
              <w:ind w:left="0" w:leftChars="0" w:right="0" w:rightChars="0"/>
              <w:jc w:val="center"/>
              <w:rPr>
                <w:rFonts w:hint="eastAsia" w:ascii="Times New Roman" w:hAnsi="Times New Roman" w:eastAsia="宋体" w:cs="Times New Roman"/>
                <w:b/>
                <w:color w:val="000000"/>
                <w:sz w:val="24"/>
                <w:highlight w:val="none"/>
                <w:lang w:eastAsia="zh-CN"/>
              </w:rPr>
            </w:pPr>
            <w:r>
              <w:rPr>
                <w:rFonts w:hint="eastAsia" w:ascii="Times New Roman" w:hAnsi="Times New Roman" w:eastAsia="宋体" w:cs="Times New Roman"/>
                <w:b/>
                <w:color w:val="auto"/>
                <w:sz w:val="24"/>
                <w:szCs w:val="24"/>
                <w:highlight w:val="none"/>
                <w:lang w:val="en-US" w:eastAsia="zh-CN"/>
              </w:rPr>
              <w:t>设备名称</w:t>
            </w:r>
          </w:p>
        </w:tc>
        <w:tc>
          <w:tcPr>
            <w:tcW w:w="3969" w:type="dxa"/>
            <w:noWrap w:val="0"/>
            <w:vAlign w:val="center"/>
          </w:tcPr>
          <w:p w14:paraId="32E09569">
            <w:pPr>
              <w:keepNext w:val="0"/>
              <w:keepLines w:val="0"/>
              <w:suppressLineNumbers w:val="0"/>
              <w:shd w:val="clear"/>
              <w:spacing w:before="0" w:beforeAutospacing="0" w:after="0" w:afterAutospacing="0"/>
              <w:ind w:left="0" w:leftChars="0" w:right="0" w:rightChars="0"/>
              <w:jc w:val="center"/>
              <w:rPr>
                <w:rFonts w:hint="default" w:ascii="Times New Roman" w:hAnsi="Times New Roman" w:eastAsia="宋体" w:cs="Times New Roman"/>
                <w:b/>
                <w:color w:val="000000"/>
                <w:sz w:val="24"/>
                <w:highlight w:val="none"/>
                <w:lang w:val="en-US" w:eastAsia="zh-CN"/>
              </w:rPr>
            </w:pPr>
            <w:r>
              <w:rPr>
                <w:rFonts w:hint="eastAsia" w:cs="Times New Roman"/>
                <w:b/>
                <w:color w:val="auto"/>
                <w:sz w:val="24"/>
                <w:szCs w:val="24"/>
                <w:highlight w:val="none"/>
                <w:lang w:val="en-US" w:eastAsia="zh-CN"/>
              </w:rPr>
              <w:t>参数</w:t>
            </w:r>
          </w:p>
        </w:tc>
        <w:tc>
          <w:tcPr>
            <w:tcW w:w="993" w:type="dxa"/>
            <w:noWrap w:val="0"/>
            <w:vAlign w:val="center"/>
          </w:tcPr>
          <w:p w14:paraId="11931F43">
            <w:pPr>
              <w:jc w:val="center"/>
              <w:rPr>
                <w:rFonts w:hint="eastAsia" w:eastAsia="宋体"/>
                <w:b/>
                <w:color w:val="000000"/>
                <w:sz w:val="24"/>
                <w:highlight w:val="none"/>
                <w:lang w:val="en-US" w:eastAsia="zh-CN"/>
              </w:rPr>
            </w:pPr>
            <w:r>
              <w:rPr>
                <w:rFonts w:hint="eastAsia"/>
                <w:b/>
                <w:color w:val="000000"/>
                <w:sz w:val="24"/>
                <w:highlight w:val="none"/>
              </w:rPr>
              <w:t>品牌</w:t>
            </w:r>
            <w:r>
              <w:rPr>
                <w:rFonts w:hint="eastAsia"/>
                <w:b/>
                <w:color w:val="000000"/>
                <w:sz w:val="24"/>
                <w:highlight w:val="none"/>
                <w:lang w:val="en-US" w:eastAsia="zh-CN"/>
              </w:rPr>
              <w:t>/</w:t>
            </w:r>
          </w:p>
          <w:p w14:paraId="42CF7817">
            <w:pPr>
              <w:jc w:val="center"/>
              <w:rPr>
                <w:b/>
                <w:color w:val="000000"/>
                <w:sz w:val="24"/>
                <w:highlight w:val="none"/>
              </w:rPr>
            </w:pPr>
            <w:r>
              <w:rPr>
                <w:rFonts w:hint="eastAsia"/>
                <w:b/>
                <w:color w:val="000000"/>
                <w:sz w:val="24"/>
                <w:highlight w:val="none"/>
              </w:rPr>
              <w:t>型号</w:t>
            </w:r>
          </w:p>
        </w:tc>
        <w:tc>
          <w:tcPr>
            <w:tcW w:w="850" w:type="dxa"/>
            <w:noWrap w:val="0"/>
            <w:vAlign w:val="center"/>
          </w:tcPr>
          <w:p w14:paraId="077BAACF">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单位</w:t>
            </w:r>
          </w:p>
        </w:tc>
        <w:tc>
          <w:tcPr>
            <w:tcW w:w="992" w:type="dxa"/>
            <w:noWrap w:val="0"/>
            <w:vAlign w:val="center"/>
          </w:tcPr>
          <w:p w14:paraId="0A82CB38">
            <w:pPr>
              <w:jc w:val="center"/>
              <w:rPr>
                <w:rFonts w:hint="eastAsia" w:eastAsia="宋体"/>
                <w:b/>
                <w:color w:val="000000"/>
                <w:sz w:val="24"/>
                <w:highlight w:val="none"/>
                <w:lang w:val="en-US" w:eastAsia="zh-CN"/>
              </w:rPr>
            </w:pPr>
            <w:r>
              <w:rPr>
                <w:rFonts w:hint="eastAsia"/>
                <w:b/>
                <w:color w:val="000000"/>
                <w:sz w:val="24"/>
                <w:highlight w:val="none"/>
                <w:lang w:val="en-US" w:eastAsia="zh-CN"/>
              </w:rPr>
              <w:t>数量</w:t>
            </w:r>
          </w:p>
        </w:tc>
        <w:tc>
          <w:tcPr>
            <w:tcW w:w="993" w:type="dxa"/>
            <w:noWrap w:val="0"/>
            <w:vAlign w:val="center"/>
          </w:tcPr>
          <w:p w14:paraId="35E1E6B6">
            <w:pPr>
              <w:jc w:val="center"/>
              <w:rPr>
                <w:rFonts w:hint="eastAsia" w:eastAsia="宋体"/>
                <w:b/>
                <w:color w:val="000000"/>
                <w:sz w:val="24"/>
                <w:highlight w:val="none"/>
                <w:lang w:eastAsia="zh-CN"/>
              </w:rPr>
            </w:pPr>
            <w:r>
              <w:rPr>
                <w:rFonts w:hint="eastAsia"/>
                <w:b/>
                <w:color w:val="000000"/>
                <w:sz w:val="24"/>
                <w:highlight w:val="none"/>
              </w:rPr>
              <w:t>单价</w:t>
            </w:r>
            <w:r>
              <w:rPr>
                <w:rFonts w:hint="eastAsia"/>
                <w:b/>
                <w:color w:val="000000"/>
                <w:sz w:val="24"/>
                <w:highlight w:val="none"/>
                <w:lang w:eastAsia="zh-CN"/>
              </w:rPr>
              <w:t>（元）</w:t>
            </w:r>
          </w:p>
        </w:tc>
        <w:tc>
          <w:tcPr>
            <w:tcW w:w="935" w:type="dxa"/>
            <w:noWrap w:val="0"/>
            <w:vAlign w:val="center"/>
          </w:tcPr>
          <w:p w14:paraId="373AC03E">
            <w:pPr>
              <w:jc w:val="center"/>
              <w:rPr>
                <w:rFonts w:hint="eastAsia" w:eastAsia="宋体"/>
                <w:b/>
                <w:color w:val="000000"/>
                <w:sz w:val="24"/>
                <w:highlight w:val="none"/>
                <w:lang w:eastAsia="zh-CN"/>
              </w:rPr>
            </w:pPr>
            <w:r>
              <w:rPr>
                <w:rFonts w:hint="eastAsia"/>
                <w:b/>
                <w:color w:val="000000"/>
                <w:sz w:val="24"/>
                <w:highlight w:val="none"/>
              </w:rPr>
              <w:t>总价</w:t>
            </w:r>
            <w:r>
              <w:rPr>
                <w:rFonts w:hint="eastAsia"/>
                <w:b/>
                <w:color w:val="000000"/>
                <w:sz w:val="24"/>
                <w:highlight w:val="none"/>
                <w:lang w:eastAsia="zh-CN"/>
              </w:rPr>
              <w:t>（元）</w:t>
            </w:r>
          </w:p>
        </w:tc>
      </w:tr>
      <w:tr w14:paraId="48E21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3086890">
            <w:pPr>
              <w:spacing w:line="480" w:lineRule="auto"/>
              <w:jc w:val="center"/>
              <w:rPr>
                <w:rFonts w:ascii="宋体" w:hAnsi="宋体"/>
                <w:b/>
                <w:color w:val="000000"/>
                <w:sz w:val="24"/>
                <w:highlight w:val="none"/>
              </w:rPr>
            </w:pPr>
          </w:p>
        </w:tc>
        <w:tc>
          <w:tcPr>
            <w:tcW w:w="1302" w:type="dxa"/>
            <w:noWrap w:val="0"/>
            <w:vAlign w:val="top"/>
          </w:tcPr>
          <w:p w14:paraId="4743131F">
            <w:pPr>
              <w:spacing w:line="480" w:lineRule="auto"/>
              <w:jc w:val="center"/>
              <w:rPr>
                <w:rFonts w:ascii="宋体" w:hAnsi="宋体"/>
                <w:color w:val="000000"/>
                <w:sz w:val="24"/>
                <w:highlight w:val="none"/>
              </w:rPr>
            </w:pPr>
          </w:p>
        </w:tc>
        <w:tc>
          <w:tcPr>
            <w:tcW w:w="3969" w:type="dxa"/>
            <w:noWrap w:val="0"/>
            <w:vAlign w:val="center"/>
          </w:tcPr>
          <w:p w14:paraId="021D0AD1">
            <w:pPr>
              <w:spacing w:line="480" w:lineRule="auto"/>
              <w:jc w:val="center"/>
              <w:rPr>
                <w:rFonts w:ascii="宋体" w:hAnsi="宋体"/>
                <w:b/>
                <w:color w:val="000000"/>
                <w:sz w:val="24"/>
                <w:highlight w:val="none"/>
              </w:rPr>
            </w:pPr>
          </w:p>
        </w:tc>
        <w:tc>
          <w:tcPr>
            <w:tcW w:w="993" w:type="dxa"/>
            <w:noWrap w:val="0"/>
            <w:vAlign w:val="center"/>
          </w:tcPr>
          <w:p w14:paraId="2F35EBC3">
            <w:pPr>
              <w:spacing w:line="480" w:lineRule="auto"/>
              <w:jc w:val="center"/>
              <w:rPr>
                <w:rFonts w:ascii="宋体" w:hAnsi="宋体"/>
                <w:b/>
                <w:color w:val="000000"/>
                <w:sz w:val="24"/>
                <w:highlight w:val="none"/>
              </w:rPr>
            </w:pPr>
          </w:p>
        </w:tc>
        <w:tc>
          <w:tcPr>
            <w:tcW w:w="850" w:type="dxa"/>
            <w:noWrap w:val="0"/>
            <w:vAlign w:val="center"/>
          </w:tcPr>
          <w:p w14:paraId="3D652715">
            <w:pPr>
              <w:spacing w:line="480" w:lineRule="auto"/>
              <w:jc w:val="center"/>
              <w:rPr>
                <w:rFonts w:ascii="宋体" w:hAnsi="宋体"/>
                <w:b/>
                <w:color w:val="000000"/>
                <w:sz w:val="24"/>
                <w:highlight w:val="none"/>
              </w:rPr>
            </w:pPr>
          </w:p>
        </w:tc>
        <w:tc>
          <w:tcPr>
            <w:tcW w:w="992" w:type="dxa"/>
            <w:noWrap w:val="0"/>
            <w:vAlign w:val="center"/>
          </w:tcPr>
          <w:p w14:paraId="015E90FD">
            <w:pPr>
              <w:spacing w:line="480" w:lineRule="auto"/>
              <w:jc w:val="center"/>
              <w:rPr>
                <w:rFonts w:ascii="宋体" w:hAnsi="宋体"/>
                <w:b/>
                <w:color w:val="000000"/>
                <w:sz w:val="24"/>
                <w:highlight w:val="none"/>
              </w:rPr>
            </w:pPr>
          </w:p>
        </w:tc>
        <w:tc>
          <w:tcPr>
            <w:tcW w:w="993" w:type="dxa"/>
            <w:noWrap w:val="0"/>
            <w:vAlign w:val="center"/>
          </w:tcPr>
          <w:p w14:paraId="0A861F37">
            <w:pPr>
              <w:spacing w:line="480" w:lineRule="auto"/>
              <w:jc w:val="center"/>
              <w:rPr>
                <w:rFonts w:ascii="宋体" w:hAnsi="宋体"/>
                <w:b/>
                <w:color w:val="000000"/>
                <w:sz w:val="24"/>
                <w:highlight w:val="none"/>
              </w:rPr>
            </w:pPr>
          </w:p>
        </w:tc>
        <w:tc>
          <w:tcPr>
            <w:tcW w:w="935" w:type="dxa"/>
            <w:noWrap w:val="0"/>
            <w:vAlign w:val="center"/>
          </w:tcPr>
          <w:p w14:paraId="0ADBB29A">
            <w:pPr>
              <w:spacing w:line="480" w:lineRule="auto"/>
              <w:jc w:val="center"/>
              <w:rPr>
                <w:rFonts w:ascii="宋体" w:hAnsi="宋体"/>
                <w:b/>
                <w:color w:val="000000"/>
                <w:sz w:val="24"/>
                <w:highlight w:val="none"/>
              </w:rPr>
            </w:pPr>
          </w:p>
        </w:tc>
      </w:tr>
      <w:tr w14:paraId="663FE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4EDD65A2">
            <w:pPr>
              <w:spacing w:line="480" w:lineRule="auto"/>
              <w:jc w:val="center"/>
              <w:rPr>
                <w:rFonts w:ascii="宋体" w:hAnsi="宋体"/>
                <w:b/>
                <w:color w:val="000000"/>
                <w:sz w:val="24"/>
                <w:highlight w:val="none"/>
              </w:rPr>
            </w:pPr>
          </w:p>
        </w:tc>
        <w:tc>
          <w:tcPr>
            <w:tcW w:w="1302" w:type="dxa"/>
            <w:noWrap w:val="0"/>
            <w:vAlign w:val="top"/>
          </w:tcPr>
          <w:p w14:paraId="40F1CB63">
            <w:pPr>
              <w:spacing w:line="480" w:lineRule="auto"/>
              <w:jc w:val="center"/>
              <w:rPr>
                <w:rFonts w:ascii="宋体" w:hAnsi="宋体"/>
                <w:color w:val="000000"/>
                <w:sz w:val="24"/>
                <w:highlight w:val="none"/>
              </w:rPr>
            </w:pPr>
          </w:p>
        </w:tc>
        <w:tc>
          <w:tcPr>
            <w:tcW w:w="3969" w:type="dxa"/>
            <w:noWrap w:val="0"/>
            <w:vAlign w:val="center"/>
          </w:tcPr>
          <w:p w14:paraId="0641CD04">
            <w:pPr>
              <w:spacing w:line="480" w:lineRule="auto"/>
              <w:jc w:val="center"/>
              <w:rPr>
                <w:rFonts w:ascii="宋体" w:hAnsi="宋体"/>
                <w:b/>
                <w:color w:val="000000"/>
                <w:sz w:val="24"/>
                <w:highlight w:val="none"/>
              </w:rPr>
            </w:pPr>
          </w:p>
        </w:tc>
        <w:tc>
          <w:tcPr>
            <w:tcW w:w="993" w:type="dxa"/>
            <w:noWrap w:val="0"/>
            <w:vAlign w:val="center"/>
          </w:tcPr>
          <w:p w14:paraId="667746CB">
            <w:pPr>
              <w:spacing w:line="480" w:lineRule="auto"/>
              <w:jc w:val="center"/>
              <w:rPr>
                <w:rFonts w:ascii="宋体" w:hAnsi="宋体"/>
                <w:b/>
                <w:color w:val="000000"/>
                <w:sz w:val="24"/>
                <w:highlight w:val="none"/>
              </w:rPr>
            </w:pPr>
          </w:p>
        </w:tc>
        <w:tc>
          <w:tcPr>
            <w:tcW w:w="850" w:type="dxa"/>
            <w:noWrap w:val="0"/>
            <w:vAlign w:val="top"/>
          </w:tcPr>
          <w:p w14:paraId="0C403908">
            <w:pPr>
              <w:spacing w:line="480" w:lineRule="auto"/>
              <w:jc w:val="center"/>
              <w:rPr>
                <w:rFonts w:ascii="宋体" w:hAnsi="宋体"/>
                <w:color w:val="000000"/>
                <w:highlight w:val="none"/>
              </w:rPr>
            </w:pPr>
          </w:p>
        </w:tc>
        <w:tc>
          <w:tcPr>
            <w:tcW w:w="992" w:type="dxa"/>
            <w:noWrap w:val="0"/>
            <w:vAlign w:val="center"/>
          </w:tcPr>
          <w:p w14:paraId="67B92A0F">
            <w:pPr>
              <w:spacing w:line="480" w:lineRule="auto"/>
              <w:jc w:val="center"/>
              <w:rPr>
                <w:rFonts w:ascii="宋体" w:hAnsi="宋体"/>
                <w:b/>
                <w:color w:val="000000"/>
                <w:sz w:val="24"/>
                <w:highlight w:val="none"/>
              </w:rPr>
            </w:pPr>
          </w:p>
        </w:tc>
        <w:tc>
          <w:tcPr>
            <w:tcW w:w="993" w:type="dxa"/>
            <w:noWrap w:val="0"/>
            <w:vAlign w:val="center"/>
          </w:tcPr>
          <w:p w14:paraId="0F03395E">
            <w:pPr>
              <w:spacing w:line="480" w:lineRule="auto"/>
              <w:jc w:val="center"/>
              <w:rPr>
                <w:rFonts w:ascii="宋体" w:hAnsi="宋体"/>
                <w:b/>
                <w:color w:val="000000"/>
                <w:sz w:val="24"/>
                <w:highlight w:val="none"/>
              </w:rPr>
            </w:pPr>
          </w:p>
        </w:tc>
        <w:tc>
          <w:tcPr>
            <w:tcW w:w="935" w:type="dxa"/>
            <w:noWrap w:val="0"/>
            <w:vAlign w:val="center"/>
          </w:tcPr>
          <w:p w14:paraId="0EB1621C">
            <w:pPr>
              <w:spacing w:line="480" w:lineRule="auto"/>
              <w:jc w:val="center"/>
              <w:rPr>
                <w:rFonts w:ascii="宋体" w:hAnsi="宋体"/>
                <w:b/>
                <w:color w:val="000000"/>
                <w:sz w:val="24"/>
                <w:highlight w:val="none"/>
              </w:rPr>
            </w:pPr>
          </w:p>
        </w:tc>
      </w:tr>
      <w:tr w14:paraId="5E7D5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15F929A4">
            <w:pPr>
              <w:spacing w:line="480" w:lineRule="auto"/>
              <w:jc w:val="center"/>
              <w:rPr>
                <w:rFonts w:ascii="宋体" w:hAnsi="宋体"/>
                <w:b/>
                <w:color w:val="000000"/>
                <w:sz w:val="24"/>
                <w:highlight w:val="none"/>
              </w:rPr>
            </w:pPr>
          </w:p>
        </w:tc>
        <w:tc>
          <w:tcPr>
            <w:tcW w:w="1302" w:type="dxa"/>
            <w:noWrap w:val="0"/>
            <w:vAlign w:val="top"/>
          </w:tcPr>
          <w:p w14:paraId="71D49D74">
            <w:pPr>
              <w:spacing w:line="480" w:lineRule="auto"/>
              <w:jc w:val="center"/>
              <w:rPr>
                <w:rFonts w:ascii="宋体" w:hAnsi="宋体"/>
                <w:color w:val="000000"/>
                <w:sz w:val="24"/>
                <w:highlight w:val="none"/>
              </w:rPr>
            </w:pPr>
          </w:p>
        </w:tc>
        <w:tc>
          <w:tcPr>
            <w:tcW w:w="3969" w:type="dxa"/>
            <w:noWrap w:val="0"/>
            <w:vAlign w:val="center"/>
          </w:tcPr>
          <w:p w14:paraId="2F65C781">
            <w:pPr>
              <w:spacing w:line="480" w:lineRule="auto"/>
              <w:jc w:val="center"/>
              <w:rPr>
                <w:rFonts w:ascii="宋体" w:hAnsi="宋体"/>
                <w:b/>
                <w:color w:val="000000"/>
                <w:sz w:val="24"/>
                <w:highlight w:val="none"/>
              </w:rPr>
            </w:pPr>
          </w:p>
        </w:tc>
        <w:tc>
          <w:tcPr>
            <w:tcW w:w="993" w:type="dxa"/>
            <w:noWrap w:val="0"/>
            <w:vAlign w:val="center"/>
          </w:tcPr>
          <w:p w14:paraId="2C172F04">
            <w:pPr>
              <w:spacing w:line="480" w:lineRule="auto"/>
              <w:jc w:val="center"/>
              <w:rPr>
                <w:rFonts w:ascii="宋体" w:hAnsi="宋体"/>
                <w:b/>
                <w:color w:val="000000"/>
                <w:sz w:val="24"/>
                <w:highlight w:val="none"/>
              </w:rPr>
            </w:pPr>
          </w:p>
        </w:tc>
        <w:tc>
          <w:tcPr>
            <w:tcW w:w="850" w:type="dxa"/>
            <w:noWrap w:val="0"/>
            <w:vAlign w:val="top"/>
          </w:tcPr>
          <w:p w14:paraId="6C737D33">
            <w:pPr>
              <w:spacing w:line="480" w:lineRule="auto"/>
              <w:jc w:val="center"/>
              <w:rPr>
                <w:rFonts w:ascii="宋体" w:hAnsi="宋体"/>
                <w:color w:val="000000"/>
                <w:highlight w:val="none"/>
              </w:rPr>
            </w:pPr>
          </w:p>
        </w:tc>
        <w:tc>
          <w:tcPr>
            <w:tcW w:w="992" w:type="dxa"/>
            <w:noWrap w:val="0"/>
            <w:vAlign w:val="center"/>
          </w:tcPr>
          <w:p w14:paraId="718969F8">
            <w:pPr>
              <w:spacing w:line="480" w:lineRule="auto"/>
              <w:jc w:val="center"/>
              <w:rPr>
                <w:rFonts w:ascii="宋体" w:hAnsi="宋体"/>
                <w:b/>
                <w:color w:val="000000"/>
                <w:sz w:val="24"/>
                <w:highlight w:val="none"/>
              </w:rPr>
            </w:pPr>
          </w:p>
        </w:tc>
        <w:tc>
          <w:tcPr>
            <w:tcW w:w="993" w:type="dxa"/>
            <w:noWrap w:val="0"/>
            <w:vAlign w:val="center"/>
          </w:tcPr>
          <w:p w14:paraId="0BDAFDBE">
            <w:pPr>
              <w:spacing w:line="480" w:lineRule="auto"/>
              <w:jc w:val="center"/>
              <w:rPr>
                <w:rFonts w:ascii="宋体" w:hAnsi="宋体"/>
                <w:b/>
                <w:color w:val="000000"/>
                <w:sz w:val="24"/>
                <w:highlight w:val="none"/>
              </w:rPr>
            </w:pPr>
          </w:p>
        </w:tc>
        <w:tc>
          <w:tcPr>
            <w:tcW w:w="935" w:type="dxa"/>
            <w:noWrap w:val="0"/>
            <w:vAlign w:val="center"/>
          </w:tcPr>
          <w:p w14:paraId="386F1B03">
            <w:pPr>
              <w:spacing w:line="480" w:lineRule="auto"/>
              <w:jc w:val="center"/>
              <w:rPr>
                <w:rFonts w:ascii="宋体" w:hAnsi="宋体"/>
                <w:b/>
                <w:color w:val="000000"/>
                <w:sz w:val="24"/>
                <w:highlight w:val="none"/>
              </w:rPr>
            </w:pPr>
          </w:p>
        </w:tc>
      </w:tr>
      <w:tr w14:paraId="1E614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BC04D2A">
            <w:pPr>
              <w:spacing w:line="480" w:lineRule="auto"/>
              <w:jc w:val="center"/>
              <w:rPr>
                <w:rFonts w:ascii="宋体" w:hAnsi="宋体"/>
                <w:b/>
                <w:color w:val="000000"/>
                <w:sz w:val="24"/>
                <w:highlight w:val="none"/>
              </w:rPr>
            </w:pPr>
          </w:p>
        </w:tc>
        <w:tc>
          <w:tcPr>
            <w:tcW w:w="1302" w:type="dxa"/>
            <w:noWrap w:val="0"/>
            <w:vAlign w:val="top"/>
          </w:tcPr>
          <w:p w14:paraId="3ACE810B">
            <w:pPr>
              <w:spacing w:line="480" w:lineRule="auto"/>
              <w:jc w:val="center"/>
              <w:rPr>
                <w:rFonts w:ascii="宋体" w:hAnsi="宋体"/>
                <w:color w:val="000000"/>
                <w:sz w:val="24"/>
                <w:highlight w:val="none"/>
              </w:rPr>
            </w:pPr>
          </w:p>
        </w:tc>
        <w:tc>
          <w:tcPr>
            <w:tcW w:w="3969" w:type="dxa"/>
            <w:noWrap w:val="0"/>
            <w:vAlign w:val="center"/>
          </w:tcPr>
          <w:p w14:paraId="426F8720">
            <w:pPr>
              <w:spacing w:line="480" w:lineRule="auto"/>
              <w:jc w:val="center"/>
              <w:rPr>
                <w:rFonts w:ascii="宋体" w:hAnsi="宋体"/>
                <w:b/>
                <w:color w:val="000000"/>
                <w:sz w:val="24"/>
                <w:highlight w:val="none"/>
              </w:rPr>
            </w:pPr>
          </w:p>
        </w:tc>
        <w:tc>
          <w:tcPr>
            <w:tcW w:w="993" w:type="dxa"/>
            <w:noWrap w:val="0"/>
            <w:vAlign w:val="center"/>
          </w:tcPr>
          <w:p w14:paraId="17E0C13E">
            <w:pPr>
              <w:spacing w:line="480" w:lineRule="auto"/>
              <w:jc w:val="center"/>
              <w:rPr>
                <w:rFonts w:ascii="宋体" w:hAnsi="宋体"/>
                <w:b/>
                <w:color w:val="000000"/>
                <w:sz w:val="24"/>
                <w:highlight w:val="none"/>
              </w:rPr>
            </w:pPr>
          </w:p>
        </w:tc>
        <w:tc>
          <w:tcPr>
            <w:tcW w:w="850" w:type="dxa"/>
            <w:noWrap w:val="0"/>
            <w:vAlign w:val="top"/>
          </w:tcPr>
          <w:p w14:paraId="10278E2F">
            <w:pPr>
              <w:spacing w:line="480" w:lineRule="auto"/>
              <w:jc w:val="center"/>
              <w:rPr>
                <w:rFonts w:ascii="宋体" w:hAnsi="宋体"/>
                <w:color w:val="000000"/>
                <w:highlight w:val="none"/>
              </w:rPr>
            </w:pPr>
          </w:p>
        </w:tc>
        <w:tc>
          <w:tcPr>
            <w:tcW w:w="992" w:type="dxa"/>
            <w:noWrap w:val="0"/>
            <w:vAlign w:val="center"/>
          </w:tcPr>
          <w:p w14:paraId="2B48E7D8">
            <w:pPr>
              <w:spacing w:line="480" w:lineRule="auto"/>
              <w:jc w:val="center"/>
              <w:rPr>
                <w:rFonts w:ascii="宋体" w:hAnsi="宋体"/>
                <w:b/>
                <w:color w:val="000000"/>
                <w:sz w:val="24"/>
                <w:highlight w:val="none"/>
              </w:rPr>
            </w:pPr>
          </w:p>
        </w:tc>
        <w:tc>
          <w:tcPr>
            <w:tcW w:w="993" w:type="dxa"/>
            <w:noWrap w:val="0"/>
            <w:vAlign w:val="center"/>
          </w:tcPr>
          <w:p w14:paraId="365955BF">
            <w:pPr>
              <w:spacing w:line="480" w:lineRule="auto"/>
              <w:jc w:val="center"/>
              <w:rPr>
                <w:rFonts w:ascii="宋体" w:hAnsi="宋体"/>
                <w:b/>
                <w:color w:val="000000"/>
                <w:sz w:val="24"/>
                <w:highlight w:val="none"/>
              </w:rPr>
            </w:pPr>
          </w:p>
        </w:tc>
        <w:tc>
          <w:tcPr>
            <w:tcW w:w="935" w:type="dxa"/>
            <w:noWrap w:val="0"/>
            <w:vAlign w:val="center"/>
          </w:tcPr>
          <w:p w14:paraId="22E54F49">
            <w:pPr>
              <w:spacing w:line="480" w:lineRule="auto"/>
              <w:jc w:val="center"/>
              <w:rPr>
                <w:rFonts w:ascii="宋体" w:hAnsi="宋体"/>
                <w:b/>
                <w:color w:val="000000"/>
                <w:sz w:val="24"/>
                <w:highlight w:val="none"/>
              </w:rPr>
            </w:pPr>
          </w:p>
        </w:tc>
      </w:tr>
      <w:tr w14:paraId="303D7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BF53D1D">
            <w:pPr>
              <w:spacing w:line="480" w:lineRule="auto"/>
              <w:jc w:val="center"/>
              <w:rPr>
                <w:rFonts w:ascii="宋体" w:hAnsi="宋体"/>
                <w:b/>
                <w:color w:val="000000"/>
                <w:sz w:val="24"/>
                <w:highlight w:val="none"/>
              </w:rPr>
            </w:pPr>
          </w:p>
        </w:tc>
        <w:tc>
          <w:tcPr>
            <w:tcW w:w="1302" w:type="dxa"/>
            <w:noWrap w:val="0"/>
            <w:vAlign w:val="top"/>
          </w:tcPr>
          <w:p w14:paraId="2D751AB6">
            <w:pPr>
              <w:spacing w:line="480" w:lineRule="auto"/>
              <w:jc w:val="center"/>
              <w:rPr>
                <w:rFonts w:ascii="宋体" w:hAnsi="宋体"/>
                <w:color w:val="000000"/>
                <w:sz w:val="24"/>
                <w:highlight w:val="none"/>
              </w:rPr>
            </w:pPr>
          </w:p>
        </w:tc>
        <w:tc>
          <w:tcPr>
            <w:tcW w:w="3969" w:type="dxa"/>
            <w:noWrap w:val="0"/>
            <w:vAlign w:val="center"/>
          </w:tcPr>
          <w:p w14:paraId="579ABC65">
            <w:pPr>
              <w:spacing w:line="480" w:lineRule="auto"/>
              <w:jc w:val="center"/>
              <w:rPr>
                <w:rFonts w:ascii="宋体" w:hAnsi="宋体"/>
                <w:b/>
                <w:color w:val="000000"/>
                <w:sz w:val="24"/>
                <w:highlight w:val="none"/>
              </w:rPr>
            </w:pPr>
          </w:p>
        </w:tc>
        <w:tc>
          <w:tcPr>
            <w:tcW w:w="993" w:type="dxa"/>
            <w:noWrap w:val="0"/>
            <w:vAlign w:val="center"/>
          </w:tcPr>
          <w:p w14:paraId="06656472">
            <w:pPr>
              <w:spacing w:line="480" w:lineRule="auto"/>
              <w:jc w:val="center"/>
              <w:rPr>
                <w:rFonts w:ascii="宋体" w:hAnsi="宋体"/>
                <w:b/>
                <w:color w:val="000000"/>
                <w:sz w:val="24"/>
                <w:highlight w:val="none"/>
              </w:rPr>
            </w:pPr>
          </w:p>
        </w:tc>
        <w:tc>
          <w:tcPr>
            <w:tcW w:w="850" w:type="dxa"/>
            <w:noWrap w:val="0"/>
            <w:vAlign w:val="top"/>
          </w:tcPr>
          <w:p w14:paraId="34A4196D">
            <w:pPr>
              <w:spacing w:line="480" w:lineRule="auto"/>
              <w:jc w:val="center"/>
              <w:rPr>
                <w:rFonts w:ascii="宋体" w:hAnsi="宋体"/>
                <w:color w:val="000000"/>
                <w:highlight w:val="none"/>
              </w:rPr>
            </w:pPr>
          </w:p>
        </w:tc>
        <w:tc>
          <w:tcPr>
            <w:tcW w:w="992" w:type="dxa"/>
            <w:noWrap w:val="0"/>
            <w:vAlign w:val="center"/>
          </w:tcPr>
          <w:p w14:paraId="2607AB37">
            <w:pPr>
              <w:spacing w:line="480" w:lineRule="auto"/>
              <w:jc w:val="center"/>
              <w:rPr>
                <w:rFonts w:ascii="宋体" w:hAnsi="宋体"/>
                <w:b/>
                <w:color w:val="000000"/>
                <w:sz w:val="24"/>
                <w:highlight w:val="none"/>
              </w:rPr>
            </w:pPr>
          </w:p>
        </w:tc>
        <w:tc>
          <w:tcPr>
            <w:tcW w:w="993" w:type="dxa"/>
            <w:noWrap w:val="0"/>
            <w:vAlign w:val="center"/>
          </w:tcPr>
          <w:p w14:paraId="11AAD423">
            <w:pPr>
              <w:spacing w:line="480" w:lineRule="auto"/>
              <w:jc w:val="center"/>
              <w:rPr>
                <w:rFonts w:ascii="宋体" w:hAnsi="宋体"/>
                <w:b/>
                <w:color w:val="000000"/>
                <w:sz w:val="24"/>
                <w:highlight w:val="none"/>
              </w:rPr>
            </w:pPr>
          </w:p>
        </w:tc>
        <w:tc>
          <w:tcPr>
            <w:tcW w:w="935" w:type="dxa"/>
            <w:noWrap w:val="0"/>
            <w:vAlign w:val="center"/>
          </w:tcPr>
          <w:p w14:paraId="2CE0785E">
            <w:pPr>
              <w:spacing w:line="480" w:lineRule="auto"/>
              <w:jc w:val="center"/>
              <w:rPr>
                <w:rFonts w:ascii="宋体" w:hAnsi="宋体"/>
                <w:b/>
                <w:color w:val="000000"/>
                <w:sz w:val="24"/>
                <w:highlight w:val="none"/>
              </w:rPr>
            </w:pPr>
          </w:p>
        </w:tc>
      </w:tr>
      <w:tr w14:paraId="1E79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12251C78">
            <w:pPr>
              <w:spacing w:line="480" w:lineRule="auto"/>
              <w:jc w:val="center"/>
              <w:rPr>
                <w:rFonts w:ascii="宋体" w:hAnsi="宋体"/>
                <w:b/>
                <w:color w:val="000000"/>
                <w:sz w:val="24"/>
                <w:highlight w:val="none"/>
              </w:rPr>
            </w:pPr>
          </w:p>
        </w:tc>
        <w:tc>
          <w:tcPr>
            <w:tcW w:w="1302" w:type="dxa"/>
            <w:noWrap w:val="0"/>
            <w:vAlign w:val="top"/>
          </w:tcPr>
          <w:p w14:paraId="3B7550AE">
            <w:pPr>
              <w:spacing w:line="480" w:lineRule="auto"/>
              <w:jc w:val="center"/>
              <w:rPr>
                <w:rFonts w:ascii="宋体" w:hAnsi="宋体"/>
                <w:color w:val="000000"/>
                <w:sz w:val="24"/>
                <w:highlight w:val="none"/>
              </w:rPr>
            </w:pPr>
          </w:p>
        </w:tc>
        <w:tc>
          <w:tcPr>
            <w:tcW w:w="3969" w:type="dxa"/>
            <w:noWrap w:val="0"/>
            <w:vAlign w:val="center"/>
          </w:tcPr>
          <w:p w14:paraId="6EE46289">
            <w:pPr>
              <w:spacing w:line="480" w:lineRule="auto"/>
              <w:jc w:val="center"/>
              <w:rPr>
                <w:rFonts w:ascii="宋体" w:hAnsi="宋体"/>
                <w:b/>
                <w:color w:val="000000"/>
                <w:sz w:val="24"/>
                <w:highlight w:val="none"/>
              </w:rPr>
            </w:pPr>
          </w:p>
        </w:tc>
        <w:tc>
          <w:tcPr>
            <w:tcW w:w="993" w:type="dxa"/>
            <w:noWrap w:val="0"/>
            <w:vAlign w:val="center"/>
          </w:tcPr>
          <w:p w14:paraId="783AAF29">
            <w:pPr>
              <w:spacing w:line="480" w:lineRule="auto"/>
              <w:jc w:val="center"/>
              <w:rPr>
                <w:rFonts w:ascii="宋体" w:hAnsi="宋体"/>
                <w:b/>
                <w:color w:val="000000"/>
                <w:sz w:val="24"/>
                <w:highlight w:val="none"/>
              </w:rPr>
            </w:pPr>
          </w:p>
        </w:tc>
        <w:tc>
          <w:tcPr>
            <w:tcW w:w="850" w:type="dxa"/>
            <w:noWrap w:val="0"/>
            <w:vAlign w:val="top"/>
          </w:tcPr>
          <w:p w14:paraId="4CF64BDA">
            <w:pPr>
              <w:spacing w:line="480" w:lineRule="auto"/>
              <w:jc w:val="center"/>
              <w:rPr>
                <w:rFonts w:ascii="宋体" w:hAnsi="宋体"/>
                <w:color w:val="000000"/>
                <w:highlight w:val="none"/>
              </w:rPr>
            </w:pPr>
          </w:p>
        </w:tc>
        <w:tc>
          <w:tcPr>
            <w:tcW w:w="992" w:type="dxa"/>
            <w:noWrap w:val="0"/>
            <w:vAlign w:val="center"/>
          </w:tcPr>
          <w:p w14:paraId="0110814E">
            <w:pPr>
              <w:spacing w:line="480" w:lineRule="auto"/>
              <w:jc w:val="center"/>
              <w:rPr>
                <w:rFonts w:ascii="宋体" w:hAnsi="宋体"/>
                <w:b/>
                <w:color w:val="000000"/>
                <w:sz w:val="24"/>
                <w:highlight w:val="none"/>
              </w:rPr>
            </w:pPr>
          </w:p>
        </w:tc>
        <w:tc>
          <w:tcPr>
            <w:tcW w:w="993" w:type="dxa"/>
            <w:noWrap w:val="0"/>
            <w:vAlign w:val="center"/>
          </w:tcPr>
          <w:p w14:paraId="64ABC90E">
            <w:pPr>
              <w:spacing w:line="480" w:lineRule="auto"/>
              <w:jc w:val="center"/>
              <w:rPr>
                <w:rFonts w:ascii="宋体" w:hAnsi="宋体"/>
                <w:b/>
                <w:color w:val="000000"/>
                <w:sz w:val="24"/>
                <w:highlight w:val="none"/>
              </w:rPr>
            </w:pPr>
          </w:p>
        </w:tc>
        <w:tc>
          <w:tcPr>
            <w:tcW w:w="935" w:type="dxa"/>
            <w:noWrap w:val="0"/>
            <w:vAlign w:val="center"/>
          </w:tcPr>
          <w:p w14:paraId="50328AA3">
            <w:pPr>
              <w:spacing w:line="480" w:lineRule="auto"/>
              <w:jc w:val="center"/>
              <w:rPr>
                <w:rFonts w:ascii="宋体" w:hAnsi="宋体"/>
                <w:b/>
                <w:color w:val="000000"/>
                <w:sz w:val="24"/>
                <w:highlight w:val="none"/>
              </w:rPr>
            </w:pPr>
          </w:p>
        </w:tc>
      </w:tr>
      <w:tr w14:paraId="6D6E4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20C6FB93">
            <w:pPr>
              <w:spacing w:line="480" w:lineRule="auto"/>
              <w:jc w:val="center"/>
              <w:rPr>
                <w:rFonts w:ascii="宋体" w:hAnsi="宋体"/>
                <w:b/>
                <w:color w:val="000000"/>
                <w:sz w:val="24"/>
                <w:highlight w:val="none"/>
              </w:rPr>
            </w:pPr>
          </w:p>
        </w:tc>
        <w:tc>
          <w:tcPr>
            <w:tcW w:w="1302" w:type="dxa"/>
            <w:noWrap w:val="0"/>
            <w:vAlign w:val="top"/>
          </w:tcPr>
          <w:p w14:paraId="5E9100E8">
            <w:pPr>
              <w:spacing w:line="480" w:lineRule="auto"/>
              <w:jc w:val="center"/>
              <w:rPr>
                <w:rFonts w:ascii="宋体" w:hAnsi="宋体"/>
                <w:color w:val="000000"/>
                <w:sz w:val="24"/>
                <w:highlight w:val="none"/>
              </w:rPr>
            </w:pPr>
          </w:p>
        </w:tc>
        <w:tc>
          <w:tcPr>
            <w:tcW w:w="3969" w:type="dxa"/>
            <w:noWrap w:val="0"/>
            <w:vAlign w:val="center"/>
          </w:tcPr>
          <w:p w14:paraId="2480DC25">
            <w:pPr>
              <w:spacing w:line="480" w:lineRule="auto"/>
              <w:jc w:val="center"/>
              <w:rPr>
                <w:rFonts w:ascii="宋体" w:hAnsi="宋体"/>
                <w:b/>
                <w:color w:val="000000"/>
                <w:sz w:val="24"/>
                <w:highlight w:val="none"/>
              </w:rPr>
            </w:pPr>
          </w:p>
        </w:tc>
        <w:tc>
          <w:tcPr>
            <w:tcW w:w="993" w:type="dxa"/>
            <w:noWrap w:val="0"/>
            <w:vAlign w:val="center"/>
          </w:tcPr>
          <w:p w14:paraId="30C59DE4">
            <w:pPr>
              <w:spacing w:line="480" w:lineRule="auto"/>
              <w:jc w:val="center"/>
              <w:rPr>
                <w:rFonts w:ascii="宋体" w:hAnsi="宋体"/>
                <w:b/>
                <w:color w:val="000000"/>
                <w:sz w:val="24"/>
                <w:highlight w:val="none"/>
              </w:rPr>
            </w:pPr>
          </w:p>
        </w:tc>
        <w:tc>
          <w:tcPr>
            <w:tcW w:w="850" w:type="dxa"/>
            <w:noWrap w:val="0"/>
            <w:vAlign w:val="top"/>
          </w:tcPr>
          <w:p w14:paraId="72F8394F">
            <w:pPr>
              <w:spacing w:line="480" w:lineRule="auto"/>
              <w:jc w:val="center"/>
              <w:rPr>
                <w:rFonts w:ascii="宋体" w:hAnsi="宋体"/>
                <w:color w:val="000000"/>
                <w:highlight w:val="none"/>
              </w:rPr>
            </w:pPr>
          </w:p>
        </w:tc>
        <w:tc>
          <w:tcPr>
            <w:tcW w:w="992" w:type="dxa"/>
            <w:noWrap w:val="0"/>
            <w:vAlign w:val="center"/>
          </w:tcPr>
          <w:p w14:paraId="2809A885">
            <w:pPr>
              <w:spacing w:line="480" w:lineRule="auto"/>
              <w:jc w:val="center"/>
              <w:rPr>
                <w:rFonts w:ascii="宋体" w:hAnsi="宋体"/>
                <w:b/>
                <w:color w:val="000000"/>
                <w:sz w:val="24"/>
                <w:highlight w:val="none"/>
              </w:rPr>
            </w:pPr>
          </w:p>
        </w:tc>
        <w:tc>
          <w:tcPr>
            <w:tcW w:w="993" w:type="dxa"/>
            <w:noWrap w:val="0"/>
            <w:vAlign w:val="center"/>
          </w:tcPr>
          <w:p w14:paraId="12AF4799">
            <w:pPr>
              <w:spacing w:line="480" w:lineRule="auto"/>
              <w:jc w:val="center"/>
              <w:rPr>
                <w:rFonts w:ascii="宋体" w:hAnsi="宋体"/>
                <w:b/>
                <w:color w:val="000000"/>
                <w:sz w:val="24"/>
                <w:highlight w:val="none"/>
              </w:rPr>
            </w:pPr>
          </w:p>
        </w:tc>
        <w:tc>
          <w:tcPr>
            <w:tcW w:w="935" w:type="dxa"/>
            <w:noWrap w:val="0"/>
            <w:vAlign w:val="center"/>
          </w:tcPr>
          <w:p w14:paraId="496BA6D2">
            <w:pPr>
              <w:spacing w:line="480" w:lineRule="auto"/>
              <w:jc w:val="center"/>
              <w:rPr>
                <w:rFonts w:ascii="宋体" w:hAnsi="宋体"/>
                <w:b/>
                <w:color w:val="000000"/>
                <w:sz w:val="24"/>
                <w:highlight w:val="none"/>
              </w:rPr>
            </w:pPr>
          </w:p>
        </w:tc>
      </w:tr>
      <w:tr w14:paraId="2EE5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345D539">
            <w:pPr>
              <w:spacing w:line="480" w:lineRule="auto"/>
              <w:jc w:val="center"/>
              <w:rPr>
                <w:rFonts w:ascii="宋体" w:hAnsi="宋体"/>
                <w:b/>
                <w:color w:val="000000"/>
                <w:sz w:val="24"/>
                <w:highlight w:val="none"/>
              </w:rPr>
            </w:pPr>
          </w:p>
        </w:tc>
        <w:tc>
          <w:tcPr>
            <w:tcW w:w="1302" w:type="dxa"/>
            <w:noWrap w:val="0"/>
            <w:vAlign w:val="top"/>
          </w:tcPr>
          <w:p w14:paraId="494BD184">
            <w:pPr>
              <w:spacing w:line="480" w:lineRule="auto"/>
              <w:jc w:val="center"/>
              <w:rPr>
                <w:rFonts w:ascii="宋体" w:hAnsi="宋体"/>
                <w:color w:val="000000"/>
                <w:sz w:val="24"/>
                <w:highlight w:val="none"/>
              </w:rPr>
            </w:pPr>
          </w:p>
        </w:tc>
        <w:tc>
          <w:tcPr>
            <w:tcW w:w="3969" w:type="dxa"/>
            <w:noWrap w:val="0"/>
            <w:vAlign w:val="center"/>
          </w:tcPr>
          <w:p w14:paraId="136BAC52">
            <w:pPr>
              <w:spacing w:line="480" w:lineRule="auto"/>
              <w:jc w:val="center"/>
              <w:rPr>
                <w:rFonts w:ascii="宋体" w:hAnsi="宋体"/>
                <w:b/>
                <w:color w:val="000000"/>
                <w:sz w:val="24"/>
                <w:highlight w:val="none"/>
              </w:rPr>
            </w:pPr>
          </w:p>
        </w:tc>
        <w:tc>
          <w:tcPr>
            <w:tcW w:w="993" w:type="dxa"/>
            <w:noWrap w:val="0"/>
            <w:vAlign w:val="center"/>
          </w:tcPr>
          <w:p w14:paraId="7F396490">
            <w:pPr>
              <w:spacing w:line="480" w:lineRule="auto"/>
              <w:jc w:val="center"/>
              <w:rPr>
                <w:rFonts w:ascii="宋体" w:hAnsi="宋体"/>
                <w:b/>
                <w:color w:val="000000"/>
                <w:sz w:val="24"/>
                <w:highlight w:val="none"/>
              </w:rPr>
            </w:pPr>
          </w:p>
        </w:tc>
        <w:tc>
          <w:tcPr>
            <w:tcW w:w="850" w:type="dxa"/>
            <w:noWrap w:val="0"/>
            <w:vAlign w:val="top"/>
          </w:tcPr>
          <w:p w14:paraId="448FF0E6">
            <w:pPr>
              <w:spacing w:line="480" w:lineRule="auto"/>
              <w:jc w:val="center"/>
              <w:rPr>
                <w:rFonts w:ascii="宋体" w:hAnsi="宋体"/>
                <w:color w:val="000000"/>
                <w:highlight w:val="none"/>
              </w:rPr>
            </w:pPr>
          </w:p>
        </w:tc>
        <w:tc>
          <w:tcPr>
            <w:tcW w:w="992" w:type="dxa"/>
            <w:noWrap w:val="0"/>
            <w:vAlign w:val="center"/>
          </w:tcPr>
          <w:p w14:paraId="696DDAE6">
            <w:pPr>
              <w:spacing w:line="480" w:lineRule="auto"/>
              <w:jc w:val="center"/>
              <w:rPr>
                <w:rFonts w:ascii="宋体" w:hAnsi="宋体"/>
                <w:b/>
                <w:color w:val="000000"/>
                <w:sz w:val="24"/>
                <w:highlight w:val="none"/>
              </w:rPr>
            </w:pPr>
          </w:p>
        </w:tc>
        <w:tc>
          <w:tcPr>
            <w:tcW w:w="993" w:type="dxa"/>
            <w:noWrap w:val="0"/>
            <w:vAlign w:val="center"/>
          </w:tcPr>
          <w:p w14:paraId="23D322B6">
            <w:pPr>
              <w:spacing w:line="480" w:lineRule="auto"/>
              <w:jc w:val="center"/>
              <w:rPr>
                <w:rFonts w:ascii="宋体" w:hAnsi="宋体"/>
                <w:b/>
                <w:color w:val="000000"/>
                <w:sz w:val="24"/>
                <w:highlight w:val="none"/>
              </w:rPr>
            </w:pPr>
          </w:p>
        </w:tc>
        <w:tc>
          <w:tcPr>
            <w:tcW w:w="935" w:type="dxa"/>
            <w:noWrap w:val="0"/>
            <w:vAlign w:val="center"/>
          </w:tcPr>
          <w:p w14:paraId="41109DC9">
            <w:pPr>
              <w:spacing w:line="480" w:lineRule="auto"/>
              <w:jc w:val="center"/>
              <w:rPr>
                <w:rFonts w:ascii="宋体" w:hAnsi="宋体"/>
                <w:b/>
                <w:color w:val="000000"/>
                <w:sz w:val="24"/>
                <w:highlight w:val="none"/>
              </w:rPr>
            </w:pPr>
          </w:p>
        </w:tc>
      </w:tr>
      <w:tr w14:paraId="3868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BD5B051">
            <w:pPr>
              <w:spacing w:line="480" w:lineRule="auto"/>
              <w:jc w:val="center"/>
              <w:rPr>
                <w:rFonts w:ascii="宋体" w:hAnsi="宋体"/>
                <w:b/>
                <w:color w:val="000000"/>
                <w:sz w:val="24"/>
                <w:highlight w:val="none"/>
              </w:rPr>
            </w:pPr>
          </w:p>
        </w:tc>
        <w:tc>
          <w:tcPr>
            <w:tcW w:w="1302" w:type="dxa"/>
            <w:noWrap w:val="0"/>
            <w:vAlign w:val="top"/>
          </w:tcPr>
          <w:p w14:paraId="3873536A">
            <w:pPr>
              <w:spacing w:line="480" w:lineRule="auto"/>
              <w:jc w:val="center"/>
              <w:rPr>
                <w:rFonts w:ascii="宋体" w:hAnsi="宋体"/>
                <w:color w:val="000000"/>
                <w:sz w:val="24"/>
                <w:highlight w:val="none"/>
              </w:rPr>
            </w:pPr>
          </w:p>
        </w:tc>
        <w:tc>
          <w:tcPr>
            <w:tcW w:w="3969" w:type="dxa"/>
            <w:noWrap w:val="0"/>
            <w:vAlign w:val="center"/>
          </w:tcPr>
          <w:p w14:paraId="6B23C395">
            <w:pPr>
              <w:spacing w:line="480" w:lineRule="auto"/>
              <w:jc w:val="center"/>
              <w:rPr>
                <w:rFonts w:ascii="宋体" w:hAnsi="宋体"/>
                <w:b/>
                <w:color w:val="000000"/>
                <w:sz w:val="24"/>
                <w:highlight w:val="none"/>
              </w:rPr>
            </w:pPr>
          </w:p>
        </w:tc>
        <w:tc>
          <w:tcPr>
            <w:tcW w:w="993" w:type="dxa"/>
            <w:noWrap w:val="0"/>
            <w:vAlign w:val="center"/>
          </w:tcPr>
          <w:p w14:paraId="5E494131">
            <w:pPr>
              <w:spacing w:line="480" w:lineRule="auto"/>
              <w:jc w:val="center"/>
              <w:rPr>
                <w:rFonts w:ascii="宋体" w:hAnsi="宋体"/>
                <w:b/>
                <w:color w:val="000000"/>
                <w:sz w:val="24"/>
                <w:highlight w:val="none"/>
              </w:rPr>
            </w:pPr>
          </w:p>
        </w:tc>
        <w:tc>
          <w:tcPr>
            <w:tcW w:w="850" w:type="dxa"/>
            <w:noWrap w:val="0"/>
            <w:vAlign w:val="top"/>
          </w:tcPr>
          <w:p w14:paraId="4A863995">
            <w:pPr>
              <w:spacing w:line="480" w:lineRule="auto"/>
              <w:jc w:val="center"/>
              <w:rPr>
                <w:rFonts w:ascii="宋体" w:hAnsi="宋体"/>
                <w:color w:val="000000"/>
                <w:highlight w:val="none"/>
              </w:rPr>
            </w:pPr>
          </w:p>
        </w:tc>
        <w:tc>
          <w:tcPr>
            <w:tcW w:w="992" w:type="dxa"/>
            <w:noWrap w:val="0"/>
            <w:vAlign w:val="center"/>
          </w:tcPr>
          <w:p w14:paraId="14154580">
            <w:pPr>
              <w:spacing w:line="480" w:lineRule="auto"/>
              <w:jc w:val="center"/>
              <w:rPr>
                <w:rFonts w:ascii="宋体" w:hAnsi="宋体"/>
                <w:b/>
                <w:color w:val="000000"/>
                <w:sz w:val="24"/>
                <w:highlight w:val="none"/>
              </w:rPr>
            </w:pPr>
          </w:p>
        </w:tc>
        <w:tc>
          <w:tcPr>
            <w:tcW w:w="993" w:type="dxa"/>
            <w:noWrap w:val="0"/>
            <w:vAlign w:val="center"/>
          </w:tcPr>
          <w:p w14:paraId="40C313F0">
            <w:pPr>
              <w:spacing w:line="480" w:lineRule="auto"/>
              <w:jc w:val="center"/>
              <w:rPr>
                <w:rFonts w:ascii="宋体" w:hAnsi="宋体"/>
                <w:b/>
                <w:color w:val="000000"/>
                <w:sz w:val="24"/>
                <w:highlight w:val="none"/>
              </w:rPr>
            </w:pPr>
          </w:p>
        </w:tc>
        <w:tc>
          <w:tcPr>
            <w:tcW w:w="935" w:type="dxa"/>
            <w:noWrap w:val="0"/>
            <w:vAlign w:val="center"/>
          </w:tcPr>
          <w:p w14:paraId="7C7CF955">
            <w:pPr>
              <w:spacing w:line="480" w:lineRule="auto"/>
              <w:jc w:val="center"/>
              <w:rPr>
                <w:rFonts w:ascii="宋体" w:hAnsi="宋体"/>
                <w:b/>
                <w:color w:val="000000"/>
                <w:sz w:val="24"/>
                <w:highlight w:val="none"/>
              </w:rPr>
            </w:pPr>
          </w:p>
        </w:tc>
      </w:tr>
      <w:tr w14:paraId="1FB5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7"/>
            <w:noWrap w:val="0"/>
            <w:vAlign w:val="center"/>
          </w:tcPr>
          <w:p w14:paraId="44144613">
            <w:pPr>
              <w:spacing w:line="480" w:lineRule="auto"/>
              <w:jc w:val="center"/>
              <w:rPr>
                <w:rFonts w:hint="eastAsia" w:ascii="宋体" w:hAnsi="宋体" w:eastAsia="宋体"/>
                <w:b/>
                <w:color w:val="000000"/>
                <w:sz w:val="24"/>
                <w:highlight w:val="none"/>
                <w:lang w:val="en-US" w:eastAsia="zh-CN"/>
              </w:rPr>
            </w:pPr>
            <w:r>
              <w:rPr>
                <w:rFonts w:hint="eastAsia" w:ascii="宋体" w:hAnsi="宋体"/>
                <w:b/>
                <w:color w:val="000000"/>
                <w:sz w:val="24"/>
                <w:highlight w:val="none"/>
                <w:lang w:val="en-US" w:eastAsia="zh-CN"/>
              </w:rPr>
              <w:t>合计</w:t>
            </w:r>
          </w:p>
        </w:tc>
        <w:tc>
          <w:tcPr>
            <w:tcW w:w="935" w:type="dxa"/>
            <w:noWrap w:val="0"/>
            <w:vAlign w:val="center"/>
          </w:tcPr>
          <w:p w14:paraId="4FA4FE23">
            <w:pPr>
              <w:spacing w:line="480" w:lineRule="auto"/>
              <w:jc w:val="center"/>
              <w:rPr>
                <w:rFonts w:ascii="宋体" w:hAnsi="宋体"/>
                <w:b/>
                <w:color w:val="000000"/>
                <w:sz w:val="24"/>
                <w:highlight w:val="none"/>
              </w:rPr>
            </w:pPr>
          </w:p>
        </w:tc>
      </w:tr>
      <w:tr w14:paraId="6BCCC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0862" w:type="dxa"/>
            <w:gridSpan w:val="8"/>
            <w:noWrap w:val="0"/>
            <w:vAlign w:val="top"/>
          </w:tcPr>
          <w:p w14:paraId="79F21191">
            <w:pPr>
              <w:spacing w:line="480" w:lineRule="auto"/>
              <w:jc w:val="left"/>
              <w:rPr>
                <w:rFonts w:hint="eastAsia" w:ascii="宋体" w:hAnsi="宋体"/>
                <w:b/>
                <w:color w:val="000000"/>
                <w:sz w:val="28"/>
                <w:szCs w:val="28"/>
                <w:highlight w:val="none"/>
              </w:rPr>
            </w:pPr>
            <w:r>
              <w:rPr>
                <w:rFonts w:hint="eastAsia" w:ascii="宋体" w:hAnsi="宋体"/>
                <w:b/>
                <w:sz w:val="24"/>
                <w:highlight w:val="none"/>
              </w:rPr>
              <w:t xml:space="preserve">合计人民币：大写                             </w:t>
            </w:r>
            <w:r>
              <w:rPr>
                <w:rFonts w:ascii="宋体" w:hAnsi="宋体"/>
                <w:b/>
                <w:sz w:val="24"/>
                <w:highlight w:val="none"/>
              </w:rPr>
              <w:t xml:space="preserve">              </w:t>
            </w:r>
            <w:r>
              <w:rPr>
                <w:rFonts w:hint="eastAsia" w:ascii="宋体" w:hAnsi="宋体"/>
                <w:b/>
                <w:sz w:val="24"/>
                <w:highlight w:val="none"/>
              </w:rPr>
              <w:t xml:space="preserve">  小写</w:t>
            </w:r>
          </w:p>
        </w:tc>
      </w:tr>
    </w:tbl>
    <w:p w14:paraId="46D0B472">
      <w:pPr>
        <w:snapToGrid w:val="0"/>
        <w:spacing w:before="50" w:after="50" w:line="420" w:lineRule="exact"/>
        <w:jc w:val="left"/>
        <w:rPr>
          <w:rFonts w:hint="eastAsia" w:ascii="宋体" w:hAnsi="宋体"/>
          <w:b/>
          <w:bCs/>
          <w:color w:val="000000"/>
          <w:sz w:val="24"/>
        </w:rPr>
      </w:pPr>
    </w:p>
    <w:p w14:paraId="5DF6524C">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0"/>
    <w:p w14:paraId="47A149C2">
      <w:pPr>
        <w:snapToGrid w:val="0"/>
        <w:spacing w:before="50" w:after="50" w:line="420" w:lineRule="exact"/>
        <w:jc w:val="left"/>
        <w:rPr>
          <w:rFonts w:ascii="宋体" w:hAnsi="宋体"/>
          <w:sz w:val="24"/>
        </w:rPr>
      </w:pPr>
      <w:r>
        <w:rPr>
          <w:rFonts w:hint="eastAsia" w:ascii="宋体" w:hAnsi="宋体"/>
          <w:b/>
          <w:sz w:val="24"/>
        </w:rPr>
        <w:t>1、</w:t>
      </w: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32E3F143">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34CB8FB7">
      <w:pPr>
        <w:snapToGrid w:val="0"/>
        <w:spacing w:before="50" w:after="120" w:afterLines="50" w:line="360" w:lineRule="auto"/>
        <w:jc w:val="left"/>
        <w:rPr>
          <w:rFonts w:hint="eastAsia" w:ascii="宋体" w:hAnsi="宋体"/>
          <w:b/>
          <w:color w:val="000000"/>
          <w:spacing w:val="20"/>
          <w:sz w:val="24"/>
        </w:rPr>
      </w:pPr>
    </w:p>
    <w:p w14:paraId="1CD8E4D1">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61E95003">
      <w:pPr>
        <w:tabs>
          <w:tab w:val="left" w:pos="606"/>
        </w:tabs>
        <w:rPr>
          <w:rFonts w:ascii="宋体" w:hAnsi="宋体"/>
          <w:b/>
          <w:color w:val="000000"/>
        </w:rPr>
      </w:pPr>
      <w:r>
        <w:rPr>
          <w:rFonts w:hint="eastAsia" w:ascii="宋体" w:hAnsi="宋体"/>
          <w:b/>
          <w:color w:val="000000"/>
          <w:spacing w:val="20"/>
          <w:sz w:val="24"/>
        </w:rPr>
        <w:t>日期：</w:t>
      </w:r>
    </w:p>
    <w:sectPr>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3661B">
    <w:pPr>
      <w:pStyle w:val="36"/>
      <w:jc w:val="right"/>
    </w:pPr>
    <w:r>
      <w:fldChar w:fldCharType="begin"/>
    </w:r>
    <w:r>
      <w:instrText xml:space="preserve">PAGE   \* MERGEFORMAT</w:instrText>
    </w:r>
    <w:r>
      <w:fldChar w:fldCharType="separate"/>
    </w:r>
    <w:r>
      <w:rPr>
        <w:lang w:val="zh-CN"/>
      </w:rPr>
      <w:t>2</w:t>
    </w:r>
    <w:r>
      <w:rPr>
        <w:lang w:val="zh-CN"/>
      </w:rPr>
      <w:fldChar w:fldCharType="end"/>
    </w:r>
  </w:p>
  <w:p w14:paraId="298C205E">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2D518">
    <w:pPr>
      <w:pStyle w:val="36"/>
      <w:framePr w:wrap="around" w:vAnchor="text" w:hAnchor="margin" w:xAlign="right" w:y="1"/>
      <w:rPr>
        <w:rStyle w:val="55"/>
      </w:rPr>
    </w:pPr>
    <w:r>
      <w:fldChar w:fldCharType="begin"/>
    </w:r>
    <w:r>
      <w:rPr>
        <w:rStyle w:val="55"/>
      </w:rPr>
      <w:instrText xml:space="preserve">PAGE  </w:instrText>
    </w:r>
    <w:r>
      <w:fldChar w:fldCharType="end"/>
    </w:r>
  </w:p>
  <w:p w14:paraId="5106D390">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152C9">
    <w:pPr>
      <w:pStyle w:val="3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906EAC8">
                          <w:pPr>
                            <w:pStyle w:val="36"/>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7906EAC8">
                    <w:pPr>
                      <w:pStyle w:val="36"/>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70929">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07CD0E6C">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3C185">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16A6FD"/>
    <w:multiLevelType w:val="singleLevel"/>
    <w:tmpl w:val="D616A6FD"/>
    <w:lvl w:ilvl="0" w:tentative="0">
      <w:start w:val="1"/>
      <w:numFmt w:val="decimal"/>
      <w:suff w:val="nothing"/>
      <w:lvlText w:val="%1、"/>
      <w:lvlJc w:val="left"/>
    </w:lvl>
  </w:abstractNum>
  <w:abstractNum w:abstractNumId="1">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2A0F73DB"/>
    <w:multiLevelType w:val="singleLevel"/>
    <w:tmpl w:val="2A0F73DB"/>
    <w:lvl w:ilvl="0" w:tentative="0">
      <w:start w:val="1"/>
      <w:numFmt w:val="chineseCounting"/>
      <w:suff w:val="nothing"/>
      <w:lvlText w:val="%1、"/>
      <w:lvlJc w:val="left"/>
      <w:rPr>
        <w:rFonts w:hint="eastAsia"/>
      </w:rPr>
    </w:lvl>
  </w:abstractNum>
  <w:abstractNum w:abstractNumId="5">
    <w:nsid w:val="53A54088"/>
    <w:multiLevelType w:val="singleLevel"/>
    <w:tmpl w:val="53A54088"/>
    <w:lvl w:ilvl="0" w:tentative="0">
      <w:start w:val="2"/>
      <w:numFmt w:val="chineseCounting"/>
      <w:suff w:val="space"/>
      <w:lvlText w:val="第%1章"/>
      <w:lvlJc w:val="left"/>
      <w:rPr>
        <w:rFonts w:hint="eastAsia"/>
      </w:r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0F5D"/>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2783D"/>
    <w:rsid w:val="013558BC"/>
    <w:rsid w:val="01800ECB"/>
    <w:rsid w:val="01A56261"/>
    <w:rsid w:val="01A819DB"/>
    <w:rsid w:val="01F176F8"/>
    <w:rsid w:val="022E5F79"/>
    <w:rsid w:val="023E0FE9"/>
    <w:rsid w:val="025A529E"/>
    <w:rsid w:val="02866093"/>
    <w:rsid w:val="02BA67BA"/>
    <w:rsid w:val="02BE247E"/>
    <w:rsid w:val="037E320E"/>
    <w:rsid w:val="038F541B"/>
    <w:rsid w:val="03AC2F6F"/>
    <w:rsid w:val="03E5503B"/>
    <w:rsid w:val="03E7698E"/>
    <w:rsid w:val="03F359AA"/>
    <w:rsid w:val="03FF6272"/>
    <w:rsid w:val="047D06AE"/>
    <w:rsid w:val="04E853C8"/>
    <w:rsid w:val="05883ED0"/>
    <w:rsid w:val="059211F2"/>
    <w:rsid w:val="05923050"/>
    <w:rsid w:val="05A94843"/>
    <w:rsid w:val="05E27A84"/>
    <w:rsid w:val="05F132AE"/>
    <w:rsid w:val="05F257ED"/>
    <w:rsid w:val="061564A5"/>
    <w:rsid w:val="0639166E"/>
    <w:rsid w:val="06571D12"/>
    <w:rsid w:val="0683360D"/>
    <w:rsid w:val="068B2E7A"/>
    <w:rsid w:val="06AE7966"/>
    <w:rsid w:val="06C70A28"/>
    <w:rsid w:val="06E33459"/>
    <w:rsid w:val="071C0D73"/>
    <w:rsid w:val="076D7821"/>
    <w:rsid w:val="076F23EE"/>
    <w:rsid w:val="07987456"/>
    <w:rsid w:val="07B65520"/>
    <w:rsid w:val="07CA07CF"/>
    <w:rsid w:val="07E37AE3"/>
    <w:rsid w:val="08057A5A"/>
    <w:rsid w:val="08191757"/>
    <w:rsid w:val="084A7B62"/>
    <w:rsid w:val="08527B7D"/>
    <w:rsid w:val="08844E22"/>
    <w:rsid w:val="08A90D2D"/>
    <w:rsid w:val="08F53CAE"/>
    <w:rsid w:val="09041F23"/>
    <w:rsid w:val="09075ADC"/>
    <w:rsid w:val="0916573C"/>
    <w:rsid w:val="09736C45"/>
    <w:rsid w:val="09886B94"/>
    <w:rsid w:val="098D1637"/>
    <w:rsid w:val="0998469B"/>
    <w:rsid w:val="09A92667"/>
    <w:rsid w:val="09CF031F"/>
    <w:rsid w:val="09EF451D"/>
    <w:rsid w:val="0A1977EC"/>
    <w:rsid w:val="0A7369D0"/>
    <w:rsid w:val="0A7640B7"/>
    <w:rsid w:val="0A990F8B"/>
    <w:rsid w:val="0A993219"/>
    <w:rsid w:val="0AA95618"/>
    <w:rsid w:val="0ABF0394"/>
    <w:rsid w:val="0AF92FFD"/>
    <w:rsid w:val="0B1219E8"/>
    <w:rsid w:val="0B13248D"/>
    <w:rsid w:val="0B2E5519"/>
    <w:rsid w:val="0B367F65"/>
    <w:rsid w:val="0B4F7789"/>
    <w:rsid w:val="0B621425"/>
    <w:rsid w:val="0B7123E9"/>
    <w:rsid w:val="0B73122A"/>
    <w:rsid w:val="0BAE21B6"/>
    <w:rsid w:val="0BB27EF8"/>
    <w:rsid w:val="0C095733"/>
    <w:rsid w:val="0C2C32DA"/>
    <w:rsid w:val="0C4E2658"/>
    <w:rsid w:val="0C4E4D94"/>
    <w:rsid w:val="0C7E602C"/>
    <w:rsid w:val="0CA737D5"/>
    <w:rsid w:val="0CBB4B8B"/>
    <w:rsid w:val="0CBE446A"/>
    <w:rsid w:val="0CFE2CC9"/>
    <w:rsid w:val="0D186481"/>
    <w:rsid w:val="0D3842E0"/>
    <w:rsid w:val="0D4252AC"/>
    <w:rsid w:val="0D5D4C0D"/>
    <w:rsid w:val="0D975D53"/>
    <w:rsid w:val="0DC76478"/>
    <w:rsid w:val="0DDD6D83"/>
    <w:rsid w:val="0E19600D"/>
    <w:rsid w:val="0E4868F2"/>
    <w:rsid w:val="0E5E7EC3"/>
    <w:rsid w:val="0E6550C1"/>
    <w:rsid w:val="0E9658AF"/>
    <w:rsid w:val="0EAB3CCD"/>
    <w:rsid w:val="0EB75826"/>
    <w:rsid w:val="0EC62E9F"/>
    <w:rsid w:val="0EC878D6"/>
    <w:rsid w:val="0ECD6DF7"/>
    <w:rsid w:val="0EDE2DB2"/>
    <w:rsid w:val="0EE035FE"/>
    <w:rsid w:val="0EE066F8"/>
    <w:rsid w:val="0F004C43"/>
    <w:rsid w:val="0F4C2412"/>
    <w:rsid w:val="0F527268"/>
    <w:rsid w:val="0F703614"/>
    <w:rsid w:val="0F7D7D19"/>
    <w:rsid w:val="0FAC4E31"/>
    <w:rsid w:val="0FB155D7"/>
    <w:rsid w:val="0FE20680"/>
    <w:rsid w:val="0FEF26BD"/>
    <w:rsid w:val="101A7ADE"/>
    <w:rsid w:val="101E5B5C"/>
    <w:rsid w:val="1034712E"/>
    <w:rsid w:val="107E65FB"/>
    <w:rsid w:val="10AE08D0"/>
    <w:rsid w:val="10E6744C"/>
    <w:rsid w:val="1105788F"/>
    <w:rsid w:val="11264206"/>
    <w:rsid w:val="112E1DCF"/>
    <w:rsid w:val="112E585D"/>
    <w:rsid w:val="11310A15"/>
    <w:rsid w:val="116B7FCB"/>
    <w:rsid w:val="1198193E"/>
    <w:rsid w:val="11BF511D"/>
    <w:rsid w:val="11C84BC0"/>
    <w:rsid w:val="11CB51AE"/>
    <w:rsid w:val="11CC3396"/>
    <w:rsid w:val="11D22AD8"/>
    <w:rsid w:val="11DB182B"/>
    <w:rsid w:val="11E5626B"/>
    <w:rsid w:val="12134D92"/>
    <w:rsid w:val="122E5DFF"/>
    <w:rsid w:val="124B4C03"/>
    <w:rsid w:val="126D1B09"/>
    <w:rsid w:val="127B54E8"/>
    <w:rsid w:val="12E34E3B"/>
    <w:rsid w:val="13210D3B"/>
    <w:rsid w:val="13625566"/>
    <w:rsid w:val="1384217A"/>
    <w:rsid w:val="139A199E"/>
    <w:rsid w:val="139E738B"/>
    <w:rsid w:val="13AE369B"/>
    <w:rsid w:val="13C75EBA"/>
    <w:rsid w:val="13E16B2F"/>
    <w:rsid w:val="13E75EC5"/>
    <w:rsid w:val="13F82B68"/>
    <w:rsid w:val="13F84B63"/>
    <w:rsid w:val="13FD1F2D"/>
    <w:rsid w:val="14096B23"/>
    <w:rsid w:val="14200447"/>
    <w:rsid w:val="143C4803"/>
    <w:rsid w:val="144C28E7"/>
    <w:rsid w:val="148B12E6"/>
    <w:rsid w:val="14BB6317"/>
    <w:rsid w:val="14F72E20"/>
    <w:rsid w:val="14F83277"/>
    <w:rsid w:val="152564B7"/>
    <w:rsid w:val="15454C36"/>
    <w:rsid w:val="155344FA"/>
    <w:rsid w:val="159A1A8E"/>
    <w:rsid w:val="15DE05DB"/>
    <w:rsid w:val="162C517E"/>
    <w:rsid w:val="163634D4"/>
    <w:rsid w:val="165F0C7D"/>
    <w:rsid w:val="165F282F"/>
    <w:rsid w:val="16B15CE2"/>
    <w:rsid w:val="16BE59A3"/>
    <w:rsid w:val="17025D53"/>
    <w:rsid w:val="17471E3D"/>
    <w:rsid w:val="175C6F6A"/>
    <w:rsid w:val="17A10E21"/>
    <w:rsid w:val="17AE3C6A"/>
    <w:rsid w:val="17C613BB"/>
    <w:rsid w:val="17DE3E23"/>
    <w:rsid w:val="17EC02EE"/>
    <w:rsid w:val="17EF24D2"/>
    <w:rsid w:val="17F35B20"/>
    <w:rsid w:val="18062C2E"/>
    <w:rsid w:val="181B5077"/>
    <w:rsid w:val="182201B4"/>
    <w:rsid w:val="1827625B"/>
    <w:rsid w:val="183F2B14"/>
    <w:rsid w:val="18743D16"/>
    <w:rsid w:val="189F1804"/>
    <w:rsid w:val="18CD4B53"/>
    <w:rsid w:val="193463F1"/>
    <w:rsid w:val="19502AFF"/>
    <w:rsid w:val="19540841"/>
    <w:rsid w:val="1977452F"/>
    <w:rsid w:val="19CC0BE8"/>
    <w:rsid w:val="19F426B6"/>
    <w:rsid w:val="1A02029D"/>
    <w:rsid w:val="1A023DF9"/>
    <w:rsid w:val="1A584361"/>
    <w:rsid w:val="1A5F749D"/>
    <w:rsid w:val="1A6D31CC"/>
    <w:rsid w:val="1A9759D1"/>
    <w:rsid w:val="1AAB2BA7"/>
    <w:rsid w:val="1AC23402"/>
    <w:rsid w:val="1AC53C7E"/>
    <w:rsid w:val="1AEA11EB"/>
    <w:rsid w:val="1AF5570C"/>
    <w:rsid w:val="1B001DD6"/>
    <w:rsid w:val="1B1A5151"/>
    <w:rsid w:val="1B3F02AC"/>
    <w:rsid w:val="1B430B6D"/>
    <w:rsid w:val="1B46240B"/>
    <w:rsid w:val="1B5168F8"/>
    <w:rsid w:val="1B6F3710"/>
    <w:rsid w:val="1B9273FE"/>
    <w:rsid w:val="1B931325"/>
    <w:rsid w:val="1C33298F"/>
    <w:rsid w:val="1C3C1772"/>
    <w:rsid w:val="1C427076"/>
    <w:rsid w:val="1C551074"/>
    <w:rsid w:val="1C694603"/>
    <w:rsid w:val="1CBA6C0D"/>
    <w:rsid w:val="1D1327C1"/>
    <w:rsid w:val="1D1C313C"/>
    <w:rsid w:val="1D316FB1"/>
    <w:rsid w:val="1D497F91"/>
    <w:rsid w:val="1D63710D"/>
    <w:rsid w:val="1D654577"/>
    <w:rsid w:val="1D683EAA"/>
    <w:rsid w:val="1D74517A"/>
    <w:rsid w:val="1D7841A1"/>
    <w:rsid w:val="1D8D2573"/>
    <w:rsid w:val="1D935D50"/>
    <w:rsid w:val="1DBE272D"/>
    <w:rsid w:val="1DCD2970"/>
    <w:rsid w:val="1DDB751A"/>
    <w:rsid w:val="1DDC1011"/>
    <w:rsid w:val="1E0029DE"/>
    <w:rsid w:val="1E102575"/>
    <w:rsid w:val="1E34479D"/>
    <w:rsid w:val="1E4231F5"/>
    <w:rsid w:val="1E5F6569"/>
    <w:rsid w:val="1E6A4663"/>
    <w:rsid w:val="1E892D3B"/>
    <w:rsid w:val="1EB77B9E"/>
    <w:rsid w:val="1EDE3B19"/>
    <w:rsid w:val="1EE8546A"/>
    <w:rsid w:val="1EF614EC"/>
    <w:rsid w:val="1EFB350D"/>
    <w:rsid w:val="1F3F5AEF"/>
    <w:rsid w:val="1F5C3FAB"/>
    <w:rsid w:val="1F5E479D"/>
    <w:rsid w:val="1FE800CE"/>
    <w:rsid w:val="1FEB076F"/>
    <w:rsid w:val="200D34F7"/>
    <w:rsid w:val="202D2326"/>
    <w:rsid w:val="205B24B5"/>
    <w:rsid w:val="205D372C"/>
    <w:rsid w:val="208A2D9A"/>
    <w:rsid w:val="209A2298"/>
    <w:rsid w:val="20E02AB1"/>
    <w:rsid w:val="20E55C2B"/>
    <w:rsid w:val="215533A8"/>
    <w:rsid w:val="217061BE"/>
    <w:rsid w:val="21997731"/>
    <w:rsid w:val="21A41C3A"/>
    <w:rsid w:val="21A5213F"/>
    <w:rsid w:val="21D17E98"/>
    <w:rsid w:val="21E17A92"/>
    <w:rsid w:val="226C6BFB"/>
    <w:rsid w:val="226F2247"/>
    <w:rsid w:val="2272773F"/>
    <w:rsid w:val="22813D29"/>
    <w:rsid w:val="22AB790B"/>
    <w:rsid w:val="22C8589D"/>
    <w:rsid w:val="22E9024C"/>
    <w:rsid w:val="22F4274D"/>
    <w:rsid w:val="22FB1D2D"/>
    <w:rsid w:val="23384D2F"/>
    <w:rsid w:val="236C26D4"/>
    <w:rsid w:val="237D2742"/>
    <w:rsid w:val="2383244E"/>
    <w:rsid w:val="23880ED2"/>
    <w:rsid w:val="238C5C8C"/>
    <w:rsid w:val="23F358D1"/>
    <w:rsid w:val="24434BD7"/>
    <w:rsid w:val="24482D50"/>
    <w:rsid w:val="24612AB0"/>
    <w:rsid w:val="249D12EE"/>
    <w:rsid w:val="24AC4791"/>
    <w:rsid w:val="24CC572F"/>
    <w:rsid w:val="24F73571"/>
    <w:rsid w:val="24FA1CAF"/>
    <w:rsid w:val="251470D6"/>
    <w:rsid w:val="25644D7F"/>
    <w:rsid w:val="258642BF"/>
    <w:rsid w:val="258F73AB"/>
    <w:rsid w:val="25F211C5"/>
    <w:rsid w:val="25F50BF6"/>
    <w:rsid w:val="265005E2"/>
    <w:rsid w:val="26970113"/>
    <w:rsid w:val="26FF3294"/>
    <w:rsid w:val="27084A19"/>
    <w:rsid w:val="272C5BE1"/>
    <w:rsid w:val="27ED433A"/>
    <w:rsid w:val="27FA0D7D"/>
    <w:rsid w:val="280E6E15"/>
    <w:rsid w:val="28135BDD"/>
    <w:rsid w:val="283F41D5"/>
    <w:rsid w:val="286403F1"/>
    <w:rsid w:val="28706853"/>
    <w:rsid w:val="2912392D"/>
    <w:rsid w:val="29194CBB"/>
    <w:rsid w:val="292411BF"/>
    <w:rsid w:val="292673D8"/>
    <w:rsid w:val="2927387C"/>
    <w:rsid w:val="29A749BD"/>
    <w:rsid w:val="29E503DA"/>
    <w:rsid w:val="2A033781"/>
    <w:rsid w:val="2A1A518F"/>
    <w:rsid w:val="2A263B34"/>
    <w:rsid w:val="2A311142"/>
    <w:rsid w:val="2A777809"/>
    <w:rsid w:val="2A7D7F8A"/>
    <w:rsid w:val="2A81520E"/>
    <w:rsid w:val="2ABF6566"/>
    <w:rsid w:val="2AC05D36"/>
    <w:rsid w:val="2ADE7F6A"/>
    <w:rsid w:val="2B0F6376"/>
    <w:rsid w:val="2B376D5B"/>
    <w:rsid w:val="2B595843"/>
    <w:rsid w:val="2B7A2DD5"/>
    <w:rsid w:val="2B824D9A"/>
    <w:rsid w:val="2BA94A1C"/>
    <w:rsid w:val="2BAA0794"/>
    <w:rsid w:val="2C041C52"/>
    <w:rsid w:val="2C182496"/>
    <w:rsid w:val="2C4C53A8"/>
    <w:rsid w:val="2C7E48E6"/>
    <w:rsid w:val="2C844B41"/>
    <w:rsid w:val="2CE54D5A"/>
    <w:rsid w:val="2D524FED"/>
    <w:rsid w:val="2D7B5F44"/>
    <w:rsid w:val="2D8017AD"/>
    <w:rsid w:val="2D8843AE"/>
    <w:rsid w:val="2D9B0395"/>
    <w:rsid w:val="2DAD629C"/>
    <w:rsid w:val="2DD37B2E"/>
    <w:rsid w:val="2E0221C2"/>
    <w:rsid w:val="2E1F0FC6"/>
    <w:rsid w:val="2E2C36E3"/>
    <w:rsid w:val="2E3305CD"/>
    <w:rsid w:val="2E625356"/>
    <w:rsid w:val="2E752B8F"/>
    <w:rsid w:val="2E806FAC"/>
    <w:rsid w:val="2EB01C1E"/>
    <w:rsid w:val="2EC03F03"/>
    <w:rsid w:val="2ECA5B9F"/>
    <w:rsid w:val="2ECE27ED"/>
    <w:rsid w:val="2EE144CD"/>
    <w:rsid w:val="2EE93382"/>
    <w:rsid w:val="2F33417F"/>
    <w:rsid w:val="2F3407C1"/>
    <w:rsid w:val="2F72726C"/>
    <w:rsid w:val="2F8F2289"/>
    <w:rsid w:val="2F9E6ACE"/>
    <w:rsid w:val="2FC02334"/>
    <w:rsid w:val="2FD45DE0"/>
    <w:rsid w:val="2FD951A4"/>
    <w:rsid w:val="2FE34275"/>
    <w:rsid w:val="30006BC3"/>
    <w:rsid w:val="30367754"/>
    <w:rsid w:val="30650573"/>
    <w:rsid w:val="307F0D4E"/>
    <w:rsid w:val="308275EA"/>
    <w:rsid w:val="30C11062"/>
    <w:rsid w:val="30D51E0F"/>
    <w:rsid w:val="31480833"/>
    <w:rsid w:val="314E2F6A"/>
    <w:rsid w:val="315120E4"/>
    <w:rsid w:val="315A2315"/>
    <w:rsid w:val="31BB7257"/>
    <w:rsid w:val="31C51E84"/>
    <w:rsid w:val="31CF685F"/>
    <w:rsid w:val="320D7387"/>
    <w:rsid w:val="32153BA5"/>
    <w:rsid w:val="323A2D93"/>
    <w:rsid w:val="32406EF5"/>
    <w:rsid w:val="3251323D"/>
    <w:rsid w:val="32664960"/>
    <w:rsid w:val="326C0551"/>
    <w:rsid w:val="327F2033"/>
    <w:rsid w:val="32A60391"/>
    <w:rsid w:val="32D43FFF"/>
    <w:rsid w:val="33097109"/>
    <w:rsid w:val="33576B0C"/>
    <w:rsid w:val="33745910"/>
    <w:rsid w:val="33A97252"/>
    <w:rsid w:val="33BE6B8B"/>
    <w:rsid w:val="33C63C91"/>
    <w:rsid w:val="33C65786"/>
    <w:rsid w:val="33D90356"/>
    <w:rsid w:val="33DF239B"/>
    <w:rsid w:val="33E34843"/>
    <w:rsid w:val="33EB2DC4"/>
    <w:rsid w:val="33F25DBC"/>
    <w:rsid w:val="34325C8D"/>
    <w:rsid w:val="343E1A7A"/>
    <w:rsid w:val="34467C10"/>
    <w:rsid w:val="346E05B1"/>
    <w:rsid w:val="34A277E4"/>
    <w:rsid w:val="34B561E0"/>
    <w:rsid w:val="34E04DFF"/>
    <w:rsid w:val="34F605A6"/>
    <w:rsid w:val="355231E6"/>
    <w:rsid w:val="35541344"/>
    <w:rsid w:val="35605EF6"/>
    <w:rsid w:val="35D53F5E"/>
    <w:rsid w:val="360C07A2"/>
    <w:rsid w:val="360C62D3"/>
    <w:rsid w:val="36237179"/>
    <w:rsid w:val="36767BF1"/>
    <w:rsid w:val="36BE221D"/>
    <w:rsid w:val="36E80182"/>
    <w:rsid w:val="36FB00F6"/>
    <w:rsid w:val="36FC07E1"/>
    <w:rsid w:val="3715740A"/>
    <w:rsid w:val="37536560"/>
    <w:rsid w:val="376D0FF4"/>
    <w:rsid w:val="378D4986"/>
    <w:rsid w:val="379F6CD3"/>
    <w:rsid w:val="37B502A5"/>
    <w:rsid w:val="37EF7C5B"/>
    <w:rsid w:val="38080D1C"/>
    <w:rsid w:val="381F7189"/>
    <w:rsid w:val="38271393"/>
    <w:rsid w:val="382C5C2C"/>
    <w:rsid w:val="38672D8B"/>
    <w:rsid w:val="386F48F8"/>
    <w:rsid w:val="38F44DFD"/>
    <w:rsid w:val="393A4F06"/>
    <w:rsid w:val="39501A09"/>
    <w:rsid w:val="396401D4"/>
    <w:rsid w:val="397C551E"/>
    <w:rsid w:val="398D772B"/>
    <w:rsid w:val="399F0ECE"/>
    <w:rsid w:val="39AC0688"/>
    <w:rsid w:val="39AE1CCA"/>
    <w:rsid w:val="39C3314D"/>
    <w:rsid w:val="3A67294A"/>
    <w:rsid w:val="3A7111E0"/>
    <w:rsid w:val="3A810912"/>
    <w:rsid w:val="3AAB598F"/>
    <w:rsid w:val="3ACE213B"/>
    <w:rsid w:val="3ACE4832"/>
    <w:rsid w:val="3AE605F3"/>
    <w:rsid w:val="3AED7D56"/>
    <w:rsid w:val="3B2D45F6"/>
    <w:rsid w:val="3B3B4F65"/>
    <w:rsid w:val="3B53405D"/>
    <w:rsid w:val="3B575F17"/>
    <w:rsid w:val="3BA527DC"/>
    <w:rsid w:val="3BA63297"/>
    <w:rsid w:val="3BCA4233"/>
    <w:rsid w:val="3BE31530"/>
    <w:rsid w:val="3BF75330"/>
    <w:rsid w:val="3C11052C"/>
    <w:rsid w:val="3C3A4A24"/>
    <w:rsid w:val="3C462E08"/>
    <w:rsid w:val="3C4D58E3"/>
    <w:rsid w:val="3C504A40"/>
    <w:rsid w:val="3C5207B8"/>
    <w:rsid w:val="3C97441D"/>
    <w:rsid w:val="3CD74859"/>
    <w:rsid w:val="3CE55188"/>
    <w:rsid w:val="3CF54CD9"/>
    <w:rsid w:val="3CFB0E50"/>
    <w:rsid w:val="3D0D46DF"/>
    <w:rsid w:val="3D103A6D"/>
    <w:rsid w:val="3D176718"/>
    <w:rsid w:val="3D2739F3"/>
    <w:rsid w:val="3D2C725B"/>
    <w:rsid w:val="3D2E69C5"/>
    <w:rsid w:val="3D347473"/>
    <w:rsid w:val="3D67244C"/>
    <w:rsid w:val="3D7F382F"/>
    <w:rsid w:val="3E173A67"/>
    <w:rsid w:val="3E3F6B1A"/>
    <w:rsid w:val="3E676E11"/>
    <w:rsid w:val="3E6E0607"/>
    <w:rsid w:val="3E821AEC"/>
    <w:rsid w:val="3EC703D7"/>
    <w:rsid w:val="3F185CE9"/>
    <w:rsid w:val="3F457087"/>
    <w:rsid w:val="3F5E5BCB"/>
    <w:rsid w:val="3F633FF1"/>
    <w:rsid w:val="3F6A5E19"/>
    <w:rsid w:val="3F732F1F"/>
    <w:rsid w:val="3FA961F9"/>
    <w:rsid w:val="3FB672B0"/>
    <w:rsid w:val="40416B7A"/>
    <w:rsid w:val="40644F5E"/>
    <w:rsid w:val="40796B6F"/>
    <w:rsid w:val="408636B3"/>
    <w:rsid w:val="40896772"/>
    <w:rsid w:val="40961988"/>
    <w:rsid w:val="40A1586A"/>
    <w:rsid w:val="40C65F85"/>
    <w:rsid w:val="40C77D10"/>
    <w:rsid w:val="40D66E70"/>
    <w:rsid w:val="40E67721"/>
    <w:rsid w:val="413C3FE6"/>
    <w:rsid w:val="41403760"/>
    <w:rsid w:val="41664966"/>
    <w:rsid w:val="417C1E33"/>
    <w:rsid w:val="41874A60"/>
    <w:rsid w:val="41CE0187"/>
    <w:rsid w:val="41EC24EF"/>
    <w:rsid w:val="41EE59D6"/>
    <w:rsid w:val="420B07D3"/>
    <w:rsid w:val="42186000"/>
    <w:rsid w:val="422C3859"/>
    <w:rsid w:val="422E5823"/>
    <w:rsid w:val="42317852"/>
    <w:rsid w:val="423B3A9C"/>
    <w:rsid w:val="42433A27"/>
    <w:rsid w:val="426010A1"/>
    <w:rsid w:val="42606F62"/>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4F44F3"/>
    <w:rsid w:val="435A7F52"/>
    <w:rsid w:val="436872C2"/>
    <w:rsid w:val="437B1086"/>
    <w:rsid w:val="43B568EB"/>
    <w:rsid w:val="43D917BF"/>
    <w:rsid w:val="43EE4613"/>
    <w:rsid w:val="443169CB"/>
    <w:rsid w:val="4448459A"/>
    <w:rsid w:val="444B446B"/>
    <w:rsid w:val="444E7AB7"/>
    <w:rsid w:val="448105A2"/>
    <w:rsid w:val="449020B7"/>
    <w:rsid w:val="4493196E"/>
    <w:rsid w:val="449F233C"/>
    <w:rsid w:val="44A45929"/>
    <w:rsid w:val="44F52628"/>
    <w:rsid w:val="451F3201"/>
    <w:rsid w:val="4541586E"/>
    <w:rsid w:val="45596F97"/>
    <w:rsid w:val="456D0411"/>
    <w:rsid w:val="45752CFC"/>
    <w:rsid w:val="458539AC"/>
    <w:rsid w:val="459531E3"/>
    <w:rsid w:val="45C35A2D"/>
    <w:rsid w:val="45C51FFB"/>
    <w:rsid w:val="45D129C9"/>
    <w:rsid w:val="4605689B"/>
    <w:rsid w:val="462A789C"/>
    <w:rsid w:val="462F3918"/>
    <w:rsid w:val="467779B3"/>
    <w:rsid w:val="46A165C4"/>
    <w:rsid w:val="46FA3F26"/>
    <w:rsid w:val="473D0700"/>
    <w:rsid w:val="47525B10"/>
    <w:rsid w:val="47B87D10"/>
    <w:rsid w:val="47BC2BDA"/>
    <w:rsid w:val="48194880"/>
    <w:rsid w:val="48873598"/>
    <w:rsid w:val="488C5052"/>
    <w:rsid w:val="489D100D"/>
    <w:rsid w:val="48C72033"/>
    <w:rsid w:val="491C63D6"/>
    <w:rsid w:val="492766CD"/>
    <w:rsid w:val="49374FBE"/>
    <w:rsid w:val="493A2D00"/>
    <w:rsid w:val="497E0E3E"/>
    <w:rsid w:val="49897D45"/>
    <w:rsid w:val="49C34A70"/>
    <w:rsid w:val="49F42EAF"/>
    <w:rsid w:val="4A7933B4"/>
    <w:rsid w:val="4AE178D7"/>
    <w:rsid w:val="4AF56EDE"/>
    <w:rsid w:val="4B2953EC"/>
    <w:rsid w:val="4B342331"/>
    <w:rsid w:val="4B4664C9"/>
    <w:rsid w:val="4B533C05"/>
    <w:rsid w:val="4B602F7B"/>
    <w:rsid w:val="4B916AFA"/>
    <w:rsid w:val="4BA34B8C"/>
    <w:rsid w:val="4BA642A4"/>
    <w:rsid w:val="4BAF645E"/>
    <w:rsid w:val="4BD0049B"/>
    <w:rsid w:val="4BEE392E"/>
    <w:rsid w:val="4C3E2B07"/>
    <w:rsid w:val="4C404189"/>
    <w:rsid w:val="4C477882"/>
    <w:rsid w:val="4CA07342"/>
    <w:rsid w:val="4CAC181F"/>
    <w:rsid w:val="4CCD46F2"/>
    <w:rsid w:val="4CD9638C"/>
    <w:rsid w:val="4D800D87"/>
    <w:rsid w:val="4D87403A"/>
    <w:rsid w:val="4DB43081"/>
    <w:rsid w:val="4DCD7C9F"/>
    <w:rsid w:val="4DD059E1"/>
    <w:rsid w:val="4DF01BDF"/>
    <w:rsid w:val="4DF63713"/>
    <w:rsid w:val="4E056DF8"/>
    <w:rsid w:val="4E263853"/>
    <w:rsid w:val="4E326C84"/>
    <w:rsid w:val="4E485E36"/>
    <w:rsid w:val="4E8C7DEC"/>
    <w:rsid w:val="4EA135A7"/>
    <w:rsid w:val="4EA577DD"/>
    <w:rsid w:val="4EA76EA3"/>
    <w:rsid w:val="4EE96D5A"/>
    <w:rsid w:val="4EFD5288"/>
    <w:rsid w:val="4F1B2C8C"/>
    <w:rsid w:val="4F4336A4"/>
    <w:rsid w:val="4F9D18F3"/>
    <w:rsid w:val="4FA90297"/>
    <w:rsid w:val="4FAE0F98"/>
    <w:rsid w:val="4FCE41A2"/>
    <w:rsid w:val="4FD67431"/>
    <w:rsid w:val="4FE90FDC"/>
    <w:rsid w:val="4FFF435B"/>
    <w:rsid w:val="501810FD"/>
    <w:rsid w:val="503009B9"/>
    <w:rsid w:val="50377F99"/>
    <w:rsid w:val="505254FF"/>
    <w:rsid w:val="50965C4F"/>
    <w:rsid w:val="50DF0465"/>
    <w:rsid w:val="50FB4B23"/>
    <w:rsid w:val="510F5A92"/>
    <w:rsid w:val="513D15DF"/>
    <w:rsid w:val="513F7105"/>
    <w:rsid w:val="519C21AA"/>
    <w:rsid w:val="51B20ACD"/>
    <w:rsid w:val="52043EAB"/>
    <w:rsid w:val="52067C23"/>
    <w:rsid w:val="5217598C"/>
    <w:rsid w:val="52292F71"/>
    <w:rsid w:val="522E717A"/>
    <w:rsid w:val="525A3ACB"/>
    <w:rsid w:val="52630BD1"/>
    <w:rsid w:val="527E5C57"/>
    <w:rsid w:val="52880638"/>
    <w:rsid w:val="528A2602"/>
    <w:rsid w:val="528C03DD"/>
    <w:rsid w:val="52BE1909"/>
    <w:rsid w:val="52EF06B7"/>
    <w:rsid w:val="52FE395B"/>
    <w:rsid w:val="53177C0E"/>
    <w:rsid w:val="534A3B3F"/>
    <w:rsid w:val="5354676C"/>
    <w:rsid w:val="5358625C"/>
    <w:rsid w:val="536966BB"/>
    <w:rsid w:val="5371731E"/>
    <w:rsid w:val="538708F0"/>
    <w:rsid w:val="53BC5AEE"/>
    <w:rsid w:val="53C51418"/>
    <w:rsid w:val="53C605B1"/>
    <w:rsid w:val="53DC7779"/>
    <w:rsid w:val="53F1220D"/>
    <w:rsid w:val="5403535D"/>
    <w:rsid w:val="541A79B6"/>
    <w:rsid w:val="542158A0"/>
    <w:rsid w:val="5423620A"/>
    <w:rsid w:val="547851A6"/>
    <w:rsid w:val="549628AC"/>
    <w:rsid w:val="54BF5232"/>
    <w:rsid w:val="54DC110F"/>
    <w:rsid w:val="54EF2BF0"/>
    <w:rsid w:val="55025EED"/>
    <w:rsid w:val="55214D74"/>
    <w:rsid w:val="5563404C"/>
    <w:rsid w:val="55713605"/>
    <w:rsid w:val="55812D9D"/>
    <w:rsid w:val="55C8387E"/>
    <w:rsid w:val="55D41416"/>
    <w:rsid w:val="562B5EAA"/>
    <w:rsid w:val="563A1DB1"/>
    <w:rsid w:val="563F1955"/>
    <w:rsid w:val="566B274A"/>
    <w:rsid w:val="569C6DA8"/>
    <w:rsid w:val="56B04287"/>
    <w:rsid w:val="56BD287A"/>
    <w:rsid w:val="56E86247"/>
    <w:rsid w:val="56EB5639"/>
    <w:rsid w:val="56F20776"/>
    <w:rsid w:val="57917F8F"/>
    <w:rsid w:val="57C6377C"/>
    <w:rsid w:val="57DE0CFA"/>
    <w:rsid w:val="5804365A"/>
    <w:rsid w:val="583D72F0"/>
    <w:rsid w:val="583F5C3D"/>
    <w:rsid w:val="58540C81"/>
    <w:rsid w:val="588A3572"/>
    <w:rsid w:val="588B2C30"/>
    <w:rsid w:val="58EA204C"/>
    <w:rsid w:val="59101387"/>
    <w:rsid w:val="593A2D3C"/>
    <w:rsid w:val="59561AE4"/>
    <w:rsid w:val="5980650D"/>
    <w:rsid w:val="59816B46"/>
    <w:rsid w:val="59A55F73"/>
    <w:rsid w:val="59CC52AE"/>
    <w:rsid w:val="59DE5DB6"/>
    <w:rsid w:val="59E17BDA"/>
    <w:rsid w:val="5A1D0200"/>
    <w:rsid w:val="5A4C2893"/>
    <w:rsid w:val="5A9B2ED2"/>
    <w:rsid w:val="5AA77AC9"/>
    <w:rsid w:val="5ABE74D2"/>
    <w:rsid w:val="5AFB3ECE"/>
    <w:rsid w:val="5B396385"/>
    <w:rsid w:val="5B3E042E"/>
    <w:rsid w:val="5B4C734D"/>
    <w:rsid w:val="5B5A2D8E"/>
    <w:rsid w:val="5B612747"/>
    <w:rsid w:val="5B6854AA"/>
    <w:rsid w:val="5BB93F58"/>
    <w:rsid w:val="5C797243"/>
    <w:rsid w:val="5C846314"/>
    <w:rsid w:val="5C8D6B99"/>
    <w:rsid w:val="5C981DBF"/>
    <w:rsid w:val="5CB169DD"/>
    <w:rsid w:val="5D1C02FB"/>
    <w:rsid w:val="5D3A69D3"/>
    <w:rsid w:val="5D433D9D"/>
    <w:rsid w:val="5D722610"/>
    <w:rsid w:val="5D974005"/>
    <w:rsid w:val="5DD605FF"/>
    <w:rsid w:val="5DFB6236"/>
    <w:rsid w:val="5E310B53"/>
    <w:rsid w:val="5E822368"/>
    <w:rsid w:val="5E8425FB"/>
    <w:rsid w:val="5E8B0A0A"/>
    <w:rsid w:val="5EC44D82"/>
    <w:rsid w:val="5EDC2437"/>
    <w:rsid w:val="5EDD77A4"/>
    <w:rsid w:val="5EEE216B"/>
    <w:rsid w:val="5F0279C4"/>
    <w:rsid w:val="5F074FDA"/>
    <w:rsid w:val="5F123457"/>
    <w:rsid w:val="5F4355AE"/>
    <w:rsid w:val="5F4878DF"/>
    <w:rsid w:val="5F922AF6"/>
    <w:rsid w:val="5F9A19AB"/>
    <w:rsid w:val="5FBA3DFB"/>
    <w:rsid w:val="5FEE1CBA"/>
    <w:rsid w:val="600751AC"/>
    <w:rsid w:val="603718EF"/>
    <w:rsid w:val="606A4298"/>
    <w:rsid w:val="60787F3E"/>
    <w:rsid w:val="607B17DC"/>
    <w:rsid w:val="607E53BF"/>
    <w:rsid w:val="607F7DFE"/>
    <w:rsid w:val="60A44AA3"/>
    <w:rsid w:val="60A56859"/>
    <w:rsid w:val="60B30103"/>
    <w:rsid w:val="60C874D3"/>
    <w:rsid w:val="61025A59"/>
    <w:rsid w:val="610D4379"/>
    <w:rsid w:val="61327D3B"/>
    <w:rsid w:val="61483DB4"/>
    <w:rsid w:val="616404C2"/>
    <w:rsid w:val="6183303E"/>
    <w:rsid w:val="61842912"/>
    <w:rsid w:val="6187432A"/>
    <w:rsid w:val="61B825BC"/>
    <w:rsid w:val="61EB2991"/>
    <w:rsid w:val="61F84B2E"/>
    <w:rsid w:val="61FB1475"/>
    <w:rsid w:val="620121B5"/>
    <w:rsid w:val="62586279"/>
    <w:rsid w:val="625E4788"/>
    <w:rsid w:val="62600C89"/>
    <w:rsid w:val="629848C7"/>
    <w:rsid w:val="62BD432E"/>
    <w:rsid w:val="62FD0BCE"/>
    <w:rsid w:val="63270097"/>
    <w:rsid w:val="6367438F"/>
    <w:rsid w:val="636D5D54"/>
    <w:rsid w:val="63C40E45"/>
    <w:rsid w:val="63E9223E"/>
    <w:rsid w:val="63FB3BF1"/>
    <w:rsid w:val="63FD6D48"/>
    <w:rsid w:val="640D306A"/>
    <w:rsid w:val="64986782"/>
    <w:rsid w:val="64E060B2"/>
    <w:rsid w:val="64E536C8"/>
    <w:rsid w:val="64F33FDF"/>
    <w:rsid w:val="64F7641F"/>
    <w:rsid w:val="64FE478A"/>
    <w:rsid w:val="6511270F"/>
    <w:rsid w:val="65454094"/>
    <w:rsid w:val="659D23D1"/>
    <w:rsid w:val="65A2617E"/>
    <w:rsid w:val="65B66714"/>
    <w:rsid w:val="65BF6F8A"/>
    <w:rsid w:val="65F91ED2"/>
    <w:rsid w:val="65FA5E5E"/>
    <w:rsid w:val="66545415"/>
    <w:rsid w:val="668A1465"/>
    <w:rsid w:val="66D47E98"/>
    <w:rsid w:val="66D957E8"/>
    <w:rsid w:val="66E706CE"/>
    <w:rsid w:val="67002A3B"/>
    <w:rsid w:val="674652C6"/>
    <w:rsid w:val="674F3B08"/>
    <w:rsid w:val="67584E77"/>
    <w:rsid w:val="675A65EF"/>
    <w:rsid w:val="67752866"/>
    <w:rsid w:val="678E3F22"/>
    <w:rsid w:val="67A45ABC"/>
    <w:rsid w:val="67A96C2F"/>
    <w:rsid w:val="67AE3FBB"/>
    <w:rsid w:val="67BF6452"/>
    <w:rsid w:val="67D16185"/>
    <w:rsid w:val="680C66AB"/>
    <w:rsid w:val="68104F00"/>
    <w:rsid w:val="683064A9"/>
    <w:rsid w:val="683A01CF"/>
    <w:rsid w:val="684054B9"/>
    <w:rsid w:val="685A178B"/>
    <w:rsid w:val="686D4300"/>
    <w:rsid w:val="687D7A3A"/>
    <w:rsid w:val="688F59F4"/>
    <w:rsid w:val="68E343C2"/>
    <w:rsid w:val="69124CA8"/>
    <w:rsid w:val="691E189E"/>
    <w:rsid w:val="698A5C37"/>
    <w:rsid w:val="69C77840"/>
    <w:rsid w:val="69D61895"/>
    <w:rsid w:val="69E2467A"/>
    <w:rsid w:val="69F93EB9"/>
    <w:rsid w:val="6A2465E9"/>
    <w:rsid w:val="6A535578"/>
    <w:rsid w:val="6A582B8E"/>
    <w:rsid w:val="6A5901AF"/>
    <w:rsid w:val="6A71152F"/>
    <w:rsid w:val="6A9260A0"/>
    <w:rsid w:val="6A9A31A7"/>
    <w:rsid w:val="6AAE27AE"/>
    <w:rsid w:val="6AB00C29"/>
    <w:rsid w:val="6ABA1153"/>
    <w:rsid w:val="6AC87D14"/>
    <w:rsid w:val="6B056872"/>
    <w:rsid w:val="6B194DB1"/>
    <w:rsid w:val="6B2667E8"/>
    <w:rsid w:val="6B5579EE"/>
    <w:rsid w:val="6B6932A5"/>
    <w:rsid w:val="6B6C53C5"/>
    <w:rsid w:val="6B8359E9"/>
    <w:rsid w:val="6BA37E39"/>
    <w:rsid w:val="6BC04E8F"/>
    <w:rsid w:val="6BF47849"/>
    <w:rsid w:val="6C507FC1"/>
    <w:rsid w:val="6C621AA2"/>
    <w:rsid w:val="6C656783"/>
    <w:rsid w:val="6C833BE9"/>
    <w:rsid w:val="6C895281"/>
    <w:rsid w:val="6CAE4CE7"/>
    <w:rsid w:val="6CEA3DAE"/>
    <w:rsid w:val="6CEF1588"/>
    <w:rsid w:val="6CF42D21"/>
    <w:rsid w:val="6CFC3CA5"/>
    <w:rsid w:val="6D83764B"/>
    <w:rsid w:val="6D8D6129"/>
    <w:rsid w:val="6D9D2782"/>
    <w:rsid w:val="6DAD31F1"/>
    <w:rsid w:val="6DC02F24"/>
    <w:rsid w:val="6E14501E"/>
    <w:rsid w:val="6E376434"/>
    <w:rsid w:val="6E3A4A84"/>
    <w:rsid w:val="6E9F0D8B"/>
    <w:rsid w:val="6EB536B8"/>
    <w:rsid w:val="6EDC5B3C"/>
    <w:rsid w:val="6EF235B1"/>
    <w:rsid w:val="6F084B83"/>
    <w:rsid w:val="6F157D71"/>
    <w:rsid w:val="6F392F8E"/>
    <w:rsid w:val="6F5B73A8"/>
    <w:rsid w:val="6FB1521A"/>
    <w:rsid w:val="6FC93C8E"/>
    <w:rsid w:val="6FED5B27"/>
    <w:rsid w:val="6FF763F1"/>
    <w:rsid w:val="70530BB4"/>
    <w:rsid w:val="705A6CB4"/>
    <w:rsid w:val="7073427E"/>
    <w:rsid w:val="70840239"/>
    <w:rsid w:val="709D085A"/>
    <w:rsid w:val="70A266F9"/>
    <w:rsid w:val="70C24321"/>
    <w:rsid w:val="713F6856"/>
    <w:rsid w:val="71456753"/>
    <w:rsid w:val="714F4CEB"/>
    <w:rsid w:val="71DA49BF"/>
    <w:rsid w:val="71F11CB8"/>
    <w:rsid w:val="720E6ADB"/>
    <w:rsid w:val="72127AC6"/>
    <w:rsid w:val="722717C4"/>
    <w:rsid w:val="72843689"/>
    <w:rsid w:val="72A51148"/>
    <w:rsid w:val="73522870"/>
    <w:rsid w:val="73560972"/>
    <w:rsid w:val="73641E2E"/>
    <w:rsid w:val="73A02EE5"/>
    <w:rsid w:val="73B47087"/>
    <w:rsid w:val="73E07E7C"/>
    <w:rsid w:val="73EB2787"/>
    <w:rsid w:val="742C1313"/>
    <w:rsid w:val="74340630"/>
    <w:rsid w:val="744877CF"/>
    <w:rsid w:val="74566682"/>
    <w:rsid w:val="747551C3"/>
    <w:rsid w:val="748A428C"/>
    <w:rsid w:val="7499584E"/>
    <w:rsid w:val="749E3893"/>
    <w:rsid w:val="74A30FDF"/>
    <w:rsid w:val="74A73AF6"/>
    <w:rsid w:val="74B9775F"/>
    <w:rsid w:val="74E7523A"/>
    <w:rsid w:val="750D2EF3"/>
    <w:rsid w:val="75311A84"/>
    <w:rsid w:val="75412D70"/>
    <w:rsid w:val="75461F61"/>
    <w:rsid w:val="754E2671"/>
    <w:rsid w:val="755060BC"/>
    <w:rsid w:val="755812BE"/>
    <w:rsid w:val="75622B13"/>
    <w:rsid w:val="756B7C19"/>
    <w:rsid w:val="757215F4"/>
    <w:rsid w:val="75763252"/>
    <w:rsid w:val="75A849CA"/>
    <w:rsid w:val="75A924F0"/>
    <w:rsid w:val="75AC0C36"/>
    <w:rsid w:val="75AF5942"/>
    <w:rsid w:val="75B8261A"/>
    <w:rsid w:val="75D91695"/>
    <w:rsid w:val="75DF2C54"/>
    <w:rsid w:val="76283D5C"/>
    <w:rsid w:val="763E532E"/>
    <w:rsid w:val="764010A6"/>
    <w:rsid w:val="765B1A3C"/>
    <w:rsid w:val="765E777E"/>
    <w:rsid w:val="76897EF9"/>
    <w:rsid w:val="76B85629"/>
    <w:rsid w:val="76B92C06"/>
    <w:rsid w:val="775961CA"/>
    <w:rsid w:val="777059BB"/>
    <w:rsid w:val="779D3DB3"/>
    <w:rsid w:val="78351D68"/>
    <w:rsid w:val="783E2633"/>
    <w:rsid w:val="78746DE5"/>
    <w:rsid w:val="788E0664"/>
    <w:rsid w:val="788E60F2"/>
    <w:rsid w:val="78DE0702"/>
    <w:rsid w:val="78E81581"/>
    <w:rsid w:val="78F10436"/>
    <w:rsid w:val="78F46178"/>
    <w:rsid w:val="79140E10"/>
    <w:rsid w:val="79277638"/>
    <w:rsid w:val="7935508A"/>
    <w:rsid w:val="79494343"/>
    <w:rsid w:val="794D7838"/>
    <w:rsid w:val="79752E15"/>
    <w:rsid w:val="79B02EFD"/>
    <w:rsid w:val="79B83DEA"/>
    <w:rsid w:val="79BC4EE7"/>
    <w:rsid w:val="79C1605A"/>
    <w:rsid w:val="79D044EF"/>
    <w:rsid w:val="79F44B96"/>
    <w:rsid w:val="79F77CCE"/>
    <w:rsid w:val="7A2815E4"/>
    <w:rsid w:val="7A4D2E98"/>
    <w:rsid w:val="7A4E3666"/>
    <w:rsid w:val="7A7B26AD"/>
    <w:rsid w:val="7A827C83"/>
    <w:rsid w:val="7AAF1560"/>
    <w:rsid w:val="7AF75AAB"/>
    <w:rsid w:val="7B25086A"/>
    <w:rsid w:val="7B315461"/>
    <w:rsid w:val="7B665C02"/>
    <w:rsid w:val="7B713AB0"/>
    <w:rsid w:val="7BD657F1"/>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D84C47"/>
    <w:rsid w:val="7DF60F6D"/>
    <w:rsid w:val="7E0B1F99"/>
    <w:rsid w:val="7E0C7AC0"/>
    <w:rsid w:val="7E2A2CD1"/>
    <w:rsid w:val="7E2E7A36"/>
    <w:rsid w:val="7E5415FF"/>
    <w:rsid w:val="7E5A082B"/>
    <w:rsid w:val="7E621509"/>
    <w:rsid w:val="7E665422"/>
    <w:rsid w:val="7EB037B2"/>
    <w:rsid w:val="7EE402C9"/>
    <w:rsid w:val="7F1B620C"/>
    <w:rsid w:val="7F9D27D1"/>
    <w:rsid w:val="7FC03F7A"/>
    <w:rsid w:val="7FD43EA5"/>
    <w:rsid w:val="7FE36CF0"/>
    <w:rsid w:val="7FF151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autoRedefine/>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autoRedefine/>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autoRedefine/>
    <w:qFormat/>
    <w:uiPriority w:val="0"/>
    <w:pPr>
      <w:keepNext/>
      <w:keepLines/>
      <w:spacing w:before="240" w:after="64" w:line="320" w:lineRule="auto"/>
      <w:outlineLvl w:val="6"/>
    </w:pPr>
    <w:rPr>
      <w:b/>
      <w:bCs/>
      <w:kern w:val="0"/>
      <w:sz w:val="24"/>
    </w:rPr>
  </w:style>
  <w:style w:type="paragraph" w:styleId="9">
    <w:name w:val="heading 8"/>
    <w:basedOn w:val="1"/>
    <w:next w:val="1"/>
    <w:link w:val="149"/>
    <w:autoRedefine/>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style>
  <w:style w:type="paragraph" w:styleId="12">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9"/>
    <w:autoRedefine/>
    <w:qFormat/>
    <w:uiPriority w:val="0"/>
    <w:pPr>
      <w:ind w:firstLine="420"/>
    </w:pPr>
    <w:rPr>
      <w:kern w:val="0"/>
      <w:sz w:val="20"/>
      <w:szCs w:val="20"/>
    </w:rPr>
  </w:style>
  <w:style w:type="paragraph" w:styleId="14">
    <w:name w:val="caption"/>
    <w:basedOn w:val="1"/>
    <w:next w:val="1"/>
    <w:autoRedefine/>
    <w:qFormat/>
    <w:uiPriority w:val="0"/>
    <w:pPr>
      <w:spacing w:before="152" w:after="160"/>
    </w:pPr>
    <w:rPr>
      <w:rFonts w:ascii="Arial" w:hAnsi="Arial" w:eastAsia="黑体" w:cs="Arial"/>
      <w:sz w:val="20"/>
      <w:szCs w:val="20"/>
    </w:rPr>
  </w:style>
  <w:style w:type="paragraph" w:styleId="15">
    <w:name w:val="List Bullet"/>
    <w:basedOn w:val="1"/>
    <w:autoRedefine/>
    <w:qFormat/>
    <w:uiPriority w:val="0"/>
    <w:pPr>
      <w:spacing w:line="360" w:lineRule="auto"/>
      <w:jc w:val="left"/>
    </w:pPr>
    <w:rPr>
      <w:rFonts w:ascii="宋体"/>
      <w:b/>
      <w:sz w:val="24"/>
    </w:rPr>
  </w:style>
  <w:style w:type="paragraph" w:styleId="16">
    <w:name w:val="Document Map"/>
    <w:basedOn w:val="1"/>
    <w:link w:val="144"/>
    <w:autoRedefine/>
    <w:qFormat/>
    <w:uiPriority w:val="99"/>
    <w:pPr>
      <w:shd w:val="clear" w:color="auto" w:fill="000080"/>
    </w:pPr>
    <w:rPr>
      <w:kern w:val="0"/>
      <w:sz w:val="20"/>
    </w:rPr>
  </w:style>
  <w:style w:type="paragraph" w:styleId="17">
    <w:name w:val="toa heading"/>
    <w:basedOn w:val="1"/>
    <w:next w:val="1"/>
    <w:link w:val="174"/>
    <w:autoRedefine/>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autoRedefine/>
    <w:qFormat/>
    <w:uiPriority w:val="0"/>
    <w:pPr>
      <w:jc w:val="left"/>
    </w:pPr>
    <w:rPr>
      <w:kern w:val="0"/>
      <w:sz w:val="20"/>
    </w:rPr>
  </w:style>
  <w:style w:type="paragraph" w:styleId="19">
    <w:name w:val="Body Text 3"/>
    <w:basedOn w:val="1"/>
    <w:link w:val="114"/>
    <w:autoRedefine/>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22"/>
    <w:autoRedefine/>
    <w:qFormat/>
    <w:uiPriority w:val="0"/>
    <w:pPr>
      <w:spacing w:after="120"/>
    </w:pPr>
    <w:rPr>
      <w:kern w:val="0"/>
      <w:sz w:val="28"/>
    </w:rPr>
  </w:style>
  <w:style w:type="paragraph" w:styleId="21">
    <w:name w:val="Body Text First Indent"/>
    <w:basedOn w:val="20"/>
    <w:next w:val="22"/>
    <w:link w:val="166"/>
    <w:autoRedefine/>
    <w:qFormat/>
    <w:uiPriority w:val="0"/>
    <w:pPr>
      <w:spacing w:beforeLines="50" w:afterLines="50" w:line="360" w:lineRule="auto"/>
      <w:ind w:firstLine="480" w:firstLineChars="200"/>
    </w:pPr>
    <w:rPr>
      <w:sz w:val="24"/>
    </w:rPr>
  </w:style>
  <w:style w:type="paragraph" w:styleId="22">
    <w:name w:val="toc 6"/>
    <w:basedOn w:val="1"/>
    <w:next w:val="1"/>
    <w:autoRedefine/>
    <w:unhideWhenUsed/>
    <w:qFormat/>
    <w:uiPriority w:val="39"/>
    <w:pPr>
      <w:ind w:left="2100" w:leftChars="1000"/>
    </w:pPr>
    <w:rPr>
      <w:rFonts w:ascii="Calibri" w:hAnsi="Calibri"/>
      <w:szCs w:val="22"/>
    </w:rPr>
  </w:style>
  <w:style w:type="paragraph" w:styleId="23">
    <w:name w:val="Body Text Indent"/>
    <w:basedOn w:val="1"/>
    <w:next w:val="1"/>
    <w:link w:val="193"/>
    <w:autoRedefine/>
    <w:qFormat/>
    <w:uiPriority w:val="0"/>
    <w:pPr>
      <w:spacing w:line="200" w:lineRule="exact"/>
      <w:ind w:firstLine="301"/>
    </w:pPr>
    <w:rPr>
      <w:rFonts w:ascii="宋体" w:hAnsi="Courier New"/>
      <w:spacing w:val="-4"/>
      <w:kern w:val="0"/>
      <w:sz w:val="18"/>
      <w:szCs w:val="20"/>
    </w:rPr>
  </w:style>
  <w:style w:type="paragraph" w:styleId="24">
    <w:name w:val="List Number 3"/>
    <w:basedOn w:val="1"/>
    <w:autoRedefine/>
    <w:qFormat/>
    <w:uiPriority w:val="0"/>
    <w:pPr>
      <w:tabs>
        <w:tab w:val="left" w:pos="1200"/>
      </w:tabs>
      <w:ind w:left="1200" w:hanging="360"/>
    </w:pPr>
  </w:style>
  <w:style w:type="paragraph" w:styleId="25">
    <w:name w:val="List 2"/>
    <w:basedOn w:val="1"/>
    <w:autoRedefine/>
    <w:qFormat/>
    <w:uiPriority w:val="0"/>
    <w:pPr>
      <w:ind w:left="100" w:leftChars="200" w:hanging="200" w:hangingChars="200"/>
    </w:pPr>
    <w:rPr>
      <w:sz w:val="28"/>
    </w:rPr>
  </w:style>
  <w:style w:type="paragraph" w:styleId="26">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autoRedefine/>
    <w:semiHidden/>
    <w:qFormat/>
    <w:uiPriority w:val="0"/>
    <w:pPr>
      <w:ind w:left="600" w:leftChars="600"/>
    </w:pPr>
  </w:style>
  <w:style w:type="paragraph" w:styleId="29">
    <w:name w:val="toc 5"/>
    <w:basedOn w:val="1"/>
    <w:next w:val="1"/>
    <w:autoRedefine/>
    <w:qFormat/>
    <w:uiPriority w:val="39"/>
    <w:pPr>
      <w:ind w:left="1680" w:leftChars="800"/>
    </w:pPr>
  </w:style>
  <w:style w:type="paragraph" w:styleId="30">
    <w:name w:val="toc 3"/>
    <w:basedOn w:val="1"/>
    <w:next w:val="1"/>
    <w:autoRedefine/>
    <w:qFormat/>
    <w:uiPriority w:val="39"/>
    <w:pPr>
      <w:ind w:left="840" w:leftChars="400"/>
    </w:pPr>
  </w:style>
  <w:style w:type="paragraph" w:styleId="31">
    <w:name w:val="Plain Text"/>
    <w:basedOn w:val="1"/>
    <w:next w:val="32"/>
    <w:link w:val="181"/>
    <w:autoRedefine/>
    <w:qFormat/>
    <w:uiPriority w:val="0"/>
    <w:pPr>
      <w:spacing w:beforeLines="50" w:afterLines="50" w:line="400" w:lineRule="exact"/>
    </w:pPr>
    <w:rPr>
      <w:rFonts w:ascii="宋体" w:hAnsi="Courier New"/>
      <w:kern w:val="0"/>
      <w:sz w:val="24"/>
    </w:rPr>
  </w:style>
  <w:style w:type="paragraph" w:styleId="32">
    <w:name w:val="Date"/>
    <w:basedOn w:val="1"/>
    <w:next w:val="1"/>
    <w:link w:val="177"/>
    <w:autoRedefine/>
    <w:qFormat/>
    <w:uiPriority w:val="0"/>
    <w:pPr>
      <w:ind w:left="2500" w:leftChars="2500"/>
    </w:pPr>
    <w:rPr>
      <w:rFonts w:eastAsia="楷体_GB2312"/>
      <w:kern w:val="0"/>
      <w:sz w:val="32"/>
      <w:szCs w:val="20"/>
    </w:rPr>
  </w:style>
  <w:style w:type="paragraph" w:styleId="33">
    <w:name w:val="toc 8"/>
    <w:basedOn w:val="1"/>
    <w:next w:val="1"/>
    <w:autoRedefine/>
    <w:unhideWhenUsed/>
    <w:qFormat/>
    <w:uiPriority w:val="39"/>
    <w:pPr>
      <w:ind w:left="2940" w:leftChars="1400"/>
    </w:pPr>
    <w:rPr>
      <w:rFonts w:ascii="Calibri" w:hAnsi="Calibri"/>
      <w:szCs w:val="22"/>
    </w:rPr>
  </w:style>
  <w:style w:type="paragraph" w:styleId="34">
    <w:name w:val="Body Text Indent 2"/>
    <w:basedOn w:val="1"/>
    <w:link w:val="187"/>
    <w:autoRedefine/>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9"/>
    <w:autoRedefine/>
    <w:qFormat/>
    <w:uiPriority w:val="99"/>
    <w:rPr>
      <w:kern w:val="0"/>
      <w:sz w:val="18"/>
      <w:szCs w:val="18"/>
    </w:rPr>
  </w:style>
  <w:style w:type="paragraph" w:styleId="36">
    <w:name w:val="footer"/>
    <w:basedOn w:val="1"/>
    <w:link w:val="176"/>
    <w:autoRedefine/>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0"/>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autoRedefine/>
    <w:qFormat/>
    <w:uiPriority w:val="39"/>
  </w:style>
  <w:style w:type="paragraph" w:styleId="39">
    <w:name w:val="toc 4"/>
    <w:basedOn w:val="1"/>
    <w:next w:val="1"/>
    <w:autoRedefine/>
    <w:unhideWhenUsed/>
    <w:qFormat/>
    <w:uiPriority w:val="39"/>
    <w:pPr>
      <w:ind w:left="1260" w:leftChars="600"/>
    </w:pPr>
    <w:rPr>
      <w:rFonts w:ascii="Calibri" w:hAnsi="Calibri"/>
      <w:szCs w:val="22"/>
    </w:rPr>
  </w:style>
  <w:style w:type="paragraph" w:styleId="40">
    <w:name w:val="List"/>
    <w:basedOn w:val="1"/>
    <w:autoRedefine/>
    <w:qFormat/>
    <w:uiPriority w:val="0"/>
    <w:pPr>
      <w:ind w:left="200" w:hanging="200" w:hangingChars="200"/>
    </w:pPr>
    <w:rPr>
      <w:sz w:val="28"/>
    </w:rPr>
  </w:style>
  <w:style w:type="paragraph" w:styleId="41">
    <w:name w:val="Body Text Indent 3"/>
    <w:basedOn w:val="1"/>
    <w:link w:val="96"/>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autoRedefine/>
    <w:qFormat/>
    <w:uiPriority w:val="39"/>
    <w:pPr>
      <w:ind w:left="420" w:leftChars="200"/>
    </w:pPr>
  </w:style>
  <w:style w:type="paragraph" w:styleId="44">
    <w:name w:val="toc 9"/>
    <w:basedOn w:val="1"/>
    <w:next w:val="1"/>
    <w:autoRedefine/>
    <w:unhideWhenUsed/>
    <w:qFormat/>
    <w:uiPriority w:val="39"/>
    <w:pPr>
      <w:ind w:left="3360" w:leftChars="1600"/>
    </w:pPr>
    <w:rPr>
      <w:rFonts w:ascii="Calibri" w:hAnsi="Calibri"/>
      <w:szCs w:val="22"/>
    </w:rPr>
  </w:style>
  <w:style w:type="paragraph" w:styleId="45">
    <w:name w:val="Body Text 2"/>
    <w:basedOn w:val="1"/>
    <w:link w:val="219"/>
    <w:autoRedefine/>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9"/>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138"/>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40"/>
    <w:autoRedefine/>
    <w:qFormat/>
    <w:uiPriority w:val="99"/>
    <w:rPr>
      <w:b/>
      <w:bCs/>
    </w:rPr>
  </w:style>
  <w:style w:type="paragraph" w:styleId="50">
    <w:name w:val="Body Text First Indent 2"/>
    <w:basedOn w:val="23"/>
    <w:autoRedefine/>
    <w:unhideWhenUsed/>
    <w:qFormat/>
    <w:uiPriority w:val="99"/>
    <w:pPr>
      <w:ind w:firstLine="420"/>
      <w:jc w:val="left"/>
    </w:pPr>
    <w:rPr>
      <w:rFonts w:ascii="Times New Roman" w:hAnsi="Times New Roman"/>
      <w:sz w:val="24"/>
    </w:rPr>
  </w:style>
  <w:style w:type="table" w:styleId="52">
    <w:name w:val="Table Grid"/>
    <w:basedOn w:val="5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autoRedefine/>
    <w:qFormat/>
    <w:uiPriority w:val="0"/>
    <w:rPr>
      <w:b/>
      <w:bCs/>
      <w:color w:val="000000"/>
    </w:rPr>
  </w:style>
  <w:style w:type="character" w:styleId="55">
    <w:name w:val="page number"/>
    <w:autoRedefine/>
    <w:qFormat/>
    <w:uiPriority w:val="0"/>
  </w:style>
  <w:style w:type="character" w:styleId="56">
    <w:name w:val="FollowedHyperlink"/>
    <w:basedOn w:val="53"/>
    <w:autoRedefine/>
    <w:qFormat/>
    <w:uiPriority w:val="99"/>
    <w:rPr>
      <w:color w:val="000000"/>
      <w:spacing w:val="21"/>
      <w:u w:val="none"/>
    </w:rPr>
  </w:style>
  <w:style w:type="character" w:styleId="57">
    <w:name w:val="Emphasis"/>
    <w:autoRedefine/>
    <w:qFormat/>
    <w:uiPriority w:val="0"/>
  </w:style>
  <w:style w:type="character" w:styleId="58">
    <w:name w:val="Hyperlink"/>
    <w:basedOn w:val="53"/>
    <w:autoRedefine/>
    <w:qFormat/>
    <w:uiPriority w:val="99"/>
    <w:rPr>
      <w:color w:val="000000"/>
      <w:spacing w:val="21"/>
      <w:u w:val="none"/>
    </w:rPr>
  </w:style>
  <w:style w:type="character" w:styleId="59">
    <w:name w:val="annotation reference"/>
    <w:autoRedefin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表格文字"/>
    <w:basedOn w:val="62"/>
    <w:next w:val="20"/>
    <w:autoRedefine/>
    <w:qFormat/>
    <w:uiPriority w:val="0"/>
    <w:pPr>
      <w:autoSpaceDE w:val="0"/>
      <w:autoSpaceDN w:val="0"/>
      <w:adjustRightInd w:val="0"/>
      <w:spacing w:line="420" w:lineRule="atLeast"/>
      <w:textAlignment w:val="baseline"/>
    </w:pPr>
    <w:rPr>
      <w:color w:val="000000"/>
      <w:kern w:val="0"/>
    </w:rPr>
  </w:style>
  <w:style w:type="paragraph" w:customStyle="1" w:styleId="62">
    <w:name w:val="表格文字（两侧对齐）"/>
    <w:basedOn w:val="1"/>
    <w:qFormat/>
    <w:uiPriority w:val="0"/>
    <w:pPr>
      <w:autoSpaceDE/>
      <w:autoSpaceDN/>
      <w:adjustRightInd/>
      <w:snapToGrid w:val="0"/>
    </w:pPr>
    <w:rPr>
      <w:color w:val="auto"/>
      <w:sz w:val="20"/>
      <w:szCs w:val="24"/>
    </w:rPr>
  </w:style>
  <w:style w:type="paragraph" w:customStyle="1" w:styleId="63">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autoRedefine/>
    <w:qFormat/>
    <w:uiPriority w:val="0"/>
    <w:pPr>
      <w:ind w:firstLine="420" w:firstLineChars="200"/>
    </w:pPr>
  </w:style>
  <w:style w:type="paragraph" w:customStyle="1" w:styleId="65">
    <w:name w:val="[Normal]"/>
    <w:autoRedefine/>
    <w:qFormat/>
    <w:uiPriority w:val="0"/>
    <w:rPr>
      <w:rFonts w:ascii="宋体" w:hAnsi="宋体" w:eastAsia="宋体" w:cs="Times New Roman"/>
      <w:sz w:val="24"/>
      <w:szCs w:val="22"/>
      <w:lang w:val="zh-CN" w:eastAsia="zh-CN" w:bidi="ar-SA"/>
    </w:rPr>
  </w:style>
  <w:style w:type="character" w:customStyle="1" w:styleId="66">
    <w:name w:val="标题 1 字符"/>
    <w:autoRedefine/>
    <w:qFormat/>
    <w:uiPriority w:val="9"/>
    <w:rPr>
      <w:b/>
      <w:bCs/>
      <w:kern w:val="44"/>
      <w:sz w:val="30"/>
      <w:szCs w:val="44"/>
    </w:rPr>
  </w:style>
  <w:style w:type="character" w:customStyle="1" w:styleId="67">
    <w:name w:val="页眉 Char1"/>
    <w:autoRedefine/>
    <w:semiHidden/>
    <w:qFormat/>
    <w:uiPriority w:val="99"/>
    <w:rPr>
      <w:rFonts w:ascii="Times New Roman" w:hAnsi="Times New Roman" w:eastAsia="宋体" w:cs="Times New Roman"/>
      <w:sz w:val="18"/>
      <w:szCs w:val="18"/>
    </w:rPr>
  </w:style>
  <w:style w:type="character" w:customStyle="1" w:styleId="68">
    <w:name w:val="H2 Char"/>
    <w:autoRedefine/>
    <w:qFormat/>
    <w:uiPriority w:val="0"/>
    <w:rPr>
      <w:rFonts w:ascii="Cambria" w:hAnsi="Cambria" w:eastAsia="宋体" w:cs="Times New Roman"/>
      <w:b/>
      <w:bCs/>
      <w:sz w:val="32"/>
      <w:szCs w:val="32"/>
    </w:rPr>
  </w:style>
  <w:style w:type="character" w:customStyle="1" w:styleId="69">
    <w:name w:val="* table text Char"/>
    <w:link w:val="70"/>
    <w:autoRedefine/>
    <w:qFormat/>
    <w:locked/>
    <w:uiPriority w:val="0"/>
    <w:rPr>
      <w:rFonts w:ascii="Arial" w:hAnsi="Arial" w:eastAsia="宋体"/>
      <w:color w:val="333333"/>
      <w:sz w:val="18"/>
      <w:szCs w:val="18"/>
      <w:lang w:bidi="ar-SA"/>
    </w:rPr>
  </w:style>
  <w:style w:type="paragraph" w:customStyle="1" w:styleId="70">
    <w:name w:val="* table text"/>
    <w:basedOn w:val="1"/>
    <w:link w:val="69"/>
    <w:autoRedefine/>
    <w:qFormat/>
    <w:uiPriority w:val="0"/>
    <w:pPr>
      <w:widowControl/>
    </w:pPr>
    <w:rPr>
      <w:rFonts w:ascii="Arial" w:hAnsi="Arial"/>
      <w:color w:val="333333"/>
      <w:kern w:val="0"/>
      <w:sz w:val="18"/>
      <w:szCs w:val="18"/>
    </w:rPr>
  </w:style>
  <w:style w:type="character" w:customStyle="1" w:styleId="71">
    <w:name w:val="批注文字 Char"/>
    <w:link w:val="18"/>
    <w:autoRedefine/>
    <w:qFormat/>
    <w:uiPriority w:val="0"/>
    <w:rPr>
      <w:szCs w:val="24"/>
    </w:rPr>
  </w:style>
  <w:style w:type="character" w:customStyle="1" w:styleId="72">
    <w:name w:val="Char Char12"/>
    <w:autoRedefine/>
    <w:qFormat/>
    <w:uiPriority w:val="0"/>
    <w:rPr>
      <w:rFonts w:ascii="仿宋_GB2312" w:hAnsi="宋体" w:eastAsia="仿宋_GB2312"/>
      <w:color w:val="000000"/>
      <w:kern w:val="2"/>
      <w:sz w:val="24"/>
      <w:szCs w:val="24"/>
    </w:rPr>
  </w:style>
  <w:style w:type="character" w:customStyle="1" w:styleId="73">
    <w:name w:val="Char Char23"/>
    <w:autoRedefine/>
    <w:qFormat/>
    <w:uiPriority w:val="0"/>
    <w:rPr>
      <w:b/>
      <w:bCs/>
      <w:kern w:val="2"/>
      <w:sz w:val="28"/>
      <w:szCs w:val="28"/>
    </w:rPr>
  </w:style>
  <w:style w:type="character" w:customStyle="1" w:styleId="74">
    <w:name w:val="Char Char27"/>
    <w:autoRedefine/>
    <w:qFormat/>
    <w:uiPriority w:val="0"/>
    <w:rPr>
      <w:b/>
      <w:bCs/>
      <w:kern w:val="44"/>
      <w:sz w:val="44"/>
      <w:szCs w:val="44"/>
    </w:rPr>
  </w:style>
  <w:style w:type="character" w:customStyle="1" w:styleId="75">
    <w:name w:val="Char Char1111"/>
    <w:autoRedefine/>
    <w:qFormat/>
    <w:uiPriority w:val="0"/>
    <w:rPr>
      <w:kern w:val="2"/>
      <w:sz w:val="28"/>
      <w:szCs w:val="24"/>
    </w:rPr>
  </w:style>
  <w:style w:type="character" w:customStyle="1" w:styleId="76">
    <w:name w:val="正文文本 字符"/>
    <w:autoRedefine/>
    <w:qFormat/>
    <w:uiPriority w:val="0"/>
    <w:rPr>
      <w:rFonts w:ascii="Times New Roman" w:hAnsi="Times New Roman" w:eastAsia="宋体" w:cs="Times New Roman"/>
      <w:kern w:val="0"/>
      <w:sz w:val="28"/>
      <w:szCs w:val="24"/>
    </w:rPr>
  </w:style>
  <w:style w:type="character" w:customStyle="1" w:styleId="77">
    <w:name w:val="无格式标题 Char"/>
    <w:link w:val="78"/>
    <w:autoRedefine/>
    <w:qFormat/>
    <w:uiPriority w:val="0"/>
    <w:rPr>
      <w:rFonts w:ascii="微软雅黑" w:hAnsi="微软雅黑" w:eastAsia="微软雅黑"/>
      <w:b/>
      <w:szCs w:val="24"/>
      <w:lang w:bidi="ar-SA"/>
    </w:rPr>
  </w:style>
  <w:style w:type="paragraph" w:customStyle="1" w:styleId="78">
    <w:name w:val="无格式标题"/>
    <w:basedOn w:val="1"/>
    <w:link w:val="77"/>
    <w:autoRedefine/>
    <w:qFormat/>
    <w:uiPriority w:val="0"/>
    <w:pPr>
      <w:spacing w:line="360" w:lineRule="auto"/>
    </w:pPr>
    <w:rPr>
      <w:rFonts w:ascii="微软雅黑" w:hAnsi="微软雅黑" w:eastAsia="微软雅黑"/>
      <w:b/>
      <w:kern w:val="0"/>
      <w:sz w:val="20"/>
    </w:rPr>
  </w:style>
  <w:style w:type="character" w:customStyle="1" w:styleId="79">
    <w:name w:val="普通(网站) Char"/>
    <w:link w:val="46"/>
    <w:autoRedefine/>
    <w:qFormat/>
    <w:uiPriority w:val="0"/>
    <w:rPr>
      <w:rFonts w:ascii="宋体" w:hAnsi="宋体"/>
      <w:sz w:val="24"/>
      <w:szCs w:val="24"/>
    </w:rPr>
  </w:style>
  <w:style w:type="character" w:customStyle="1" w:styleId="80">
    <w:name w:val="标题 3 Char1"/>
    <w:autoRedefine/>
    <w:qFormat/>
    <w:uiPriority w:val="0"/>
    <w:rPr>
      <w:rFonts w:ascii="Times New Roman" w:hAnsi="Times New Roman" w:eastAsia="宋体" w:cs="Times New Roman"/>
      <w:b/>
      <w:bCs/>
      <w:sz w:val="32"/>
      <w:szCs w:val="32"/>
    </w:rPr>
  </w:style>
  <w:style w:type="character" w:customStyle="1" w:styleId="81">
    <w:name w:val="Heading 9 Char"/>
    <w:autoRedefine/>
    <w:semiHidden/>
    <w:qFormat/>
    <w:locked/>
    <w:uiPriority w:val="0"/>
    <w:rPr>
      <w:rFonts w:ascii="Cambria" w:hAnsi="Cambria" w:eastAsia="宋体" w:cs="Times New Roman"/>
      <w:kern w:val="0"/>
      <w:sz w:val="21"/>
      <w:szCs w:val="21"/>
    </w:rPr>
  </w:style>
  <w:style w:type="character" w:customStyle="1" w:styleId="82">
    <w:name w:val="中等深浅网格 2 字符"/>
    <w:link w:val="83"/>
    <w:autoRedefine/>
    <w:qFormat/>
    <w:uiPriority w:val="1"/>
    <w:rPr>
      <w:kern w:val="2"/>
      <w:sz w:val="21"/>
      <w:szCs w:val="24"/>
      <w:lang w:val="en-US" w:eastAsia="zh-CN" w:bidi="ar-SA"/>
    </w:rPr>
  </w:style>
  <w:style w:type="paragraph" w:customStyle="1" w:styleId="83">
    <w:name w:val="中等深浅网格 21"/>
    <w:link w:val="82"/>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autoRedefine/>
    <w:qFormat/>
    <w:uiPriority w:val="0"/>
    <w:rPr>
      <w:rFonts w:eastAsia="宋体"/>
      <w:szCs w:val="21"/>
      <w:lang w:bidi="ar-SA"/>
    </w:rPr>
  </w:style>
  <w:style w:type="paragraph" w:customStyle="1" w:styleId="85">
    <w:name w:val="段落文本"/>
    <w:basedOn w:val="1"/>
    <w:link w:val="84"/>
    <w:autoRedefine/>
    <w:qFormat/>
    <w:uiPriority w:val="0"/>
    <w:pPr>
      <w:spacing w:line="360" w:lineRule="auto"/>
      <w:ind w:firstLine="420"/>
    </w:pPr>
    <w:rPr>
      <w:kern w:val="0"/>
      <w:sz w:val="20"/>
      <w:szCs w:val="21"/>
    </w:rPr>
  </w:style>
  <w:style w:type="character" w:customStyle="1" w:styleId="86">
    <w:name w:val="批注文字 Char1"/>
    <w:autoRedefine/>
    <w:semiHidden/>
    <w:qFormat/>
    <w:uiPriority w:val="99"/>
    <w:rPr>
      <w:rFonts w:ascii="Times New Roman" w:hAnsi="Times New Roman" w:eastAsia="宋体" w:cs="Times New Roman"/>
      <w:szCs w:val="24"/>
    </w:rPr>
  </w:style>
  <w:style w:type="character" w:customStyle="1" w:styleId="87">
    <w:name w:val="￥正文 Char Char"/>
    <w:autoRedefine/>
    <w:qFormat/>
    <w:uiPriority w:val="0"/>
    <w:rPr>
      <w:rFonts w:ascii="Calibri" w:hAnsi="Calibri"/>
      <w:sz w:val="24"/>
    </w:rPr>
  </w:style>
  <w:style w:type="character" w:customStyle="1" w:styleId="88">
    <w:name w:val="Char Char5"/>
    <w:autoRedefine/>
    <w:qFormat/>
    <w:uiPriority w:val="0"/>
    <w:rPr>
      <w:rFonts w:ascii="宋体" w:hAnsi="宋体"/>
      <w:sz w:val="24"/>
      <w:szCs w:val="24"/>
    </w:rPr>
  </w:style>
  <w:style w:type="character" w:customStyle="1" w:styleId="89">
    <w:name w:val="Heading 3 Char"/>
    <w:autoRedefine/>
    <w:semiHidden/>
    <w:qFormat/>
    <w:locked/>
    <w:uiPriority w:val="0"/>
    <w:rPr>
      <w:rFonts w:cs="Times New Roman"/>
      <w:b/>
      <w:bCs/>
      <w:kern w:val="0"/>
      <w:sz w:val="32"/>
      <w:szCs w:val="32"/>
    </w:rPr>
  </w:style>
  <w:style w:type="character" w:customStyle="1" w:styleId="90">
    <w:name w:val="Char Char21"/>
    <w:autoRedefine/>
    <w:qFormat/>
    <w:uiPriority w:val="0"/>
    <w:rPr>
      <w:b/>
      <w:bCs/>
      <w:kern w:val="2"/>
      <w:sz w:val="24"/>
      <w:szCs w:val="24"/>
    </w:rPr>
  </w:style>
  <w:style w:type="character" w:customStyle="1" w:styleId="91">
    <w:name w:val="正文样式 Char"/>
    <w:link w:val="92"/>
    <w:autoRedefine/>
    <w:qFormat/>
    <w:uiPriority w:val="0"/>
    <w:rPr>
      <w:rFonts w:ascii="宋体" w:hAnsi="Calibri" w:eastAsia="宋体" w:cs="宋体"/>
      <w:sz w:val="24"/>
      <w:szCs w:val="24"/>
      <w:lang w:val="zh-CN" w:eastAsia="en-US" w:bidi="he-IL"/>
    </w:rPr>
  </w:style>
  <w:style w:type="paragraph" w:customStyle="1" w:styleId="92">
    <w:name w:val="正文样式"/>
    <w:basedOn w:val="1"/>
    <w:link w:val="91"/>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autoRedefine/>
    <w:semiHidden/>
    <w:qFormat/>
    <w:locked/>
    <w:uiPriority w:val="0"/>
    <w:rPr>
      <w:rFonts w:ascii="Cambria" w:hAnsi="Cambria" w:eastAsia="宋体" w:cs="Times New Roman"/>
      <w:kern w:val="0"/>
      <w:sz w:val="24"/>
      <w:szCs w:val="24"/>
    </w:rPr>
  </w:style>
  <w:style w:type="character" w:customStyle="1" w:styleId="94">
    <w:name w:val="内容文本 Char"/>
    <w:link w:val="95"/>
    <w:autoRedefine/>
    <w:qFormat/>
    <w:uiPriority w:val="0"/>
    <w:rPr>
      <w:rFonts w:ascii="宋体" w:hAnsi="宋体" w:eastAsia="宋体"/>
      <w:kern w:val="2"/>
      <w:sz w:val="24"/>
      <w:szCs w:val="24"/>
      <w:lang w:bidi="ar-SA"/>
    </w:rPr>
  </w:style>
  <w:style w:type="paragraph" w:customStyle="1" w:styleId="95">
    <w:name w:val="内容文本"/>
    <w:basedOn w:val="1"/>
    <w:link w:val="94"/>
    <w:autoRedefine/>
    <w:qFormat/>
    <w:uiPriority w:val="0"/>
    <w:pPr>
      <w:spacing w:line="360" w:lineRule="auto"/>
      <w:ind w:firstLine="480" w:firstLineChars="200"/>
    </w:pPr>
    <w:rPr>
      <w:rFonts w:ascii="宋体" w:hAnsi="宋体"/>
      <w:sz w:val="24"/>
    </w:rPr>
  </w:style>
  <w:style w:type="character" w:customStyle="1" w:styleId="96">
    <w:name w:val="正文文本缩进 3 Char"/>
    <w:link w:val="41"/>
    <w:autoRedefine/>
    <w:qFormat/>
    <w:uiPriority w:val="0"/>
    <w:rPr>
      <w:rFonts w:ascii="仿宋_GB2312" w:hAnsi="宋体" w:eastAsia="仿宋_GB2312"/>
      <w:color w:val="000000"/>
      <w:sz w:val="24"/>
      <w:szCs w:val="24"/>
    </w:rPr>
  </w:style>
  <w:style w:type="character" w:customStyle="1" w:styleId="97">
    <w:name w:val="Char Char3"/>
    <w:autoRedefine/>
    <w:qFormat/>
    <w:uiPriority w:val="0"/>
    <w:rPr>
      <w:kern w:val="2"/>
      <w:sz w:val="24"/>
      <w:szCs w:val="24"/>
    </w:rPr>
  </w:style>
  <w:style w:type="character" w:customStyle="1" w:styleId="98">
    <w:name w:val="Char Char8"/>
    <w:autoRedefine/>
    <w:qFormat/>
    <w:uiPriority w:val="0"/>
    <w:rPr>
      <w:rFonts w:eastAsia="楷体_GB2312"/>
      <w:kern w:val="2"/>
      <w:sz w:val="32"/>
    </w:rPr>
  </w:style>
  <w:style w:type="character" w:customStyle="1" w:styleId="99">
    <w:name w:val="Char Char18"/>
    <w:autoRedefine/>
    <w:qFormat/>
    <w:uiPriority w:val="0"/>
    <w:rPr>
      <w:rFonts w:eastAsia="黑体"/>
      <w:sz w:val="18"/>
      <w:szCs w:val="18"/>
    </w:rPr>
  </w:style>
  <w:style w:type="character" w:customStyle="1" w:styleId="100">
    <w:name w:val="h Char"/>
    <w:autoRedefine/>
    <w:qFormat/>
    <w:uiPriority w:val="0"/>
    <w:rPr>
      <w:rFonts w:ascii="Times New Roman" w:hAnsi="Times New Roman" w:eastAsia="宋体" w:cs="Times New Roman"/>
      <w:sz w:val="18"/>
      <w:szCs w:val="18"/>
    </w:rPr>
  </w:style>
  <w:style w:type="character" w:customStyle="1" w:styleId="101">
    <w:name w:val="Heading 4 Char"/>
    <w:autoRedefine/>
    <w:qFormat/>
    <w:locked/>
    <w:uiPriority w:val="0"/>
    <w:rPr>
      <w:rFonts w:cs="Times New Roman"/>
      <w:b/>
      <w:sz w:val="21"/>
    </w:rPr>
  </w:style>
  <w:style w:type="character" w:customStyle="1" w:styleId="102">
    <w:name w:val="zhenwen14"/>
    <w:autoRedefine/>
    <w:qFormat/>
    <w:uiPriority w:val="0"/>
    <w:rPr>
      <w:color w:val="085994"/>
      <w:sz w:val="18"/>
      <w:szCs w:val="18"/>
    </w:rPr>
  </w:style>
  <w:style w:type="character" w:customStyle="1" w:styleId="103">
    <w:name w:val="中等深浅网格 1 - 强调文字颜色 2 Char"/>
    <w:link w:val="104"/>
    <w:autoRedefine/>
    <w:qFormat/>
    <w:uiPriority w:val="0"/>
    <w:rPr>
      <w:rFonts w:ascii="Calibri" w:hAnsi="Calibri" w:eastAsia="宋体"/>
      <w:sz w:val="24"/>
      <w:lang w:bidi="ar-SA"/>
    </w:rPr>
  </w:style>
  <w:style w:type="paragraph" w:customStyle="1" w:styleId="104">
    <w:name w:val="中等深浅网格 1 - 强调文字颜色 21"/>
    <w:basedOn w:val="1"/>
    <w:link w:val="103"/>
    <w:autoRedefine/>
    <w:qFormat/>
    <w:uiPriority w:val="0"/>
    <w:pPr>
      <w:spacing w:line="360" w:lineRule="auto"/>
      <w:ind w:firstLine="420" w:firstLineChars="200"/>
    </w:pPr>
    <w:rPr>
      <w:rFonts w:ascii="Calibri" w:hAnsi="Calibri"/>
      <w:kern w:val="0"/>
      <w:sz w:val="24"/>
      <w:szCs w:val="20"/>
    </w:rPr>
  </w:style>
  <w:style w:type="character" w:customStyle="1" w:styleId="105">
    <w:name w:val="标题 4 Char"/>
    <w:link w:val="5"/>
    <w:autoRedefine/>
    <w:qFormat/>
    <w:uiPriority w:val="0"/>
    <w:rPr>
      <w:rFonts w:ascii="Arial" w:hAnsi="Arial" w:eastAsia="黑体" w:cs="Times New Roman"/>
      <w:b/>
      <w:bCs/>
      <w:kern w:val="0"/>
      <w:sz w:val="28"/>
      <w:szCs w:val="28"/>
    </w:rPr>
  </w:style>
  <w:style w:type="character" w:customStyle="1" w:styleId="106">
    <w:name w:val="Char Char2"/>
    <w:autoRedefine/>
    <w:qFormat/>
    <w:uiPriority w:val="0"/>
    <w:rPr>
      <w:rFonts w:ascii="宋体" w:hAnsi="宋体"/>
      <w:color w:val="000000"/>
      <w:kern w:val="2"/>
      <w:sz w:val="24"/>
      <w:szCs w:val="24"/>
    </w:rPr>
  </w:style>
  <w:style w:type="character" w:customStyle="1" w:styleId="107">
    <w:name w:val="Char Char24"/>
    <w:autoRedefine/>
    <w:qFormat/>
    <w:uiPriority w:val="0"/>
    <w:rPr>
      <w:rFonts w:ascii="Arial" w:hAnsi="Arial" w:eastAsia="黑体"/>
      <w:b/>
      <w:bCs/>
      <w:kern w:val="2"/>
      <w:sz w:val="28"/>
      <w:szCs w:val="28"/>
    </w:rPr>
  </w:style>
  <w:style w:type="character" w:customStyle="1" w:styleId="108">
    <w:name w:val="样式 (中文) 放宋 小四号"/>
    <w:autoRedefine/>
    <w:qFormat/>
    <w:uiPriority w:val="0"/>
    <w:rPr>
      <w:rFonts w:eastAsia="仿宋_GB2312"/>
      <w:sz w:val="24"/>
    </w:rPr>
  </w:style>
  <w:style w:type="character" w:customStyle="1" w:styleId="109">
    <w:name w:val="日期 Char1"/>
    <w:autoRedefine/>
    <w:semiHidden/>
    <w:qFormat/>
    <w:uiPriority w:val="99"/>
    <w:rPr>
      <w:rFonts w:ascii="Times New Roman" w:hAnsi="Times New Roman" w:eastAsia="宋体" w:cs="Times New Roman"/>
      <w:szCs w:val="24"/>
    </w:rPr>
  </w:style>
  <w:style w:type="character" w:customStyle="1" w:styleId="110">
    <w:name w:val="font31"/>
    <w:autoRedefine/>
    <w:qFormat/>
    <w:uiPriority w:val="0"/>
    <w:rPr>
      <w:rFonts w:hint="default" w:ascii="Times New Roman" w:hAnsi="Times New Roman" w:cs="Times New Roman"/>
      <w:color w:val="000000"/>
      <w:sz w:val="20"/>
      <w:szCs w:val="20"/>
      <w:u w:val="none"/>
    </w:rPr>
  </w:style>
  <w:style w:type="character" w:customStyle="1" w:styleId="111">
    <w:name w:val="样式 加粗"/>
    <w:autoRedefine/>
    <w:qFormat/>
    <w:uiPriority w:val="0"/>
    <w:rPr>
      <w:rFonts w:eastAsia="仿宋_GB2312"/>
      <w:b/>
      <w:bCs/>
      <w:sz w:val="24"/>
    </w:rPr>
  </w:style>
  <w:style w:type="character" w:customStyle="1" w:styleId="112">
    <w:name w:val="常规 Char"/>
    <w:link w:val="113"/>
    <w:autoRedefine/>
    <w:qFormat/>
    <w:uiPriority w:val="0"/>
    <w:rPr>
      <w:rFonts w:eastAsia="宋体"/>
      <w:szCs w:val="21"/>
      <w:lang w:bidi="ar-SA"/>
    </w:rPr>
  </w:style>
  <w:style w:type="paragraph" w:customStyle="1" w:styleId="113">
    <w:name w:val="常规"/>
    <w:basedOn w:val="1"/>
    <w:link w:val="112"/>
    <w:autoRedefine/>
    <w:qFormat/>
    <w:uiPriority w:val="0"/>
    <w:pPr>
      <w:spacing w:beforeLines="100" w:afterLines="100"/>
      <w:ind w:left="1134"/>
    </w:pPr>
    <w:rPr>
      <w:kern w:val="0"/>
      <w:sz w:val="20"/>
      <w:szCs w:val="21"/>
    </w:rPr>
  </w:style>
  <w:style w:type="character" w:customStyle="1" w:styleId="114">
    <w:name w:val="正文文本 3 Char"/>
    <w:link w:val="19"/>
    <w:autoRedefine/>
    <w:qFormat/>
    <w:uiPriority w:val="0"/>
    <w:rPr>
      <w:rFonts w:hAnsi="宋体" w:eastAsia="仿宋_GB2312"/>
      <w:b/>
      <w:bCs/>
      <w:sz w:val="24"/>
    </w:rPr>
  </w:style>
  <w:style w:type="character" w:customStyle="1" w:styleId="115">
    <w:name w:val="普通 (Web) Char1"/>
    <w:autoRedefine/>
    <w:qFormat/>
    <w:locked/>
    <w:uiPriority w:val="0"/>
    <w:rPr>
      <w:rFonts w:ascii="宋体" w:hAnsi="宋体" w:eastAsia="宋体"/>
      <w:sz w:val="24"/>
      <w:szCs w:val="24"/>
      <w:lang w:val="en-US" w:eastAsia="zh-CN" w:bidi="ar-SA"/>
    </w:rPr>
  </w:style>
  <w:style w:type="character" w:customStyle="1" w:styleId="116">
    <w:name w:val="Heading 2 Char"/>
    <w:autoRedefine/>
    <w:semiHidden/>
    <w:qFormat/>
    <w:locked/>
    <w:uiPriority w:val="0"/>
    <w:rPr>
      <w:rFonts w:ascii="Cambria" w:hAnsi="Cambria" w:eastAsia="宋体" w:cs="Times New Roman"/>
      <w:b/>
      <w:bCs/>
      <w:kern w:val="0"/>
      <w:sz w:val="32"/>
      <w:szCs w:val="32"/>
    </w:rPr>
  </w:style>
  <w:style w:type="character" w:customStyle="1" w:styleId="117">
    <w:name w:val="Body Text Char"/>
    <w:autoRedefine/>
    <w:semiHidden/>
    <w:qFormat/>
    <w:locked/>
    <w:uiPriority w:val="0"/>
    <w:rPr>
      <w:rFonts w:cs="Times New Roman"/>
      <w:kern w:val="0"/>
      <w:sz w:val="21"/>
      <w:szCs w:val="21"/>
    </w:rPr>
  </w:style>
  <w:style w:type="character" w:customStyle="1" w:styleId="118">
    <w:name w:val="正文首行缩进1 Char"/>
    <w:autoRedefine/>
    <w:qFormat/>
    <w:uiPriority w:val="0"/>
    <w:rPr>
      <w:rFonts w:ascii="Arial" w:hAnsi="Arial" w:eastAsia="宋体"/>
      <w:sz w:val="24"/>
      <w:szCs w:val="21"/>
      <w:lang w:bidi="ar-SA"/>
    </w:rPr>
  </w:style>
  <w:style w:type="character" w:customStyle="1" w:styleId="119">
    <w:name w:val="正文缩进 Char"/>
    <w:link w:val="13"/>
    <w:autoRedefine/>
    <w:qFormat/>
    <w:uiPriority w:val="0"/>
    <w:rPr>
      <w:rFonts w:eastAsia="宋体"/>
    </w:rPr>
  </w:style>
  <w:style w:type="character" w:customStyle="1" w:styleId="120">
    <w:name w:val="标题 7 Char"/>
    <w:link w:val="8"/>
    <w:autoRedefine/>
    <w:qFormat/>
    <w:uiPriority w:val="0"/>
    <w:rPr>
      <w:rFonts w:ascii="Times New Roman" w:hAnsi="Times New Roman" w:eastAsia="宋体" w:cs="Times New Roman"/>
      <w:b/>
      <w:bCs/>
      <w:kern w:val="0"/>
      <w:sz w:val="24"/>
      <w:szCs w:val="24"/>
    </w:rPr>
  </w:style>
  <w:style w:type="character" w:customStyle="1" w:styleId="121">
    <w:name w:val="Char Char6"/>
    <w:autoRedefine/>
    <w:qFormat/>
    <w:uiPriority w:val="0"/>
    <w:rPr>
      <w:rFonts w:ascii="Cambria" w:hAnsi="Cambria"/>
      <w:b/>
      <w:bCs/>
      <w:kern w:val="2"/>
      <w:sz w:val="32"/>
      <w:szCs w:val="32"/>
    </w:rPr>
  </w:style>
  <w:style w:type="character" w:customStyle="1" w:styleId="122">
    <w:name w:val="正文文本 Char1"/>
    <w:link w:val="20"/>
    <w:autoRedefine/>
    <w:qFormat/>
    <w:uiPriority w:val="0"/>
    <w:rPr>
      <w:rFonts w:ascii="Times New Roman" w:hAnsi="Times New Roman" w:eastAsia="宋体" w:cs="Times New Roman"/>
      <w:kern w:val="0"/>
      <w:sz w:val="28"/>
      <w:szCs w:val="24"/>
    </w:rPr>
  </w:style>
  <w:style w:type="character" w:customStyle="1" w:styleId="123">
    <w:name w:val="style171"/>
    <w:autoRedefine/>
    <w:qFormat/>
    <w:uiPriority w:val="0"/>
    <w:rPr>
      <w:sz w:val="20"/>
      <w:szCs w:val="20"/>
    </w:rPr>
  </w:style>
  <w:style w:type="character" w:customStyle="1" w:styleId="124">
    <w:name w:val="标题 1 Char"/>
    <w:link w:val="2"/>
    <w:autoRedefine/>
    <w:qFormat/>
    <w:uiPriority w:val="9"/>
    <w:rPr>
      <w:rFonts w:ascii="Times New Roman" w:hAnsi="Times New Roman" w:eastAsia="宋体" w:cs="Times New Roman"/>
      <w:b/>
      <w:bCs/>
      <w:kern w:val="44"/>
      <w:sz w:val="44"/>
      <w:szCs w:val="44"/>
    </w:rPr>
  </w:style>
  <w:style w:type="character" w:customStyle="1" w:styleId="125">
    <w:name w:val="newscontent1"/>
    <w:autoRedefine/>
    <w:qFormat/>
    <w:uiPriority w:val="0"/>
    <w:rPr>
      <w:rFonts w:hint="default" w:ascii="Verdana" w:hAnsi="Verdana"/>
      <w:color w:val="333333"/>
      <w:sz w:val="18"/>
      <w:szCs w:val="18"/>
    </w:rPr>
  </w:style>
  <w:style w:type="character" w:customStyle="1" w:styleId="126">
    <w:name w:val="H1 Char"/>
    <w:autoRedefine/>
    <w:qFormat/>
    <w:uiPriority w:val="0"/>
    <w:rPr>
      <w:rFonts w:ascii="Times New Roman" w:hAnsi="Times New Roman" w:eastAsia="宋体" w:cs="Times New Roman"/>
      <w:b/>
      <w:bCs/>
      <w:kern w:val="44"/>
      <w:sz w:val="44"/>
      <w:szCs w:val="44"/>
    </w:rPr>
  </w:style>
  <w:style w:type="character" w:customStyle="1" w:styleId="127">
    <w:name w:val="标题 2 Char"/>
    <w:link w:val="3"/>
    <w:autoRedefine/>
    <w:qFormat/>
    <w:uiPriority w:val="9"/>
    <w:rPr>
      <w:rFonts w:ascii="Arial" w:hAnsi="Arial" w:eastAsia="黑体" w:cs="Times New Roman"/>
      <w:b/>
      <w:bCs/>
      <w:kern w:val="0"/>
      <w:sz w:val="32"/>
      <w:szCs w:val="32"/>
    </w:rPr>
  </w:style>
  <w:style w:type="character" w:customStyle="1" w:styleId="128">
    <w:name w:val="style211"/>
    <w:autoRedefine/>
    <w:qFormat/>
    <w:uiPriority w:val="0"/>
    <w:rPr>
      <w:color w:val="0000FF"/>
    </w:rPr>
  </w:style>
  <w:style w:type="character" w:customStyle="1" w:styleId="129">
    <w:name w:val="con-all2"/>
    <w:autoRedefine/>
    <w:qFormat/>
    <w:uiPriority w:val="0"/>
  </w:style>
  <w:style w:type="character" w:customStyle="1" w:styleId="130">
    <w:name w:val="!标题3 Ctrl+3 Char"/>
    <w:link w:val="131"/>
    <w:autoRedefine/>
    <w:qFormat/>
    <w:locked/>
    <w:uiPriority w:val="0"/>
    <w:rPr>
      <w:rFonts w:ascii="Arial" w:hAnsi="Arial" w:eastAsia="黑体"/>
      <w:b/>
      <w:kern w:val="2"/>
      <w:sz w:val="32"/>
      <w:szCs w:val="32"/>
    </w:rPr>
  </w:style>
  <w:style w:type="paragraph" w:customStyle="1" w:styleId="131">
    <w:name w:val="!标题3 Ctrl+3"/>
    <w:basedOn w:val="4"/>
    <w:next w:val="1"/>
    <w:link w:val="130"/>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autoRedefine/>
    <w:qFormat/>
    <w:uiPriority w:val="0"/>
    <w:rPr>
      <w:rFonts w:hint="eastAsia" w:ascii="宋体" w:hAnsi="宋体" w:eastAsia="宋体" w:cs="宋体"/>
      <w:color w:val="000000"/>
      <w:sz w:val="24"/>
      <w:szCs w:val="24"/>
      <w:u w:val="none"/>
    </w:rPr>
  </w:style>
  <w:style w:type="character" w:customStyle="1" w:styleId="133">
    <w:name w:val="正文文本缩进 Char1"/>
    <w:autoRedefine/>
    <w:semiHidden/>
    <w:qFormat/>
    <w:uiPriority w:val="99"/>
    <w:rPr>
      <w:rFonts w:ascii="Times New Roman" w:hAnsi="Times New Roman" w:eastAsia="宋体" w:cs="Times New Roman"/>
      <w:szCs w:val="24"/>
    </w:rPr>
  </w:style>
  <w:style w:type="character" w:customStyle="1" w:styleId="134">
    <w:name w:val="Char Char25"/>
    <w:autoRedefine/>
    <w:qFormat/>
    <w:uiPriority w:val="0"/>
    <w:rPr>
      <w:rFonts w:eastAsia="楷体_GB2312"/>
      <w:b/>
      <w:bCs/>
      <w:kern w:val="2"/>
      <w:sz w:val="32"/>
      <w:szCs w:val="32"/>
    </w:rPr>
  </w:style>
  <w:style w:type="character" w:customStyle="1" w:styleId="135">
    <w:name w:val="Char Char14"/>
    <w:autoRedefine/>
    <w:qFormat/>
    <w:uiPriority w:val="0"/>
    <w:rPr>
      <w:kern w:val="2"/>
      <w:sz w:val="18"/>
      <w:szCs w:val="18"/>
    </w:rPr>
  </w:style>
  <w:style w:type="character" w:customStyle="1" w:styleId="136">
    <w:name w:val="unnamed21"/>
    <w:autoRedefine/>
    <w:qFormat/>
    <w:uiPriority w:val="0"/>
    <w:rPr>
      <w:b/>
      <w:bCs/>
      <w:spacing w:val="330"/>
      <w:sz w:val="21"/>
      <w:szCs w:val="21"/>
    </w:rPr>
  </w:style>
  <w:style w:type="character" w:customStyle="1" w:styleId="137">
    <w:name w:val="body1"/>
    <w:autoRedefine/>
    <w:qFormat/>
    <w:uiPriority w:val="0"/>
    <w:rPr>
      <w:rFonts w:hint="default"/>
      <w:sz w:val="18"/>
    </w:rPr>
  </w:style>
  <w:style w:type="character" w:customStyle="1" w:styleId="138">
    <w:name w:val="标题 Char"/>
    <w:link w:val="48"/>
    <w:autoRedefine/>
    <w:qFormat/>
    <w:uiPriority w:val="0"/>
    <w:rPr>
      <w:rFonts w:ascii="Cambria" w:hAnsi="Cambria"/>
      <w:b/>
      <w:bCs/>
      <w:sz w:val="32"/>
      <w:szCs w:val="32"/>
    </w:rPr>
  </w:style>
  <w:style w:type="character" w:customStyle="1" w:styleId="139">
    <w:name w:val="批注框文本 Char"/>
    <w:link w:val="35"/>
    <w:autoRedefine/>
    <w:qFormat/>
    <w:uiPriority w:val="99"/>
    <w:rPr>
      <w:sz w:val="18"/>
      <w:szCs w:val="18"/>
    </w:rPr>
  </w:style>
  <w:style w:type="character" w:customStyle="1" w:styleId="140">
    <w:name w:val="表格文本 Char Char"/>
    <w:link w:val="141"/>
    <w:autoRedefine/>
    <w:qFormat/>
    <w:uiPriority w:val="0"/>
    <w:rPr>
      <w:rFonts w:ascii="Arial" w:hAnsi="Arial"/>
      <w:kern w:val="2"/>
      <w:sz w:val="21"/>
      <w:szCs w:val="21"/>
      <w:lang w:val="en-US" w:eastAsia="zh-CN" w:bidi="ar-SA"/>
    </w:rPr>
  </w:style>
  <w:style w:type="paragraph" w:customStyle="1" w:styleId="141">
    <w:name w:val="表格文本 Char"/>
    <w:link w:val="140"/>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autoRedefine/>
    <w:semiHidden/>
    <w:qFormat/>
    <w:uiPriority w:val="99"/>
    <w:rPr>
      <w:rFonts w:ascii="Times New Roman" w:hAnsi="Times New Roman" w:eastAsia="宋体" w:cs="Times New Roman"/>
      <w:b/>
      <w:bCs/>
      <w:szCs w:val="24"/>
    </w:rPr>
  </w:style>
  <w:style w:type="character" w:customStyle="1" w:styleId="143">
    <w:name w:val="页脚 Char1"/>
    <w:autoRedefine/>
    <w:semiHidden/>
    <w:qFormat/>
    <w:uiPriority w:val="99"/>
    <w:rPr>
      <w:rFonts w:ascii="Times New Roman" w:hAnsi="Times New Roman" w:eastAsia="宋体" w:cs="Times New Roman"/>
      <w:sz w:val="18"/>
      <w:szCs w:val="18"/>
    </w:rPr>
  </w:style>
  <w:style w:type="character" w:customStyle="1" w:styleId="144">
    <w:name w:val="文档结构图 Char"/>
    <w:link w:val="16"/>
    <w:autoRedefine/>
    <w:qFormat/>
    <w:uiPriority w:val="99"/>
    <w:rPr>
      <w:szCs w:val="24"/>
      <w:shd w:val="clear" w:color="auto" w:fill="000080"/>
    </w:rPr>
  </w:style>
  <w:style w:type="character" w:customStyle="1" w:styleId="145">
    <w:name w:val="Heading 5 Char"/>
    <w:autoRedefine/>
    <w:semiHidden/>
    <w:qFormat/>
    <w:locked/>
    <w:uiPriority w:val="0"/>
    <w:rPr>
      <w:rFonts w:cs="Times New Roman"/>
      <w:b/>
      <w:bCs/>
      <w:kern w:val="0"/>
      <w:sz w:val="28"/>
      <w:szCs w:val="28"/>
    </w:rPr>
  </w:style>
  <w:style w:type="character" w:customStyle="1" w:styleId="146">
    <w:name w:val="Char Char26"/>
    <w:autoRedefine/>
    <w:qFormat/>
    <w:uiPriority w:val="0"/>
    <w:rPr>
      <w:rFonts w:ascii="Arial" w:hAnsi="Arial" w:eastAsia="黑体"/>
      <w:b/>
      <w:bCs/>
      <w:kern w:val="2"/>
      <w:sz w:val="32"/>
      <w:szCs w:val="32"/>
    </w:rPr>
  </w:style>
  <w:style w:type="character" w:customStyle="1" w:styleId="147">
    <w:name w:val="正文文本 2 Char1"/>
    <w:autoRedefine/>
    <w:semiHidden/>
    <w:qFormat/>
    <w:uiPriority w:val="99"/>
    <w:rPr>
      <w:rFonts w:ascii="Times New Roman" w:hAnsi="Times New Roman" w:eastAsia="宋体" w:cs="Times New Roman"/>
      <w:szCs w:val="24"/>
    </w:rPr>
  </w:style>
  <w:style w:type="character" w:customStyle="1" w:styleId="148">
    <w:name w:val="font41"/>
    <w:autoRedefine/>
    <w:qFormat/>
    <w:uiPriority w:val="0"/>
    <w:rPr>
      <w:rFonts w:hint="eastAsia" w:ascii="宋体" w:hAnsi="宋体" w:eastAsia="宋体" w:cs="宋体"/>
      <w:color w:val="000000"/>
      <w:sz w:val="20"/>
      <w:szCs w:val="20"/>
      <w:u w:val="none"/>
    </w:rPr>
  </w:style>
  <w:style w:type="character" w:customStyle="1" w:styleId="149">
    <w:name w:val="标题 8 Char"/>
    <w:link w:val="9"/>
    <w:autoRedefine/>
    <w:qFormat/>
    <w:uiPriority w:val="0"/>
    <w:rPr>
      <w:rFonts w:ascii="Arial" w:hAnsi="Arial" w:eastAsia="黑体" w:cs="Times New Roman"/>
      <w:kern w:val="0"/>
      <w:sz w:val="24"/>
      <w:szCs w:val="24"/>
    </w:rPr>
  </w:style>
  <w:style w:type="character" w:customStyle="1" w:styleId="150">
    <w:name w:val="BOD 4 Char Char"/>
    <w:autoRedefine/>
    <w:qFormat/>
    <w:uiPriority w:val="0"/>
    <w:rPr>
      <w:rFonts w:ascii="Arial" w:hAnsi="Arial" w:eastAsia="黑体" w:cs="Times New Roman"/>
      <w:b/>
      <w:bCs/>
      <w:sz w:val="24"/>
      <w:szCs w:val="24"/>
    </w:rPr>
  </w:style>
  <w:style w:type="character" w:customStyle="1" w:styleId="151">
    <w:name w:val="Heading 1 Char"/>
    <w:autoRedefine/>
    <w:qFormat/>
    <w:locked/>
    <w:uiPriority w:val="0"/>
    <w:rPr>
      <w:rFonts w:cs="Times New Roman"/>
      <w:b/>
      <w:bCs/>
      <w:kern w:val="44"/>
      <w:sz w:val="44"/>
      <w:szCs w:val="44"/>
    </w:rPr>
  </w:style>
  <w:style w:type="character" w:customStyle="1" w:styleId="152">
    <w:name w:val="txt1"/>
    <w:autoRedefine/>
    <w:qFormat/>
    <w:uiPriority w:val="0"/>
    <w:rPr>
      <w:rFonts w:hint="default" w:ascii="ˎ̥" w:hAnsi="ˎ̥"/>
      <w:sz w:val="18"/>
      <w:szCs w:val="18"/>
    </w:rPr>
  </w:style>
  <w:style w:type="character" w:customStyle="1" w:styleId="153">
    <w:name w:val="Plain Text Char"/>
    <w:autoRedefine/>
    <w:semiHidden/>
    <w:qFormat/>
    <w:locked/>
    <w:uiPriority w:val="0"/>
    <w:rPr>
      <w:rFonts w:ascii="宋体" w:hAnsi="Courier New" w:cs="Courier New"/>
      <w:kern w:val="0"/>
      <w:sz w:val="21"/>
      <w:szCs w:val="21"/>
    </w:rPr>
  </w:style>
  <w:style w:type="character" w:customStyle="1" w:styleId="154">
    <w:name w:val="Char Char1"/>
    <w:autoRedefine/>
    <w:qFormat/>
    <w:uiPriority w:val="0"/>
    <w:rPr>
      <w:kern w:val="2"/>
      <w:sz w:val="21"/>
      <w:szCs w:val="24"/>
    </w:rPr>
  </w:style>
  <w:style w:type="character" w:customStyle="1" w:styleId="155">
    <w:name w:val="标题 5 Char"/>
    <w:link w:val="6"/>
    <w:autoRedefine/>
    <w:qFormat/>
    <w:uiPriority w:val="9"/>
    <w:rPr>
      <w:rFonts w:ascii="Times New Roman" w:hAnsi="Times New Roman" w:eastAsia="宋体" w:cs="Times New Roman"/>
      <w:b/>
      <w:bCs/>
      <w:kern w:val="0"/>
      <w:sz w:val="28"/>
      <w:szCs w:val="28"/>
    </w:rPr>
  </w:style>
  <w:style w:type="character" w:customStyle="1" w:styleId="156">
    <w:name w:val="￥正文 Char"/>
    <w:link w:val="157"/>
    <w:autoRedefine/>
    <w:qFormat/>
    <w:uiPriority w:val="0"/>
    <w:rPr>
      <w:rFonts w:ascii="Calibri" w:hAnsi="Calibri" w:eastAsia="宋体"/>
      <w:sz w:val="24"/>
      <w:lang w:bidi="ar-SA"/>
    </w:rPr>
  </w:style>
  <w:style w:type="paragraph" w:customStyle="1" w:styleId="157">
    <w:name w:val="￥正文"/>
    <w:basedOn w:val="1"/>
    <w:link w:val="156"/>
    <w:autoRedefine/>
    <w:qFormat/>
    <w:uiPriority w:val="0"/>
    <w:pPr>
      <w:spacing w:line="360" w:lineRule="auto"/>
      <w:ind w:firstLine="200" w:firstLineChars="200"/>
    </w:pPr>
    <w:rPr>
      <w:rFonts w:ascii="Calibri" w:hAnsi="Calibri"/>
      <w:kern w:val="0"/>
      <w:sz w:val="24"/>
      <w:szCs w:val="20"/>
    </w:rPr>
  </w:style>
  <w:style w:type="character" w:customStyle="1" w:styleId="158">
    <w:name w:val="Char Char22"/>
    <w:autoRedefine/>
    <w:qFormat/>
    <w:uiPriority w:val="0"/>
    <w:rPr>
      <w:rFonts w:ascii="Arial" w:hAnsi="Arial" w:eastAsia="黑体"/>
      <w:b/>
      <w:bCs/>
      <w:kern w:val="2"/>
      <w:sz w:val="24"/>
      <w:szCs w:val="24"/>
    </w:rPr>
  </w:style>
  <w:style w:type="character" w:customStyle="1" w:styleId="159">
    <w:name w:val="标题 1 Char Char"/>
    <w:autoRedefine/>
    <w:qFormat/>
    <w:uiPriority w:val="0"/>
    <w:rPr>
      <w:rFonts w:eastAsia="宋体"/>
      <w:b/>
      <w:spacing w:val="-2"/>
      <w:sz w:val="24"/>
      <w:lang w:val="en-US" w:eastAsia="zh-CN" w:bidi="ar-SA"/>
    </w:rPr>
  </w:style>
  <w:style w:type="character" w:customStyle="1" w:styleId="160">
    <w:name w:val="Char Char20"/>
    <w:autoRedefine/>
    <w:qFormat/>
    <w:uiPriority w:val="0"/>
    <w:rPr>
      <w:rFonts w:ascii="Arial" w:hAnsi="Arial" w:eastAsia="黑体"/>
      <w:kern w:val="2"/>
      <w:sz w:val="24"/>
      <w:szCs w:val="24"/>
    </w:rPr>
  </w:style>
  <w:style w:type="character" w:customStyle="1" w:styleId="161">
    <w:name w:val="wj1"/>
    <w:autoRedefine/>
    <w:qFormat/>
    <w:uiPriority w:val="0"/>
    <w:rPr>
      <w:color w:val="000000"/>
      <w:sz w:val="18"/>
      <w:szCs w:val="18"/>
      <w:u w:val="none"/>
    </w:rPr>
  </w:style>
  <w:style w:type="character" w:customStyle="1" w:styleId="162">
    <w:name w:val="font91"/>
    <w:autoRedefine/>
    <w:qFormat/>
    <w:uiPriority w:val="0"/>
    <w:rPr>
      <w:rFonts w:hint="default" w:ascii="Arial" w:hAnsi="Arial" w:cs="Arial"/>
      <w:b/>
      <w:color w:val="auto"/>
      <w:sz w:val="20"/>
      <w:szCs w:val="20"/>
      <w:u w:val="none"/>
    </w:rPr>
  </w:style>
  <w:style w:type="character" w:customStyle="1" w:styleId="163">
    <w:name w:val="Char Char17"/>
    <w:autoRedefine/>
    <w:qFormat/>
    <w:uiPriority w:val="0"/>
    <w:rPr>
      <w:rFonts w:ascii="仿宋_GB2312" w:hAnsi="宋体" w:cs="Arial"/>
      <w:b/>
      <w:bCs/>
      <w:color w:val="000000"/>
      <w:kern w:val="2"/>
      <w:sz w:val="24"/>
      <w:szCs w:val="24"/>
    </w:rPr>
  </w:style>
  <w:style w:type="character" w:customStyle="1" w:styleId="164">
    <w:name w:val="font11"/>
    <w:autoRedefine/>
    <w:qFormat/>
    <w:uiPriority w:val="0"/>
    <w:rPr>
      <w:rFonts w:hint="default" w:ascii="Times New Roman" w:hAnsi="Times New Roman" w:cs="Times New Roman"/>
      <w:color w:val="000000"/>
      <w:sz w:val="20"/>
      <w:szCs w:val="20"/>
      <w:u w:val="none"/>
    </w:rPr>
  </w:style>
  <w:style w:type="character" w:customStyle="1" w:styleId="165">
    <w:name w:val="Normal Indent Char"/>
    <w:autoRedefine/>
    <w:qFormat/>
    <w:locked/>
    <w:uiPriority w:val="0"/>
    <w:rPr>
      <w:sz w:val="20"/>
    </w:rPr>
  </w:style>
  <w:style w:type="character" w:customStyle="1" w:styleId="166">
    <w:name w:val="正文首行缩进 Char"/>
    <w:link w:val="21"/>
    <w:autoRedefine/>
    <w:qFormat/>
    <w:uiPriority w:val="0"/>
    <w:rPr>
      <w:sz w:val="24"/>
      <w:szCs w:val="24"/>
    </w:rPr>
  </w:style>
  <w:style w:type="character" w:customStyle="1" w:styleId="167">
    <w:name w:val="正文文本 3 Char1"/>
    <w:autoRedefine/>
    <w:semiHidden/>
    <w:qFormat/>
    <w:uiPriority w:val="99"/>
    <w:rPr>
      <w:rFonts w:ascii="Times New Roman" w:hAnsi="Times New Roman" w:eastAsia="宋体" w:cs="Times New Roman"/>
      <w:sz w:val="16"/>
      <w:szCs w:val="16"/>
    </w:rPr>
  </w:style>
  <w:style w:type="character" w:customStyle="1" w:styleId="168">
    <w:name w:val="表正文 Char"/>
    <w:autoRedefine/>
    <w:qFormat/>
    <w:uiPriority w:val="0"/>
    <w:rPr>
      <w:rFonts w:ascii="Times New Roman" w:hAnsi="Times New Roman" w:eastAsia="宋体" w:cs="Times New Roman"/>
      <w:szCs w:val="24"/>
    </w:rPr>
  </w:style>
  <w:style w:type="character" w:customStyle="1" w:styleId="169">
    <w:name w:val="Header Char"/>
    <w:autoRedefine/>
    <w:qFormat/>
    <w:locked/>
    <w:uiPriority w:val="0"/>
    <w:rPr>
      <w:rFonts w:ascii="Calibri" w:hAnsi="Calibri" w:eastAsia="宋体" w:cs="Times New Roman"/>
      <w:sz w:val="18"/>
      <w:szCs w:val="18"/>
    </w:rPr>
  </w:style>
  <w:style w:type="character" w:customStyle="1" w:styleId="170">
    <w:name w:val="cn1"/>
    <w:autoRedefine/>
    <w:qFormat/>
    <w:uiPriority w:val="0"/>
  </w:style>
  <w:style w:type="character" w:customStyle="1" w:styleId="171">
    <w:name w:val="样式7 Char"/>
    <w:autoRedefine/>
    <w:qFormat/>
    <w:uiPriority w:val="0"/>
    <w:rPr>
      <w:rFonts w:eastAsia="宋体" w:cs="宋体"/>
      <w:kern w:val="2"/>
      <w:sz w:val="24"/>
      <w:szCs w:val="24"/>
      <w:lang w:val="en-US" w:eastAsia="zh-CN" w:bidi="ar-SA"/>
    </w:rPr>
  </w:style>
  <w:style w:type="character" w:customStyle="1" w:styleId="172">
    <w:name w:val="彩色列表 - 强调文字颜色 1 Char"/>
    <w:link w:val="173"/>
    <w:autoRedefine/>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7"/>
    <w:autoRedefine/>
    <w:qFormat/>
    <w:uiPriority w:val="0"/>
    <w:rPr>
      <w:rFonts w:ascii="Arial" w:hAnsi="Arial" w:eastAsia="宋体" w:cs="Times New Roman"/>
      <w:kern w:val="0"/>
      <w:sz w:val="24"/>
      <w:szCs w:val="20"/>
    </w:rPr>
  </w:style>
  <w:style w:type="character" w:customStyle="1" w:styleId="175">
    <w:name w:val="Char Char13"/>
    <w:autoRedefine/>
    <w:qFormat/>
    <w:uiPriority w:val="0"/>
    <w:rPr>
      <w:b/>
      <w:bCs/>
      <w:kern w:val="2"/>
      <w:sz w:val="21"/>
      <w:szCs w:val="24"/>
    </w:rPr>
  </w:style>
  <w:style w:type="character" w:customStyle="1" w:styleId="176">
    <w:name w:val="页脚 Char2"/>
    <w:link w:val="36"/>
    <w:autoRedefine/>
    <w:qFormat/>
    <w:uiPriority w:val="99"/>
    <w:rPr>
      <w:rFonts w:eastAsia="黑体"/>
      <w:sz w:val="18"/>
      <w:szCs w:val="18"/>
    </w:rPr>
  </w:style>
  <w:style w:type="character" w:customStyle="1" w:styleId="177">
    <w:name w:val="日期 Char"/>
    <w:link w:val="32"/>
    <w:autoRedefine/>
    <w:qFormat/>
    <w:uiPriority w:val="0"/>
    <w:rPr>
      <w:rFonts w:eastAsia="楷体_GB2312"/>
      <w:sz w:val="32"/>
    </w:rPr>
  </w:style>
  <w:style w:type="character" w:customStyle="1" w:styleId="178">
    <w:name w:val="标题 3 Char"/>
    <w:link w:val="4"/>
    <w:autoRedefine/>
    <w:qFormat/>
    <w:uiPriority w:val="0"/>
    <w:rPr>
      <w:rFonts w:ascii="Times New Roman" w:hAnsi="Times New Roman" w:eastAsia="楷体_GB2312" w:cs="Times New Roman"/>
      <w:b/>
      <w:bCs/>
      <w:kern w:val="0"/>
      <w:sz w:val="32"/>
      <w:szCs w:val="32"/>
    </w:rPr>
  </w:style>
  <w:style w:type="character" w:customStyle="1" w:styleId="179">
    <w:name w:val="纯文本 Char2"/>
    <w:autoRedefine/>
    <w:semiHidden/>
    <w:qFormat/>
    <w:uiPriority w:val="99"/>
    <w:rPr>
      <w:rFonts w:ascii="宋体" w:hAnsi="Courier New" w:eastAsia="宋体" w:cs="Courier New"/>
      <w:szCs w:val="21"/>
    </w:rPr>
  </w:style>
  <w:style w:type="character" w:customStyle="1" w:styleId="180">
    <w:name w:val="Char Char10"/>
    <w:autoRedefine/>
    <w:qFormat/>
    <w:uiPriority w:val="0"/>
    <w:rPr>
      <w:kern w:val="2"/>
      <w:sz w:val="21"/>
      <w:szCs w:val="24"/>
      <w:shd w:val="clear" w:color="auto" w:fill="000080"/>
    </w:rPr>
  </w:style>
  <w:style w:type="character" w:customStyle="1" w:styleId="181">
    <w:name w:val="纯文本 Char"/>
    <w:link w:val="31"/>
    <w:autoRedefine/>
    <w:qFormat/>
    <w:uiPriority w:val="0"/>
    <w:rPr>
      <w:rFonts w:ascii="宋体" w:hAnsi="Courier New" w:eastAsia="宋体"/>
      <w:sz w:val="24"/>
      <w:szCs w:val="24"/>
    </w:rPr>
  </w:style>
  <w:style w:type="character" w:customStyle="1" w:styleId="182">
    <w:name w:val="未处理的提及"/>
    <w:autoRedefine/>
    <w:unhideWhenUsed/>
    <w:qFormat/>
    <w:uiPriority w:val="99"/>
    <w:rPr>
      <w:color w:val="605E5C"/>
      <w:shd w:val="clear" w:color="auto" w:fill="E1DFDD"/>
    </w:rPr>
  </w:style>
  <w:style w:type="character" w:customStyle="1" w:styleId="183">
    <w:name w:val="普通段落 Char"/>
    <w:link w:val="184"/>
    <w:autoRedefine/>
    <w:qFormat/>
    <w:uiPriority w:val="0"/>
    <w:rPr>
      <w:rFonts w:ascii="Arial" w:hAnsi="Arial" w:eastAsia="宋体"/>
      <w:lang w:bidi="ar-SA"/>
    </w:rPr>
  </w:style>
  <w:style w:type="paragraph" w:customStyle="1" w:styleId="184">
    <w:name w:val="普通段落"/>
    <w:basedOn w:val="1"/>
    <w:link w:val="183"/>
    <w:autoRedefine/>
    <w:qFormat/>
    <w:uiPriority w:val="0"/>
    <w:pPr>
      <w:spacing w:after="240" w:line="276" w:lineRule="auto"/>
    </w:pPr>
    <w:rPr>
      <w:rFonts w:ascii="Arial" w:hAnsi="Arial"/>
      <w:kern w:val="0"/>
      <w:sz w:val="20"/>
      <w:szCs w:val="20"/>
    </w:rPr>
  </w:style>
  <w:style w:type="character" w:customStyle="1" w:styleId="185">
    <w:name w:val="纯文本 Char1"/>
    <w:autoRedefine/>
    <w:qFormat/>
    <w:uiPriority w:val="0"/>
    <w:rPr>
      <w:rFonts w:ascii="宋体" w:hAnsi="Courier New" w:eastAsia="宋体"/>
      <w:kern w:val="2"/>
      <w:sz w:val="24"/>
      <w:szCs w:val="24"/>
      <w:lang w:val="en-US" w:eastAsia="zh-CN" w:bidi="ar-SA"/>
    </w:rPr>
  </w:style>
  <w:style w:type="character" w:customStyle="1" w:styleId="186">
    <w:name w:val="页脚 Char"/>
    <w:autoRedefine/>
    <w:qFormat/>
    <w:uiPriority w:val="99"/>
    <w:rPr>
      <w:rFonts w:eastAsia="Calibri"/>
      <w:sz w:val="21"/>
    </w:rPr>
  </w:style>
  <w:style w:type="character" w:customStyle="1" w:styleId="187">
    <w:name w:val="正文文本缩进 2 Char"/>
    <w:link w:val="34"/>
    <w:autoRedefine/>
    <w:qFormat/>
    <w:uiPriority w:val="0"/>
    <w:rPr>
      <w:rFonts w:ascii="仿宋_GB2312" w:hAnsi="宋体" w:cs="Arial"/>
      <w:b/>
      <w:bCs/>
      <w:color w:val="000000"/>
      <w:sz w:val="24"/>
      <w:szCs w:val="24"/>
    </w:rPr>
  </w:style>
  <w:style w:type="character" w:customStyle="1" w:styleId="188">
    <w:name w:val="正文文字缩进4字符 Char"/>
    <w:autoRedefine/>
    <w:qFormat/>
    <w:uiPriority w:val="0"/>
    <w:rPr>
      <w:rFonts w:ascii="Times New Roman" w:hAnsi="Times New Roman" w:eastAsia="宋体" w:cs="Times New Roman"/>
      <w:sz w:val="24"/>
      <w:szCs w:val="24"/>
    </w:rPr>
  </w:style>
  <w:style w:type="character" w:customStyle="1" w:styleId="189">
    <w:name w:val="正文文本缩进 字符"/>
    <w:autoRedefine/>
    <w:qFormat/>
    <w:uiPriority w:val="0"/>
    <w:rPr>
      <w:rFonts w:ascii="宋体" w:hAnsi="Courier New"/>
      <w:spacing w:val="-4"/>
      <w:sz w:val="18"/>
    </w:rPr>
  </w:style>
  <w:style w:type="character" w:customStyle="1" w:styleId="190">
    <w:name w:val="Heading 3 - old Char"/>
    <w:autoRedefine/>
    <w:qFormat/>
    <w:uiPriority w:val="0"/>
    <w:rPr>
      <w:rFonts w:ascii="Times New Roman" w:hAnsi="Times New Roman" w:eastAsia="宋体" w:cs="Times New Roman"/>
      <w:b/>
      <w:bCs/>
      <w:sz w:val="32"/>
      <w:szCs w:val="32"/>
    </w:rPr>
  </w:style>
  <w:style w:type="character" w:customStyle="1" w:styleId="191">
    <w:name w:val="H4 Char"/>
    <w:autoRedefine/>
    <w:qFormat/>
    <w:uiPriority w:val="0"/>
    <w:rPr>
      <w:rFonts w:ascii="Arial" w:hAnsi="Arial" w:eastAsia="黑体" w:cs="Times New Roman"/>
      <w:b/>
      <w:bCs/>
      <w:sz w:val="28"/>
      <w:szCs w:val="28"/>
    </w:rPr>
  </w:style>
  <w:style w:type="character" w:customStyle="1" w:styleId="192">
    <w:name w:val="纯文本 字符"/>
    <w:autoRedefine/>
    <w:qFormat/>
    <w:uiPriority w:val="0"/>
    <w:rPr>
      <w:rFonts w:ascii="宋体" w:hAnsi="Courier New"/>
      <w:sz w:val="24"/>
      <w:szCs w:val="24"/>
    </w:rPr>
  </w:style>
  <w:style w:type="character" w:customStyle="1" w:styleId="193">
    <w:name w:val="正文文本缩进 Char"/>
    <w:link w:val="23"/>
    <w:autoRedefine/>
    <w:qFormat/>
    <w:uiPriority w:val="0"/>
    <w:rPr>
      <w:rFonts w:ascii="宋体" w:hAnsi="Courier New"/>
      <w:spacing w:val="-4"/>
      <w:sz w:val="18"/>
    </w:rPr>
  </w:style>
  <w:style w:type="character" w:customStyle="1" w:styleId="194">
    <w:name w:val="Char Char15"/>
    <w:autoRedefine/>
    <w:qFormat/>
    <w:uiPriority w:val="0"/>
    <w:rPr>
      <w:rFonts w:hAnsi="宋体" w:eastAsia="仿宋_GB2312"/>
      <w:b/>
      <w:bCs/>
      <w:kern w:val="2"/>
      <w:sz w:val="24"/>
    </w:rPr>
  </w:style>
  <w:style w:type="character" w:customStyle="1" w:styleId="195">
    <w:name w:val="Footer Char"/>
    <w:autoRedefine/>
    <w:qFormat/>
    <w:locked/>
    <w:uiPriority w:val="0"/>
    <w:rPr>
      <w:rFonts w:ascii="Calibri" w:hAnsi="Calibri" w:eastAsia="宋体" w:cs="Times New Roman"/>
      <w:sz w:val="18"/>
      <w:szCs w:val="18"/>
    </w:rPr>
  </w:style>
  <w:style w:type="character" w:customStyle="1" w:styleId="196">
    <w:name w:val="标题 9 Char"/>
    <w:link w:val="10"/>
    <w:autoRedefine/>
    <w:qFormat/>
    <w:uiPriority w:val="0"/>
    <w:rPr>
      <w:rFonts w:ascii="Arial" w:hAnsi="Arial" w:eastAsia="黑体" w:cs="Times New Roman"/>
      <w:kern w:val="0"/>
      <w:sz w:val="20"/>
      <w:szCs w:val="21"/>
    </w:rPr>
  </w:style>
  <w:style w:type="character" w:customStyle="1" w:styleId="197">
    <w:name w:val="def正文 Char Char"/>
    <w:link w:val="198"/>
    <w:autoRedefine/>
    <w:qFormat/>
    <w:uiPriority w:val="0"/>
    <w:rPr>
      <w:sz w:val="24"/>
      <w:szCs w:val="24"/>
    </w:rPr>
  </w:style>
  <w:style w:type="paragraph" w:customStyle="1" w:styleId="198">
    <w:name w:val="def正文"/>
    <w:basedOn w:val="20"/>
    <w:link w:val="197"/>
    <w:autoRedefine/>
    <w:qFormat/>
    <w:uiPriority w:val="0"/>
    <w:pPr>
      <w:widowControl/>
      <w:spacing w:after="0" w:line="360" w:lineRule="auto"/>
      <w:ind w:firstLine="510"/>
      <w:jc w:val="left"/>
    </w:pPr>
    <w:rPr>
      <w:sz w:val="24"/>
    </w:rPr>
  </w:style>
  <w:style w:type="character" w:customStyle="1" w:styleId="199">
    <w:name w:val="font51"/>
    <w:autoRedefine/>
    <w:qFormat/>
    <w:uiPriority w:val="0"/>
    <w:rPr>
      <w:rFonts w:hint="eastAsia" w:ascii="宋体" w:hAnsi="宋体" w:eastAsia="宋体" w:cs="宋体"/>
      <w:color w:val="auto"/>
      <w:sz w:val="18"/>
      <w:szCs w:val="18"/>
      <w:u w:val="none"/>
    </w:rPr>
  </w:style>
  <w:style w:type="character" w:customStyle="1" w:styleId="200">
    <w:name w:val="普通文字 Char Char"/>
    <w:autoRedefine/>
    <w:qFormat/>
    <w:uiPriority w:val="0"/>
    <w:rPr>
      <w:rFonts w:ascii="宋体" w:hAnsi="Courier New" w:eastAsia="宋体" w:cs="Times New Roman"/>
      <w:szCs w:val="20"/>
    </w:rPr>
  </w:style>
  <w:style w:type="character" w:customStyle="1" w:styleId="201">
    <w:name w:val="正文文本 Char"/>
    <w:autoRedefine/>
    <w:qFormat/>
    <w:uiPriority w:val="0"/>
    <w:rPr>
      <w:rFonts w:ascii="Times New Roman" w:hAnsi="Times New Roman" w:eastAsia="宋体" w:cs="Times New Roman"/>
      <w:szCs w:val="24"/>
    </w:rPr>
  </w:style>
  <w:style w:type="character" w:customStyle="1" w:styleId="202">
    <w:name w:val="3zw"/>
    <w:autoRedefine/>
    <w:qFormat/>
    <w:uiPriority w:val="0"/>
  </w:style>
  <w:style w:type="character" w:customStyle="1" w:styleId="203">
    <w:name w:val="font71"/>
    <w:autoRedefine/>
    <w:qFormat/>
    <w:uiPriority w:val="0"/>
    <w:rPr>
      <w:rFonts w:hint="default" w:ascii="Arial" w:hAnsi="Arial" w:cs="Arial"/>
      <w:color w:val="auto"/>
      <w:sz w:val="20"/>
      <w:szCs w:val="20"/>
      <w:u w:val="none"/>
    </w:rPr>
  </w:style>
  <w:style w:type="character" w:customStyle="1" w:styleId="204">
    <w:name w:val="标题 Char1"/>
    <w:autoRedefine/>
    <w:qFormat/>
    <w:uiPriority w:val="10"/>
    <w:rPr>
      <w:rFonts w:ascii="Cambria" w:hAnsi="Cambria" w:eastAsia="宋体" w:cs="Times New Roman"/>
      <w:b/>
      <w:bCs/>
      <w:sz w:val="32"/>
      <w:szCs w:val="32"/>
    </w:rPr>
  </w:style>
  <w:style w:type="character" w:customStyle="1" w:styleId="205">
    <w:name w:val="标书正文格式 Char"/>
    <w:link w:val="206"/>
    <w:autoRedefine/>
    <w:qFormat/>
    <w:uiPriority w:val="0"/>
    <w:rPr>
      <w:rFonts w:eastAsia="楷体_GB2312"/>
      <w:kern w:val="2"/>
      <w:sz w:val="24"/>
      <w:szCs w:val="24"/>
      <w:lang w:val="en-US" w:eastAsia="zh-CN" w:bidi="ar-SA"/>
    </w:rPr>
  </w:style>
  <w:style w:type="paragraph" w:customStyle="1" w:styleId="206">
    <w:name w:val="标书正文格式"/>
    <w:link w:val="205"/>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autoRedefine/>
    <w:qFormat/>
    <w:uiPriority w:val="0"/>
    <w:rPr>
      <w:rFonts w:eastAsia="宋体"/>
    </w:rPr>
  </w:style>
  <w:style w:type="character" w:customStyle="1" w:styleId="208">
    <w:name w:val="A7"/>
    <w:autoRedefine/>
    <w:qFormat/>
    <w:uiPriority w:val="0"/>
    <w:rPr>
      <w:rFonts w:ascii="HelveticaNeueLT Std Lt" w:eastAsia="HelveticaNeueLT Std Lt" w:cs="HelveticaNeueLT Std Lt"/>
      <w:color w:val="000000"/>
      <w:sz w:val="20"/>
      <w:szCs w:val="20"/>
    </w:rPr>
  </w:style>
  <w:style w:type="character" w:customStyle="1" w:styleId="209">
    <w:name w:val="Balloon Text Char"/>
    <w:autoRedefine/>
    <w:qFormat/>
    <w:locked/>
    <w:uiPriority w:val="0"/>
    <w:rPr>
      <w:rFonts w:cs="Times New Roman"/>
      <w:sz w:val="18"/>
      <w:szCs w:val="18"/>
    </w:rPr>
  </w:style>
  <w:style w:type="character" w:customStyle="1" w:styleId="210">
    <w:name w:val="页眉 Char"/>
    <w:link w:val="37"/>
    <w:autoRedefine/>
    <w:qFormat/>
    <w:uiPriority w:val="99"/>
    <w:rPr>
      <w:rFonts w:eastAsia="仿宋_GB2312"/>
      <w:sz w:val="18"/>
    </w:rPr>
  </w:style>
  <w:style w:type="character" w:customStyle="1" w:styleId="211">
    <w:name w:val="批注框文本 Char1"/>
    <w:autoRedefine/>
    <w:semiHidden/>
    <w:qFormat/>
    <w:uiPriority w:val="99"/>
    <w:rPr>
      <w:rFonts w:ascii="Times New Roman" w:hAnsi="Times New Roman" w:eastAsia="宋体" w:cs="Times New Roman"/>
      <w:sz w:val="18"/>
      <w:szCs w:val="18"/>
    </w:rPr>
  </w:style>
  <w:style w:type="character" w:customStyle="1" w:styleId="212">
    <w:name w:val="彩色列表 - 着色 1 字符"/>
    <w:link w:val="213"/>
    <w:autoRedefine/>
    <w:qFormat/>
    <w:locked/>
    <w:uiPriority w:val="34"/>
    <w:rPr>
      <w:rFonts w:ascii="Times New Roman" w:hAnsi="Times New Roman"/>
      <w:kern w:val="2"/>
      <w:sz w:val="21"/>
      <w:szCs w:val="24"/>
    </w:rPr>
  </w:style>
  <w:style w:type="paragraph" w:customStyle="1" w:styleId="213">
    <w:name w:val="彩色列表 - 着色 11"/>
    <w:basedOn w:val="1"/>
    <w:link w:val="212"/>
    <w:autoRedefine/>
    <w:qFormat/>
    <w:uiPriority w:val="34"/>
    <w:pPr>
      <w:ind w:firstLine="420" w:firstLineChars="200"/>
    </w:pPr>
  </w:style>
  <w:style w:type="character" w:customStyle="1" w:styleId="214">
    <w:name w:val="正文文本缩进 2 Char1"/>
    <w:autoRedefine/>
    <w:semiHidden/>
    <w:qFormat/>
    <w:uiPriority w:val="99"/>
    <w:rPr>
      <w:rFonts w:ascii="Times New Roman" w:hAnsi="Times New Roman" w:eastAsia="宋体" w:cs="Times New Roman"/>
      <w:szCs w:val="24"/>
    </w:rPr>
  </w:style>
  <w:style w:type="character" w:customStyle="1" w:styleId="215">
    <w:name w:val="普通 (Web) Char"/>
    <w:autoRedefine/>
    <w:qFormat/>
    <w:uiPriority w:val="0"/>
    <w:rPr>
      <w:rFonts w:ascii="宋体" w:hAnsi="宋体" w:eastAsia="宋体" w:cs="Times New Roman"/>
      <w:kern w:val="0"/>
      <w:sz w:val="24"/>
      <w:szCs w:val="24"/>
    </w:rPr>
  </w:style>
  <w:style w:type="character" w:customStyle="1" w:styleId="216">
    <w:name w:val="标题 6 Char"/>
    <w:link w:val="7"/>
    <w:autoRedefine/>
    <w:qFormat/>
    <w:uiPriority w:val="0"/>
    <w:rPr>
      <w:rFonts w:ascii="Arial" w:hAnsi="Arial" w:eastAsia="黑体" w:cs="Times New Roman"/>
      <w:b/>
      <w:bCs/>
      <w:kern w:val="0"/>
      <w:sz w:val="24"/>
      <w:szCs w:val="24"/>
    </w:rPr>
  </w:style>
  <w:style w:type="character" w:customStyle="1" w:styleId="217">
    <w:name w:val="纯文本 Char3"/>
    <w:autoRedefine/>
    <w:qFormat/>
    <w:uiPriority w:val="0"/>
    <w:rPr>
      <w:rFonts w:ascii="宋体" w:hAnsi="Courier New" w:eastAsia="宋体"/>
      <w:sz w:val="24"/>
      <w:szCs w:val="24"/>
    </w:rPr>
  </w:style>
  <w:style w:type="character" w:customStyle="1" w:styleId="218">
    <w:name w:val="正文首行缩进 Char1"/>
    <w:autoRedefine/>
    <w:semiHidden/>
    <w:qFormat/>
    <w:uiPriority w:val="99"/>
    <w:rPr>
      <w:rFonts w:ascii="Times New Roman" w:hAnsi="Times New Roman" w:eastAsia="宋体" w:cs="Times New Roman"/>
      <w:szCs w:val="24"/>
    </w:rPr>
  </w:style>
  <w:style w:type="character" w:customStyle="1" w:styleId="219">
    <w:name w:val="正文文本 2 Char"/>
    <w:link w:val="45"/>
    <w:autoRedefine/>
    <w:qFormat/>
    <w:uiPriority w:val="99"/>
    <w:rPr>
      <w:rFonts w:ascii="宋体" w:hAnsi="宋体"/>
      <w:color w:val="000000"/>
      <w:sz w:val="24"/>
      <w:szCs w:val="24"/>
    </w:rPr>
  </w:style>
  <w:style w:type="character" w:customStyle="1" w:styleId="220">
    <w:name w:val="style551"/>
    <w:autoRedefine/>
    <w:qFormat/>
    <w:uiPriority w:val="0"/>
    <w:rPr>
      <w:rFonts w:hint="default" w:ascii="Arial" w:hAnsi="Arial" w:cs="Arial"/>
      <w:color w:val="333333"/>
      <w:sz w:val="18"/>
      <w:szCs w:val="18"/>
    </w:rPr>
  </w:style>
  <w:style w:type="character" w:customStyle="1" w:styleId="221">
    <w:name w:val="文章正文 Char Char"/>
    <w:link w:val="222"/>
    <w:autoRedefine/>
    <w:qFormat/>
    <w:uiPriority w:val="0"/>
    <w:rPr>
      <w:rFonts w:ascii="宋体" w:hAnsi="宋体"/>
      <w:sz w:val="24"/>
      <w:szCs w:val="24"/>
    </w:rPr>
  </w:style>
  <w:style w:type="paragraph" w:customStyle="1" w:styleId="222">
    <w:name w:val="文章正文"/>
    <w:basedOn w:val="1"/>
    <w:link w:val="221"/>
    <w:autoRedefine/>
    <w:qFormat/>
    <w:uiPriority w:val="0"/>
    <w:pPr>
      <w:spacing w:line="360" w:lineRule="auto"/>
      <w:ind w:firstLine="200" w:firstLineChars="200"/>
      <w:jc w:val="left"/>
    </w:pPr>
    <w:rPr>
      <w:rFonts w:ascii="宋体" w:hAnsi="宋体"/>
      <w:kern w:val="0"/>
      <w:sz w:val="24"/>
    </w:rPr>
  </w:style>
  <w:style w:type="character" w:customStyle="1" w:styleId="223">
    <w:name w:val="font81"/>
    <w:autoRedefine/>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autoRedefine/>
    <w:qFormat/>
    <w:locked/>
    <w:uiPriority w:val="0"/>
    <w:rPr>
      <w:rFonts w:cs="Times New Roman"/>
      <w:kern w:val="2"/>
      <w:sz w:val="16"/>
      <w:szCs w:val="16"/>
    </w:rPr>
  </w:style>
  <w:style w:type="character" w:customStyle="1" w:styleId="225">
    <w:name w:val="Char Char16"/>
    <w:autoRedefine/>
    <w:qFormat/>
    <w:uiPriority w:val="0"/>
    <w:rPr>
      <w:rFonts w:ascii="宋体" w:hAnsi="Courier New"/>
      <w:spacing w:val="-4"/>
      <w:kern w:val="2"/>
      <w:sz w:val="18"/>
    </w:rPr>
  </w:style>
  <w:style w:type="character" w:customStyle="1" w:styleId="226">
    <w:name w:val="Char Char4"/>
    <w:autoRedefine/>
    <w:qFormat/>
    <w:uiPriority w:val="0"/>
    <w:rPr>
      <w:rFonts w:ascii="宋体" w:hAnsi="Courier New" w:eastAsia="宋体"/>
      <w:kern w:val="2"/>
      <w:sz w:val="24"/>
      <w:szCs w:val="24"/>
      <w:lang w:val="en-US" w:eastAsia="zh-CN" w:bidi="ar-SA"/>
    </w:rPr>
  </w:style>
  <w:style w:type="character" w:customStyle="1" w:styleId="227">
    <w:name w:val="正文文本缩进 3 Char1"/>
    <w:autoRedefine/>
    <w:semiHidden/>
    <w:qFormat/>
    <w:uiPriority w:val="99"/>
    <w:rPr>
      <w:rFonts w:ascii="Times New Roman" w:hAnsi="Times New Roman" w:eastAsia="宋体" w:cs="Times New Roman"/>
      <w:sz w:val="16"/>
      <w:szCs w:val="16"/>
    </w:rPr>
  </w:style>
  <w:style w:type="character" w:customStyle="1" w:styleId="228">
    <w:name w:val="Char Char7"/>
    <w:autoRedefine/>
    <w:qFormat/>
    <w:uiPriority w:val="0"/>
    <w:rPr>
      <w:rFonts w:eastAsia="宋体"/>
      <w:kern w:val="2"/>
      <w:sz w:val="21"/>
      <w:lang w:val="en-US" w:eastAsia="zh-CN" w:bidi="ar-SA"/>
    </w:rPr>
  </w:style>
  <w:style w:type="character" w:customStyle="1" w:styleId="229">
    <w:name w:val="A正文 Char"/>
    <w:link w:val="230"/>
    <w:autoRedefine/>
    <w:qFormat/>
    <w:uiPriority w:val="0"/>
    <w:rPr>
      <w:szCs w:val="24"/>
    </w:rPr>
  </w:style>
  <w:style w:type="paragraph" w:customStyle="1" w:styleId="230">
    <w:name w:val="A正文"/>
    <w:basedOn w:val="1"/>
    <w:link w:val="229"/>
    <w:autoRedefine/>
    <w:qFormat/>
    <w:uiPriority w:val="0"/>
    <w:pPr>
      <w:spacing w:line="360" w:lineRule="auto"/>
      <w:ind w:firstLine="200" w:firstLineChars="200"/>
    </w:pPr>
    <w:rPr>
      <w:kern w:val="0"/>
      <w:sz w:val="20"/>
    </w:rPr>
  </w:style>
  <w:style w:type="character" w:customStyle="1" w:styleId="231">
    <w:name w:val="正文1 Char Char"/>
    <w:link w:val="232"/>
    <w:autoRedefine/>
    <w:qFormat/>
    <w:uiPriority w:val="0"/>
    <w:rPr>
      <w:rFonts w:ascii="宋体" w:hAnsi="宋体" w:eastAsia="宋体"/>
      <w:color w:val="000000"/>
      <w:sz w:val="24"/>
    </w:rPr>
  </w:style>
  <w:style w:type="paragraph" w:customStyle="1" w:styleId="232">
    <w:name w:val="正文1"/>
    <w:basedOn w:val="1"/>
    <w:link w:val="231"/>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autoRedefine/>
    <w:qFormat/>
    <w:uiPriority w:val="0"/>
    <w:rPr>
      <w:kern w:val="2"/>
      <w:sz w:val="28"/>
      <w:szCs w:val="24"/>
    </w:rPr>
  </w:style>
  <w:style w:type="character" w:customStyle="1" w:styleId="234">
    <w:name w:val="粘贴正文 Char"/>
    <w:link w:val="235"/>
    <w:autoRedefine/>
    <w:qFormat/>
    <w:uiPriority w:val="0"/>
    <w:rPr>
      <w:kern w:val="2"/>
      <w:sz w:val="24"/>
      <w:szCs w:val="21"/>
      <w:lang w:val="en-US" w:eastAsia="zh-CN" w:bidi="ar-SA"/>
    </w:rPr>
  </w:style>
  <w:style w:type="paragraph" w:customStyle="1" w:styleId="235">
    <w:name w:val="粘贴正文"/>
    <w:link w:val="234"/>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autoRedefine/>
    <w:qFormat/>
    <w:uiPriority w:val="0"/>
    <w:rPr>
      <w:rFonts w:ascii="Arial" w:hAnsi="Arial"/>
      <w:szCs w:val="21"/>
    </w:rPr>
  </w:style>
  <w:style w:type="paragraph" w:customStyle="1" w:styleId="237">
    <w:name w:val="缺省文本"/>
    <w:basedOn w:val="1"/>
    <w:link w:val="236"/>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autoRedefine/>
    <w:semiHidden/>
    <w:qFormat/>
    <w:locked/>
    <w:uiPriority w:val="0"/>
    <w:rPr>
      <w:rFonts w:cs="Times New Roman"/>
      <w:b/>
      <w:bCs/>
      <w:kern w:val="0"/>
      <w:sz w:val="24"/>
      <w:szCs w:val="24"/>
    </w:rPr>
  </w:style>
  <w:style w:type="character" w:customStyle="1" w:styleId="239">
    <w:name w:val="font21"/>
    <w:autoRedefine/>
    <w:qFormat/>
    <w:uiPriority w:val="0"/>
    <w:rPr>
      <w:rFonts w:hint="eastAsia" w:ascii="宋体" w:hAnsi="宋体" w:eastAsia="宋体" w:cs="宋体"/>
      <w:color w:val="000000"/>
      <w:sz w:val="20"/>
      <w:szCs w:val="20"/>
      <w:u w:val="none"/>
    </w:rPr>
  </w:style>
  <w:style w:type="character" w:customStyle="1" w:styleId="240">
    <w:name w:val="批注主题 Char"/>
    <w:link w:val="49"/>
    <w:autoRedefine/>
    <w:qFormat/>
    <w:uiPriority w:val="99"/>
    <w:rPr>
      <w:b/>
      <w:bCs/>
      <w:szCs w:val="24"/>
    </w:rPr>
  </w:style>
  <w:style w:type="character" w:customStyle="1" w:styleId="241">
    <w:name w:val="文档结构图 Char1"/>
    <w:autoRedefine/>
    <w:semiHidden/>
    <w:qFormat/>
    <w:uiPriority w:val="99"/>
    <w:rPr>
      <w:rFonts w:ascii="宋体" w:hAnsi="Times New Roman" w:eastAsia="宋体" w:cs="Times New Roman"/>
      <w:sz w:val="18"/>
      <w:szCs w:val="18"/>
    </w:rPr>
  </w:style>
  <w:style w:type="character" w:customStyle="1" w:styleId="242">
    <w:name w:val="纯文本 字符1"/>
    <w:autoRedefine/>
    <w:semiHidden/>
    <w:qFormat/>
    <w:locked/>
    <w:uiPriority w:val="0"/>
    <w:rPr>
      <w:rFonts w:ascii="宋体" w:hAnsi="Courier New"/>
      <w:sz w:val="24"/>
      <w:szCs w:val="24"/>
    </w:rPr>
  </w:style>
  <w:style w:type="character" w:customStyle="1" w:styleId="243">
    <w:name w:val="Char Char19"/>
    <w:autoRedefine/>
    <w:qFormat/>
    <w:uiPriority w:val="0"/>
    <w:rPr>
      <w:rFonts w:ascii="Arial" w:hAnsi="Arial" w:eastAsia="黑体"/>
      <w:kern w:val="2"/>
      <w:sz w:val="21"/>
      <w:szCs w:val="21"/>
    </w:rPr>
  </w:style>
  <w:style w:type="character" w:customStyle="1" w:styleId="244">
    <w:name w:val="Item List Char"/>
    <w:link w:val="245"/>
    <w:autoRedefine/>
    <w:qFormat/>
    <w:uiPriority w:val="0"/>
    <w:rPr>
      <w:rFonts w:cs="Arial"/>
      <w:kern w:val="2"/>
      <w:sz w:val="21"/>
      <w:szCs w:val="21"/>
      <w:lang w:val="en-US" w:eastAsia="zh-CN" w:bidi="ar-SA"/>
    </w:rPr>
  </w:style>
  <w:style w:type="paragraph" w:customStyle="1" w:styleId="245">
    <w:name w:val="Item List"/>
    <w:link w:val="244"/>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autoRedefine/>
    <w:qFormat/>
    <w:uiPriority w:val="0"/>
    <w:rPr>
      <w:rFonts w:eastAsia="仿宋_GB2312"/>
      <w:kern w:val="2"/>
      <w:sz w:val="18"/>
    </w:rPr>
  </w:style>
  <w:style w:type="character" w:customStyle="1" w:styleId="247">
    <w:name w:val="Heading 6 Char"/>
    <w:autoRedefine/>
    <w:semiHidden/>
    <w:qFormat/>
    <w:locked/>
    <w:uiPriority w:val="0"/>
    <w:rPr>
      <w:rFonts w:ascii="Cambria" w:hAnsi="Cambria" w:eastAsia="宋体" w:cs="Times New Roman"/>
      <w:b/>
      <w:bCs/>
      <w:kern w:val="0"/>
      <w:sz w:val="24"/>
      <w:szCs w:val="24"/>
    </w:rPr>
  </w:style>
  <w:style w:type="paragraph" w:customStyle="1" w:styleId="248">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autoRedefine/>
    <w:qFormat/>
    <w:uiPriority w:val="0"/>
    <w:pPr>
      <w:widowControl/>
      <w:numPr>
        <w:ilvl w:val="0"/>
        <w:numId w:val="1"/>
      </w:numPr>
      <w:spacing w:afterLines="50"/>
      <w:jc w:val="left"/>
    </w:pPr>
  </w:style>
  <w:style w:type="paragraph" w:customStyle="1" w:styleId="251">
    <w:name w:val="Char11"/>
    <w:basedOn w:val="1"/>
    <w:autoRedefine/>
    <w:qFormat/>
    <w:uiPriority w:val="0"/>
    <w:rPr>
      <w:rFonts w:ascii="仿宋_GB2312" w:hAnsi="宋体" w:eastAsia="仿宋_GB2312" w:cs="宋体"/>
      <w:b/>
      <w:sz w:val="32"/>
      <w:szCs w:val="32"/>
    </w:rPr>
  </w:style>
  <w:style w:type="paragraph" w:customStyle="1" w:styleId="252">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autoRedefine/>
    <w:qFormat/>
    <w:uiPriority w:val="0"/>
    <w:pPr>
      <w:tabs>
        <w:tab w:val="left" w:pos="0"/>
      </w:tabs>
    </w:pPr>
    <w:rPr>
      <w:rFonts w:ascii="Arial" w:hAnsi="Arial" w:eastAsia="楷体_GB2312"/>
      <w:color w:val="000080"/>
      <w:sz w:val="28"/>
      <w:szCs w:val="28"/>
    </w:rPr>
  </w:style>
  <w:style w:type="paragraph" w:customStyle="1" w:styleId="257">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8">
    <w:name w:val="列出段落1"/>
    <w:basedOn w:val="1"/>
    <w:autoRedefine/>
    <w:qFormat/>
    <w:uiPriority w:val="34"/>
    <w:pPr>
      <w:ind w:firstLine="420" w:firstLineChars="200"/>
    </w:pPr>
  </w:style>
  <w:style w:type="paragraph" w:customStyle="1" w:styleId="26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autoRedefine/>
    <w:qFormat/>
    <w:uiPriority w:val="0"/>
    <w:pPr>
      <w:spacing w:line="360" w:lineRule="auto"/>
      <w:ind w:firstLine="420" w:firstLineChars="200"/>
    </w:pPr>
    <w:rPr>
      <w:rFonts w:ascii="宋体" w:hAnsi="宋体"/>
      <w:sz w:val="24"/>
    </w:rPr>
  </w:style>
  <w:style w:type="paragraph" w:customStyle="1" w:styleId="271">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autoRedefine/>
    <w:qFormat/>
    <w:uiPriority w:val="0"/>
    <w:rPr>
      <w:szCs w:val="20"/>
    </w:rPr>
  </w:style>
  <w:style w:type="paragraph" w:customStyle="1" w:styleId="275">
    <w:name w:val="样式23"/>
    <w:basedOn w:val="276"/>
    <w:autoRedefine/>
    <w:qFormat/>
    <w:uiPriority w:val="0"/>
    <w:pPr>
      <w:tabs>
        <w:tab w:val="left" w:pos="420"/>
      </w:tabs>
      <w:adjustRightInd w:val="0"/>
      <w:snapToGrid w:val="0"/>
      <w:spacing w:after="0" w:line="240" w:lineRule="auto"/>
    </w:pPr>
    <w:rPr>
      <w:szCs w:val="20"/>
    </w:rPr>
  </w:style>
  <w:style w:type="paragraph" w:customStyle="1" w:styleId="276">
    <w:name w:val="小点说明"/>
    <w:basedOn w:val="1"/>
    <w:autoRedefine/>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82">
    <w:name w:val="首行缩进"/>
    <w:basedOn w:val="1"/>
    <w:autoRedefine/>
    <w:qFormat/>
    <w:uiPriority w:val="0"/>
    <w:pPr>
      <w:spacing w:line="360" w:lineRule="auto"/>
      <w:ind w:firstLine="720"/>
    </w:pPr>
    <w:rPr>
      <w:szCs w:val="21"/>
    </w:rPr>
  </w:style>
  <w:style w:type="paragraph" w:customStyle="1" w:styleId="283">
    <w:name w:val="正文段"/>
    <w:basedOn w:val="1"/>
    <w:autoRedefine/>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autoRedefine/>
    <w:qFormat/>
    <w:uiPriority w:val="0"/>
    <w:pPr>
      <w:spacing w:line="240" w:lineRule="auto"/>
      <w:ind w:firstLine="0" w:firstLineChars="0"/>
    </w:pPr>
    <w:rPr>
      <w:rFonts w:cs="宋体"/>
      <w:szCs w:val="20"/>
    </w:rPr>
  </w:style>
  <w:style w:type="paragraph" w:customStyle="1" w:styleId="285">
    <w:name w:val="TOC 标题1"/>
    <w:basedOn w:val="2"/>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autoRedefine/>
    <w:qFormat/>
    <w:uiPriority w:val="0"/>
    <w:pPr>
      <w:tabs>
        <w:tab w:val="left" w:pos="851"/>
      </w:tabs>
      <w:spacing w:line="360" w:lineRule="auto"/>
      <w:jc w:val="left"/>
    </w:pPr>
    <w:rPr>
      <w:rFonts w:cs="宋体"/>
      <w:sz w:val="24"/>
      <w:szCs w:val="20"/>
    </w:rPr>
  </w:style>
  <w:style w:type="paragraph" w:customStyle="1" w:styleId="29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autoRedefine/>
    <w:qFormat/>
    <w:uiPriority w:val="0"/>
    <w:pPr>
      <w:widowControl/>
      <w:jc w:val="left"/>
    </w:pPr>
    <w:rPr>
      <w:rFonts w:ascii="宋体" w:hAnsi="宋体"/>
      <w:kern w:val="0"/>
      <w:sz w:val="20"/>
      <w:szCs w:val="20"/>
    </w:rPr>
  </w:style>
  <w:style w:type="paragraph" w:customStyle="1" w:styleId="298">
    <w:name w:val="Char Char"/>
    <w:basedOn w:val="1"/>
    <w:autoRedefine/>
    <w:qFormat/>
    <w:uiPriority w:val="0"/>
    <w:pPr>
      <w:jc w:val="center"/>
    </w:pPr>
    <w:rPr>
      <w:rFonts w:ascii="仿宋_GB2312" w:eastAsia="仿宋_GB2312"/>
      <w:b/>
      <w:kern w:val="0"/>
      <w:sz w:val="32"/>
      <w:szCs w:val="32"/>
      <w:lang w:val="en-GB"/>
    </w:rPr>
  </w:style>
  <w:style w:type="paragraph" w:customStyle="1" w:styleId="299">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autoRedefine/>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autoRedefine/>
    <w:qFormat/>
    <w:uiPriority w:val="0"/>
    <w:pPr>
      <w:widowControl/>
    </w:pPr>
    <w:rPr>
      <w:rFonts w:ascii="Arial" w:hAnsi="Arial" w:cs="Arial"/>
      <w:color w:val="333333"/>
      <w:kern w:val="0"/>
      <w:sz w:val="18"/>
      <w:szCs w:val="18"/>
    </w:rPr>
  </w:style>
  <w:style w:type="paragraph" w:customStyle="1" w:styleId="304">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autoRedefine/>
    <w:qFormat/>
    <w:uiPriority w:val="0"/>
    <w:rPr>
      <w:rFonts w:ascii="Tahoma" w:hAnsi="Tahoma"/>
      <w:sz w:val="24"/>
      <w:szCs w:val="20"/>
    </w:rPr>
  </w:style>
  <w:style w:type="paragraph" w:customStyle="1" w:styleId="307">
    <w:name w:val="样式26"/>
    <w:basedOn w:val="308"/>
    <w:autoRedefine/>
    <w:qFormat/>
    <w:uiPriority w:val="0"/>
    <w:pPr>
      <w:tabs>
        <w:tab w:val="left" w:pos="180"/>
        <w:tab w:val="left" w:pos="1580"/>
      </w:tabs>
      <w:ind w:left="1603" w:hanging="363"/>
    </w:pPr>
  </w:style>
  <w:style w:type="paragraph" w:customStyle="1" w:styleId="308">
    <w:name w:val="样式25"/>
    <w:basedOn w:val="1"/>
    <w:autoRedefine/>
    <w:qFormat/>
    <w:uiPriority w:val="0"/>
    <w:pPr>
      <w:tabs>
        <w:tab w:val="left" w:pos="180"/>
      </w:tabs>
      <w:ind w:left="1260" w:hanging="720"/>
    </w:pPr>
    <w:rPr>
      <w:sz w:val="24"/>
      <w:szCs w:val="20"/>
    </w:rPr>
  </w:style>
  <w:style w:type="paragraph" w:customStyle="1" w:styleId="309">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10">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autoRedefine/>
    <w:qFormat/>
    <w:uiPriority w:val="0"/>
    <w:pPr>
      <w:ind w:firstLine="200" w:firstLineChars="200"/>
    </w:pPr>
    <w:rPr>
      <w:szCs w:val="20"/>
    </w:rPr>
  </w:style>
  <w:style w:type="paragraph" w:customStyle="1" w:styleId="314">
    <w:name w:val="样式 标题 3列表编号3h33rd level + 段前: 1 行"/>
    <w:basedOn w:val="4"/>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autoRedefine/>
    <w:qFormat/>
    <w:uiPriority w:val="0"/>
    <w:pPr>
      <w:spacing w:after="80" w:line="360" w:lineRule="auto"/>
      <w:ind w:firstLine="480" w:firstLineChars="200"/>
    </w:pPr>
    <w:rPr>
      <w:sz w:val="24"/>
    </w:rPr>
  </w:style>
  <w:style w:type="paragraph" w:customStyle="1" w:styleId="320">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autoRedefine/>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autoRedefine/>
    <w:qFormat/>
    <w:uiPriority w:val="0"/>
    <w:rPr>
      <w:rFonts w:ascii="仿宋_GB2312" w:eastAsia="仿宋_GB2312"/>
      <w:b/>
      <w:sz w:val="32"/>
      <w:szCs w:val="32"/>
    </w:rPr>
  </w:style>
  <w:style w:type="paragraph" w:customStyle="1" w:styleId="33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autoRedefine/>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8">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autoRedefine/>
    <w:qFormat/>
    <w:uiPriority w:val="0"/>
    <w:pPr>
      <w:keepNext/>
      <w:keepLines/>
      <w:ind w:left="1134"/>
      <w:jc w:val="center"/>
    </w:pPr>
  </w:style>
  <w:style w:type="paragraph" w:customStyle="1" w:styleId="340">
    <w:name w:val="Figure Description"/>
    <w:basedOn w:val="339"/>
    <w:next w:val="113"/>
    <w:autoRedefine/>
    <w:qFormat/>
    <w:uiPriority w:val="0"/>
    <w:pPr>
      <w:tabs>
        <w:tab w:val="left" w:pos="680"/>
      </w:tabs>
      <w:spacing w:afterLines="100"/>
    </w:pPr>
    <w:rPr>
      <w:sz w:val="18"/>
    </w:rPr>
  </w:style>
  <w:style w:type="paragraph" w:customStyle="1" w:styleId="341">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4">
    <w:name w:val="p19"/>
    <w:basedOn w:val="1"/>
    <w:autoRedefine/>
    <w:qFormat/>
    <w:uiPriority w:val="0"/>
    <w:pPr>
      <w:widowControl/>
      <w:spacing w:beforeLines="100" w:afterLines="100"/>
      <w:ind w:left="1134"/>
    </w:pPr>
    <w:rPr>
      <w:kern w:val="0"/>
      <w:szCs w:val="21"/>
    </w:rPr>
  </w:style>
  <w:style w:type="paragraph" w:customStyle="1" w:styleId="345">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autoRedefine/>
    <w:qFormat/>
    <w:uiPriority w:val="0"/>
    <w:pPr>
      <w:widowControl/>
      <w:jc w:val="left"/>
    </w:pPr>
    <w:rPr>
      <w:sz w:val="36"/>
    </w:rPr>
  </w:style>
  <w:style w:type="paragraph" w:customStyle="1" w:styleId="351">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autoRedefine/>
    <w:qFormat/>
    <w:uiPriority w:val="0"/>
    <w:pPr>
      <w:tabs>
        <w:tab w:val="left" w:pos="1080"/>
      </w:tabs>
      <w:ind w:left="1134" w:firstLine="0" w:firstLineChars="0"/>
    </w:pPr>
  </w:style>
  <w:style w:type="paragraph" w:customStyle="1" w:styleId="354">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autoRedefine/>
    <w:qFormat/>
    <w:uiPriority w:val="0"/>
    <w:pPr>
      <w:jc w:val="center"/>
    </w:pPr>
  </w:style>
  <w:style w:type="paragraph" w:customStyle="1" w:styleId="363">
    <w:name w:val="Item Step in Table"/>
    <w:basedOn w:val="1"/>
    <w:autoRedefine/>
    <w:qFormat/>
    <w:uiPriority w:val="0"/>
    <w:pPr>
      <w:tabs>
        <w:tab w:val="left" w:pos="420"/>
      </w:tabs>
      <w:ind w:left="420" w:hanging="420"/>
      <w:jc w:val="left"/>
    </w:pPr>
  </w:style>
  <w:style w:type="paragraph" w:customStyle="1" w:styleId="364">
    <w:name w:val="默认段落字体 Para Char"/>
    <w:basedOn w:val="1"/>
    <w:autoRedefine/>
    <w:qFormat/>
    <w:uiPriority w:val="0"/>
    <w:rPr>
      <w:szCs w:val="20"/>
    </w:rPr>
  </w:style>
  <w:style w:type="paragraph" w:customStyle="1" w:styleId="365">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autoRedefine/>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autoRedefine/>
    <w:qFormat/>
    <w:uiPriority w:val="0"/>
    <w:rPr>
      <w:rFonts w:ascii="仿宋_GB2312" w:hAnsi="宋体" w:eastAsia="仿宋_GB2312" w:cs="宋体"/>
      <w:b/>
      <w:sz w:val="32"/>
      <w:szCs w:val="32"/>
    </w:rPr>
  </w:style>
  <w:style w:type="paragraph" w:customStyle="1" w:styleId="371">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autoRedefine/>
    <w:qFormat/>
    <w:uiPriority w:val="0"/>
    <w:pPr>
      <w:numPr>
        <w:ilvl w:val="0"/>
        <w:numId w:val="2"/>
      </w:numPr>
      <w:jc w:val="left"/>
    </w:pPr>
  </w:style>
  <w:style w:type="paragraph" w:customStyle="1" w:styleId="373">
    <w:name w:val="Table Heading"/>
    <w:basedOn w:val="1"/>
    <w:autoRedefine/>
    <w:qFormat/>
    <w:uiPriority w:val="0"/>
    <w:pPr>
      <w:jc w:val="center"/>
    </w:pPr>
    <w:rPr>
      <w:rFonts w:ascii="Arial" w:hAnsi="Arial" w:eastAsia="黑体"/>
      <w:b/>
    </w:rPr>
  </w:style>
  <w:style w:type="paragraph" w:customStyle="1" w:styleId="374">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5">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autoRedefine/>
    <w:qFormat/>
    <w:uiPriority w:val="34"/>
    <w:pPr>
      <w:spacing w:line="360" w:lineRule="auto"/>
      <w:ind w:firstLine="420" w:firstLineChars="200"/>
    </w:pPr>
    <w:rPr>
      <w:rFonts w:ascii="Calibri" w:hAnsi="Calibri"/>
      <w:szCs w:val="22"/>
    </w:rPr>
  </w:style>
  <w:style w:type="paragraph" w:customStyle="1" w:styleId="37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autoRedefine/>
    <w:qFormat/>
    <w:uiPriority w:val="0"/>
    <w:rPr>
      <w:sz w:val="18"/>
    </w:rPr>
  </w:style>
  <w:style w:type="paragraph" w:customStyle="1" w:styleId="380">
    <w:name w:val="次小点说明"/>
    <w:basedOn w:val="13"/>
    <w:autoRedefine/>
    <w:qFormat/>
    <w:uiPriority w:val="0"/>
    <w:pPr>
      <w:tabs>
        <w:tab w:val="left" w:pos="720"/>
      </w:tabs>
      <w:spacing w:line="360" w:lineRule="auto"/>
      <w:ind w:left="777" w:hanging="417"/>
    </w:pPr>
    <w:rPr>
      <w:sz w:val="24"/>
    </w:rPr>
  </w:style>
  <w:style w:type="paragraph" w:customStyle="1" w:styleId="381">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autoRedefine/>
    <w:qFormat/>
    <w:uiPriority w:val="0"/>
    <w:pPr>
      <w:spacing w:line="360" w:lineRule="auto"/>
      <w:ind w:firstLine="200" w:firstLineChars="200"/>
    </w:pPr>
    <w:rPr>
      <w:sz w:val="24"/>
    </w:rPr>
  </w:style>
  <w:style w:type="paragraph" w:customStyle="1" w:styleId="383">
    <w:name w:val="方案标题4"/>
    <w:basedOn w:val="5"/>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autoRedefine/>
    <w:qFormat/>
    <w:uiPriority w:val="0"/>
    <w:pPr>
      <w:ind w:left="420" w:hanging="420"/>
    </w:pPr>
    <w:rPr>
      <w:sz w:val="28"/>
      <w:szCs w:val="20"/>
    </w:rPr>
  </w:style>
  <w:style w:type="paragraph" w:customStyle="1" w:styleId="388">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autoRedefine/>
    <w:qFormat/>
    <w:uiPriority w:val="0"/>
    <w:pPr>
      <w:spacing w:line="360" w:lineRule="auto"/>
      <w:ind w:firstLine="461" w:firstLineChars="192"/>
    </w:pPr>
    <w:rPr>
      <w:rFonts w:ascii="宋体" w:hAnsi="宋体"/>
      <w:sz w:val="24"/>
    </w:rPr>
  </w:style>
  <w:style w:type="paragraph" w:customStyle="1" w:styleId="392">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autoRedefine/>
    <w:qFormat/>
    <w:uiPriority w:val="0"/>
    <w:pPr>
      <w:widowControl/>
      <w:spacing w:afterLines="100"/>
      <w:ind w:left="1134"/>
      <w:jc w:val="center"/>
    </w:pPr>
    <w:rPr>
      <w:kern w:val="0"/>
      <w:sz w:val="18"/>
      <w:szCs w:val="18"/>
    </w:rPr>
  </w:style>
  <w:style w:type="paragraph" w:customStyle="1" w:styleId="39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autoRedefine/>
    <w:qFormat/>
    <w:uiPriority w:val="0"/>
    <w:pPr>
      <w:spacing w:line="240" w:lineRule="atLeast"/>
      <w:ind w:left="420" w:firstLine="420"/>
    </w:pPr>
  </w:style>
  <w:style w:type="paragraph" w:customStyle="1" w:styleId="39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autoRedefine/>
    <w:semiHidden/>
    <w:qFormat/>
    <w:uiPriority w:val="0"/>
    <w:rPr>
      <w:kern w:val="2"/>
      <w:sz w:val="21"/>
      <w:szCs w:val="24"/>
      <w:lang w:val="en-US" w:eastAsia="zh-CN" w:bidi="ar-SA"/>
    </w:rPr>
  </w:style>
  <w:style w:type="character" w:customStyle="1" w:styleId="401">
    <w:name w:val="font121"/>
    <w:basedOn w:val="53"/>
    <w:autoRedefine/>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autoRedefine/>
    <w:qFormat/>
    <w:uiPriority w:val="34"/>
    <w:pPr>
      <w:ind w:firstLine="420" w:firstLineChars="200"/>
    </w:pPr>
  </w:style>
  <w:style w:type="table" w:customStyle="1" w:styleId="403">
    <w:name w:val="Table Normal"/>
    <w:autoRedefine/>
    <w:semiHidden/>
    <w:unhideWhenUsed/>
    <w:qFormat/>
    <w:uiPriority w:val="0"/>
    <w:tblPr>
      <w:tblCellMar>
        <w:top w:w="0" w:type="dxa"/>
        <w:left w:w="0" w:type="dxa"/>
        <w:bottom w:w="0" w:type="dxa"/>
        <w:right w:w="0" w:type="dxa"/>
      </w:tblCellMar>
    </w:tblPr>
  </w:style>
  <w:style w:type="character" w:customStyle="1" w:styleId="404">
    <w:name w:val="font01"/>
    <w:basedOn w:val="53"/>
    <w:autoRedefine/>
    <w:qFormat/>
    <w:uiPriority w:val="0"/>
    <w:rPr>
      <w:rFonts w:hint="default" w:ascii="Tahoma" w:hAnsi="Tahoma" w:eastAsia="Tahoma" w:cs="Tahoma"/>
      <w:color w:val="000000"/>
      <w:sz w:val="22"/>
      <w:szCs w:val="22"/>
      <w:u w:val="none"/>
    </w:rPr>
  </w:style>
  <w:style w:type="paragraph" w:styleId="405">
    <w:name w:val="List Paragraph"/>
    <w:basedOn w:val="1"/>
    <w:autoRedefine/>
    <w:unhideWhenUsed/>
    <w:qFormat/>
    <w:uiPriority w:val="99"/>
    <w:pPr>
      <w:ind w:firstLine="420" w:firstLineChars="200"/>
    </w:pPr>
  </w:style>
  <w:style w:type="paragraph" w:customStyle="1" w:styleId="406">
    <w:name w:val="正文2"/>
    <w:basedOn w:val="1"/>
    <w:autoRedefine/>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 w:type="paragraph" w:customStyle="1" w:styleId="408">
    <w:name w:val="正文 "/>
    <w:basedOn w:val="1"/>
    <w:autoRedefine/>
    <w:qFormat/>
    <w:uiPriority w:val="0"/>
    <w:pPr>
      <w:adjustRightInd w:val="0"/>
      <w:spacing w:line="318" w:lineRule="atLeast"/>
      <w:ind w:left="369" w:firstLine="369"/>
      <w:textAlignment w:val="baseline"/>
    </w:pPr>
    <w:rPr>
      <w:rFonts w:hint="eastAsia" w:ascii="宋体" w:hAnsi="Times New Roman"/>
    </w:rPr>
  </w:style>
  <w:style w:type="paragraph" w:customStyle="1" w:styleId="409">
    <w:name w:val="_Style 1"/>
    <w:qFormat/>
    <w:uiPriority w:val="99"/>
    <w:rPr>
      <w:rFonts w:ascii="Times New Roman" w:hAnsi="Times New Roman" w:eastAsia="宋体" w:cs="Times New Roman"/>
      <w:kern w:val="2"/>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216</Pages>
  <Words>30109</Words>
  <Characters>35446</Characters>
  <Lines>228</Lines>
  <Paragraphs>64</Paragraphs>
  <TotalTime>0</TotalTime>
  <ScaleCrop>false</ScaleCrop>
  <LinksUpToDate>false</LinksUpToDate>
  <CharactersWithSpaces>35967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中永</cp:lastModifiedBy>
  <cp:lastPrinted>2026-04-20T12:02:00Z</cp:lastPrinted>
  <dcterms:modified xsi:type="dcterms:W3CDTF">2026-04-24T08:08:41Z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08A80E78C7154486AAF8AC6476DAF558_13</vt:lpwstr>
  </property>
  <property fmtid="{D5CDD505-2E9C-101B-9397-08002B2CF9AE}" pid="4" name="KSOTemplateDocerSaveRecord">
    <vt:lpwstr>eyJoZGlkIjoiOWFkYmFiYjdhM2M0Y2NmNjNkMjU0ZWFjYWY0NTQ5NzQiLCJ1c2VySWQiOiI0OTg3MDQxOTYifQ==</vt:lpwstr>
  </property>
</Properties>
</file>