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B4174C">
      <w:pPr>
        <w:pStyle w:val="29"/>
        <w:rPr>
          <w:color w:val="auto"/>
          <w:highlight w:val="none"/>
        </w:rPr>
      </w:pPr>
    </w:p>
    <w:p w14:paraId="1B8D1ABD">
      <w:pPr>
        <w:tabs>
          <w:tab w:val="left" w:pos="2153"/>
          <w:tab w:val="center" w:pos="4652"/>
        </w:tabs>
        <w:jc w:val="left"/>
        <w:rPr>
          <w:rFonts w:hint="eastAsia" w:asciiTheme="minorEastAsia" w:hAnsiTheme="minorEastAsia" w:eastAsiaTheme="minorEastAsia" w:cstheme="minorEastAsia"/>
          <w:bCs/>
          <w:color w:val="auto"/>
          <w:sz w:val="44"/>
          <w:szCs w:val="44"/>
          <w:highlight w:val="none"/>
        </w:rPr>
      </w:pPr>
      <w:r>
        <w:rPr>
          <w:rFonts w:hint="eastAsia" w:asciiTheme="minorEastAsia" w:hAnsiTheme="minorEastAsia" w:eastAsiaTheme="minorEastAsia" w:cstheme="minorEastAsia"/>
          <w:bCs/>
          <w:color w:val="auto"/>
          <w:sz w:val="44"/>
          <w:szCs w:val="44"/>
          <w:highlight w:val="none"/>
        </w:rPr>
        <w:tab/>
      </w:r>
    </w:p>
    <w:p w14:paraId="338C7BEA">
      <w:pPr>
        <w:tabs>
          <w:tab w:val="left" w:pos="2153"/>
          <w:tab w:val="center" w:pos="4652"/>
        </w:tabs>
        <w:jc w:val="left"/>
        <w:rPr>
          <w:rFonts w:hint="eastAsia" w:asciiTheme="minorEastAsia" w:hAnsiTheme="minorEastAsia" w:eastAsiaTheme="minorEastAsia" w:cstheme="minorEastAsia"/>
          <w:bCs/>
          <w:color w:val="auto"/>
          <w:sz w:val="44"/>
          <w:szCs w:val="44"/>
          <w:highlight w:val="none"/>
        </w:rPr>
      </w:pPr>
    </w:p>
    <w:p w14:paraId="5782F3F5">
      <w:pPr>
        <w:tabs>
          <w:tab w:val="left" w:pos="2153"/>
          <w:tab w:val="center" w:pos="4652"/>
        </w:tabs>
        <w:jc w:val="left"/>
        <w:rPr>
          <w:rFonts w:hint="eastAsia" w:asciiTheme="minorEastAsia" w:hAnsiTheme="minorEastAsia" w:eastAsiaTheme="minorEastAsia" w:cstheme="minorEastAsia"/>
          <w:bCs/>
          <w:color w:val="auto"/>
          <w:sz w:val="44"/>
          <w:szCs w:val="44"/>
          <w:highlight w:val="none"/>
        </w:rPr>
      </w:pPr>
    </w:p>
    <w:p w14:paraId="32576B3A">
      <w:pPr>
        <w:tabs>
          <w:tab w:val="left" w:pos="2153"/>
          <w:tab w:val="center" w:pos="4652"/>
        </w:tabs>
        <w:jc w:val="left"/>
        <w:rPr>
          <w:rFonts w:asciiTheme="minorEastAsia" w:hAnsiTheme="minorEastAsia" w:eastAsiaTheme="minorEastAsia" w:cstheme="minorEastAsia"/>
          <w:bCs/>
          <w:color w:val="auto"/>
          <w:sz w:val="44"/>
          <w:szCs w:val="44"/>
          <w:highlight w:val="none"/>
        </w:rPr>
      </w:pPr>
      <w:r>
        <w:rPr>
          <w:rFonts w:hint="eastAsia" w:asciiTheme="minorEastAsia" w:hAnsiTheme="minorEastAsia" w:eastAsiaTheme="minorEastAsia" w:cstheme="minorEastAsia"/>
          <w:bCs/>
          <w:color w:val="auto"/>
          <w:sz w:val="44"/>
          <w:szCs w:val="44"/>
          <w:highlight w:val="none"/>
        </w:rPr>
        <w:tab/>
      </w:r>
      <w:r>
        <w:rPr>
          <w:rFonts w:hint="eastAsia" w:asciiTheme="minorEastAsia" w:hAnsiTheme="minorEastAsia" w:eastAsiaTheme="minorEastAsia" w:cstheme="minorEastAsia"/>
          <w:bCs/>
          <w:color w:val="auto"/>
          <w:sz w:val="44"/>
          <w:szCs w:val="44"/>
          <w:highlight w:val="none"/>
        </w:rPr>
        <w:t>临海市限额以下建设工程</w:t>
      </w:r>
    </w:p>
    <w:p w14:paraId="406CFF7C">
      <w:pPr>
        <w:jc w:val="center"/>
        <w:rPr>
          <w:rFonts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b/>
          <w:color w:val="auto"/>
          <w:sz w:val="72"/>
          <w:szCs w:val="72"/>
          <w:highlight w:val="none"/>
        </w:rPr>
        <w:t>招 标 文 件</w:t>
      </w:r>
    </w:p>
    <w:p w14:paraId="115073EE">
      <w:pPr>
        <w:spacing w:line="440" w:lineRule="exact"/>
        <w:rPr>
          <w:rFonts w:ascii="宋体" w:hAnsi="宋体"/>
          <w:b/>
          <w:bCs/>
          <w:color w:val="auto"/>
          <w:sz w:val="28"/>
          <w:highlight w:val="none"/>
        </w:rPr>
      </w:pPr>
    </w:p>
    <w:p w14:paraId="5BAEC517">
      <w:pPr>
        <w:spacing w:line="288" w:lineRule="auto"/>
        <w:jc w:val="center"/>
        <w:rPr>
          <w:rFonts w:asciiTheme="minorEastAsia" w:hAnsiTheme="minorEastAsia" w:eastAsiaTheme="minorEastAsia" w:cstheme="minorEastAsia"/>
          <w:color w:val="auto"/>
          <w:sz w:val="28"/>
          <w:highlight w:val="none"/>
        </w:rPr>
      </w:pPr>
    </w:p>
    <w:p w14:paraId="269B7CB7">
      <w:pPr>
        <w:spacing w:line="480" w:lineRule="auto"/>
        <w:ind w:right="-173" w:rightChars="-54"/>
        <w:rPr>
          <w:rFonts w:asciiTheme="minorEastAsia" w:hAnsiTheme="minorEastAsia" w:eastAsiaTheme="minorEastAsia" w:cstheme="minorEastAsia"/>
          <w:bCs/>
          <w:color w:val="auto"/>
          <w:sz w:val="28"/>
          <w:highlight w:val="none"/>
        </w:rPr>
      </w:pPr>
    </w:p>
    <w:p w14:paraId="79F72DAE">
      <w:pPr>
        <w:pStyle w:val="29"/>
        <w:rPr>
          <w:rFonts w:asciiTheme="minorEastAsia" w:hAnsiTheme="minorEastAsia" w:eastAsiaTheme="minorEastAsia" w:cstheme="minorEastAsia"/>
          <w:color w:val="auto"/>
          <w:highlight w:val="none"/>
        </w:rPr>
      </w:pPr>
    </w:p>
    <w:p w14:paraId="29286256">
      <w:pPr>
        <w:spacing w:line="660" w:lineRule="exact"/>
        <w:ind w:left="2514" w:leftChars="348" w:hanging="1400" w:hangingChars="500"/>
        <w:rPr>
          <w:rFonts w:hint="eastAsia" w:ascii="宋体" w:hAnsi="宋体" w:eastAsia="宋体" w:cs="宋体"/>
          <w:color w:val="auto"/>
          <w:sz w:val="28"/>
          <w:highlight w:val="none"/>
          <w:lang w:eastAsia="zh-CN"/>
        </w:rPr>
      </w:pPr>
      <w:r>
        <w:rPr>
          <w:rFonts w:hint="eastAsia" w:ascii="宋体" w:hAnsi="宋体" w:eastAsia="宋体"/>
          <w:bCs/>
          <w:color w:val="auto"/>
          <w:sz w:val="28"/>
          <w:highlight w:val="none"/>
        </w:rPr>
        <w:t>招标项目：</w:t>
      </w:r>
      <w:r>
        <w:rPr>
          <w:rFonts w:hint="eastAsia" w:ascii="宋体" w:hAnsi="宋体" w:eastAsia="宋体"/>
          <w:bCs/>
          <w:color w:val="auto"/>
          <w:sz w:val="28"/>
          <w:highlight w:val="none"/>
          <w:lang w:eastAsia="zh-CN"/>
        </w:rPr>
        <w:t xml:space="preserve">临海市尤溪镇山塘建设工程(双塘坑山塘) </w:t>
      </w:r>
    </w:p>
    <w:p w14:paraId="2B0794E3">
      <w:pPr>
        <w:spacing w:line="660" w:lineRule="exact"/>
        <w:ind w:firstLine="1120" w:firstLineChars="400"/>
        <w:rPr>
          <w:rFonts w:ascii="宋体" w:hAnsi="宋体" w:eastAsia="宋体"/>
          <w:color w:val="auto"/>
          <w:sz w:val="28"/>
          <w:szCs w:val="22"/>
          <w:highlight w:val="none"/>
        </w:rPr>
      </w:pPr>
      <w:r>
        <w:rPr>
          <w:rFonts w:hint="eastAsia" w:ascii="宋体" w:hAnsi="宋体" w:eastAsia="宋体"/>
          <w:color w:val="auto"/>
          <w:sz w:val="28"/>
          <w:highlight w:val="none"/>
        </w:rPr>
        <w:t>招 标 人</w:t>
      </w:r>
      <w:r>
        <w:rPr>
          <w:rFonts w:hint="eastAsia" w:ascii="宋体" w:hAnsi="宋体" w:eastAsia="宋体"/>
          <w:color w:val="auto"/>
          <w:sz w:val="28"/>
          <w:szCs w:val="22"/>
          <w:highlight w:val="none"/>
        </w:rPr>
        <w:t>：</w:t>
      </w:r>
      <w:r>
        <w:rPr>
          <w:rFonts w:hint="eastAsia" w:ascii="宋体" w:hAnsi="宋体" w:eastAsia="宋体"/>
          <w:color w:val="auto"/>
          <w:sz w:val="28"/>
          <w:szCs w:val="22"/>
          <w:highlight w:val="none"/>
          <w:lang w:eastAsia="zh-CN"/>
        </w:rPr>
        <w:t>临海市尤溪镇人民政府</w:t>
      </w:r>
      <w:r>
        <w:rPr>
          <w:rFonts w:hint="eastAsia" w:ascii="宋体" w:hAnsi="宋体" w:eastAsia="宋体"/>
          <w:color w:val="auto"/>
          <w:sz w:val="28"/>
          <w:szCs w:val="22"/>
          <w:highlight w:val="none"/>
        </w:rPr>
        <w:t>（盖章）</w:t>
      </w:r>
    </w:p>
    <w:p w14:paraId="6E4F119B">
      <w:pPr>
        <w:spacing w:line="660" w:lineRule="exact"/>
        <w:ind w:firstLine="1148" w:firstLineChars="410"/>
        <w:rPr>
          <w:rFonts w:hint="default" w:ascii="宋体" w:hAnsi="宋体" w:eastAsia="宋体"/>
          <w:color w:val="auto"/>
          <w:sz w:val="28"/>
          <w:highlight w:val="none"/>
          <w:lang w:val="en-US" w:eastAsia="zh-CN"/>
        </w:rPr>
      </w:pPr>
      <w:r>
        <w:rPr>
          <w:rFonts w:hint="eastAsia" w:ascii="宋体" w:hAnsi="宋体" w:eastAsia="宋体"/>
          <w:color w:val="auto"/>
          <w:sz w:val="28"/>
          <w:highlight w:val="none"/>
        </w:rPr>
        <w:t>联 系 人：</w:t>
      </w:r>
      <w:r>
        <w:rPr>
          <w:rFonts w:hint="eastAsia" w:ascii="宋体" w:hAnsi="宋体" w:eastAsia="宋体"/>
          <w:color w:val="auto"/>
          <w:sz w:val="28"/>
          <w:highlight w:val="none"/>
          <w:lang w:val="en-US" w:eastAsia="zh-CN"/>
        </w:rPr>
        <w:t>郑先生</w:t>
      </w:r>
      <w:r>
        <w:rPr>
          <w:rFonts w:hint="eastAsia" w:ascii="宋体" w:hAnsi="宋体" w:eastAsia="宋体"/>
          <w:color w:val="auto"/>
          <w:sz w:val="28"/>
          <w:highlight w:val="none"/>
        </w:rPr>
        <w:t xml:space="preserve">            联系电话：</w:t>
      </w:r>
      <w:r>
        <w:rPr>
          <w:rFonts w:hint="eastAsia" w:ascii="宋体" w:hAnsi="宋体" w:eastAsia="宋体"/>
          <w:color w:val="auto"/>
          <w:sz w:val="28"/>
          <w:highlight w:val="none"/>
          <w:lang w:eastAsia="zh-CN"/>
        </w:rPr>
        <w:t xml:space="preserve">13968439552 </w:t>
      </w:r>
      <w:r>
        <w:rPr>
          <w:rFonts w:hint="eastAsia" w:ascii="宋体" w:hAnsi="宋体" w:eastAsia="宋体"/>
          <w:color w:val="auto"/>
          <w:sz w:val="28"/>
          <w:highlight w:val="none"/>
          <w:lang w:val="en-US" w:eastAsia="zh-CN"/>
        </w:rPr>
        <w:t xml:space="preserve"> </w:t>
      </w:r>
    </w:p>
    <w:p w14:paraId="6557D998">
      <w:pPr>
        <w:spacing w:line="360" w:lineRule="auto"/>
        <w:rPr>
          <w:rFonts w:ascii="宋体" w:hAnsi="宋体" w:eastAsia="宋体"/>
          <w:color w:val="auto"/>
          <w:sz w:val="28"/>
          <w:highlight w:val="none"/>
        </w:rPr>
      </w:pPr>
    </w:p>
    <w:p w14:paraId="67D6EDF5">
      <w:pPr>
        <w:spacing w:line="360" w:lineRule="auto"/>
        <w:rPr>
          <w:rFonts w:ascii="宋体" w:hAnsi="宋体" w:eastAsia="宋体"/>
          <w:color w:val="auto"/>
          <w:sz w:val="28"/>
          <w:highlight w:val="none"/>
        </w:rPr>
      </w:pPr>
    </w:p>
    <w:p w14:paraId="6875745C">
      <w:pPr>
        <w:spacing w:line="360" w:lineRule="auto"/>
        <w:rPr>
          <w:rFonts w:ascii="宋体" w:hAnsi="宋体" w:eastAsia="宋体"/>
          <w:color w:val="auto"/>
          <w:sz w:val="28"/>
          <w:highlight w:val="none"/>
        </w:rPr>
      </w:pPr>
    </w:p>
    <w:p w14:paraId="38F5D339">
      <w:pPr>
        <w:spacing w:line="360" w:lineRule="auto"/>
        <w:ind w:firstLine="1120" w:firstLineChars="400"/>
        <w:rPr>
          <w:rFonts w:hint="eastAsia" w:ascii="宋体" w:hAnsi="宋体" w:eastAsia="宋体"/>
          <w:bCs/>
          <w:color w:val="auto"/>
          <w:sz w:val="28"/>
          <w:highlight w:val="none"/>
        </w:rPr>
      </w:pPr>
      <w:bookmarkStart w:id="0" w:name="_Toc7071"/>
      <w:bookmarkStart w:id="1" w:name="_Toc11904"/>
      <w:r>
        <w:rPr>
          <w:rFonts w:hint="eastAsia" w:ascii="宋体" w:hAnsi="宋体" w:eastAsia="宋体"/>
          <w:bCs/>
          <w:color w:val="auto"/>
          <w:sz w:val="28"/>
          <w:highlight w:val="none"/>
        </w:rPr>
        <w:t>招标代理机构：</w:t>
      </w:r>
      <w:r>
        <w:rPr>
          <w:rFonts w:hint="eastAsia" w:ascii="宋体" w:hAnsi="宋体" w:eastAsia="宋体"/>
          <w:bCs/>
          <w:color w:val="auto"/>
          <w:sz w:val="28"/>
          <w:highlight w:val="none"/>
          <w:lang w:eastAsia="zh-CN"/>
        </w:rPr>
        <w:t>台州正运工程咨询有限公司</w:t>
      </w:r>
      <w:r>
        <w:rPr>
          <w:rFonts w:hint="eastAsia" w:ascii="宋体" w:hAnsi="宋体" w:eastAsia="宋体"/>
          <w:bCs/>
          <w:color w:val="auto"/>
          <w:sz w:val="28"/>
          <w:highlight w:val="none"/>
        </w:rPr>
        <w:t>（盖章）</w:t>
      </w:r>
      <w:bookmarkEnd w:id="0"/>
      <w:bookmarkEnd w:id="1"/>
      <w:r>
        <w:rPr>
          <w:rFonts w:hint="eastAsia" w:ascii="宋体" w:hAnsi="宋体" w:eastAsia="宋体"/>
          <w:bCs/>
          <w:color w:val="auto"/>
          <w:sz w:val="28"/>
          <w:highlight w:val="none"/>
        </w:rPr>
        <w:t xml:space="preserve">    </w:t>
      </w:r>
    </w:p>
    <w:p w14:paraId="47C3CE4A">
      <w:pPr>
        <w:spacing w:line="360" w:lineRule="auto"/>
        <w:ind w:firstLine="1120" w:firstLineChars="400"/>
        <w:rPr>
          <w:rFonts w:hint="default" w:ascii="宋体" w:hAnsi="宋体" w:eastAsia="宋体"/>
          <w:bCs/>
          <w:color w:val="auto"/>
          <w:sz w:val="28"/>
          <w:highlight w:val="none"/>
          <w:lang w:val="en-US" w:eastAsia="zh-CN"/>
        </w:rPr>
      </w:pPr>
      <w:r>
        <w:rPr>
          <w:rFonts w:hint="eastAsia" w:ascii="宋体" w:hAnsi="宋体" w:eastAsia="宋体"/>
          <w:bCs/>
          <w:color w:val="auto"/>
          <w:sz w:val="28"/>
          <w:highlight w:val="none"/>
        </w:rPr>
        <w:t>联 系 人：</w:t>
      </w:r>
      <w:r>
        <w:rPr>
          <w:rFonts w:hint="eastAsia" w:ascii="宋体" w:hAnsi="宋体" w:eastAsia="宋体"/>
          <w:bCs/>
          <w:color w:val="auto"/>
          <w:sz w:val="28"/>
          <w:highlight w:val="none"/>
          <w:lang w:val="en-US" w:eastAsia="zh-CN"/>
        </w:rPr>
        <w:t>许先生</w:t>
      </w:r>
      <w:r>
        <w:rPr>
          <w:rFonts w:hint="eastAsia" w:ascii="宋体" w:hAnsi="宋体" w:eastAsia="宋体"/>
          <w:bCs/>
          <w:color w:val="auto"/>
          <w:sz w:val="28"/>
          <w:highlight w:val="none"/>
        </w:rPr>
        <w:t xml:space="preserve">           联系电话：</w:t>
      </w:r>
      <w:r>
        <w:rPr>
          <w:rFonts w:hint="eastAsia" w:ascii="宋体" w:hAnsi="宋体" w:eastAsia="宋体"/>
          <w:bCs/>
          <w:color w:val="auto"/>
          <w:sz w:val="28"/>
          <w:highlight w:val="none"/>
          <w:lang w:val="en-US" w:eastAsia="zh-CN"/>
        </w:rPr>
        <w:t>18906557360</w:t>
      </w:r>
    </w:p>
    <w:p w14:paraId="5679B56E">
      <w:pPr>
        <w:spacing w:line="360" w:lineRule="auto"/>
        <w:rPr>
          <w:rFonts w:ascii="宋体" w:hAnsi="宋体" w:eastAsia="宋体"/>
          <w:color w:val="auto"/>
          <w:sz w:val="28"/>
          <w:highlight w:val="none"/>
        </w:rPr>
      </w:pPr>
    </w:p>
    <w:p w14:paraId="7BE73979">
      <w:pPr>
        <w:pStyle w:val="21"/>
        <w:rPr>
          <w:color w:val="auto"/>
          <w:highlight w:val="none"/>
        </w:rPr>
      </w:pPr>
    </w:p>
    <w:p w14:paraId="3E9542D4">
      <w:pPr>
        <w:spacing w:line="360" w:lineRule="auto"/>
        <w:ind w:firstLine="826" w:firstLineChars="295"/>
        <w:rPr>
          <w:rFonts w:ascii="宋体" w:hAnsi="宋体" w:eastAsia="宋体"/>
          <w:color w:val="auto"/>
          <w:sz w:val="28"/>
          <w:highlight w:val="none"/>
        </w:rPr>
      </w:pPr>
    </w:p>
    <w:p w14:paraId="08873554">
      <w:pPr>
        <w:pStyle w:val="21"/>
        <w:outlineLvl w:val="9"/>
        <w:rPr>
          <w:color w:val="auto"/>
          <w:highlight w:val="none"/>
        </w:rPr>
      </w:pPr>
    </w:p>
    <w:p w14:paraId="5B57D3CE">
      <w:pPr>
        <w:rPr>
          <w:color w:val="auto"/>
          <w:highlight w:val="none"/>
        </w:rPr>
      </w:pPr>
    </w:p>
    <w:p w14:paraId="0833D4A7">
      <w:pPr>
        <w:pStyle w:val="29"/>
        <w:rPr>
          <w:color w:val="auto"/>
          <w:highlight w:val="none"/>
        </w:rPr>
      </w:pPr>
    </w:p>
    <w:p w14:paraId="5F6D6478">
      <w:pPr>
        <w:spacing w:line="400" w:lineRule="exact"/>
        <w:jc w:val="center"/>
        <w:rPr>
          <w:rFonts w:asciiTheme="minorEastAsia" w:hAnsiTheme="minorEastAsia" w:eastAsiaTheme="minorEastAsia" w:cstheme="minorEastAsia"/>
          <w:b/>
          <w:bCs/>
          <w:color w:val="auto"/>
          <w:sz w:val="48"/>
          <w:szCs w:val="48"/>
          <w:highlight w:val="none"/>
        </w:rPr>
        <w:sectPr>
          <w:headerReference r:id="rId3"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Theme="minorEastAsia" w:hAnsiTheme="minorEastAsia" w:eastAsiaTheme="minorEastAsia" w:cstheme="minorEastAsia"/>
          <w:color w:val="auto"/>
          <w:sz w:val="28"/>
          <w:highlight w:val="none"/>
        </w:rPr>
        <w:t>202</w:t>
      </w:r>
      <w:r>
        <w:rPr>
          <w:rFonts w:hint="eastAsia" w:asciiTheme="minorEastAsia" w:hAnsiTheme="minorEastAsia" w:eastAsiaTheme="minorEastAsia" w:cstheme="minorEastAsia"/>
          <w:color w:val="auto"/>
          <w:sz w:val="28"/>
          <w:highlight w:val="none"/>
          <w:lang w:val="en-US" w:eastAsia="zh-CN"/>
        </w:rPr>
        <w:t>6</w:t>
      </w:r>
      <w:r>
        <w:rPr>
          <w:rFonts w:hint="eastAsia" w:asciiTheme="minorEastAsia" w:hAnsiTheme="minorEastAsia" w:eastAsiaTheme="minorEastAsia" w:cstheme="minorEastAsia"/>
          <w:color w:val="auto"/>
          <w:sz w:val="28"/>
          <w:highlight w:val="none"/>
        </w:rPr>
        <w:t>年</w:t>
      </w:r>
      <w:r>
        <w:rPr>
          <w:rFonts w:hint="eastAsia" w:asciiTheme="minorEastAsia" w:hAnsiTheme="minorEastAsia" w:eastAsiaTheme="minorEastAsia" w:cstheme="minorEastAsia"/>
          <w:color w:val="auto"/>
          <w:sz w:val="28"/>
          <w:highlight w:val="none"/>
          <w:lang w:val="en-US" w:eastAsia="zh-CN"/>
        </w:rPr>
        <w:t>4</w:t>
      </w:r>
      <w:r>
        <w:rPr>
          <w:rFonts w:hint="eastAsia" w:asciiTheme="minorEastAsia" w:hAnsiTheme="minorEastAsia" w:eastAsiaTheme="minorEastAsia" w:cstheme="minorEastAsia"/>
          <w:color w:val="auto"/>
          <w:sz w:val="28"/>
          <w:highlight w:val="none"/>
        </w:rPr>
        <w:t>月</w:t>
      </w:r>
    </w:p>
    <w:p w14:paraId="5F29EC24">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 录</w:t>
      </w:r>
    </w:p>
    <w:p w14:paraId="6378E637">
      <w:pPr>
        <w:jc w:val="center"/>
        <w:rPr>
          <w:rFonts w:ascii="宋体" w:hAnsi="宋体" w:eastAsia="宋体" w:cs="宋体"/>
          <w:b/>
          <w:bCs/>
          <w:color w:val="auto"/>
          <w:sz w:val="48"/>
          <w:szCs w:val="48"/>
          <w:highlight w:val="none"/>
        </w:rPr>
      </w:pPr>
    </w:p>
    <w:p w14:paraId="28D6E400">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ECE8A08">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p>
    <w:p w14:paraId="247CF78F">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3</w:t>
      </w:r>
    </w:p>
    <w:p w14:paraId="38CE411A">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4</w:t>
      </w:r>
    </w:p>
    <w:p w14:paraId="3A7ABB85">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"_Toc18169" </w:instrText>
      </w:r>
      <w:r>
        <w:rPr>
          <w:color w:val="auto"/>
          <w:highlight w:val="none"/>
        </w:rPr>
        <w:fldChar w:fldCharType="separate"/>
      </w:r>
      <w:r>
        <w:rPr>
          <w:rFonts w:hint="eastAsia" w:ascii="宋体" w:hAnsi="宋体" w:cs="宋体"/>
          <w:color w:val="auto"/>
          <w:sz w:val="28"/>
          <w:szCs w:val="28"/>
          <w:highlight w:val="none"/>
        </w:rPr>
        <w:t>附件三：工程廉政责任书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6</w:t>
      </w:r>
    </w:p>
    <w:p w14:paraId="0942EF8D">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0</w:t>
      </w:r>
    </w:p>
    <w:p w14:paraId="56F67CCB">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1</w:t>
      </w:r>
    </w:p>
    <w:p w14:paraId="48287064">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2</w:t>
      </w:r>
    </w:p>
    <w:p w14:paraId="61C685A3">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3</w:t>
      </w:r>
    </w:p>
    <w:p w14:paraId="096A3175">
      <w:pPr>
        <w:pStyle w:val="30"/>
        <w:tabs>
          <w:tab w:val="right" w:leader="dot" w:pos="9185"/>
        </w:tabs>
        <w:spacing w:line="360" w:lineRule="auto"/>
        <w:rPr>
          <w:rFonts w:hint="eastAsia" w:ascii="宋体" w:hAnsi="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4</w:t>
      </w:r>
    </w:p>
    <w:p w14:paraId="4D31A912">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5</w:t>
      </w:r>
    </w:p>
    <w:p w14:paraId="520DC5DA">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6</w:t>
      </w:r>
    </w:p>
    <w:p w14:paraId="6CEE1AC8">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7</w:t>
      </w:r>
    </w:p>
    <w:p w14:paraId="300000C3">
      <w:pPr>
        <w:pStyle w:val="30"/>
        <w:tabs>
          <w:tab w:val="right" w:leader="dot" w:pos="9185"/>
        </w:tabs>
        <w:spacing w:line="360" w:lineRule="auto"/>
        <w:rPr>
          <w:rFonts w:hint="eastAsia" w:ascii="宋体" w:hAnsi="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附件八：法定代表人身份证明</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8</w:t>
      </w:r>
    </w:p>
    <w:p w14:paraId="36D1CE3A">
      <w:pPr>
        <w:pStyle w:val="30"/>
        <w:tabs>
          <w:tab w:val="right" w:leader="dot" w:pos="9185"/>
        </w:tabs>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39</w:t>
      </w:r>
    </w:p>
    <w:p w14:paraId="588C83A2">
      <w:pPr>
        <w:pStyle w:val="30"/>
        <w:tabs>
          <w:tab w:val="right" w:leader="dot" w:pos="9185"/>
        </w:tabs>
        <w:spacing w:line="360" w:lineRule="auto"/>
        <w:rPr>
          <w:rFonts w:ascii="宋体" w:hAnsi="宋体" w:cs="宋体"/>
          <w:color w:val="auto"/>
          <w:sz w:val="28"/>
          <w:szCs w:val="28"/>
          <w:highlight w:val="none"/>
        </w:rPr>
        <w:sectPr>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 xml:space="preserve"> </w:t>
      </w:r>
    </w:p>
    <w:p w14:paraId="5C8048B0">
      <w:pPr>
        <w:keepNext/>
        <w:keepLines/>
        <w:spacing w:before="120" w:after="120"/>
        <w:jc w:val="center"/>
        <w:outlineLvl w:val="0"/>
        <w:rPr>
          <w:rFonts w:ascii="黑体" w:hAnsi="黑体" w:eastAsia="黑体"/>
          <w:b/>
          <w:color w:val="auto"/>
          <w:kern w:val="44"/>
          <w:sz w:val="30"/>
          <w:highlight w:val="none"/>
        </w:rPr>
      </w:pPr>
      <w:bookmarkStart w:id="2" w:name="_Toc1787"/>
      <w:bookmarkStart w:id="3" w:name="_Toc22713"/>
      <w:bookmarkStart w:id="4" w:name="_Toc5497"/>
      <w:bookmarkStart w:id="5" w:name="_Toc500209421"/>
      <w:bookmarkStart w:id="6" w:name="_Toc386121562"/>
      <w:bookmarkStart w:id="7" w:name="_Toc500208499"/>
      <w:bookmarkStart w:id="8" w:name="_Toc386121751"/>
      <w:r>
        <w:rPr>
          <w:rFonts w:hint="eastAsia" w:ascii="黑体" w:hAnsi="黑体" w:eastAsia="黑体"/>
          <w:b/>
          <w:color w:val="auto"/>
          <w:kern w:val="44"/>
          <w:sz w:val="30"/>
          <w:highlight w:val="none"/>
        </w:rPr>
        <w:t>投标须知</w:t>
      </w:r>
      <w:bookmarkStart w:id="9" w:name="_Toc1731"/>
      <w:r>
        <w:rPr>
          <w:rFonts w:hint="eastAsia" w:ascii="黑体" w:hAnsi="黑体" w:eastAsia="黑体"/>
          <w:b/>
          <w:color w:val="auto"/>
          <w:kern w:val="44"/>
          <w:sz w:val="30"/>
          <w:highlight w:val="none"/>
        </w:rPr>
        <w:t>前附表</w:t>
      </w:r>
      <w:bookmarkEnd w:id="2"/>
      <w:bookmarkEnd w:id="3"/>
      <w:bookmarkEnd w:id="4"/>
      <w:bookmarkEnd w:id="9"/>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4859B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4F143DBF">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41310214">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500A381B">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38A69CD0">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0159C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7108184B">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7AB598E0">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E42C2D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60A54A76">
            <w:pPr>
              <w:adjustRightInd w:val="0"/>
              <w:snapToGrid w:val="0"/>
              <w:rPr>
                <w:rFonts w:ascii="宋体" w:hAnsi="宋体" w:eastAsia="宋体"/>
                <w:bCs/>
                <w:color w:val="auto"/>
                <w:sz w:val="21"/>
                <w:highlight w:val="none"/>
              </w:rPr>
            </w:pPr>
            <w:r>
              <w:rPr>
                <w:rFonts w:hint="eastAsia" w:ascii="宋体" w:hAnsi="宋体" w:eastAsia="宋体"/>
                <w:bCs/>
                <w:color w:val="auto"/>
                <w:sz w:val="21"/>
                <w:highlight w:val="none"/>
                <w:lang w:eastAsia="zh-CN"/>
              </w:rPr>
              <w:t xml:space="preserve">临海市尤溪镇山塘建设工程(双塘坑山塘) </w:t>
            </w:r>
          </w:p>
        </w:tc>
      </w:tr>
      <w:tr w14:paraId="3FCA4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1C6999B9">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4EBDDD15">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CF6A378">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75C544B6">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临海市尤溪镇</w:t>
            </w:r>
          </w:p>
        </w:tc>
      </w:tr>
      <w:tr w14:paraId="1F639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82" w:type="dxa"/>
            <w:tcBorders>
              <w:bottom w:val="single" w:color="auto" w:sz="4" w:space="0"/>
            </w:tcBorders>
            <w:vAlign w:val="center"/>
          </w:tcPr>
          <w:p w14:paraId="38ABA66B">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606115F6">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04AA249">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5A009705">
            <w:pPr>
              <w:widowControl/>
              <w:jc w:val="left"/>
              <w:rPr>
                <w:rFonts w:eastAsia="宋体"/>
                <w:color w:val="auto"/>
                <w:highlight w:val="none"/>
              </w:rPr>
            </w:pPr>
            <w:r>
              <w:rPr>
                <w:rFonts w:hint="eastAsia" w:ascii="宋体" w:hAnsi="宋体" w:eastAsia="宋体" w:cs="Times New Roman"/>
                <w:color w:val="auto"/>
                <w:sz w:val="21"/>
                <w:highlight w:val="none"/>
                <w:lang w:val="en-US" w:eastAsia="zh-CN"/>
              </w:rPr>
              <w:t>1、大坝：对大坝坝体进行综合整治，大坝设计坝顶长度52.00m，坝顶宽度4.5m，坝顶路面采用C25砼路面，坝顶上游侧设置C25砼防浪墙，坝坡拆除下游干砌块石护坡后，对坝体进行培厚放缓坝坡，上游坝坡保持原状；下游坝放缓坝坡,设置二级坝坡，一级坡放缓至1:2，采用草皮护坡，在377.50高程处设置马道，马道宽1.5m，二级坝坡放缓至1:2，采用干砌块石护坡，下部为贴坡排水体反滤层结构，坝脚设置干砌石基础，坝脚及坝坡左岸设置排水沟。对坝体及坝基进行防渗处理，坝体防渗处理采用粘土充填灌浆处理，坝基进行帷幕灌浆防渗处理。桩号B0+000.00~B0+052段及溢洪道段进行粘土充填灌浆防渗处理，深度应套至岩基面，灌浆孔间距2.0m，共36孔。对桩号B0+016.70~B0+052.0坝段坝基及溢洪道段部位进行帷幕灌浆处理，帷幕灌浆孔间距2.0m，灌浆孔深为弱风化岩面,共23孔；2、放水设施：保留原防水设施，在涵洞出口再接25m长DN200PE管至溢洪道出口，启闭机房修缮:更换铝合金窗和防盗门，启闭机房室内外粉刷,室内墙面涂料，室外墙面刷防水涂料。</w:t>
            </w:r>
            <w:r>
              <w:rPr>
                <w:rFonts w:hint="eastAsia" w:ascii="宋体" w:hAnsi="宋体" w:eastAsia="宋体" w:cs="Times New Roman"/>
                <w:color w:val="auto"/>
                <w:sz w:val="21"/>
                <w:highlight w:val="none"/>
              </w:rPr>
              <w:t>合整治设计采用原涵管内套管的形式。</w:t>
            </w:r>
            <w:r>
              <w:rPr>
                <w:rFonts w:hint="eastAsia" w:ascii="宋体" w:hAnsi="宋体" w:eastAsia="宋体" w:cs="Times New Roman"/>
                <w:color w:val="auto"/>
                <w:sz w:val="21"/>
                <w:highlight w:val="none"/>
                <w:lang w:eastAsia="zh-CN"/>
              </w:rPr>
              <w:t xml:space="preserve">    </w:t>
            </w:r>
            <w:r>
              <w:rPr>
                <w:rFonts w:hint="eastAsia" w:ascii="宋体" w:hAnsi="宋体" w:eastAsia="宋体" w:cs="Times New Roman"/>
                <w:color w:val="auto"/>
                <w:sz w:val="21"/>
                <w:highlight w:val="none"/>
              </w:rPr>
              <w:t xml:space="preserve"> </w:t>
            </w:r>
          </w:p>
        </w:tc>
      </w:tr>
      <w:tr w14:paraId="78F6C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54BDE6C7">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33063D7A">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4B727A8">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503F6A95">
            <w:pPr>
              <w:widowControl/>
              <w:jc w:val="left"/>
              <w:rPr>
                <w:rFonts w:ascii="宋体" w:hAnsi="宋体" w:eastAsia="宋体"/>
                <w:color w:val="auto"/>
                <w:sz w:val="21"/>
                <w:highlight w:val="none"/>
              </w:rPr>
            </w:pPr>
            <w:r>
              <w:rPr>
                <w:rFonts w:hint="eastAsia" w:ascii="宋体" w:hAnsi="宋体" w:eastAsia="宋体"/>
                <w:color w:val="auto"/>
                <w:sz w:val="21"/>
                <w:highlight w:val="none"/>
                <w:lang w:eastAsia="zh-CN"/>
              </w:rPr>
              <w:t>504532</w:t>
            </w:r>
            <w:r>
              <w:rPr>
                <w:rFonts w:hint="eastAsia" w:ascii="宋体" w:hAnsi="宋体" w:eastAsia="宋体"/>
                <w:color w:val="auto"/>
                <w:sz w:val="21"/>
                <w:highlight w:val="none"/>
              </w:rPr>
              <w:t>元（详</w:t>
            </w:r>
            <w:r>
              <w:rPr>
                <w:rFonts w:hint="eastAsia" w:ascii="宋体" w:hAnsi="宋体" w:eastAsia="宋体" w:cs="Times New Roman"/>
                <w:color w:val="auto"/>
                <w:sz w:val="21"/>
                <w:highlight w:val="none"/>
              </w:rPr>
              <w:t>见</w:t>
            </w:r>
            <w:r>
              <w:rPr>
                <w:rFonts w:hint="eastAsia" w:ascii="宋体" w:hAnsi="宋体" w:eastAsia="宋体"/>
                <w:color w:val="auto"/>
                <w:sz w:val="21"/>
                <w:highlight w:val="none"/>
              </w:rPr>
              <w:t>招标人预算书）</w:t>
            </w:r>
          </w:p>
        </w:tc>
      </w:tr>
      <w:tr w14:paraId="01BC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6EC8C0C4">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58B3ACE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302FE97">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024BEC01">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31310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39173493">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1C209CD6">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56728599">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2DD35DF5">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3F424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trPr>
        <w:tc>
          <w:tcPr>
            <w:tcW w:w="682" w:type="dxa"/>
            <w:tcBorders>
              <w:bottom w:val="single" w:color="auto" w:sz="4" w:space="0"/>
            </w:tcBorders>
            <w:vAlign w:val="center"/>
          </w:tcPr>
          <w:p w14:paraId="2D31D394">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1A89EBD6">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E86BDEF">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23C9E962">
            <w:pPr>
              <w:rPr>
                <w:rFonts w:hint="eastAsia" w:ascii="宋体" w:hAnsi="宋体" w:eastAsia="宋体"/>
                <w:color w:val="auto"/>
                <w:sz w:val="21"/>
                <w:highlight w:val="none"/>
                <w:lang w:eastAsia="zh-CN"/>
              </w:rPr>
            </w:pPr>
            <w:r>
              <w:rPr>
                <w:rFonts w:hint="eastAsia" w:ascii="宋体" w:hAnsi="宋体" w:eastAsia="宋体"/>
                <w:color w:val="auto"/>
                <w:sz w:val="21"/>
                <w:highlight w:val="none"/>
                <w:u w:val="none"/>
                <w:lang w:val="en-US" w:eastAsia="zh-CN"/>
              </w:rPr>
              <w:t>不超过3个月</w:t>
            </w:r>
          </w:p>
        </w:tc>
      </w:tr>
      <w:tr w14:paraId="69942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06AF693F">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6A9ECED6">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00BB1907">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7EED98C1">
            <w:pPr>
              <w:rPr>
                <w:rFonts w:ascii="宋体" w:hAnsi="宋体" w:eastAsia="宋体"/>
                <w:color w:val="auto"/>
                <w:sz w:val="21"/>
                <w:highlight w:val="none"/>
              </w:rPr>
            </w:pPr>
            <w:r>
              <w:rPr>
                <w:rFonts w:hint="eastAsia" w:ascii="宋体" w:hAnsi="宋体" w:eastAsia="宋体"/>
                <w:color w:val="auto"/>
                <w:sz w:val="21"/>
                <w:highlight w:val="none"/>
                <w:lang w:val="en-US" w:eastAsia="zh-CN"/>
              </w:rPr>
              <w:t>公开</w:t>
            </w:r>
            <w:r>
              <w:rPr>
                <w:rFonts w:hint="eastAsia" w:ascii="宋体" w:hAnsi="宋体" w:eastAsia="宋体"/>
                <w:color w:val="auto"/>
                <w:sz w:val="21"/>
                <w:highlight w:val="none"/>
              </w:rPr>
              <w:t>招标</w:t>
            </w:r>
          </w:p>
        </w:tc>
      </w:tr>
      <w:tr w14:paraId="1BD97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0F53614C">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3F9B30B8">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1730B200">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5DA5D1FA">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color w:val="auto"/>
                <w:sz w:val="21"/>
                <w:highlight w:val="none"/>
                <w:lang w:eastAsia="zh-CN"/>
              </w:rPr>
              <w:t xml:space="preserve">临海市尤溪镇山塘建设工程(双塘坑山塘) </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szCs w:val="22"/>
                <w:highlight w:val="none"/>
                <w:lang w:eastAsia="zh-CN"/>
              </w:rPr>
              <w:t>及图纸</w:t>
            </w:r>
            <w:r>
              <w:rPr>
                <w:rFonts w:hint="eastAsia" w:ascii="宋体" w:hAnsi="宋体" w:eastAsia="宋体"/>
                <w:color w:val="auto"/>
                <w:sz w:val="21"/>
                <w:highlight w:val="none"/>
              </w:rPr>
              <w:t>为准。</w:t>
            </w:r>
          </w:p>
        </w:tc>
      </w:tr>
      <w:tr w14:paraId="78AE7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70E5F21C">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48FB37EC">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6B61F383">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19EE8AF3">
            <w:pPr>
              <w:adjustRightInd w:val="0"/>
              <w:snapToGrid w:val="0"/>
              <w:rPr>
                <w:rFonts w:hint="default"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 xml:space="preserve">财政拨款95%，自筹5% </w:t>
            </w:r>
          </w:p>
        </w:tc>
      </w:tr>
      <w:tr w14:paraId="524C8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BCAB5D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751B4F8E">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6BE3117A">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25BE3B27">
            <w:pPr>
              <w:rPr>
                <w:rFonts w:ascii="宋体" w:hAnsi="宋体" w:eastAsia="宋体"/>
                <w:color w:val="auto"/>
                <w:sz w:val="21"/>
                <w:highlight w:val="none"/>
              </w:rPr>
            </w:pPr>
            <w:r>
              <w:rPr>
                <w:rFonts w:hint="eastAsia" w:ascii="宋体" w:hAnsi="宋体" w:eastAsia="宋体"/>
                <w:color w:val="auto"/>
                <w:sz w:val="21"/>
                <w:highlight w:val="none"/>
                <w:lang w:eastAsia="zh-CN"/>
              </w:rPr>
              <w:t>全国范围内水利水电工程施工总承包三级及以上</w:t>
            </w:r>
            <w:r>
              <w:rPr>
                <w:rFonts w:hint="eastAsia" w:ascii="宋体" w:hAnsi="宋体" w:eastAsia="宋体"/>
                <w:color w:val="auto"/>
                <w:sz w:val="21"/>
                <w:highlight w:val="none"/>
              </w:rPr>
              <w:t>；</w:t>
            </w:r>
          </w:p>
        </w:tc>
      </w:tr>
      <w:tr w14:paraId="18DCF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315C68C4">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610445AF">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751D7D58">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4DA21B49">
            <w:pPr>
              <w:rPr>
                <w:rFonts w:ascii="宋体" w:hAnsi="宋体" w:eastAsia="宋体"/>
                <w:color w:val="auto"/>
                <w:sz w:val="21"/>
                <w:highlight w:val="none"/>
              </w:rPr>
            </w:pPr>
            <w:r>
              <w:rPr>
                <w:rFonts w:hint="eastAsia" w:ascii="宋体" w:hAnsi="宋体" w:eastAsia="宋体"/>
                <w:color w:val="auto"/>
                <w:sz w:val="21"/>
                <w:highlight w:val="none"/>
                <w:lang w:eastAsia="zh-CN"/>
              </w:rPr>
              <w:t>水利水电专业注册建造师二级及以上</w:t>
            </w:r>
            <w:r>
              <w:rPr>
                <w:rFonts w:hint="eastAsia" w:ascii="宋体" w:hAnsi="宋体" w:eastAsia="宋体"/>
                <w:color w:val="auto"/>
                <w:sz w:val="21"/>
                <w:highlight w:val="none"/>
              </w:rPr>
              <w:t>；</w:t>
            </w:r>
          </w:p>
        </w:tc>
      </w:tr>
      <w:tr w14:paraId="733E3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5312C4F3">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14C79535">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35C97254">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0CAA4885">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6B4B1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10D08D2E">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14E98408">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325ED5CB">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251E9626">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02538374">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44EBE907">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156C8CAF">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756D158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6891C35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1ABEF8E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7849BC88">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19B1672F">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1AE1CBE8">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4E8BE89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w:t>
            </w:r>
            <w:r>
              <w:rPr>
                <w:rFonts w:hint="eastAsia" w:ascii="宋体" w:hAnsi="宋体" w:eastAsia="宋体"/>
                <w:color w:val="auto"/>
                <w:sz w:val="21"/>
                <w:highlight w:val="none"/>
                <w:lang w:val="en-US" w:eastAsia="zh-CN"/>
              </w:rPr>
              <w:t>九</w:t>
            </w:r>
            <w:r>
              <w:rPr>
                <w:rFonts w:hint="eastAsia" w:ascii="宋体" w:hAnsi="宋体" w:eastAsia="宋体"/>
                <w:color w:val="auto"/>
                <w:sz w:val="21"/>
                <w:highlight w:val="none"/>
              </w:rPr>
              <w:t>）或法定代表人身份证明（投标文件格式</w:t>
            </w:r>
            <w:r>
              <w:rPr>
                <w:rFonts w:hint="eastAsia" w:ascii="宋体" w:hAnsi="宋体" w:eastAsia="宋体"/>
                <w:color w:val="auto"/>
                <w:sz w:val="21"/>
                <w:highlight w:val="none"/>
                <w:lang w:val="en-US" w:eastAsia="zh-CN"/>
              </w:rPr>
              <w:t>八</w:t>
            </w:r>
            <w:r>
              <w:rPr>
                <w:rFonts w:hint="eastAsia" w:ascii="宋体" w:hAnsi="宋体" w:eastAsia="宋体"/>
                <w:color w:val="auto"/>
                <w:sz w:val="21"/>
                <w:highlight w:val="none"/>
              </w:rPr>
              <w:t>）</w:t>
            </w:r>
            <w:r>
              <w:rPr>
                <w:rFonts w:hint="eastAsia" w:ascii="宋体" w:hAnsi="宋体" w:eastAsia="宋体" w:cs="宋体"/>
                <w:color w:val="auto"/>
                <w:sz w:val="21"/>
                <w:szCs w:val="21"/>
                <w:highlight w:val="none"/>
              </w:rPr>
              <w:t>；</w:t>
            </w:r>
          </w:p>
          <w:p w14:paraId="7D9B7B78">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7085A2C5">
            <w:pPr>
              <w:pStyle w:val="6"/>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13ADAB52">
            <w:pPr>
              <w:pStyle w:val="6"/>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②《建筑业企业资质证书》</w:t>
            </w:r>
            <w:r>
              <w:rPr>
                <w:rFonts w:hint="eastAsia" w:ascii="宋体" w:hAnsi="宋体" w:eastAsia="宋体" w:cs="宋体"/>
                <w:b/>
                <w:bCs/>
                <w:color w:val="auto"/>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44ABEDE5">
            <w:pPr>
              <w:pStyle w:val="6"/>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059F3F78">
            <w:pPr>
              <w:pStyle w:val="6"/>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043020CD">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53AEB748">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2149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27DED5EE">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5FC52C2C">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7185C26A">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7851E148">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2F58BA58">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4F888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682" w:type="dxa"/>
            <w:vAlign w:val="center"/>
          </w:tcPr>
          <w:p w14:paraId="372D2ED4">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300D09C8">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10C0B907">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6EC5E7AD">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6A632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3FD68752">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1C31AC31">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560C7EC4">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预算审核价及最高投标限价</w:t>
            </w:r>
          </w:p>
        </w:tc>
        <w:tc>
          <w:tcPr>
            <w:tcW w:w="5919" w:type="dxa"/>
            <w:vAlign w:val="center"/>
          </w:tcPr>
          <w:p w14:paraId="7EA290C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预算审核价：</w:t>
            </w:r>
            <w:r>
              <w:rPr>
                <w:rFonts w:hint="eastAsia" w:ascii="宋体" w:hAnsi="宋体" w:eastAsia="宋体" w:cs="宋体"/>
                <w:color w:val="auto"/>
                <w:sz w:val="21"/>
                <w:szCs w:val="21"/>
                <w:highlight w:val="none"/>
                <w:u w:val="single"/>
                <w:lang w:eastAsia="zh-CN"/>
              </w:rPr>
              <w:t>504532</w:t>
            </w:r>
            <w:r>
              <w:rPr>
                <w:rFonts w:hint="eastAsia" w:ascii="宋体" w:hAnsi="宋体" w:eastAsia="宋体" w:cs="宋体"/>
                <w:color w:val="auto"/>
                <w:sz w:val="21"/>
                <w:szCs w:val="21"/>
                <w:highlight w:val="none"/>
              </w:rPr>
              <w:t>元；</w:t>
            </w:r>
          </w:p>
          <w:p w14:paraId="5F784FF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r>
              <w:rPr>
                <w:rFonts w:hint="eastAsia" w:ascii="宋体" w:hAnsi="宋体" w:eastAsia="宋体"/>
                <w:color w:val="auto"/>
                <w:sz w:val="21"/>
                <w:highlight w:val="none"/>
                <w:lang w:eastAsia="zh-CN"/>
              </w:rPr>
              <w:t>504532</w:t>
            </w:r>
            <w:r>
              <w:rPr>
                <w:rFonts w:hint="eastAsia" w:ascii="宋体" w:hAnsi="宋体" w:eastAsia="宋体" w:cs="宋体"/>
                <w:color w:val="auto"/>
                <w:sz w:val="21"/>
                <w:szCs w:val="21"/>
                <w:highlight w:val="none"/>
              </w:rPr>
              <w:t>×（1-下浮值）</w:t>
            </w:r>
          </w:p>
          <w:p w14:paraId="6DB2892B">
            <w:pPr>
              <w:rPr>
                <w:b/>
                <w:color w:val="auto"/>
                <w:sz w:val="24"/>
                <w:szCs w:val="24"/>
                <w:highlight w:val="none"/>
              </w:rPr>
            </w:pPr>
            <w:r>
              <w:rPr>
                <w:rFonts w:hint="eastAsia" w:ascii="宋体" w:hAnsi="宋体" w:eastAsia="宋体" w:cs="宋体"/>
                <w:color w:val="auto"/>
                <w:sz w:val="21"/>
                <w:szCs w:val="21"/>
                <w:highlight w:val="none"/>
              </w:rPr>
              <w:t>下浮值在1%，2.5%，4%，5.5%，7%等5个等差数值中抽取其中一值作为下浮值。</w:t>
            </w:r>
          </w:p>
        </w:tc>
      </w:tr>
      <w:tr w14:paraId="21F23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3DD086E9">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155D3156">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53D214DE">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61D8336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1、担保金额：</w:t>
            </w:r>
            <w:r>
              <w:rPr>
                <w:rFonts w:hint="eastAsia" w:ascii="宋体" w:hAnsi="宋体" w:eastAsia="宋体"/>
                <w:color w:val="auto"/>
                <w:sz w:val="21"/>
                <w:highlight w:val="none"/>
                <w:lang w:val="en-US" w:eastAsia="zh-CN"/>
              </w:rPr>
              <w:t>8000</w:t>
            </w:r>
            <w:r>
              <w:rPr>
                <w:rFonts w:hint="eastAsia" w:ascii="宋体" w:hAnsi="宋体" w:eastAsia="宋体"/>
                <w:color w:val="auto"/>
                <w:sz w:val="21"/>
                <w:highlight w:val="none"/>
              </w:rPr>
              <w:t>元。</w:t>
            </w:r>
          </w:p>
          <w:p w14:paraId="20FAB78A">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2、投标保证金缴纳方式：网上银行转账或工程保函。</w:t>
            </w:r>
          </w:p>
          <w:p w14:paraId="0E4CAD08">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 担保形式：网上银行转账。</w:t>
            </w:r>
          </w:p>
          <w:p w14:paraId="32BCFE12">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03B86E5A">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9139AE9">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7739720D">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C1CA8ED">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25184D24">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(2)担保形式：工程保函</w:t>
            </w:r>
          </w:p>
          <w:p w14:paraId="183848B4">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41B80DB4">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color w:val="auto"/>
                <w:sz w:val="21"/>
                <w:highlight w:val="none"/>
                <w:u w:val="single"/>
                <w:lang w:eastAsia="zh-CN"/>
              </w:rPr>
              <w:t>临海市尤溪镇人民政府</w:t>
            </w:r>
            <w:r>
              <w:rPr>
                <w:rFonts w:hint="eastAsia" w:ascii="宋体" w:hAnsi="宋体" w:eastAsia="宋体"/>
                <w:color w:val="auto"/>
                <w:sz w:val="21"/>
                <w:highlight w:val="none"/>
              </w:rPr>
              <w:t>（招标人名称）；</w:t>
            </w:r>
          </w:p>
          <w:p w14:paraId="2B393A3F">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72C94176">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789793D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①用工程电子保函形式：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167519FD">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②用工程纸质保函形式：保费应一函一付，通过企业基本账户支付。投标人须在投标截止时间前在开标现场递交工程保函纸质原件、基本账户证明、保费支付的银行回单（以上资料均需加盖投标人公章）等保函相关资料。</w:t>
            </w:r>
          </w:p>
          <w:p w14:paraId="013069C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 xml:space="preserve">递交方式：开标现场递交； </w:t>
            </w:r>
          </w:p>
          <w:p w14:paraId="2E617601">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4FF85FF1">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CE424F7">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台州正运工程咨询有限公司</w:t>
            </w:r>
            <w:r>
              <w:rPr>
                <w:rFonts w:hint="eastAsia" w:ascii="宋体" w:hAnsi="宋体" w:eastAsia="宋体"/>
                <w:color w:val="auto"/>
                <w:sz w:val="21"/>
                <w:highlight w:val="none"/>
              </w:rPr>
              <w:t xml:space="preserve">（代理机构）； </w:t>
            </w:r>
          </w:p>
          <w:p w14:paraId="1DC6C1A8">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18906557360</w:t>
            </w:r>
            <w:r>
              <w:rPr>
                <w:rFonts w:hint="eastAsia" w:ascii="宋体" w:hAnsi="宋体" w:eastAsia="宋体"/>
                <w:color w:val="auto"/>
                <w:sz w:val="21"/>
                <w:highlight w:val="none"/>
              </w:rPr>
              <w:t xml:space="preserve">（代理机构联系方式）； </w:t>
            </w:r>
          </w:p>
          <w:p w14:paraId="27EB93CD">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若招标文件允许联合体投标且投标人以联合体身份投标的，由联合体牵头人提交工程投标保证金。</w:t>
            </w:r>
          </w:p>
          <w:p w14:paraId="34D0275D">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A737038">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咨询电话：</w:t>
            </w:r>
          </w:p>
          <w:p w14:paraId="60F3D85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577FE343">
            <w:pPr>
              <w:spacing w:line="288" w:lineRule="auto"/>
              <w:ind w:right="200"/>
              <w:rPr>
                <w:rFonts w:ascii="黑体" w:hAnsi="宋体" w:eastAsia="黑体"/>
                <w:b/>
                <w:color w:val="auto"/>
                <w:sz w:val="24"/>
                <w:szCs w:val="24"/>
                <w:highlight w:val="none"/>
              </w:rPr>
            </w:pPr>
            <w:r>
              <w:rPr>
                <w:rFonts w:hint="eastAsia" w:ascii="宋体" w:hAnsi="宋体" w:eastAsia="宋体"/>
                <w:color w:val="auto"/>
                <w:sz w:val="21"/>
                <w:highlight w:val="none"/>
              </w:rPr>
              <w:t>平台财务咨询电话：0576-85407100。</w:t>
            </w:r>
          </w:p>
        </w:tc>
      </w:tr>
      <w:tr w14:paraId="5285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71DB6BFA">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1EEADD92">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56AC2614">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4F661687">
            <w:pPr>
              <w:rPr>
                <w:rFonts w:ascii="宋体" w:hAnsi="宋体" w:eastAsia="宋体"/>
                <w:color w:val="auto"/>
                <w:sz w:val="21"/>
                <w:highlight w:val="none"/>
              </w:rPr>
            </w:pPr>
            <w:r>
              <w:rPr>
                <w:rFonts w:hint="eastAsia" w:ascii="宋体" w:hAnsi="宋体" w:eastAsia="宋体"/>
                <w:color w:val="auto"/>
                <w:sz w:val="21"/>
                <w:highlight w:val="none"/>
                <w:lang w:val="en-US" w:eastAsia="zh-CN"/>
              </w:rPr>
              <w:t>9</w:t>
            </w:r>
            <w:r>
              <w:rPr>
                <w:rFonts w:hint="eastAsia" w:ascii="宋体" w:hAnsi="宋体" w:eastAsia="宋体"/>
                <w:color w:val="auto"/>
                <w:sz w:val="21"/>
                <w:highlight w:val="none"/>
              </w:rPr>
              <w:t>0日历天（自投标截止日起计算）</w:t>
            </w:r>
          </w:p>
        </w:tc>
      </w:tr>
      <w:tr w14:paraId="0DDAA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082B8E6B">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771F6CCE">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217A0AA0">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4E6BBA14">
            <w:pPr>
              <w:numPr>
                <w:ilvl w:val="0"/>
                <w:numId w:val="3"/>
              </w:numPr>
              <w:rPr>
                <w:rFonts w:ascii="宋体" w:hAnsi="宋体" w:eastAsia="宋体"/>
                <w:color w:val="auto"/>
                <w:sz w:val="21"/>
                <w:szCs w:val="21"/>
                <w:highlight w:val="none"/>
              </w:rPr>
            </w:pPr>
            <w:r>
              <w:rPr>
                <w:rFonts w:hint="eastAsia" w:ascii="宋体" w:hAnsi="宋体" w:eastAsia="宋体"/>
                <w:color w:val="auto"/>
                <w:sz w:val="21"/>
                <w:szCs w:val="21"/>
                <w:highlight w:val="none"/>
              </w:rPr>
              <w:t>加密电子投标文件，后缀名为（.投标文件）（本项目无需提供纸质投标文件，只要求上传电子投标文件正本一份）</w:t>
            </w:r>
          </w:p>
          <w:p w14:paraId="56040C01">
            <w:pPr>
              <w:rPr>
                <w:rFonts w:ascii="宋体" w:hAnsi="宋体" w:eastAsia="宋体" w:cs="宋体"/>
                <w:color w:val="auto"/>
                <w:sz w:val="22"/>
                <w:szCs w:val="22"/>
                <w:highlight w:val="none"/>
              </w:rPr>
            </w:pPr>
            <w:r>
              <w:rPr>
                <w:rFonts w:hint="eastAsia" w:ascii="宋体" w:hAnsi="宋体" w:eastAsia="宋体" w:cs="宋体"/>
                <w:color w:val="auto"/>
                <w:sz w:val="21"/>
                <w:szCs w:val="21"/>
                <w:highlight w:val="none"/>
              </w:rPr>
              <w:t>CA咨询电话：400-0571-337，投标工具咨询电话：</w:t>
            </w:r>
            <w:r>
              <w:rPr>
                <w:rFonts w:hint="eastAsia" w:ascii="宋体" w:hAnsi="宋体" w:eastAsia="宋体" w:cs="宋体"/>
                <w:color w:val="auto"/>
                <w:sz w:val="22"/>
                <w:szCs w:val="22"/>
                <w:highlight w:val="none"/>
              </w:rPr>
              <w:t>15267291759</w:t>
            </w:r>
          </w:p>
          <w:p w14:paraId="6D586C96">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5CE2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070D1828">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50A83880">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379B9FD8">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294FBFBB">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52D30F24">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color w:val="auto"/>
                <w:sz w:val="21"/>
                <w:szCs w:val="21"/>
                <w:highlight w:val="none"/>
                <w:lang w:val="en-US" w:eastAsia="zh-CN"/>
              </w:rPr>
              <w:t>60</w:t>
            </w:r>
            <w:r>
              <w:rPr>
                <w:rFonts w:hint="eastAsia" w:ascii="宋体" w:hAnsi="宋体" w:eastAsia="宋体" w:cs="宋体"/>
                <w:b/>
                <w:color w:val="auto"/>
                <w:sz w:val="21"/>
                <w:szCs w:val="21"/>
                <w:highlight w:val="none"/>
              </w:rPr>
              <w:t>分钟内解密。未满足上述条件的投标人，其投标文件作无效标处理。</w:t>
            </w:r>
          </w:p>
        </w:tc>
      </w:tr>
      <w:tr w14:paraId="1F311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4B3A2201">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722E0547">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40C2389F">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7966BAE9">
            <w:pPr>
              <w:jc w:val="left"/>
              <w:rPr>
                <w:rFonts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投标人无需现场签到、递交资料（工程纸质保函除外）</w:t>
            </w:r>
          </w:p>
        </w:tc>
      </w:tr>
      <w:tr w14:paraId="1304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2ABC7CD4">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2F6787D3">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510A146">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601CE481">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51CF28D4">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开标地点：临海市限额以下公共资源交易区域平台</w:t>
            </w:r>
            <w:r>
              <w:rPr>
                <w:rFonts w:hint="eastAsia" w:ascii="宋体" w:hAnsi="宋体" w:eastAsia="宋体"/>
                <w:color w:val="auto"/>
                <w:sz w:val="21"/>
                <w:highlight w:val="none"/>
                <w:lang w:val="en-US" w:eastAsia="zh-CN"/>
              </w:rPr>
              <w:t>南</w:t>
            </w:r>
            <w:r>
              <w:rPr>
                <w:rFonts w:hint="eastAsia" w:ascii="宋体" w:hAnsi="宋体" w:eastAsia="宋体"/>
                <w:color w:val="auto"/>
                <w:sz w:val="21"/>
                <w:highlight w:val="none"/>
              </w:rPr>
              <w:t>部开标室</w:t>
            </w:r>
            <w:r>
              <w:rPr>
                <w:rFonts w:hint="eastAsia" w:ascii="宋体" w:hAnsi="宋体" w:eastAsia="宋体"/>
                <w:color w:val="auto"/>
                <w:sz w:val="21"/>
                <w:highlight w:val="none"/>
                <w:lang w:val="en-US" w:eastAsia="zh-CN"/>
              </w:rPr>
              <w:t>2号</w:t>
            </w:r>
            <w:r>
              <w:rPr>
                <w:rFonts w:ascii="宋体" w:hAnsi="宋体" w:eastAsia="宋体"/>
                <w:color w:val="auto"/>
                <w:sz w:val="21"/>
                <w:highlight w:val="none"/>
              </w:rPr>
              <w:t>（江南街道春和路下岙余村新办公楼二楼）</w:t>
            </w:r>
          </w:p>
        </w:tc>
      </w:tr>
      <w:tr w14:paraId="38826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66BF9921">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3D4D788F">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547D6D7D">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0AC72B86">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032E2328">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u w:val="single"/>
              </w:rPr>
              <w:t>202</w:t>
            </w:r>
            <w:r>
              <w:rPr>
                <w:rFonts w:hint="eastAsia" w:ascii="宋体" w:hAnsi="宋体" w:eastAsia="宋体"/>
                <w:color w:val="auto"/>
                <w:sz w:val="21"/>
                <w:highlight w:val="none"/>
                <w:u w:val="single"/>
                <w:lang w:val="en-US" w:eastAsia="zh-CN"/>
              </w:rPr>
              <w:t>6</w:t>
            </w:r>
            <w:r>
              <w:rPr>
                <w:rFonts w:hint="eastAsia" w:ascii="宋体" w:hAnsi="宋体" w:eastAsia="宋体"/>
                <w:color w:val="auto"/>
                <w:sz w:val="21"/>
                <w:highlight w:val="none"/>
                <w:u w:val="single"/>
              </w:rPr>
              <w:t>年</w:t>
            </w:r>
            <w:r>
              <w:rPr>
                <w:rFonts w:hint="eastAsia" w:ascii="宋体" w:hAnsi="宋体" w:eastAsia="宋体"/>
                <w:color w:val="auto"/>
                <w:sz w:val="21"/>
                <w:highlight w:val="none"/>
                <w:u w:val="single"/>
                <w:lang w:val="en-US" w:eastAsia="zh-CN"/>
              </w:rPr>
              <w:t>4</w:t>
            </w:r>
            <w:r>
              <w:rPr>
                <w:rFonts w:hint="eastAsia" w:ascii="宋体" w:hAnsi="宋体" w:eastAsia="宋体"/>
                <w:color w:val="auto"/>
                <w:sz w:val="21"/>
                <w:highlight w:val="none"/>
                <w:u w:val="single"/>
              </w:rPr>
              <w:t>月</w:t>
            </w:r>
            <w:r>
              <w:rPr>
                <w:rFonts w:hint="eastAsia" w:ascii="宋体" w:hAnsi="宋体" w:eastAsia="宋体"/>
                <w:color w:val="auto"/>
                <w:sz w:val="21"/>
                <w:highlight w:val="none"/>
                <w:u w:val="single"/>
                <w:lang w:val="en-US" w:eastAsia="zh-CN"/>
              </w:rPr>
              <w:t xml:space="preserve">28 </w:t>
            </w:r>
            <w:r>
              <w:rPr>
                <w:rFonts w:hint="eastAsia" w:ascii="宋体" w:hAnsi="宋体" w:eastAsia="宋体"/>
                <w:color w:val="auto"/>
                <w:sz w:val="21"/>
                <w:highlight w:val="none"/>
                <w:u w:val="single"/>
              </w:rPr>
              <w:t>日</w:t>
            </w:r>
            <w:r>
              <w:rPr>
                <w:rFonts w:hint="eastAsia" w:ascii="宋体" w:hAnsi="宋体" w:eastAsia="宋体"/>
                <w:color w:val="auto"/>
                <w:sz w:val="21"/>
                <w:highlight w:val="none"/>
                <w:u w:val="single"/>
                <w:lang w:val="en-US" w:eastAsia="zh-CN"/>
              </w:rPr>
              <w:t>8</w:t>
            </w:r>
            <w:r>
              <w:rPr>
                <w:rFonts w:hint="eastAsia" w:ascii="宋体" w:hAnsi="宋体" w:eastAsia="宋体"/>
                <w:color w:val="auto"/>
                <w:sz w:val="21"/>
                <w:highlight w:val="none"/>
                <w:u w:val="single"/>
              </w:rPr>
              <w:t>时</w:t>
            </w:r>
            <w:r>
              <w:rPr>
                <w:rFonts w:hint="eastAsia" w:ascii="宋体" w:hAnsi="宋体" w:eastAsia="宋体"/>
                <w:color w:val="auto"/>
                <w:sz w:val="21"/>
                <w:highlight w:val="none"/>
                <w:u w:val="single"/>
                <w:lang w:val="en-US" w:eastAsia="zh-CN"/>
              </w:rPr>
              <w:t>30</w:t>
            </w:r>
            <w:r>
              <w:rPr>
                <w:rFonts w:hint="eastAsia" w:ascii="宋体" w:hAnsi="宋体" w:eastAsia="宋体"/>
                <w:color w:val="auto"/>
                <w:sz w:val="21"/>
                <w:highlight w:val="none"/>
                <w:u w:val="single"/>
              </w:rPr>
              <w:t>分</w:t>
            </w:r>
            <w:r>
              <w:rPr>
                <w:rFonts w:hint="eastAsia" w:ascii="宋体" w:hAnsi="宋体" w:eastAsia="宋体"/>
                <w:color w:val="auto"/>
                <w:sz w:val="21"/>
                <w:highlight w:val="none"/>
              </w:rPr>
              <w:t>；</w:t>
            </w:r>
            <w:bookmarkStart w:id="260" w:name="_GoBack"/>
            <w:bookmarkEnd w:id="260"/>
          </w:p>
        </w:tc>
      </w:tr>
      <w:tr w14:paraId="6226B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6B68E4B4">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26FC8B20">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6F2D65B6">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3A501CE0">
            <w:pPr>
              <w:rPr>
                <w:rFonts w:hint="eastAsia"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lang w:eastAsia="zh-CN"/>
              </w:rPr>
              <w:t>：</w:t>
            </w:r>
            <w:r>
              <w:rPr>
                <w:rFonts w:hint="eastAsia" w:ascii="宋体" w:hAnsi="宋体" w:eastAsia="宋体"/>
                <w:color w:val="auto"/>
                <w:sz w:val="21"/>
                <w:szCs w:val="22"/>
                <w:highlight w:val="none"/>
              </w:rPr>
              <w:t>各投标人首先在投标截止时间后对各自网上提交的电子投标文件解密。解密后先进行最高投标限价下浮值抽取，再进行D值抽取，然后按评标顺序分别开启各单位的标书，并由评标委员会进行评审，最后宣布评审结果。</w:t>
            </w:r>
          </w:p>
          <w:p w14:paraId="3DD42B65">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26020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5B64BDA8">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75EC4B3E">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1CF500F9">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20B46D23">
            <w:pPr>
              <w:rPr>
                <w:rFonts w:ascii="宋体" w:hAnsi="宋体" w:eastAsia="宋体"/>
                <w:color w:val="auto"/>
                <w:sz w:val="21"/>
                <w:highlight w:val="none"/>
              </w:rPr>
            </w:pPr>
            <w:r>
              <w:rPr>
                <w:rFonts w:hint="eastAsia" w:ascii="宋体" w:hAnsi="宋体" w:eastAsia="宋体"/>
                <w:color w:val="auto"/>
                <w:sz w:val="21"/>
                <w:szCs w:val="22"/>
                <w:highlight w:val="none"/>
              </w:rPr>
              <w:t>临海市限额以下公共资源交易工程建设项目(</w:t>
            </w:r>
            <w:r>
              <w:rPr>
                <w:rFonts w:hint="eastAsia" w:ascii="宋体" w:hAnsi="宋体" w:eastAsia="宋体"/>
                <w:color w:val="auto"/>
                <w:sz w:val="21"/>
                <w:szCs w:val="22"/>
                <w:highlight w:val="none"/>
                <w:lang w:val="en-US" w:eastAsia="zh-CN"/>
              </w:rPr>
              <w:t>水利</w:t>
            </w:r>
            <w:r>
              <w:rPr>
                <w:rFonts w:hint="eastAsia" w:ascii="宋体" w:hAnsi="宋体" w:eastAsia="宋体"/>
                <w:color w:val="auto"/>
                <w:sz w:val="21"/>
                <w:szCs w:val="22"/>
                <w:highlight w:val="none"/>
              </w:rPr>
              <w:t>项目评标办法)</w:t>
            </w:r>
          </w:p>
        </w:tc>
      </w:tr>
      <w:tr w14:paraId="5ECB0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516991FD">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3B5967EE">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5A8FEB09">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0A522D1F">
            <w:pPr>
              <w:jc w:val="left"/>
              <w:rPr>
                <w:color w:val="auto"/>
                <w:highlight w:val="none"/>
              </w:rPr>
            </w:pPr>
            <w:r>
              <w:rPr>
                <w:rFonts w:hint="eastAsia" w:ascii="宋体" w:hAnsi="宋体" w:eastAsia="宋体"/>
                <w:color w:val="auto"/>
                <w:sz w:val="21"/>
                <w:szCs w:val="22"/>
                <w:highlight w:val="none"/>
              </w:rPr>
              <w:t>履约担保金额为中标价的2%。</w:t>
            </w:r>
          </w:p>
        </w:tc>
      </w:tr>
      <w:tr w14:paraId="503F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6D89BB93">
            <w:pPr>
              <w:pStyle w:val="12"/>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21910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55C02B16">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1C91C824">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1EF11948">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729DF3F4">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5067C634">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37FE50EB">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04FB0D23">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6C69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6DE6B96E">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08ACEE65">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01C33312">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590B41AC">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375ED0AC">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2C6DF400">
            <w:pPr>
              <w:pStyle w:val="9"/>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34A23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344EA54A">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049B55D4">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44FE3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543" w:type="dxa"/>
            <w:gridSpan w:val="2"/>
            <w:vAlign w:val="center"/>
          </w:tcPr>
          <w:p w14:paraId="28EA130D">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58BB3AED">
            <w:pPr>
              <w:pStyle w:val="29"/>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w:t>
            </w:r>
            <w:r>
              <w:rPr>
                <w:rFonts w:hint="eastAsia" w:ascii="Calibri" w:hAnsi="宋体"/>
                <w:color w:val="auto"/>
                <w:sz w:val="21"/>
                <w:szCs w:val="21"/>
                <w:highlight w:val="none"/>
                <w:lang w:val="en-US" w:eastAsia="zh-CN"/>
              </w:rPr>
              <w:t>登录</w:t>
            </w:r>
            <w:r>
              <w:rPr>
                <w:rFonts w:hint="eastAsia" w:ascii="Calibri" w:hAnsi="宋体"/>
                <w:color w:val="auto"/>
                <w:sz w:val="21"/>
                <w:szCs w:val="21"/>
                <w:highlight w:val="none"/>
              </w:rPr>
              <w:t>临海市限额以下公共资源交易区域平台（https://www.lhcqjy.com.cn/）的“注册入口”栏目进行注册入驻。注册咨询联系人：梁工，联系电话：0576-85407095；</w:t>
            </w:r>
          </w:p>
          <w:p w14:paraId="3A589E06">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FB3B281">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54C83DD">
            <w:pPr>
              <w:pStyle w:val="29"/>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软件技术支持电话：15267291759（同微信）。</w:t>
            </w:r>
          </w:p>
        </w:tc>
      </w:tr>
    </w:tbl>
    <w:p w14:paraId="743C7405">
      <w:pPr>
        <w:jc w:val="center"/>
        <w:rPr>
          <w:rFonts w:ascii="宋体" w:hAnsi="宋体"/>
          <w:color w:val="auto"/>
          <w:highlight w:val="none"/>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F0F58FE">
      <w:pPr>
        <w:keepNext/>
        <w:keepLines/>
        <w:spacing w:before="120" w:after="120"/>
        <w:jc w:val="center"/>
        <w:outlineLvl w:val="0"/>
        <w:rPr>
          <w:rFonts w:ascii="黑体" w:hAnsi="黑体" w:eastAsia="黑体"/>
          <w:b/>
          <w:color w:val="auto"/>
          <w:kern w:val="44"/>
          <w:sz w:val="30"/>
          <w:highlight w:val="none"/>
        </w:rPr>
      </w:pPr>
      <w:bookmarkStart w:id="10" w:name="_Toc500209412"/>
      <w:bookmarkStart w:id="11" w:name="_Toc26109"/>
      <w:bookmarkStart w:id="12" w:name="_Toc10147"/>
      <w:bookmarkStart w:id="13" w:name="_Toc9614"/>
      <w:bookmarkStart w:id="14" w:name="_Toc500208463"/>
      <w:r>
        <w:rPr>
          <w:rFonts w:hint="eastAsia" w:ascii="黑体" w:hAnsi="黑体" w:eastAsia="黑体"/>
          <w:b/>
          <w:color w:val="auto"/>
          <w:kern w:val="44"/>
          <w:sz w:val="30"/>
          <w:highlight w:val="none"/>
        </w:rPr>
        <w:t>第一章  投标须知</w:t>
      </w:r>
      <w:bookmarkEnd w:id="10"/>
      <w:bookmarkEnd w:id="11"/>
      <w:bookmarkEnd w:id="12"/>
      <w:bookmarkEnd w:id="13"/>
      <w:bookmarkEnd w:id="14"/>
    </w:p>
    <w:p w14:paraId="0A363984">
      <w:pPr>
        <w:numPr>
          <w:ilvl w:val="0"/>
          <w:numId w:val="4"/>
        </w:numPr>
        <w:spacing w:before="360" w:afterLines="50" w:line="320" w:lineRule="exact"/>
        <w:jc w:val="center"/>
        <w:outlineLvl w:val="1"/>
        <w:rPr>
          <w:rFonts w:ascii="Arial" w:hAnsi="Arial" w:eastAsia="黑体" w:cs="Arial"/>
          <w:b/>
          <w:color w:val="auto"/>
          <w:szCs w:val="24"/>
          <w:highlight w:val="none"/>
        </w:rPr>
      </w:pPr>
      <w:bookmarkStart w:id="15" w:name="_Toc32149"/>
      <w:bookmarkStart w:id="16" w:name="_Toc4837"/>
      <w:bookmarkStart w:id="17" w:name="_Toc500208464"/>
      <w:bookmarkStart w:id="18" w:name="_Toc500209413"/>
      <w:r>
        <w:rPr>
          <w:rFonts w:hint="eastAsia" w:ascii="Arial" w:hAnsi="Arial" w:eastAsia="黑体" w:cs="Arial"/>
          <w:b/>
          <w:color w:val="auto"/>
          <w:szCs w:val="24"/>
          <w:highlight w:val="none"/>
        </w:rPr>
        <w:t>总  则</w:t>
      </w:r>
      <w:bookmarkEnd w:id="15"/>
      <w:bookmarkEnd w:id="16"/>
      <w:bookmarkEnd w:id="17"/>
      <w:bookmarkEnd w:id="18"/>
    </w:p>
    <w:p w14:paraId="51D48076">
      <w:pPr>
        <w:keepNext/>
        <w:keepLines/>
        <w:numPr>
          <w:ilvl w:val="0"/>
          <w:numId w:val="5"/>
        </w:numPr>
        <w:spacing w:before="360" w:line="288" w:lineRule="auto"/>
        <w:jc w:val="left"/>
        <w:outlineLvl w:val="2"/>
        <w:rPr>
          <w:rFonts w:ascii="黑体" w:hAnsi="宋体" w:eastAsia="黑体"/>
          <w:b/>
          <w:color w:val="auto"/>
          <w:sz w:val="21"/>
          <w:highlight w:val="none"/>
        </w:rPr>
      </w:pPr>
      <w:bookmarkStart w:id="19" w:name="_Toc155342528"/>
      <w:bookmarkStart w:id="20" w:name="_Toc169487776"/>
      <w:bookmarkStart w:id="21" w:name="_Toc500208465"/>
      <w:r>
        <w:rPr>
          <w:rFonts w:hint="eastAsia" w:ascii="黑体" w:hAnsi="宋体" w:eastAsia="黑体"/>
          <w:b/>
          <w:color w:val="auto"/>
          <w:sz w:val="21"/>
          <w:highlight w:val="none"/>
        </w:rPr>
        <w:t>工程说明</w:t>
      </w:r>
      <w:bookmarkEnd w:id="19"/>
      <w:bookmarkEnd w:id="20"/>
    </w:p>
    <w:p w14:paraId="307CD303">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132DB260">
      <w:pPr>
        <w:keepNext/>
        <w:keepLines/>
        <w:numPr>
          <w:ilvl w:val="0"/>
          <w:numId w:val="5"/>
        </w:numPr>
        <w:spacing w:before="360" w:line="288" w:lineRule="auto"/>
        <w:jc w:val="left"/>
        <w:outlineLvl w:val="2"/>
        <w:rPr>
          <w:rFonts w:ascii="黑体" w:hAnsi="宋体" w:eastAsia="黑体"/>
          <w:b/>
          <w:color w:val="auto"/>
          <w:sz w:val="21"/>
          <w:highlight w:val="none"/>
        </w:rPr>
      </w:pPr>
      <w:bookmarkStart w:id="22" w:name="_Toc169487777"/>
      <w:bookmarkStart w:id="23" w:name="_Toc155342529"/>
      <w:r>
        <w:rPr>
          <w:rFonts w:hint="eastAsia" w:ascii="黑体" w:hAnsi="宋体" w:eastAsia="黑体"/>
          <w:b/>
          <w:color w:val="auto"/>
          <w:sz w:val="21"/>
          <w:highlight w:val="none"/>
        </w:rPr>
        <w:t>招标范围</w:t>
      </w:r>
      <w:bookmarkEnd w:id="21"/>
      <w:bookmarkEnd w:id="22"/>
      <w:bookmarkEnd w:id="23"/>
    </w:p>
    <w:p w14:paraId="3AAF906A">
      <w:pPr>
        <w:pStyle w:val="9"/>
        <w:numPr>
          <w:ilvl w:val="1"/>
          <w:numId w:val="5"/>
        </w:numPr>
        <w:ind w:firstLine="420" w:firstLineChars="200"/>
        <w:rPr>
          <w:color w:val="auto"/>
          <w:highlight w:val="none"/>
        </w:rPr>
      </w:pPr>
      <w:bookmarkStart w:id="24" w:name="_Toc500208466"/>
      <w:r>
        <w:rPr>
          <w:rFonts w:hint="eastAsia"/>
          <w:color w:val="auto"/>
          <w:highlight w:val="none"/>
        </w:rPr>
        <w:t>本招标工程项目的招标方式详见本须知前附表第8项。</w:t>
      </w:r>
    </w:p>
    <w:p w14:paraId="77DDEA23">
      <w:pPr>
        <w:pStyle w:val="9"/>
        <w:numPr>
          <w:ilvl w:val="1"/>
          <w:numId w:val="5"/>
        </w:numPr>
        <w:ind w:firstLine="420" w:firstLineChars="200"/>
        <w:rPr>
          <w:color w:val="auto"/>
          <w:highlight w:val="none"/>
        </w:rPr>
      </w:pPr>
      <w:r>
        <w:rPr>
          <w:rFonts w:hint="eastAsia"/>
          <w:color w:val="auto"/>
          <w:highlight w:val="none"/>
        </w:rPr>
        <w:t>本招标工程项目的招标范围详见本须知前附表第9项。</w:t>
      </w:r>
    </w:p>
    <w:p w14:paraId="33295313">
      <w:pPr>
        <w:keepNext/>
        <w:keepLines/>
        <w:numPr>
          <w:ilvl w:val="0"/>
          <w:numId w:val="5"/>
        </w:numPr>
        <w:spacing w:before="360" w:line="288" w:lineRule="auto"/>
        <w:jc w:val="left"/>
        <w:outlineLvl w:val="2"/>
        <w:rPr>
          <w:rFonts w:ascii="黑体" w:hAnsi="宋体" w:eastAsia="黑体"/>
          <w:b/>
          <w:color w:val="auto"/>
          <w:sz w:val="21"/>
          <w:highlight w:val="none"/>
        </w:rPr>
      </w:pPr>
      <w:bookmarkStart w:id="25" w:name="_Toc155342530"/>
      <w:bookmarkStart w:id="26" w:name="_Toc169487778"/>
      <w:r>
        <w:rPr>
          <w:rFonts w:hint="eastAsia" w:ascii="黑体" w:hAnsi="宋体" w:eastAsia="黑体"/>
          <w:b/>
          <w:color w:val="auto"/>
          <w:sz w:val="21"/>
          <w:highlight w:val="none"/>
        </w:rPr>
        <w:t>资金来源</w:t>
      </w:r>
      <w:bookmarkEnd w:id="24"/>
      <w:bookmarkEnd w:id="25"/>
      <w:bookmarkEnd w:id="26"/>
    </w:p>
    <w:p w14:paraId="1325E538">
      <w:pPr>
        <w:pStyle w:val="9"/>
        <w:numPr>
          <w:ilvl w:val="1"/>
          <w:numId w:val="5"/>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5CA9D7F3">
      <w:pPr>
        <w:keepNext/>
        <w:keepLines/>
        <w:numPr>
          <w:ilvl w:val="0"/>
          <w:numId w:val="5"/>
        </w:numPr>
        <w:spacing w:before="360" w:line="288" w:lineRule="auto"/>
        <w:jc w:val="left"/>
        <w:outlineLvl w:val="2"/>
        <w:rPr>
          <w:rFonts w:ascii="黑体" w:hAnsi="宋体" w:eastAsia="黑体"/>
          <w:b/>
          <w:color w:val="auto"/>
          <w:sz w:val="21"/>
          <w:szCs w:val="22"/>
          <w:highlight w:val="none"/>
        </w:rPr>
      </w:pPr>
      <w:bookmarkStart w:id="27" w:name="_Toc169487780"/>
      <w:bookmarkStart w:id="28" w:name="_Toc155342532"/>
      <w:r>
        <w:rPr>
          <w:rFonts w:hint="eastAsia" w:ascii="黑体" w:hAnsi="宋体" w:eastAsia="黑体"/>
          <w:b/>
          <w:color w:val="auto"/>
          <w:sz w:val="21"/>
          <w:szCs w:val="22"/>
          <w:highlight w:val="none"/>
        </w:rPr>
        <w:t>投标人资格</w:t>
      </w:r>
    </w:p>
    <w:p w14:paraId="0A30D5B1">
      <w:pPr>
        <w:pStyle w:val="9"/>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632EE02A">
      <w:pPr>
        <w:pStyle w:val="9"/>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114B09B6">
      <w:pPr>
        <w:pStyle w:val="9"/>
        <w:ind w:firstLine="420" w:firstLineChars="200"/>
        <w:rPr>
          <w:rFonts w:hint="eastAsia"/>
          <w:color w:val="auto"/>
          <w:szCs w:val="22"/>
          <w:highlight w:val="none"/>
        </w:rPr>
      </w:pPr>
      <w:r>
        <w:rPr>
          <w:rFonts w:hint="eastAsia"/>
          <w:color w:val="auto"/>
          <w:szCs w:val="22"/>
          <w:highlight w:val="none"/>
        </w:rPr>
        <w:t>4.3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1D101FDF">
      <w:pPr>
        <w:pStyle w:val="9"/>
        <w:ind w:firstLine="630" w:firstLineChars="300"/>
        <w:rPr>
          <w:rFonts w:hint="eastAsia"/>
          <w:color w:val="auto"/>
          <w:szCs w:val="22"/>
          <w:highlight w:val="none"/>
        </w:rPr>
      </w:pPr>
      <w:r>
        <w:rPr>
          <w:rFonts w:hint="eastAsia"/>
          <w:color w:val="auto"/>
          <w:szCs w:val="22"/>
          <w:highlight w:val="none"/>
        </w:rPr>
        <w:t>a. 原承接的项目与本工程属于同一工程相邻分段发包或分期施工的；</w:t>
      </w:r>
    </w:p>
    <w:p w14:paraId="0FC18415">
      <w:pPr>
        <w:pStyle w:val="9"/>
        <w:ind w:firstLine="630" w:firstLineChars="300"/>
        <w:rPr>
          <w:rFonts w:hint="eastAsia"/>
          <w:color w:val="auto"/>
          <w:szCs w:val="22"/>
          <w:highlight w:val="none"/>
        </w:rPr>
      </w:pPr>
      <w:r>
        <w:rPr>
          <w:rFonts w:hint="eastAsia"/>
          <w:color w:val="auto"/>
          <w:szCs w:val="22"/>
          <w:highlight w:val="none"/>
        </w:rPr>
        <w:t>b. 因非承包方原因致使工程项目停工超过120天（含），经原建设单位同意的。</w:t>
      </w:r>
    </w:p>
    <w:p w14:paraId="5091409D">
      <w:pPr>
        <w:pStyle w:val="9"/>
        <w:ind w:firstLine="630" w:firstLineChars="300"/>
        <w:rPr>
          <w:rFonts w:hint="eastAsia"/>
          <w:color w:val="auto"/>
          <w:szCs w:val="22"/>
          <w:highlight w:val="none"/>
        </w:rPr>
      </w:pPr>
      <w:r>
        <w:rPr>
          <w:rFonts w:hint="eastAsia"/>
          <w:color w:val="auto"/>
          <w:szCs w:val="22"/>
          <w:highlight w:val="none"/>
        </w:rPr>
        <w:t>c. 合同约定的工程已完工，承包方向建设单位提交竣工报告时间已超过120天（含），经原建设单位同意的。</w:t>
      </w:r>
    </w:p>
    <w:p w14:paraId="1AD043FA">
      <w:pPr>
        <w:pStyle w:val="9"/>
        <w:ind w:firstLine="630" w:firstLineChars="300"/>
        <w:rPr>
          <w:rFonts w:hint="eastAsia"/>
          <w:color w:val="auto"/>
          <w:szCs w:val="22"/>
          <w:highlight w:val="none"/>
        </w:rPr>
      </w:pPr>
      <w:r>
        <w:rPr>
          <w:rFonts w:hint="eastAsia"/>
          <w:color w:val="auto"/>
          <w:szCs w:val="22"/>
          <w:highlight w:val="none"/>
        </w:rPr>
        <w:t>如发生以上a、b、c情形的，投标人应在投标文件中提交有关书面证明材料（以电子文档形式随资格标上传，招标文件提供证明格式的须按照该格式提交），投标截止日后提供的证明材料视为瞒报、漏报，将不予认可。</w:t>
      </w:r>
    </w:p>
    <w:p w14:paraId="005E40CC">
      <w:pPr>
        <w:pStyle w:val="9"/>
        <w:ind w:firstLine="632" w:firstLineChars="300"/>
        <w:rPr>
          <w:b/>
          <w:bCs/>
          <w:color w:val="auto"/>
          <w:szCs w:val="22"/>
          <w:highlight w:val="none"/>
        </w:rPr>
      </w:pPr>
      <w:r>
        <w:rPr>
          <w:rFonts w:hint="eastAsia"/>
          <w:b/>
          <w:bCs/>
          <w:color w:val="auto"/>
          <w:szCs w:val="22"/>
          <w:highlight w:val="none"/>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346288E1">
      <w:pPr>
        <w:pStyle w:val="9"/>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w:t>
      </w:r>
      <w:r>
        <w:rPr>
          <w:rFonts w:hint="eastAsia"/>
          <w:b/>
          <w:bCs/>
          <w:color w:val="auto"/>
          <w:szCs w:val="22"/>
          <w:highlight w:val="none"/>
          <w:lang w:val="en-US" w:eastAsia="zh-CN"/>
        </w:rPr>
        <w:t>+</w:t>
      </w:r>
      <w:r>
        <w:rPr>
          <w:rFonts w:hint="eastAsia"/>
          <w:b/>
          <w:bCs/>
          <w:color w:val="auto"/>
          <w:szCs w:val="22"/>
          <w:highlight w:val="none"/>
        </w:rPr>
        <w:t xml:space="preserve">情形的，投标资格不受影响）。 </w:t>
      </w:r>
    </w:p>
    <w:p w14:paraId="4E218D66">
      <w:pPr>
        <w:pStyle w:val="9"/>
        <w:ind w:firstLine="420" w:firstLineChars="200"/>
        <w:rPr>
          <w:color w:val="auto"/>
          <w:szCs w:val="22"/>
          <w:highlight w:val="none"/>
        </w:rPr>
      </w:pPr>
      <w:r>
        <w:rPr>
          <w:rFonts w:hint="eastAsia"/>
          <w:color w:val="auto"/>
          <w:szCs w:val="22"/>
          <w:highlight w:val="none"/>
        </w:rPr>
        <w:t>4.4投标人有以下情形之一的，不得参加本项目投标：</w:t>
      </w:r>
    </w:p>
    <w:p w14:paraId="04287165">
      <w:pPr>
        <w:pStyle w:val="9"/>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1665F48C">
      <w:pPr>
        <w:pStyle w:val="9"/>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47863727">
      <w:pPr>
        <w:pStyle w:val="9"/>
        <w:ind w:firstLine="315" w:firstLineChars="150"/>
        <w:rPr>
          <w:color w:val="auto"/>
          <w:szCs w:val="22"/>
          <w:highlight w:val="none"/>
        </w:rPr>
      </w:pPr>
      <w:r>
        <w:rPr>
          <w:rFonts w:hint="eastAsia"/>
          <w:color w:val="auto"/>
          <w:szCs w:val="22"/>
          <w:highlight w:val="none"/>
        </w:rPr>
        <w:t>（3）为本工程的监理人；</w:t>
      </w:r>
    </w:p>
    <w:p w14:paraId="3A0FBDA9">
      <w:pPr>
        <w:pStyle w:val="9"/>
        <w:ind w:firstLine="315" w:firstLineChars="150"/>
        <w:rPr>
          <w:color w:val="auto"/>
          <w:szCs w:val="22"/>
          <w:highlight w:val="none"/>
        </w:rPr>
      </w:pPr>
      <w:r>
        <w:rPr>
          <w:rFonts w:hint="eastAsia"/>
          <w:color w:val="auto"/>
          <w:szCs w:val="22"/>
          <w:highlight w:val="none"/>
        </w:rPr>
        <w:t xml:space="preserve">（4）为本工程的代建人； </w:t>
      </w:r>
    </w:p>
    <w:p w14:paraId="167C4481">
      <w:pPr>
        <w:pStyle w:val="9"/>
        <w:ind w:firstLine="315" w:firstLineChars="150"/>
        <w:rPr>
          <w:color w:val="auto"/>
          <w:szCs w:val="22"/>
          <w:highlight w:val="none"/>
        </w:rPr>
      </w:pPr>
      <w:r>
        <w:rPr>
          <w:rFonts w:hint="eastAsia"/>
          <w:color w:val="auto"/>
          <w:szCs w:val="22"/>
          <w:highlight w:val="none"/>
        </w:rPr>
        <w:t xml:space="preserve">（5）为本工程提供招标代理服务的； </w:t>
      </w:r>
    </w:p>
    <w:p w14:paraId="2E3AD6CB">
      <w:pPr>
        <w:pStyle w:val="9"/>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69545A12">
      <w:pPr>
        <w:pStyle w:val="9"/>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1F375185">
      <w:pPr>
        <w:pStyle w:val="9"/>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69B873DC">
      <w:pPr>
        <w:pStyle w:val="9"/>
        <w:ind w:firstLine="315" w:firstLineChars="150"/>
        <w:rPr>
          <w:color w:val="auto"/>
          <w:szCs w:val="22"/>
          <w:highlight w:val="none"/>
        </w:rPr>
      </w:pPr>
      <w:r>
        <w:rPr>
          <w:rFonts w:hint="eastAsia"/>
          <w:color w:val="auto"/>
          <w:szCs w:val="22"/>
          <w:highlight w:val="none"/>
        </w:rPr>
        <w:t xml:space="preserve">（9）被责令停业的； </w:t>
      </w:r>
    </w:p>
    <w:p w14:paraId="0E356C39">
      <w:pPr>
        <w:pStyle w:val="9"/>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4D64344C">
      <w:pPr>
        <w:pStyle w:val="9"/>
        <w:ind w:firstLine="315" w:firstLineChars="150"/>
        <w:rPr>
          <w:color w:val="auto"/>
          <w:szCs w:val="22"/>
          <w:highlight w:val="none"/>
        </w:rPr>
      </w:pPr>
      <w:r>
        <w:rPr>
          <w:rFonts w:hint="eastAsia"/>
          <w:color w:val="auto"/>
          <w:szCs w:val="22"/>
          <w:highlight w:val="none"/>
        </w:rPr>
        <w:t>（11）安全生产许可证超出有效期或处于暂扣时限内的；</w:t>
      </w:r>
    </w:p>
    <w:p w14:paraId="06F1351F">
      <w:pPr>
        <w:pStyle w:val="9"/>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3B8601AD">
      <w:pPr>
        <w:pStyle w:val="9"/>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7B6C393E">
      <w:pPr>
        <w:pStyle w:val="9"/>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425CADE9">
      <w:pPr>
        <w:keepNext/>
        <w:keepLines/>
        <w:numPr>
          <w:ilvl w:val="0"/>
          <w:numId w:val="5"/>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7"/>
      <w:bookmarkEnd w:id="28"/>
    </w:p>
    <w:p w14:paraId="76DFB5E7">
      <w:pPr>
        <w:pStyle w:val="9"/>
        <w:numPr>
          <w:ilvl w:val="1"/>
          <w:numId w:val="5"/>
        </w:numPr>
        <w:ind w:firstLine="420" w:firstLineChars="200"/>
        <w:rPr>
          <w:color w:val="auto"/>
          <w:highlight w:val="none"/>
        </w:rPr>
      </w:pPr>
      <w:r>
        <w:rPr>
          <w:rFonts w:hint="eastAsia"/>
          <w:color w:val="auto"/>
          <w:highlight w:val="none"/>
        </w:rPr>
        <w:t>投标人应自行承担其参加投标活动自身发生的费用。</w:t>
      </w:r>
    </w:p>
    <w:p w14:paraId="4532AE37">
      <w:pPr>
        <w:keepNext/>
        <w:keepLines/>
        <w:numPr>
          <w:ilvl w:val="0"/>
          <w:numId w:val="5"/>
        </w:numPr>
        <w:spacing w:before="360" w:line="288" w:lineRule="auto"/>
        <w:jc w:val="left"/>
        <w:outlineLvl w:val="2"/>
        <w:rPr>
          <w:rFonts w:ascii="黑体" w:hAnsi="宋体" w:eastAsia="黑体"/>
          <w:b/>
          <w:color w:val="auto"/>
          <w:sz w:val="21"/>
          <w:highlight w:val="none"/>
        </w:rPr>
      </w:pPr>
      <w:bookmarkStart w:id="29" w:name="_Toc169487781"/>
      <w:bookmarkStart w:id="30" w:name="_Toc155342533"/>
      <w:r>
        <w:rPr>
          <w:rFonts w:hint="eastAsia" w:ascii="黑体" w:hAnsi="宋体" w:eastAsia="黑体"/>
          <w:b/>
          <w:color w:val="auto"/>
          <w:sz w:val="21"/>
          <w:highlight w:val="none"/>
        </w:rPr>
        <w:t>现场条件</w:t>
      </w:r>
      <w:bookmarkEnd w:id="29"/>
      <w:bookmarkEnd w:id="30"/>
    </w:p>
    <w:p w14:paraId="53AF3836">
      <w:pPr>
        <w:pStyle w:val="9"/>
        <w:numPr>
          <w:ilvl w:val="1"/>
          <w:numId w:val="5"/>
        </w:numPr>
        <w:ind w:firstLine="420" w:firstLineChars="200"/>
        <w:rPr>
          <w:color w:val="auto"/>
          <w:highlight w:val="none"/>
        </w:rPr>
      </w:pPr>
      <w:r>
        <w:rPr>
          <w:rFonts w:hint="eastAsia"/>
          <w:color w:val="auto"/>
          <w:highlight w:val="none"/>
        </w:rPr>
        <w:t>施工现场“三通一平”已经完成。</w:t>
      </w:r>
    </w:p>
    <w:p w14:paraId="7F843D47">
      <w:pPr>
        <w:keepNext/>
        <w:keepLines/>
        <w:numPr>
          <w:ilvl w:val="0"/>
          <w:numId w:val="5"/>
        </w:numPr>
        <w:spacing w:before="360" w:line="288" w:lineRule="auto"/>
        <w:jc w:val="left"/>
        <w:outlineLvl w:val="2"/>
        <w:rPr>
          <w:rFonts w:ascii="黑体" w:hAnsi="宋体" w:eastAsia="黑体"/>
          <w:b/>
          <w:color w:val="auto"/>
          <w:sz w:val="21"/>
          <w:highlight w:val="none"/>
        </w:rPr>
      </w:pPr>
      <w:bookmarkStart w:id="31" w:name="_Toc155342534"/>
      <w:bookmarkStart w:id="32" w:name="_Toc169487782"/>
      <w:r>
        <w:rPr>
          <w:rFonts w:hint="eastAsia" w:ascii="黑体" w:hAnsi="宋体" w:eastAsia="黑体"/>
          <w:b/>
          <w:color w:val="auto"/>
          <w:sz w:val="21"/>
          <w:highlight w:val="none"/>
        </w:rPr>
        <w:t>踏勘现场</w:t>
      </w:r>
      <w:bookmarkEnd w:id="31"/>
      <w:bookmarkEnd w:id="32"/>
    </w:p>
    <w:p w14:paraId="4298A386">
      <w:pPr>
        <w:pStyle w:val="9"/>
        <w:numPr>
          <w:ilvl w:val="1"/>
          <w:numId w:val="5"/>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3D358663">
      <w:pPr>
        <w:pStyle w:val="9"/>
        <w:numPr>
          <w:ilvl w:val="1"/>
          <w:numId w:val="5"/>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4F67012F">
      <w:pPr>
        <w:pStyle w:val="9"/>
        <w:numPr>
          <w:ilvl w:val="1"/>
          <w:numId w:val="5"/>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006D58E1">
      <w:pPr>
        <w:numPr>
          <w:ilvl w:val="0"/>
          <w:numId w:val="4"/>
        </w:numPr>
        <w:spacing w:before="360" w:afterLines="50" w:line="320" w:lineRule="exact"/>
        <w:jc w:val="center"/>
        <w:outlineLvl w:val="1"/>
        <w:rPr>
          <w:rFonts w:ascii="Arial" w:hAnsi="Arial" w:eastAsia="黑体" w:cs="Arial"/>
          <w:b/>
          <w:color w:val="auto"/>
          <w:szCs w:val="24"/>
          <w:highlight w:val="none"/>
        </w:rPr>
      </w:pPr>
      <w:bookmarkStart w:id="33" w:name="_Toc500209414"/>
      <w:bookmarkStart w:id="34" w:name="_Toc20890"/>
      <w:bookmarkStart w:id="35" w:name="_Toc24275"/>
      <w:bookmarkStart w:id="36" w:name="_Toc500208467"/>
      <w:r>
        <w:rPr>
          <w:rFonts w:hint="eastAsia" w:ascii="Arial" w:hAnsi="Arial" w:eastAsia="黑体" w:cs="Arial"/>
          <w:b/>
          <w:color w:val="auto"/>
          <w:szCs w:val="24"/>
          <w:highlight w:val="none"/>
        </w:rPr>
        <w:t>招标文件</w:t>
      </w:r>
      <w:bookmarkEnd w:id="33"/>
      <w:bookmarkEnd w:id="34"/>
      <w:bookmarkEnd w:id="35"/>
      <w:bookmarkEnd w:id="36"/>
    </w:p>
    <w:p w14:paraId="3D7085B9">
      <w:pPr>
        <w:keepNext/>
        <w:keepLines/>
        <w:numPr>
          <w:ilvl w:val="0"/>
          <w:numId w:val="5"/>
        </w:numPr>
        <w:spacing w:before="360" w:line="288" w:lineRule="auto"/>
        <w:jc w:val="left"/>
        <w:outlineLvl w:val="2"/>
        <w:rPr>
          <w:rFonts w:ascii="黑体" w:hAnsi="宋体" w:eastAsia="黑体"/>
          <w:b/>
          <w:color w:val="auto"/>
          <w:sz w:val="21"/>
          <w:highlight w:val="none"/>
        </w:rPr>
      </w:pPr>
      <w:bookmarkStart w:id="37" w:name="_Toc500208468"/>
      <w:bookmarkStart w:id="38" w:name="_Toc155342536"/>
      <w:bookmarkStart w:id="39" w:name="_Toc169487784"/>
      <w:r>
        <w:rPr>
          <w:rFonts w:hint="eastAsia" w:ascii="黑体" w:hAnsi="宋体" w:eastAsia="黑体"/>
          <w:b/>
          <w:color w:val="auto"/>
          <w:sz w:val="21"/>
          <w:highlight w:val="none"/>
        </w:rPr>
        <w:t>招标文件的组成</w:t>
      </w:r>
      <w:bookmarkEnd w:id="37"/>
      <w:bookmarkEnd w:id="38"/>
      <w:bookmarkEnd w:id="39"/>
    </w:p>
    <w:p w14:paraId="45808895">
      <w:pPr>
        <w:pStyle w:val="9"/>
        <w:numPr>
          <w:ilvl w:val="1"/>
          <w:numId w:val="5"/>
        </w:numPr>
        <w:ind w:firstLine="420" w:firstLineChars="200"/>
        <w:rPr>
          <w:color w:val="auto"/>
          <w:highlight w:val="none"/>
        </w:rPr>
      </w:pPr>
      <w:r>
        <w:rPr>
          <w:rFonts w:hint="eastAsia"/>
          <w:color w:val="auto"/>
          <w:highlight w:val="none"/>
        </w:rPr>
        <w:t>招标文件包括下列内容：</w:t>
      </w:r>
    </w:p>
    <w:p w14:paraId="222F2824">
      <w:pPr>
        <w:pStyle w:val="9"/>
        <w:ind w:firstLine="420" w:firstLineChars="200"/>
        <w:rPr>
          <w:color w:val="auto"/>
          <w:highlight w:val="none"/>
        </w:rPr>
      </w:pPr>
      <w:r>
        <w:rPr>
          <w:rFonts w:hint="eastAsia"/>
          <w:color w:val="auto"/>
          <w:highlight w:val="none"/>
        </w:rPr>
        <w:t>第一章 投标须知及投标须知前附表；</w:t>
      </w:r>
    </w:p>
    <w:p w14:paraId="36AC6C5E">
      <w:pPr>
        <w:pStyle w:val="9"/>
        <w:ind w:firstLine="420" w:firstLineChars="200"/>
        <w:rPr>
          <w:color w:val="auto"/>
          <w:highlight w:val="none"/>
        </w:rPr>
      </w:pPr>
      <w:r>
        <w:rPr>
          <w:rFonts w:hint="eastAsia"/>
          <w:color w:val="auto"/>
          <w:highlight w:val="none"/>
        </w:rPr>
        <w:t>第二章 合同条款；</w:t>
      </w:r>
    </w:p>
    <w:p w14:paraId="1DCA7E50">
      <w:pPr>
        <w:pStyle w:val="9"/>
        <w:ind w:firstLine="420" w:firstLineChars="200"/>
        <w:rPr>
          <w:color w:val="auto"/>
          <w:highlight w:val="none"/>
        </w:rPr>
      </w:pPr>
      <w:r>
        <w:rPr>
          <w:rFonts w:hint="eastAsia"/>
          <w:color w:val="auto"/>
          <w:highlight w:val="none"/>
        </w:rPr>
        <w:t>第三章 评标办法；</w:t>
      </w:r>
    </w:p>
    <w:p w14:paraId="2BAD0413">
      <w:pPr>
        <w:pStyle w:val="9"/>
        <w:ind w:firstLine="422" w:firstLineChars="200"/>
        <w:rPr>
          <w:b/>
          <w:color w:val="auto"/>
          <w:highlight w:val="none"/>
        </w:rPr>
      </w:pPr>
      <w:r>
        <w:rPr>
          <w:rFonts w:hint="eastAsia"/>
          <w:b/>
          <w:color w:val="auto"/>
          <w:highlight w:val="none"/>
        </w:rPr>
        <w:t>第四章 投标文件格式；</w:t>
      </w:r>
    </w:p>
    <w:p w14:paraId="51A1F890">
      <w:pPr>
        <w:pStyle w:val="9"/>
        <w:ind w:firstLine="422" w:firstLineChars="200"/>
        <w:rPr>
          <w:b/>
          <w:color w:val="auto"/>
          <w:highlight w:val="none"/>
        </w:rPr>
      </w:pPr>
      <w:r>
        <w:rPr>
          <w:rFonts w:hint="eastAsia"/>
          <w:b/>
          <w:color w:val="auto"/>
          <w:highlight w:val="none"/>
        </w:rPr>
        <w:t>其他附件材料：</w:t>
      </w:r>
    </w:p>
    <w:p w14:paraId="4F8CDB8F">
      <w:pPr>
        <w:pStyle w:val="9"/>
        <w:ind w:firstLine="422" w:firstLineChars="200"/>
        <w:rPr>
          <w:b/>
          <w:color w:val="auto"/>
          <w:highlight w:val="none"/>
        </w:rPr>
      </w:pPr>
      <w:r>
        <w:rPr>
          <w:rFonts w:hint="eastAsia"/>
          <w:b/>
          <w:color w:val="auto"/>
          <w:highlight w:val="none"/>
        </w:rPr>
        <w:t>（1）施工图预算书（以下简称招标人预算书）；</w:t>
      </w:r>
    </w:p>
    <w:p w14:paraId="08E4AF90">
      <w:pPr>
        <w:pStyle w:val="9"/>
        <w:ind w:firstLine="422" w:firstLineChars="200"/>
        <w:rPr>
          <w:b/>
          <w:color w:val="auto"/>
          <w:highlight w:val="none"/>
        </w:rPr>
      </w:pPr>
      <w:r>
        <w:rPr>
          <w:rFonts w:hint="eastAsia"/>
          <w:b/>
          <w:color w:val="auto"/>
          <w:highlight w:val="none"/>
        </w:rPr>
        <w:t>（2）施工图纸。</w:t>
      </w:r>
    </w:p>
    <w:p w14:paraId="461E9CBA">
      <w:pPr>
        <w:pStyle w:val="9"/>
        <w:numPr>
          <w:ilvl w:val="1"/>
          <w:numId w:val="5"/>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6CB97F50">
      <w:pPr>
        <w:pStyle w:val="9"/>
        <w:numPr>
          <w:ilvl w:val="1"/>
          <w:numId w:val="5"/>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75BBD10D">
      <w:pPr>
        <w:keepNext/>
        <w:keepLines/>
        <w:numPr>
          <w:ilvl w:val="0"/>
          <w:numId w:val="5"/>
        </w:numPr>
        <w:spacing w:before="360" w:line="288" w:lineRule="auto"/>
        <w:jc w:val="left"/>
        <w:outlineLvl w:val="2"/>
        <w:rPr>
          <w:rFonts w:ascii="黑体" w:hAnsi="宋体" w:eastAsia="黑体"/>
          <w:b/>
          <w:color w:val="auto"/>
          <w:sz w:val="21"/>
          <w:highlight w:val="none"/>
        </w:rPr>
      </w:pPr>
      <w:bookmarkStart w:id="40" w:name="_Toc500208469"/>
      <w:bookmarkStart w:id="41" w:name="_Toc155342537"/>
      <w:bookmarkStart w:id="42" w:name="_Toc169487785"/>
      <w:r>
        <w:rPr>
          <w:rFonts w:hint="eastAsia" w:ascii="黑体" w:hAnsi="宋体" w:eastAsia="黑体"/>
          <w:b/>
          <w:color w:val="auto"/>
          <w:sz w:val="21"/>
          <w:highlight w:val="none"/>
        </w:rPr>
        <w:t>招标文件的</w:t>
      </w:r>
      <w:bookmarkEnd w:id="40"/>
      <w:r>
        <w:rPr>
          <w:rFonts w:hint="eastAsia" w:ascii="黑体" w:hAnsi="宋体" w:eastAsia="黑体"/>
          <w:b/>
          <w:color w:val="auto"/>
          <w:sz w:val="21"/>
          <w:highlight w:val="none"/>
        </w:rPr>
        <w:t>澄清</w:t>
      </w:r>
      <w:bookmarkEnd w:id="41"/>
      <w:bookmarkEnd w:id="42"/>
    </w:p>
    <w:p w14:paraId="25B34BE8">
      <w:pPr>
        <w:pStyle w:val="9"/>
        <w:numPr>
          <w:ilvl w:val="1"/>
          <w:numId w:val="5"/>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83C094A">
      <w:pPr>
        <w:keepNext/>
        <w:keepLines/>
        <w:numPr>
          <w:ilvl w:val="0"/>
          <w:numId w:val="5"/>
        </w:numPr>
        <w:spacing w:before="360" w:line="288" w:lineRule="auto"/>
        <w:jc w:val="left"/>
        <w:outlineLvl w:val="2"/>
        <w:rPr>
          <w:rFonts w:ascii="黑体" w:hAnsi="宋体" w:eastAsia="黑体"/>
          <w:b/>
          <w:color w:val="auto"/>
          <w:sz w:val="21"/>
          <w:highlight w:val="none"/>
        </w:rPr>
      </w:pPr>
      <w:bookmarkStart w:id="43" w:name="_Toc169487786"/>
      <w:bookmarkStart w:id="44" w:name="_Toc155342538"/>
      <w:bookmarkStart w:id="45" w:name="_Toc500208470"/>
      <w:r>
        <w:rPr>
          <w:rFonts w:hint="eastAsia" w:ascii="黑体" w:hAnsi="宋体" w:eastAsia="黑体"/>
          <w:b/>
          <w:color w:val="auto"/>
          <w:sz w:val="21"/>
          <w:highlight w:val="none"/>
        </w:rPr>
        <w:t>招标文件的修改</w:t>
      </w:r>
      <w:bookmarkEnd w:id="43"/>
      <w:bookmarkEnd w:id="44"/>
      <w:bookmarkEnd w:id="45"/>
    </w:p>
    <w:p w14:paraId="761AF974">
      <w:pPr>
        <w:pStyle w:val="9"/>
        <w:numPr>
          <w:ilvl w:val="1"/>
          <w:numId w:val="5"/>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6A4A5E74">
      <w:pPr>
        <w:pStyle w:val="9"/>
        <w:spacing w:line="360" w:lineRule="exact"/>
        <w:ind w:left="425"/>
        <w:rPr>
          <w:color w:val="auto"/>
          <w:highlight w:val="none"/>
        </w:rPr>
      </w:pPr>
      <w:r>
        <w:rPr>
          <w:rFonts w:hint="eastAsia"/>
          <w:color w:val="auto"/>
          <w:highlight w:val="none"/>
        </w:rPr>
        <w:t>10.2在投标截止日期前，招标人可能以补充通知的方式修改招标文件。</w:t>
      </w:r>
    </w:p>
    <w:p w14:paraId="507092A9">
      <w:pPr>
        <w:pStyle w:val="9"/>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3C33C75C">
      <w:pPr>
        <w:pStyle w:val="9"/>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1E68E351">
      <w:pPr>
        <w:pStyle w:val="9"/>
        <w:rPr>
          <w:color w:val="auto"/>
          <w:highlight w:val="none"/>
        </w:rPr>
      </w:pPr>
    </w:p>
    <w:p w14:paraId="5CD8E47C">
      <w:pPr>
        <w:keepNext/>
        <w:keepLines/>
        <w:numPr>
          <w:ilvl w:val="0"/>
          <w:numId w:val="5"/>
        </w:numPr>
        <w:spacing w:before="360" w:line="288" w:lineRule="auto"/>
        <w:jc w:val="left"/>
        <w:outlineLvl w:val="2"/>
        <w:rPr>
          <w:rFonts w:ascii="黑体" w:hAnsi="宋体" w:eastAsia="黑体"/>
          <w:b/>
          <w:color w:val="auto"/>
          <w:sz w:val="21"/>
          <w:highlight w:val="none"/>
        </w:rPr>
      </w:pPr>
      <w:bookmarkStart w:id="46" w:name="_Toc155342539"/>
      <w:bookmarkStart w:id="47" w:name="_Toc169487787"/>
      <w:r>
        <w:rPr>
          <w:rFonts w:hint="eastAsia" w:ascii="黑体" w:hAnsi="宋体" w:eastAsia="黑体"/>
          <w:b/>
          <w:color w:val="auto"/>
          <w:sz w:val="21"/>
          <w:highlight w:val="none"/>
        </w:rPr>
        <w:t>招标文件的备案</w:t>
      </w:r>
      <w:bookmarkEnd w:id="46"/>
      <w:bookmarkEnd w:id="47"/>
    </w:p>
    <w:p w14:paraId="79D2EEE5">
      <w:pPr>
        <w:pStyle w:val="9"/>
        <w:numPr>
          <w:ilvl w:val="1"/>
          <w:numId w:val="5"/>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38D252FA">
      <w:pPr>
        <w:keepNext/>
        <w:keepLines/>
        <w:numPr>
          <w:ilvl w:val="0"/>
          <w:numId w:val="5"/>
        </w:numPr>
        <w:spacing w:before="360" w:line="288" w:lineRule="auto"/>
        <w:jc w:val="left"/>
        <w:outlineLvl w:val="2"/>
        <w:rPr>
          <w:rFonts w:ascii="黑体" w:hAnsi="宋体" w:eastAsia="黑体"/>
          <w:b/>
          <w:color w:val="auto"/>
          <w:sz w:val="21"/>
          <w:highlight w:val="none"/>
        </w:rPr>
      </w:pPr>
      <w:bookmarkStart w:id="48" w:name="_Toc155342540"/>
      <w:bookmarkStart w:id="49" w:name="_Toc169487788"/>
      <w:r>
        <w:rPr>
          <w:rFonts w:hint="eastAsia" w:ascii="黑体" w:hAnsi="宋体" w:eastAsia="黑体"/>
          <w:b/>
          <w:color w:val="auto"/>
          <w:sz w:val="21"/>
          <w:highlight w:val="none"/>
        </w:rPr>
        <w:t>招标文件的解释权</w:t>
      </w:r>
      <w:bookmarkEnd w:id="48"/>
      <w:bookmarkEnd w:id="49"/>
    </w:p>
    <w:p w14:paraId="70DD48BB">
      <w:pPr>
        <w:pStyle w:val="9"/>
        <w:numPr>
          <w:ilvl w:val="1"/>
          <w:numId w:val="5"/>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7F76E73E">
      <w:pPr>
        <w:numPr>
          <w:ilvl w:val="0"/>
          <w:numId w:val="4"/>
        </w:numPr>
        <w:spacing w:before="360" w:afterLines="50" w:line="320" w:lineRule="exact"/>
        <w:jc w:val="center"/>
        <w:outlineLvl w:val="1"/>
        <w:rPr>
          <w:rFonts w:ascii="Arial" w:hAnsi="Arial" w:eastAsia="黑体" w:cs="Arial"/>
          <w:b/>
          <w:color w:val="auto"/>
          <w:szCs w:val="24"/>
          <w:highlight w:val="none"/>
        </w:rPr>
      </w:pPr>
      <w:bookmarkStart w:id="50" w:name="_Toc7036"/>
      <w:bookmarkStart w:id="51" w:name="_Toc500209416"/>
      <w:bookmarkStart w:id="52" w:name="_Toc20604"/>
      <w:bookmarkStart w:id="53" w:name="_Toc500208475"/>
      <w:r>
        <w:rPr>
          <w:rFonts w:hint="eastAsia" w:ascii="Arial" w:hAnsi="Arial" w:eastAsia="黑体" w:cs="Arial"/>
          <w:b/>
          <w:color w:val="auto"/>
          <w:szCs w:val="24"/>
          <w:highlight w:val="none"/>
        </w:rPr>
        <w:t>投标文件的编制</w:t>
      </w:r>
      <w:bookmarkEnd w:id="50"/>
      <w:bookmarkEnd w:id="51"/>
      <w:bookmarkEnd w:id="52"/>
      <w:bookmarkEnd w:id="53"/>
    </w:p>
    <w:p w14:paraId="1A05BD75">
      <w:pPr>
        <w:keepNext/>
        <w:keepLines/>
        <w:numPr>
          <w:ilvl w:val="0"/>
          <w:numId w:val="5"/>
        </w:numPr>
        <w:spacing w:before="360" w:line="288" w:lineRule="auto"/>
        <w:jc w:val="left"/>
        <w:outlineLvl w:val="2"/>
        <w:rPr>
          <w:rFonts w:ascii="黑体" w:hAnsi="宋体" w:eastAsia="黑体"/>
          <w:b/>
          <w:color w:val="auto"/>
          <w:sz w:val="21"/>
          <w:highlight w:val="none"/>
        </w:rPr>
      </w:pPr>
      <w:bookmarkStart w:id="54" w:name="_Toc69095786"/>
      <w:bookmarkStart w:id="55" w:name="_Toc155342542"/>
      <w:bookmarkStart w:id="56" w:name="_Toc500208476"/>
      <w:bookmarkStart w:id="57" w:name="_Toc169487790"/>
      <w:bookmarkStart w:id="58" w:name="_Toc500208477"/>
      <w:r>
        <w:rPr>
          <w:rFonts w:hint="eastAsia" w:ascii="黑体" w:hAnsi="宋体" w:eastAsia="黑体"/>
          <w:b/>
          <w:color w:val="auto"/>
          <w:sz w:val="21"/>
          <w:highlight w:val="none"/>
        </w:rPr>
        <w:t>投标文件的组成</w:t>
      </w:r>
      <w:bookmarkEnd w:id="54"/>
      <w:bookmarkEnd w:id="55"/>
      <w:bookmarkEnd w:id="56"/>
      <w:bookmarkEnd w:id="57"/>
    </w:p>
    <w:p w14:paraId="7B201ABD">
      <w:pPr>
        <w:pStyle w:val="9"/>
        <w:numPr>
          <w:ilvl w:val="1"/>
          <w:numId w:val="5"/>
        </w:numPr>
        <w:ind w:firstLine="420" w:firstLineChars="200"/>
        <w:rPr>
          <w:color w:val="auto"/>
          <w:highlight w:val="none"/>
        </w:rPr>
      </w:pPr>
      <w:r>
        <w:rPr>
          <w:rFonts w:hint="eastAsia"/>
          <w:color w:val="auto"/>
          <w:highlight w:val="none"/>
        </w:rPr>
        <w:t>本招标工程项目的投标文件组成详见本须知前附表第14项。</w:t>
      </w:r>
    </w:p>
    <w:p w14:paraId="7A865F1A">
      <w:pPr>
        <w:keepNext/>
        <w:keepLines/>
        <w:numPr>
          <w:ilvl w:val="0"/>
          <w:numId w:val="5"/>
        </w:numPr>
        <w:spacing w:before="360" w:line="288" w:lineRule="auto"/>
        <w:jc w:val="left"/>
        <w:outlineLvl w:val="2"/>
        <w:rPr>
          <w:rFonts w:ascii="黑体" w:hAnsi="宋体" w:eastAsia="黑体"/>
          <w:b/>
          <w:color w:val="auto"/>
          <w:sz w:val="21"/>
          <w:highlight w:val="none"/>
        </w:rPr>
      </w:pPr>
      <w:bookmarkStart w:id="59" w:name="_Toc155342544"/>
      <w:bookmarkStart w:id="60" w:name="_Toc169487791"/>
      <w:r>
        <w:rPr>
          <w:rFonts w:hint="eastAsia" w:ascii="黑体" w:hAnsi="宋体" w:eastAsia="黑体"/>
          <w:b/>
          <w:color w:val="auto"/>
          <w:sz w:val="21"/>
          <w:highlight w:val="none"/>
        </w:rPr>
        <w:t>投标文件的格式</w:t>
      </w:r>
      <w:bookmarkEnd w:id="59"/>
      <w:bookmarkEnd w:id="60"/>
    </w:p>
    <w:p w14:paraId="44A48C14">
      <w:pPr>
        <w:pStyle w:val="9"/>
        <w:numPr>
          <w:ilvl w:val="1"/>
          <w:numId w:val="5"/>
        </w:numPr>
        <w:ind w:firstLine="420" w:firstLineChars="200"/>
        <w:rPr>
          <w:color w:val="auto"/>
          <w:highlight w:val="none"/>
        </w:rPr>
      </w:pPr>
      <w:r>
        <w:rPr>
          <w:rFonts w:hint="eastAsia"/>
          <w:color w:val="auto"/>
          <w:highlight w:val="none"/>
        </w:rPr>
        <w:t>本招标工程项目的投标文件格式要求详见本须知前附表第15项。</w:t>
      </w:r>
    </w:p>
    <w:p w14:paraId="12794D31">
      <w:pPr>
        <w:keepNext/>
        <w:keepLines/>
        <w:numPr>
          <w:ilvl w:val="0"/>
          <w:numId w:val="5"/>
        </w:numPr>
        <w:spacing w:before="360" w:line="288" w:lineRule="auto"/>
        <w:jc w:val="left"/>
        <w:outlineLvl w:val="2"/>
        <w:rPr>
          <w:rFonts w:ascii="黑体" w:hAnsi="宋体" w:eastAsia="黑体"/>
          <w:b/>
          <w:color w:val="auto"/>
          <w:sz w:val="21"/>
          <w:highlight w:val="none"/>
        </w:rPr>
      </w:pPr>
      <w:bookmarkStart w:id="61" w:name="_Toc169487792"/>
      <w:bookmarkStart w:id="62" w:name="_Toc155342545"/>
      <w:r>
        <w:rPr>
          <w:rFonts w:hint="eastAsia" w:ascii="黑体" w:hAnsi="宋体" w:eastAsia="黑体"/>
          <w:b/>
          <w:color w:val="auto"/>
          <w:sz w:val="21"/>
          <w:highlight w:val="none"/>
        </w:rPr>
        <w:t>投标报价组成</w:t>
      </w:r>
      <w:bookmarkEnd w:id="61"/>
      <w:bookmarkEnd w:id="62"/>
    </w:p>
    <w:p w14:paraId="761322EA">
      <w:pPr>
        <w:pStyle w:val="9"/>
        <w:numPr>
          <w:ilvl w:val="1"/>
          <w:numId w:val="5"/>
        </w:numPr>
        <w:ind w:left="0" w:firstLine="420" w:firstLineChars="200"/>
        <w:rPr>
          <w:color w:val="auto"/>
          <w:highlight w:val="none"/>
        </w:rPr>
      </w:pPr>
      <w:r>
        <w:rPr>
          <w:rFonts w:hint="eastAsia"/>
          <w:color w:val="auto"/>
          <w:highlight w:val="none"/>
        </w:rPr>
        <w:t>报价方式：本工程项目报价方式详见本须知前附表第16项。</w:t>
      </w:r>
      <w:bookmarkStart w:id="63" w:name="_Toc500208474"/>
    </w:p>
    <w:p w14:paraId="5B75C16C">
      <w:pPr>
        <w:pStyle w:val="9"/>
        <w:numPr>
          <w:ilvl w:val="1"/>
          <w:numId w:val="5"/>
        </w:numPr>
        <w:ind w:left="0" w:firstLine="420" w:firstLineChars="200"/>
        <w:rPr>
          <w:color w:val="auto"/>
          <w:highlight w:val="none"/>
        </w:rPr>
      </w:pPr>
      <w:r>
        <w:rPr>
          <w:rFonts w:hint="eastAsia"/>
          <w:color w:val="auto"/>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79CD95A5">
      <w:pPr>
        <w:keepNext/>
        <w:keepLines/>
        <w:numPr>
          <w:ilvl w:val="0"/>
          <w:numId w:val="5"/>
        </w:numPr>
        <w:spacing w:before="360" w:line="288" w:lineRule="auto"/>
        <w:jc w:val="left"/>
        <w:outlineLvl w:val="2"/>
        <w:rPr>
          <w:rFonts w:ascii="黑体" w:hAnsi="宋体" w:eastAsia="黑体"/>
          <w:b/>
          <w:color w:val="auto"/>
          <w:sz w:val="21"/>
          <w:highlight w:val="none"/>
        </w:rPr>
      </w:pPr>
      <w:bookmarkStart w:id="64" w:name="_Toc169487793"/>
      <w:bookmarkStart w:id="65" w:name="_Toc155342546"/>
      <w:r>
        <w:rPr>
          <w:rFonts w:hint="eastAsia" w:ascii="黑体" w:hAnsi="宋体" w:eastAsia="黑体"/>
          <w:b/>
          <w:color w:val="auto"/>
          <w:sz w:val="21"/>
          <w:highlight w:val="none"/>
        </w:rPr>
        <w:t>投标报价要求</w:t>
      </w:r>
      <w:bookmarkEnd w:id="64"/>
      <w:bookmarkEnd w:id="65"/>
    </w:p>
    <w:p w14:paraId="58B6FAD7">
      <w:pPr>
        <w:pStyle w:val="9"/>
        <w:numPr>
          <w:ilvl w:val="1"/>
          <w:numId w:val="5"/>
        </w:numPr>
        <w:ind w:firstLine="420" w:firstLineChars="200"/>
        <w:rPr>
          <w:color w:val="auto"/>
          <w:highlight w:val="none"/>
        </w:rPr>
      </w:pPr>
      <w:r>
        <w:rPr>
          <w:rFonts w:hint="eastAsia"/>
          <w:color w:val="auto"/>
          <w:highlight w:val="none"/>
        </w:rPr>
        <w:t>招标人预算书按照</w:t>
      </w:r>
      <w:r>
        <w:rPr>
          <w:rFonts w:hint="eastAsia"/>
          <w:color w:val="auto"/>
          <w:highlight w:val="none"/>
          <w:lang w:val="en-US" w:eastAsia="zh-CN"/>
        </w:rPr>
        <w:t>相关的设计标准、规范、图集；省、市行政主管部门有关工程量清单计算规范补充规定及有关工程造价文件、补充定额和定额解释等</w:t>
      </w:r>
      <w:r>
        <w:rPr>
          <w:rFonts w:hint="eastAsia"/>
          <w:color w:val="auto"/>
          <w:highlight w:val="none"/>
        </w:rPr>
        <w:t>计算工程造价，招标文件规定应由投标人自行确定的费用，投标人应根据报价要求，结合工程施工的实际情况、市场行情、技术方案和企业的管理水平，综合分析后自主确定报价，招标人预算书中相对应的费用仅供投标人参考。</w:t>
      </w:r>
    </w:p>
    <w:p w14:paraId="3065D1E5">
      <w:pPr>
        <w:pStyle w:val="9"/>
        <w:numPr>
          <w:ilvl w:val="1"/>
          <w:numId w:val="5"/>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0092CF09">
      <w:pPr>
        <w:pStyle w:val="9"/>
        <w:numPr>
          <w:ilvl w:val="1"/>
          <w:numId w:val="5"/>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3"/>
    <w:p w14:paraId="5E7AEBE3">
      <w:pPr>
        <w:keepNext/>
        <w:keepLines/>
        <w:numPr>
          <w:ilvl w:val="0"/>
          <w:numId w:val="5"/>
        </w:numPr>
        <w:spacing w:before="360" w:line="288" w:lineRule="auto"/>
        <w:jc w:val="left"/>
        <w:outlineLvl w:val="2"/>
        <w:rPr>
          <w:rFonts w:ascii="黑体" w:hAnsi="宋体" w:eastAsia="黑体"/>
          <w:b/>
          <w:color w:val="auto"/>
          <w:sz w:val="21"/>
          <w:highlight w:val="none"/>
        </w:rPr>
      </w:pPr>
      <w:bookmarkStart w:id="66" w:name="_Toc169487794"/>
      <w:bookmarkStart w:id="67" w:name="_Toc155342547"/>
      <w:r>
        <w:rPr>
          <w:rFonts w:hint="eastAsia" w:ascii="黑体" w:hAnsi="宋体" w:eastAsia="黑体"/>
          <w:b/>
          <w:color w:val="auto"/>
          <w:sz w:val="21"/>
          <w:highlight w:val="none"/>
        </w:rPr>
        <w:t>投标</w:t>
      </w:r>
      <w:bookmarkEnd w:id="58"/>
      <w:r>
        <w:rPr>
          <w:rFonts w:hint="eastAsia" w:ascii="黑体" w:hAnsi="宋体" w:eastAsia="黑体"/>
          <w:b/>
          <w:color w:val="auto"/>
          <w:sz w:val="21"/>
          <w:highlight w:val="none"/>
        </w:rPr>
        <w:t>担保</w:t>
      </w:r>
      <w:bookmarkEnd w:id="66"/>
      <w:bookmarkEnd w:id="67"/>
    </w:p>
    <w:p w14:paraId="7BF5ECCD">
      <w:pPr>
        <w:pStyle w:val="9"/>
        <w:numPr>
          <w:ilvl w:val="1"/>
          <w:numId w:val="5"/>
        </w:numPr>
        <w:ind w:firstLine="420" w:firstLineChars="200"/>
        <w:rPr>
          <w:color w:val="auto"/>
          <w:highlight w:val="none"/>
        </w:rPr>
      </w:pPr>
      <w:r>
        <w:rPr>
          <w:rFonts w:hint="eastAsia"/>
          <w:color w:val="auto"/>
          <w:highlight w:val="none"/>
        </w:rPr>
        <w:t>投标人在递交投标文件的同时，应按投标人须知前附表规定递交担保。</w:t>
      </w:r>
    </w:p>
    <w:p w14:paraId="3017A7A7">
      <w:pPr>
        <w:pStyle w:val="9"/>
        <w:numPr>
          <w:ilvl w:val="1"/>
          <w:numId w:val="5"/>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591137F5">
      <w:pPr>
        <w:pStyle w:val="9"/>
        <w:numPr>
          <w:ilvl w:val="1"/>
          <w:numId w:val="5"/>
        </w:numPr>
        <w:ind w:firstLine="420" w:firstLineChars="200"/>
        <w:rPr>
          <w:color w:val="auto"/>
          <w:highlight w:val="none"/>
        </w:rPr>
      </w:pPr>
      <w:r>
        <w:rPr>
          <w:rFonts w:hint="eastAsia"/>
          <w:color w:val="auto"/>
          <w:highlight w:val="none"/>
        </w:rPr>
        <w:t>投标担保按以下方式退还：</w:t>
      </w:r>
    </w:p>
    <w:p w14:paraId="3A1F4F2C">
      <w:pPr>
        <w:pStyle w:val="9"/>
        <w:ind w:firstLine="420" w:firstLineChars="200"/>
        <w:rPr>
          <w:color w:val="auto"/>
          <w:highlight w:val="none"/>
        </w:rPr>
      </w:pPr>
      <w:r>
        <w:rPr>
          <w:rFonts w:hint="eastAsia"/>
          <w:color w:val="auto"/>
          <w:highlight w:val="none"/>
        </w:rPr>
        <w:t>（1）未中标人投标保证金在中标公告发布后可退回；</w:t>
      </w:r>
    </w:p>
    <w:p w14:paraId="37690B39">
      <w:pPr>
        <w:pStyle w:val="9"/>
        <w:ind w:firstLine="420" w:firstLineChars="200"/>
        <w:rPr>
          <w:color w:val="auto"/>
          <w:highlight w:val="none"/>
        </w:rPr>
      </w:pPr>
      <w:r>
        <w:rPr>
          <w:rFonts w:hint="eastAsia"/>
          <w:color w:val="auto"/>
          <w:highlight w:val="none"/>
        </w:rPr>
        <w:t>（2）中标人的投标保证金在缴纳履约保证金和签订合同后退回。</w:t>
      </w:r>
    </w:p>
    <w:p w14:paraId="46C11B07">
      <w:pPr>
        <w:pStyle w:val="9"/>
        <w:numPr>
          <w:ilvl w:val="1"/>
          <w:numId w:val="5"/>
        </w:numPr>
        <w:ind w:firstLine="420" w:firstLineChars="200"/>
        <w:rPr>
          <w:color w:val="auto"/>
          <w:highlight w:val="none"/>
        </w:rPr>
      </w:pPr>
      <w:r>
        <w:rPr>
          <w:rFonts w:hint="eastAsia"/>
          <w:color w:val="auto"/>
          <w:highlight w:val="none"/>
        </w:rPr>
        <w:t>如投标人有下列情况，投标担保将被没收：</w:t>
      </w:r>
    </w:p>
    <w:p w14:paraId="11B83632">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78E6563B">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08C73669">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0E9BC352">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45463C82">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25466809">
      <w:pPr>
        <w:keepNext/>
        <w:keepLines/>
        <w:numPr>
          <w:ilvl w:val="0"/>
          <w:numId w:val="5"/>
        </w:numPr>
        <w:spacing w:before="360" w:line="288" w:lineRule="auto"/>
        <w:jc w:val="left"/>
        <w:outlineLvl w:val="2"/>
        <w:rPr>
          <w:rFonts w:ascii="黑体" w:hAnsi="宋体" w:eastAsia="黑体"/>
          <w:b/>
          <w:color w:val="auto"/>
          <w:sz w:val="21"/>
          <w:highlight w:val="none"/>
        </w:rPr>
      </w:pPr>
      <w:bookmarkStart w:id="68" w:name="_Toc155342548"/>
      <w:bookmarkStart w:id="69" w:name="_Toc169487795"/>
      <w:bookmarkStart w:id="70" w:name="_Toc500208478"/>
      <w:r>
        <w:rPr>
          <w:rFonts w:hint="eastAsia" w:ascii="黑体" w:hAnsi="宋体" w:eastAsia="黑体"/>
          <w:b/>
          <w:color w:val="auto"/>
          <w:sz w:val="21"/>
          <w:highlight w:val="none"/>
        </w:rPr>
        <w:t>投标有效期</w:t>
      </w:r>
      <w:bookmarkEnd w:id="68"/>
      <w:bookmarkEnd w:id="69"/>
    </w:p>
    <w:p w14:paraId="1EA7C362">
      <w:pPr>
        <w:pStyle w:val="9"/>
        <w:numPr>
          <w:ilvl w:val="1"/>
          <w:numId w:val="5"/>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4EF446D2">
      <w:pPr>
        <w:pStyle w:val="9"/>
        <w:numPr>
          <w:ilvl w:val="1"/>
          <w:numId w:val="5"/>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70"/>
    <w:p w14:paraId="4BDE300E">
      <w:pPr>
        <w:keepNext/>
        <w:keepLines/>
        <w:numPr>
          <w:ilvl w:val="0"/>
          <w:numId w:val="5"/>
        </w:numPr>
        <w:spacing w:before="360" w:line="288" w:lineRule="auto"/>
        <w:jc w:val="left"/>
        <w:outlineLvl w:val="2"/>
        <w:rPr>
          <w:rFonts w:ascii="黑体" w:hAnsi="宋体" w:eastAsia="黑体"/>
          <w:b/>
          <w:color w:val="auto"/>
          <w:sz w:val="21"/>
          <w:highlight w:val="none"/>
        </w:rPr>
      </w:pPr>
      <w:bookmarkStart w:id="71" w:name="_Toc169487796"/>
      <w:bookmarkStart w:id="72" w:name="_Toc500208479"/>
      <w:bookmarkStart w:id="73" w:name="_Toc155342549"/>
      <w:r>
        <w:rPr>
          <w:rFonts w:hint="eastAsia" w:ascii="黑体" w:hAnsi="宋体" w:eastAsia="黑体"/>
          <w:b/>
          <w:color w:val="auto"/>
          <w:sz w:val="21"/>
          <w:highlight w:val="none"/>
        </w:rPr>
        <w:t>投标文件的份数和签署</w:t>
      </w:r>
      <w:bookmarkEnd w:id="71"/>
      <w:bookmarkEnd w:id="72"/>
      <w:bookmarkEnd w:id="73"/>
    </w:p>
    <w:p w14:paraId="3E572405">
      <w:pPr>
        <w:pStyle w:val="9"/>
        <w:numPr>
          <w:ilvl w:val="1"/>
          <w:numId w:val="5"/>
        </w:numPr>
        <w:ind w:firstLine="420" w:firstLineChars="200"/>
        <w:rPr>
          <w:color w:val="auto"/>
          <w:highlight w:val="none"/>
        </w:rPr>
      </w:pPr>
      <w:r>
        <w:rPr>
          <w:rFonts w:hint="eastAsia"/>
          <w:color w:val="auto"/>
          <w:highlight w:val="none"/>
        </w:rPr>
        <w:t>投标人按本须知前附表第20项规定的份数递交投标文件。</w:t>
      </w:r>
    </w:p>
    <w:p w14:paraId="5855C25C">
      <w:pPr>
        <w:pStyle w:val="9"/>
        <w:numPr>
          <w:ilvl w:val="1"/>
          <w:numId w:val="5"/>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636060B9">
      <w:pPr>
        <w:numPr>
          <w:ilvl w:val="0"/>
          <w:numId w:val="4"/>
        </w:numPr>
        <w:spacing w:before="360" w:afterLines="50" w:line="320" w:lineRule="exact"/>
        <w:jc w:val="center"/>
        <w:outlineLvl w:val="1"/>
        <w:rPr>
          <w:rFonts w:ascii="Arial" w:hAnsi="Arial" w:eastAsia="黑体" w:cs="Arial"/>
          <w:b/>
          <w:color w:val="auto"/>
          <w:szCs w:val="24"/>
          <w:highlight w:val="none"/>
        </w:rPr>
      </w:pPr>
      <w:bookmarkStart w:id="74" w:name="_Toc21898"/>
      <w:bookmarkStart w:id="75" w:name="_Toc500209417"/>
      <w:bookmarkStart w:id="76" w:name="_Toc500208480"/>
      <w:bookmarkStart w:id="77" w:name="_Toc21258"/>
      <w:r>
        <w:rPr>
          <w:rFonts w:hint="eastAsia" w:ascii="Arial" w:hAnsi="Arial" w:eastAsia="黑体" w:cs="Arial"/>
          <w:b/>
          <w:color w:val="auto"/>
          <w:szCs w:val="24"/>
          <w:highlight w:val="none"/>
        </w:rPr>
        <w:t>投标文件的递交</w:t>
      </w:r>
      <w:bookmarkEnd w:id="74"/>
      <w:bookmarkEnd w:id="75"/>
      <w:bookmarkEnd w:id="76"/>
      <w:bookmarkEnd w:id="77"/>
    </w:p>
    <w:p w14:paraId="7A437963">
      <w:pPr>
        <w:keepNext/>
        <w:keepLines/>
        <w:numPr>
          <w:ilvl w:val="0"/>
          <w:numId w:val="5"/>
        </w:numPr>
        <w:spacing w:before="360" w:line="288" w:lineRule="auto"/>
        <w:jc w:val="left"/>
        <w:outlineLvl w:val="2"/>
        <w:rPr>
          <w:rFonts w:ascii="黑体" w:hAnsi="宋体" w:eastAsia="黑体"/>
          <w:b/>
          <w:color w:val="auto"/>
          <w:sz w:val="21"/>
          <w:highlight w:val="none"/>
        </w:rPr>
      </w:pPr>
      <w:bookmarkStart w:id="78" w:name="_Toc169487799"/>
      <w:bookmarkStart w:id="79" w:name="_Toc155342552"/>
      <w:bookmarkStart w:id="80" w:name="_Toc500208482"/>
      <w:r>
        <w:rPr>
          <w:rFonts w:hint="eastAsia" w:ascii="黑体" w:hAnsi="宋体" w:eastAsia="黑体"/>
          <w:b/>
          <w:color w:val="auto"/>
          <w:sz w:val="21"/>
          <w:highlight w:val="none"/>
        </w:rPr>
        <w:t>投标文件的递交</w:t>
      </w:r>
      <w:bookmarkEnd w:id="78"/>
      <w:bookmarkEnd w:id="79"/>
    </w:p>
    <w:p w14:paraId="6B0A7221">
      <w:pPr>
        <w:pStyle w:val="9"/>
        <w:numPr>
          <w:ilvl w:val="1"/>
          <w:numId w:val="5"/>
        </w:numPr>
        <w:ind w:firstLine="420" w:firstLineChars="200"/>
        <w:rPr>
          <w:color w:val="auto"/>
          <w:highlight w:val="none"/>
        </w:rPr>
      </w:pPr>
      <w:r>
        <w:rPr>
          <w:rStyle w:val="26"/>
          <w:rFonts w:hint="eastAsia"/>
          <w:color w:val="auto"/>
          <w:szCs w:val="21"/>
          <w:highlight w:val="none"/>
        </w:rPr>
        <w:t>投标人应按招标文件规定要求上传电子投标文件，未在投标截止时间前完成上传的电子投标文件均作无效处理。</w:t>
      </w:r>
    </w:p>
    <w:p w14:paraId="3CA397D3">
      <w:pPr>
        <w:keepNext/>
        <w:keepLines/>
        <w:numPr>
          <w:ilvl w:val="0"/>
          <w:numId w:val="5"/>
        </w:numPr>
        <w:spacing w:before="360" w:line="288" w:lineRule="auto"/>
        <w:jc w:val="left"/>
        <w:outlineLvl w:val="2"/>
        <w:rPr>
          <w:rFonts w:ascii="黑体" w:hAnsi="宋体" w:eastAsia="黑体"/>
          <w:b/>
          <w:color w:val="auto"/>
          <w:sz w:val="21"/>
          <w:highlight w:val="none"/>
        </w:rPr>
      </w:pPr>
      <w:bookmarkStart w:id="81" w:name="_Toc155342553"/>
      <w:bookmarkStart w:id="82" w:name="_Toc169487800"/>
      <w:r>
        <w:rPr>
          <w:rFonts w:hint="eastAsia" w:ascii="黑体" w:hAnsi="宋体" w:eastAsia="黑体"/>
          <w:b/>
          <w:color w:val="auto"/>
          <w:sz w:val="21"/>
          <w:highlight w:val="none"/>
        </w:rPr>
        <w:t>投标截止期</w:t>
      </w:r>
      <w:bookmarkEnd w:id="80"/>
      <w:bookmarkEnd w:id="81"/>
      <w:bookmarkEnd w:id="82"/>
    </w:p>
    <w:p w14:paraId="452A9E32">
      <w:pPr>
        <w:pStyle w:val="9"/>
        <w:numPr>
          <w:ilvl w:val="1"/>
          <w:numId w:val="5"/>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74199962">
      <w:pPr>
        <w:pStyle w:val="9"/>
        <w:numPr>
          <w:ilvl w:val="1"/>
          <w:numId w:val="5"/>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07BEBCAB">
      <w:pPr>
        <w:pStyle w:val="9"/>
        <w:numPr>
          <w:ilvl w:val="1"/>
          <w:numId w:val="5"/>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69CE458F">
      <w:pPr>
        <w:numPr>
          <w:ilvl w:val="0"/>
          <w:numId w:val="4"/>
        </w:numPr>
        <w:spacing w:before="360" w:afterLines="50" w:line="320" w:lineRule="exact"/>
        <w:jc w:val="center"/>
        <w:outlineLvl w:val="1"/>
        <w:rPr>
          <w:rFonts w:ascii="Arial" w:hAnsi="Arial" w:eastAsia="黑体" w:cs="Arial"/>
          <w:b/>
          <w:color w:val="auto"/>
          <w:szCs w:val="24"/>
          <w:highlight w:val="none"/>
        </w:rPr>
      </w:pPr>
      <w:bookmarkStart w:id="83" w:name="_Toc9012"/>
      <w:bookmarkStart w:id="84" w:name="_Toc500208484"/>
      <w:bookmarkStart w:id="85" w:name="_Toc15794"/>
      <w:bookmarkStart w:id="86" w:name="_Toc500209418"/>
      <w:r>
        <w:rPr>
          <w:rFonts w:hint="eastAsia" w:ascii="Arial" w:hAnsi="Arial" w:eastAsia="黑体" w:cs="Arial"/>
          <w:b/>
          <w:color w:val="auto"/>
          <w:szCs w:val="24"/>
          <w:highlight w:val="none"/>
        </w:rPr>
        <w:t>开   标</w:t>
      </w:r>
      <w:bookmarkEnd w:id="83"/>
      <w:bookmarkEnd w:id="84"/>
      <w:bookmarkEnd w:id="85"/>
      <w:bookmarkEnd w:id="86"/>
    </w:p>
    <w:p w14:paraId="120B5183">
      <w:pPr>
        <w:keepNext/>
        <w:keepLines/>
        <w:numPr>
          <w:ilvl w:val="0"/>
          <w:numId w:val="5"/>
        </w:numPr>
        <w:spacing w:before="360" w:line="288" w:lineRule="auto"/>
        <w:jc w:val="left"/>
        <w:outlineLvl w:val="2"/>
        <w:rPr>
          <w:rFonts w:ascii="黑体" w:hAnsi="宋体" w:eastAsia="黑体"/>
          <w:b/>
          <w:color w:val="auto"/>
          <w:sz w:val="21"/>
          <w:highlight w:val="none"/>
        </w:rPr>
      </w:pPr>
      <w:bookmarkStart w:id="87" w:name="_Toc500208485"/>
      <w:bookmarkStart w:id="88" w:name="_Toc155342556"/>
      <w:bookmarkStart w:id="89" w:name="_Toc169487803"/>
      <w:r>
        <w:rPr>
          <w:rFonts w:hint="eastAsia" w:ascii="黑体" w:hAnsi="宋体" w:eastAsia="黑体"/>
          <w:b/>
          <w:color w:val="auto"/>
          <w:sz w:val="21"/>
          <w:highlight w:val="none"/>
        </w:rPr>
        <w:t>开标</w:t>
      </w:r>
      <w:bookmarkEnd w:id="87"/>
      <w:bookmarkEnd w:id="88"/>
      <w:bookmarkEnd w:id="89"/>
    </w:p>
    <w:p w14:paraId="1410323A">
      <w:pPr>
        <w:pStyle w:val="9"/>
        <w:numPr>
          <w:ilvl w:val="1"/>
          <w:numId w:val="5"/>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090C525B">
      <w:pPr>
        <w:pStyle w:val="9"/>
        <w:numPr>
          <w:ilvl w:val="1"/>
          <w:numId w:val="5"/>
        </w:numPr>
        <w:ind w:firstLine="420" w:firstLineChars="200"/>
        <w:rPr>
          <w:color w:val="auto"/>
          <w:highlight w:val="none"/>
        </w:rPr>
      </w:pPr>
      <w:r>
        <w:rPr>
          <w:rFonts w:hint="eastAsia"/>
          <w:color w:val="auto"/>
          <w:highlight w:val="none"/>
        </w:rPr>
        <w:t>开标会议由招标人组织并主持。</w:t>
      </w:r>
    </w:p>
    <w:p w14:paraId="660BF986">
      <w:pPr>
        <w:pStyle w:val="9"/>
        <w:numPr>
          <w:ilvl w:val="1"/>
          <w:numId w:val="5"/>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6ACB9B67">
      <w:pPr>
        <w:keepNext/>
        <w:keepLines/>
        <w:numPr>
          <w:ilvl w:val="0"/>
          <w:numId w:val="5"/>
        </w:numPr>
        <w:spacing w:before="360" w:line="288" w:lineRule="auto"/>
        <w:jc w:val="left"/>
        <w:outlineLvl w:val="2"/>
        <w:rPr>
          <w:rFonts w:ascii="黑体" w:hAnsi="宋体" w:eastAsia="黑体"/>
          <w:b/>
          <w:color w:val="auto"/>
          <w:sz w:val="21"/>
          <w:highlight w:val="none"/>
        </w:rPr>
      </w:pPr>
      <w:bookmarkStart w:id="90" w:name="_Toc155342557"/>
      <w:bookmarkStart w:id="91" w:name="_Toc169487804"/>
      <w:r>
        <w:rPr>
          <w:rFonts w:hint="eastAsia" w:ascii="黑体" w:hAnsi="宋体" w:eastAsia="黑体"/>
          <w:b/>
          <w:color w:val="auto"/>
          <w:sz w:val="21"/>
          <w:highlight w:val="none"/>
        </w:rPr>
        <w:t>投标文件公布</w:t>
      </w:r>
      <w:bookmarkEnd w:id="90"/>
      <w:bookmarkEnd w:id="91"/>
    </w:p>
    <w:p w14:paraId="409A26B4">
      <w:pPr>
        <w:pStyle w:val="9"/>
        <w:numPr>
          <w:ilvl w:val="1"/>
          <w:numId w:val="5"/>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1E6CF9CA">
      <w:pPr>
        <w:numPr>
          <w:ilvl w:val="0"/>
          <w:numId w:val="4"/>
        </w:numPr>
        <w:spacing w:before="360" w:afterLines="50" w:line="320" w:lineRule="exact"/>
        <w:jc w:val="center"/>
        <w:outlineLvl w:val="1"/>
        <w:rPr>
          <w:rFonts w:ascii="Arial" w:hAnsi="Arial" w:eastAsia="黑体" w:cs="Arial"/>
          <w:b/>
          <w:color w:val="auto"/>
          <w:szCs w:val="24"/>
          <w:highlight w:val="none"/>
        </w:rPr>
      </w:pPr>
      <w:bookmarkStart w:id="92" w:name="_Toc31728"/>
      <w:bookmarkStart w:id="93" w:name="_Toc15849"/>
      <w:bookmarkStart w:id="94" w:name="_Toc500208488"/>
      <w:bookmarkStart w:id="95" w:name="_Toc500209419"/>
      <w:bookmarkStart w:id="96" w:name="_Toc500208495"/>
      <w:bookmarkStart w:id="97" w:name="_Toc500209420"/>
      <w:r>
        <w:rPr>
          <w:rFonts w:hint="eastAsia" w:ascii="Arial" w:hAnsi="Arial" w:eastAsia="黑体" w:cs="Arial"/>
          <w:b/>
          <w:color w:val="auto"/>
          <w:szCs w:val="24"/>
          <w:highlight w:val="none"/>
        </w:rPr>
        <w:t>评   标</w:t>
      </w:r>
      <w:bookmarkEnd w:id="92"/>
      <w:bookmarkEnd w:id="93"/>
      <w:bookmarkEnd w:id="94"/>
      <w:bookmarkEnd w:id="95"/>
    </w:p>
    <w:p w14:paraId="0E02EDD0">
      <w:pPr>
        <w:keepNext/>
        <w:keepLines/>
        <w:numPr>
          <w:ilvl w:val="0"/>
          <w:numId w:val="5"/>
        </w:numPr>
        <w:spacing w:before="360" w:line="288" w:lineRule="auto"/>
        <w:jc w:val="left"/>
        <w:outlineLvl w:val="2"/>
        <w:rPr>
          <w:rFonts w:ascii="黑体" w:hAnsi="宋体" w:eastAsia="黑体"/>
          <w:b/>
          <w:color w:val="auto"/>
          <w:sz w:val="21"/>
          <w:highlight w:val="none"/>
        </w:rPr>
      </w:pPr>
      <w:bookmarkStart w:id="98" w:name="_Toc155342559"/>
      <w:bookmarkStart w:id="99" w:name="_Toc500208489"/>
      <w:bookmarkStart w:id="100" w:name="_Toc169487806"/>
      <w:r>
        <w:rPr>
          <w:rFonts w:hint="eastAsia" w:ascii="黑体" w:hAnsi="宋体" w:eastAsia="黑体"/>
          <w:b/>
          <w:color w:val="auto"/>
          <w:sz w:val="21"/>
          <w:highlight w:val="none"/>
        </w:rPr>
        <w:t>评标会议</w:t>
      </w:r>
      <w:bookmarkEnd w:id="98"/>
      <w:bookmarkEnd w:id="99"/>
      <w:bookmarkEnd w:id="100"/>
    </w:p>
    <w:p w14:paraId="2B5EC3E8">
      <w:pPr>
        <w:pStyle w:val="9"/>
        <w:numPr>
          <w:ilvl w:val="1"/>
          <w:numId w:val="5"/>
        </w:numPr>
        <w:ind w:firstLine="420" w:firstLineChars="200"/>
        <w:rPr>
          <w:color w:val="auto"/>
          <w:highlight w:val="none"/>
        </w:rPr>
      </w:pPr>
      <w:r>
        <w:rPr>
          <w:color w:val="auto"/>
          <w:highlight w:val="none"/>
        </w:rPr>
        <w:t>评标委员会由招标人依法组建，负责评标活动。</w:t>
      </w:r>
    </w:p>
    <w:p w14:paraId="0754A9B3">
      <w:pPr>
        <w:pStyle w:val="9"/>
        <w:numPr>
          <w:ilvl w:val="1"/>
          <w:numId w:val="5"/>
        </w:numPr>
        <w:ind w:firstLine="420" w:firstLineChars="200"/>
        <w:rPr>
          <w:color w:val="auto"/>
          <w:highlight w:val="none"/>
        </w:rPr>
      </w:pPr>
      <w:r>
        <w:rPr>
          <w:color w:val="auto"/>
          <w:highlight w:val="none"/>
        </w:rPr>
        <w:t>开标结束后，开始评标，评标采用保密方式进行。</w:t>
      </w:r>
    </w:p>
    <w:p w14:paraId="278F74F0">
      <w:pPr>
        <w:pStyle w:val="9"/>
        <w:numPr>
          <w:ilvl w:val="1"/>
          <w:numId w:val="5"/>
        </w:numPr>
        <w:ind w:firstLine="420" w:firstLineChars="200"/>
        <w:rPr>
          <w:color w:val="auto"/>
          <w:highlight w:val="none"/>
        </w:rPr>
      </w:pPr>
      <w:r>
        <w:rPr>
          <w:rFonts w:hint="eastAsia"/>
          <w:color w:val="auto"/>
          <w:highlight w:val="none"/>
        </w:rPr>
        <w:t>评标委员会在评标前须签订《临海市建设工程公正评标承诺书》。</w:t>
      </w:r>
    </w:p>
    <w:p w14:paraId="7489EF9F">
      <w:pPr>
        <w:keepNext/>
        <w:keepLines/>
        <w:numPr>
          <w:ilvl w:val="0"/>
          <w:numId w:val="5"/>
        </w:numPr>
        <w:spacing w:before="360" w:line="288" w:lineRule="auto"/>
        <w:jc w:val="left"/>
        <w:outlineLvl w:val="2"/>
        <w:rPr>
          <w:rFonts w:ascii="黑体" w:hAnsi="宋体" w:eastAsia="黑体"/>
          <w:b/>
          <w:color w:val="auto"/>
          <w:sz w:val="21"/>
          <w:highlight w:val="none"/>
        </w:rPr>
      </w:pPr>
      <w:bookmarkStart w:id="101" w:name="_Toc155342560"/>
      <w:bookmarkStart w:id="102" w:name="_Toc169487807"/>
      <w:r>
        <w:rPr>
          <w:rFonts w:hint="eastAsia" w:ascii="黑体" w:hAnsi="宋体" w:eastAsia="黑体"/>
          <w:b/>
          <w:color w:val="auto"/>
          <w:sz w:val="21"/>
          <w:highlight w:val="none"/>
        </w:rPr>
        <w:t>评标过程的保密</w:t>
      </w:r>
      <w:bookmarkEnd w:id="101"/>
      <w:bookmarkEnd w:id="102"/>
    </w:p>
    <w:p w14:paraId="17380150">
      <w:pPr>
        <w:pStyle w:val="9"/>
        <w:numPr>
          <w:ilvl w:val="1"/>
          <w:numId w:val="5"/>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20D43721">
      <w:pPr>
        <w:pStyle w:val="9"/>
        <w:numPr>
          <w:ilvl w:val="1"/>
          <w:numId w:val="5"/>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68BF0AAB">
      <w:pPr>
        <w:pStyle w:val="9"/>
        <w:numPr>
          <w:ilvl w:val="1"/>
          <w:numId w:val="5"/>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1E5109D5">
      <w:pPr>
        <w:keepNext/>
        <w:keepLines/>
        <w:numPr>
          <w:ilvl w:val="0"/>
          <w:numId w:val="5"/>
        </w:numPr>
        <w:spacing w:before="360" w:line="288" w:lineRule="auto"/>
        <w:jc w:val="left"/>
        <w:outlineLvl w:val="2"/>
        <w:rPr>
          <w:rFonts w:ascii="黑体" w:hAnsi="宋体" w:eastAsia="黑体"/>
          <w:b/>
          <w:color w:val="auto"/>
          <w:sz w:val="21"/>
          <w:highlight w:val="none"/>
        </w:rPr>
      </w:pPr>
      <w:bookmarkStart w:id="103" w:name="_Toc155342561"/>
      <w:bookmarkStart w:id="104" w:name="_Toc169487808"/>
      <w:r>
        <w:rPr>
          <w:rFonts w:hint="eastAsia" w:ascii="黑体" w:hAnsi="宋体" w:eastAsia="黑体"/>
          <w:b/>
          <w:color w:val="auto"/>
          <w:sz w:val="21"/>
          <w:highlight w:val="none"/>
        </w:rPr>
        <w:t>投标文件符合性鉴定</w:t>
      </w:r>
      <w:bookmarkEnd w:id="103"/>
      <w:bookmarkEnd w:id="104"/>
    </w:p>
    <w:p w14:paraId="416C15EB">
      <w:pPr>
        <w:pStyle w:val="9"/>
        <w:numPr>
          <w:ilvl w:val="1"/>
          <w:numId w:val="5"/>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28F9E717">
      <w:pPr>
        <w:pStyle w:val="9"/>
        <w:numPr>
          <w:ilvl w:val="1"/>
          <w:numId w:val="5"/>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63FD741C">
      <w:pPr>
        <w:keepNext/>
        <w:keepLines/>
        <w:numPr>
          <w:ilvl w:val="0"/>
          <w:numId w:val="5"/>
        </w:numPr>
        <w:spacing w:before="360" w:line="288" w:lineRule="auto"/>
        <w:jc w:val="left"/>
        <w:outlineLvl w:val="2"/>
        <w:rPr>
          <w:rFonts w:ascii="黑体" w:hAnsi="宋体" w:eastAsia="黑体"/>
          <w:b/>
          <w:color w:val="auto"/>
          <w:sz w:val="21"/>
          <w:highlight w:val="none"/>
        </w:rPr>
      </w:pPr>
      <w:bookmarkStart w:id="105" w:name="_Toc155342562"/>
      <w:bookmarkStart w:id="106" w:name="_Toc169487809"/>
      <w:r>
        <w:rPr>
          <w:rFonts w:hint="eastAsia" w:ascii="黑体" w:hAnsi="宋体" w:eastAsia="黑体"/>
          <w:b/>
          <w:color w:val="auto"/>
          <w:sz w:val="21"/>
          <w:highlight w:val="none"/>
        </w:rPr>
        <w:t>投标文件的澄清</w:t>
      </w:r>
      <w:bookmarkEnd w:id="105"/>
      <w:bookmarkEnd w:id="106"/>
    </w:p>
    <w:p w14:paraId="6D2F8EBD">
      <w:pPr>
        <w:pStyle w:val="9"/>
        <w:numPr>
          <w:ilvl w:val="1"/>
          <w:numId w:val="5"/>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5ED9514E">
      <w:pPr>
        <w:pStyle w:val="9"/>
        <w:numPr>
          <w:ilvl w:val="1"/>
          <w:numId w:val="5"/>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7CD143FE">
      <w:pPr>
        <w:keepNext/>
        <w:keepLines/>
        <w:numPr>
          <w:ilvl w:val="0"/>
          <w:numId w:val="5"/>
        </w:numPr>
        <w:spacing w:before="360" w:line="288" w:lineRule="auto"/>
        <w:jc w:val="left"/>
        <w:outlineLvl w:val="2"/>
        <w:rPr>
          <w:rFonts w:ascii="黑体" w:hAnsi="宋体" w:eastAsia="黑体"/>
          <w:b/>
          <w:color w:val="auto"/>
          <w:sz w:val="21"/>
          <w:highlight w:val="none"/>
        </w:rPr>
      </w:pPr>
      <w:bookmarkStart w:id="107" w:name="_Toc155342563"/>
      <w:bookmarkStart w:id="108" w:name="_Toc169487810"/>
      <w:r>
        <w:rPr>
          <w:rFonts w:hint="eastAsia" w:ascii="黑体" w:hAnsi="宋体" w:eastAsia="黑体"/>
          <w:b/>
          <w:color w:val="auto"/>
          <w:sz w:val="21"/>
          <w:highlight w:val="none"/>
        </w:rPr>
        <w:t>投标文件的评审</w:t>
      </w:r>
      <w:bookmarkEnd w:id="107"/>
      <w:bookmarkEnd w:id="108"/>
    </w:p>
    <w:p w14:paraId="73925D2E">
      <w:pPr>
        <w:pStyle w:val="9"/>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0F43650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3F2D9047">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1C657539">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05217EF4">
      <w:pPr>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4AEF777C">
      <w:pPr>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723B0EBE">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617E7055">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4CE6EC5B">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1B7EDD31">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21927025">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65208399">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7558C863">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22D21BC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526B3829">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7C06A95E">
      <w:pPr>
        <w:spacing w:line="288" w:lineRule="auto"/>
        <w:ind w:left="-6" w:leftChars="-2"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（1）投标承诺的总报价、工期、质量、投标资格等不符合招标文件前附表要求的；</w:t>
      </w:r>
    </w:p>
    <w:p w14:paraId="6BAED505">
      <w:pPr>
        <w:spacing w:line="288" w:lineRule="auto"/>
        <w:ind w:left="-6" w:leftChars="-2"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（2）招标文件报价要求中规定作无效标的；</w:t>
      </w:r>
    </w:p>
    <w:p w14:paraId="60CEE535">
      <w:pPr>
        <w:spacing w:line="288" w:lineRule="auto"/>
        <w:ind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（3）违反招标文件其他实质性条款规定的。</w:t>
      </w:r>
    </w:p>
    <w:p w14:paraId="57891BD4">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54505C46">
      <w:pPr>
        <w:pStyle w:val="9"/>
        <w:ind w:firstLine="420" w:firstLineChars="200"/>
        <w:rPr>
          <w:color w:val="auto"/>
          <w:highlight w:val="none"/>
        </w:rPr>
      </w:pPr>
      <w:r>
        <w:rPr>
          <w:rFonts w:hint="eastAsia"/>
          <w:bCs/>
          <w:color w:val="auto"/>
          <w:highlight w:val="none"/>
        </w:rPr>
        <w:t>（1）经商务标修正后，属招标文件报价要求或商务标的修正中规定</w:t>
      </w:r>
      <w:r>
        <w:rPr>
          <w:rFonts w:hint="eastAsia"/>
          <w:color w:val="auto"/>
          <w:highlight w:val="none"/>
        </w:rPr>
        <w:t>作无效标处理的；</w:t>
      </w:r>
    </w:p>
    <w:p w14:paraId="76FF632A">
      <w:pPr>
        <w:pStyle w:val="9"/>
        <w:ind w:firstLine="420" w:firstLineChars="200"/>
        <w:rPr>
          <w:color w:val="auto"/>
          <w:highlight w:val="none"/>
        </w:rPr>
      </w:pPr>
      <w:r>
        <w:rPr>
          <w:rFonts w:hint="eastAsia"/>
          <w:bCs/>
          <w:color w:val="auto"/>
          <w:highlight w:val="none"/>
        </w:rPr>
        <w:t>（2）招标文件中</w:t>
      </w:r>
      <w:r>
        <w:rPr>
          <w:rFonts w:hint="eastAsia"/>
          <w:color w:val="auto"/>
          <w:highlight w:val="none"/>
        </w:rPr>
        <w:t>其他内容明确规定作无效标的。</w:t>
      </w:r>
    </w:p>
    <w:p w14:paraId="302E9075">
      <w:pPr>
        <w:pStyle w:val="9"/>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2A94F17A">
      <w:pPr>
        <w:keepNext/>
        <w:keepLines/>
        <w:numPr>
          <w:ilvl w:val="0"/>
          <w:numId w:val="5"/>
        </w:numPr>
        <w:spacing w:before="360" w:line="288" w:lineRule="auto"/>
        <w:jc w:val="left"/>
        <w:outlineLvl w:val="2"/>
        <w:rPr>
          <w:rFonts w:ascii="黑体" w:hAnsi="宋体" w:eastAsia="黑体"/>
          <w:b/>
          <w:color w:val="auto"/>
          <w:sz w:val="21"/>
          <w:highlight w:val="none"/>
        </w:rPr>
      </w:pPr>
      <w:bookmarkStart w:id="109" w:name="_Toc169487811"/>
      <w:bookmarkStart w:id="110" w:name="_Toc155342564"/>
      <w:r>
        <w:rPr>
          <w:rFonts w:hint="eastAsia" w:ascii="黑体" w:hAnsi="宋体" w:eastAsia="黑体"/>
          <w:b/>
          <w:color w:val="auto"/>
          <w:sz w:val="21"/>
          <w:highlight w:val="none"/>
        </w:rPr>
        <w:t>商务标的修正</w:t>
      </w:r>
      <w:bookmarkEnd w:id="109"/>
      <w:bookmarkEnd w:id="110"/>
    </w:p>
    <w:p w14:paraId="2238987E">
      <w:pPr>
        <w:pStyle w:val="9"/>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63949044">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1921402D">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520E9A17">
      <w:pPr>
        <w:keepNext/>
        <w:keepLines/>
        <w:numPr>
          <w:ilvl w:val="0"/>
          <w:numId w:val="5"/>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0C5FF796">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6A9C93CA">
      <w:pPr>
        <w:keepNext/>
        <w:keepLines/>
        <w:numPr>
          <w:ilvl w:val="0"/>
          <w:numId w:val="5"/>
        </w:numPr>
        <w:spacing w:before="360" w:line="288" w:lineRule="auto"/>
        <w:jc w:val="left"/>
        <w:outlineLvl w:val="2"/>
        <w:rPr>
          <w:rFonts w:ascii="黑体" w:hAnsi="宋体" w:eastAsia="黑体"/>
          <w:b/>
          <w:color w:val="auto"/>
          <w:sz w:val="21"/>
          <w:highlight w:val="none"/>
        </w:rPr>
      </w:pPr>
      <w:bookmarkStart w:id="111" w:name="_Toc169487812"/>
      <w:bookmarkStart w:id="112" w:name="_Toc155342565"/>
      <w:r>
        <w:rPr>
          <w:rFonts w:hint="eastAsia" w:ascii="黑体" w:hAnsi="宋体" w:eastAsia="黑体"/>
          <w:b/>
          <w:color w:val="auto"/>
          <w:sz w:val="21"/>
          <w:highlight w:val="none"/>
        </w:rPr>
        <w:t>评标办法</w:t>
      </w:r>
      <w:bookmarkEnd w:id="111"/>
      <w:bookmarkEnd w:id="112"/>
    </w:p>
    <w:p w14:paraId="7BA6FC57">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71528035">
      <w:pPr>
        <w:numPr>
          <w:ilvl w:val="0"/>
          <w:numId w:val="4"/>
        </w:numPr>
        <w:spacing w:before="360" w:afterLines="50" w:line="320" w:lineRule="exact"/>
        <w:jc w:val="center"/>
        <w:outlineLvl w:val="1"/>
        <w:rPr>
          <w:rFonts w:ascii="Arial" w:hAnsi="Arial" w:eastAsia="黑体" w:cs="Arial"/>
          <w:b/>
          <w:color w:val="auto"/>
          <w:szCs w:val="24"/>
          <w:highlight w:val="none"/>
        </w:rPr>
      </w:pPr>
      <w:bookmarkStart w:id="113" w:name="_Toc1799"/>
      <w:bookmarkStart w:id="114" w:name="_Toc15646"/>
      <w:r>
        <w:rPr>
          <w:rFonts w:hint="eastAsia" w:ascii="Arial" w:hAnsi="Arial" w:eastAsia="黑体" w:cs="Arial"/>
          <w:b/>
          <w:color w:val="auto"/>
          <w:szCs w:val="24"/>
          <w:highlight w:val="none"/>
        </w:rPr>
        <w:t>授予合同</w:t>
      </w:r>
      <w:bookmarkEnd w:id="96"/>
      <w:bookmarkEnd w:id="97"/>
      <w:bookmarkEnd w:id="113"/>
      <w:bookmarkEnd w:id="114"/>
    </w:p>
    <w:p w14:paraId="351EF5AC">
      <w:pPr>
        <w:keepNext/>
        <w:keepLines/>
        <w:numPr>
          <w:ilvl w:val="0"/>
          <w:numId w:val="5"/>
        </w:numPr>
        <w:spacing w:before="360" w:line="288" w:lineRule="auto"/>
        <w:jc w:val="left"/>
        <w:outlineLvl w:val="2"/>
        <w:rPr>
          <w:rFonts w:ascii="黑体" w:hAnsi="宋体" w:eastAsia="黑体"/>
          <w:b/>
          <w:color w:val="auto"/>
          <w:sz w:val="21"/>
          <w:highlight w:val="none"/>
        </w:rPr>
      </w:pPr>
      <w:bookmarkStart w:id="115" w:name="_Toc155342567"/>
      <w:bookmarkStart w:id="116" w:name="_Toc169487814"/>
      <w:bookmarkStart w:id="117" w:name="_Toc500208496"/>
      <w:r>
        <w:rPr>
          <w:rFonts w:hint="eastAsia" w:ascii="黑体" w:hAnsi="宋体" w:eastAsia="黑体"/>
          <w:b/>
          <w:color w:val="auto"/>
          <w:sz w:val="21"/>
          <w:highlight w:val="none"/>
        </w:rPr>
        <w:t>中标候选人公示</w:t>
      </w:r>
      <w:bookmarkEnd w:id="115"/>
      <w:bookmarkEnd w:id="116"/>
    </w:p>
    <w:p w14:paraId="23DDD61A">
      <w:pPr>
        <w:pStyle w:val="9"/>
        <w:numPr>
          <w:ilvl w:val="1"/>
          <w:numId w:val="5"/>
        </w:numPr>
        <w:ind w:firstLine="420" w:firstLineChars="200"/>
        <w:rPr>
          <w:color w:val="auto"/>
          <w:highlight w:val="none"/>
        </w:rPr>
      </w:pPr>
      <w:bookmarkStart w:id="118" w:name="_Toc169487815"/>
      <w:bookmarkStart w:id="119" w:name="_Toc155342568"/>
      <w:r>
        <w:rPr>
          <w:rFonts w:hint="eastAsia"/>
          <w:color w:val="auto"/>
          <w:highlight w:val="none"/>
        </w:rPr>
        <w:t>招标人应当将评标委员会推荐的中标候选人在交易场所（发布招标公告的媒体上）进行公示，公示期不得少于1个工作日。</w:t>
      </w:r>
    </w:p>
    <w:p w14:paraId="768EDFE8">
      <w:pPr>
        <w:pStyle w:val="9"/>
        <w:numPr>
          <w:ilvl w:val="1"/>
          <w:numId w:val="5"/>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58B44692">
      <w:pPr>
        <w:pStyle w:val="9"/>
        <w:numPr>
          <w:ilvl w:val="1"/>
          <w:numId w:val="5"/>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06A172F0">
      <w:pPr>
        <w:pStyle w:val="9"/>
        <w:numPr>
          <w:ilvl w:val="1"/>
          <w:numId w:val="5"/>
        </w:numPr>
        <w:ind w:firstLine="420" w:firstLineChars="200"/>
        <w:rPr>
          <w:color w:val="auto"/>
          <w:highlight w:val="none"/>
        </w:rPr>
      </w:pPr>
      <w:r>
        <w:rPr>
          <w:rFonts w:hint="eastAsia"/>
          <w:color w:val="auto"/>
          <w:highlight w:val="none"/>
        </w:rPr>
        <w:t>中标候选人有以下情形之一的，其资格无效：</w:t>
      </w:r>
    </w:p>
    <w:p w14:paraId="46ED7820">
      <w:pPr>
        <w:numPr>
          <w:ilvl w:val="0"/>
          <w:numId w:val="6"/>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2F1CADD2">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1346A1E1">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56DC4D4B">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4FA8219A">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7"/>
    <w:bookmarkEnd w:id="118"/>
    <w:bookmarkEnd w:id="119"/>
    <w:p w14:paraId="3DD88A91">
      <w:pPr>
        <w:keepNext/>
        <w:keepLines/>
        <w:numPr>
          <w:ilvl w:val="0"/>
          <w:numId w:val="5"/>
        </w:numPr>
        <w:spacing w:before="360" w:line="288" w:lineRule="auto"/>
        <w:jc w:val="left"/>
        <w:outlineLvl w:val="2"/>
        <w:rPr>
          <w:rFonts w:ascii="黑体" w:hAnsi="宋体" w:eastAsia="黑体"/>
          <w:b/>
          <w:color w:val="auto"/>
          <w:sz w:val="21"/>
          <w:highlight w:val="none"/>
        </w:rPr>
      </w:pPr>
      <w:bookmarkStart w:id="120" w:name="_Toc169487816"/>
      <w:bookmarkStart w:id="121" w:name="_Toc500208498"/>
      <w:r>
        <w:rPr>
          <w:rFonts w:hint="eastAsia" w:ascii="黑体" w:hAnsi="宋体" w:eastAsia="黑体"/>
          <w:b/>
          <w:color w:val="auto"/>
          <w:sz w:val="21"/>
          <w:highlight w:val="none"/>
        </w:rPr>
        <w:t>中标通知书</w:t>
      </w:r>
      <w:bookmarkEnd w:id="120"/>
    </w:p>
    <w:p w14:paraId="5B2378FA">
      <w:pPr>
        <w:pStyle w:val="9"/>
        <w:numPr>
          <w:ilvl w:val="1"/>
          <w:numId w:val="5"/>
        </w:numPr>
        <w:ind w:firstLine="420" w:firstLineChars="200"/>
        <w:rPr>
          <w:b/>
          <w:color w:val="auto"/>
          <w:highlight w:val="none"/>
        </w:rPr>
      </w:pPr>
      <w:bookmarkStart w:id="122" w:name="_Toc169487817"/>
      <w:bookmarkStart w:id="123" w:name="_Toc155342569"/>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050B9DF7">
      <w:pPr>
        <w:pStyle w:val="9"/>
        <w:numPr>
          <w:ilvl w:val="1"/>
          <w:numId w:val="5"/>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50F13FF6">
      <w:pPr>
        <w:pStyle w:val="9"/>
        <w:numPr>
          <w:ilvl w:val="1"/>
          <w:numId w:val="5"/>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1C0C09CB">
      <w:pPr>
        <w:pStyle w:val="9"/>
        <w:numPr>
          <w:ilvl w:val="1"/>
          <w:numId w:val="5"/>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3FB07E62">
      <w:pPr>
        <w:keepNext/>
        <w:keepLines/>
        <w:numPr>
          <w:ilvl w:val="0"/>
          <w:numId w:val="5"/>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2"/>
      <w:bookmarkEnd w:id="123"/>
    </w:p>
    <w:p w14:paraId="2813AB97">
      <w:pPr>
        <w:pStyle w:val="9"/>
        <w:numPr>
          <w:ilvl w:val="1"/>
          <w:numId w:val="5"/>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3C8E7C36">
      <w:pPr>
        <w:pStyle w:val="9"/>
        <w:numPr>
          <w:ilvl w:val="1"/>
          <w:numId w:val="5"/>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3062574C">
      <w:pPr>
        <w:pStyle w:val="9"/>
        <w:numPr>
          <w:ilvl w:val="1"/>
          <w:numId w:val="5"/>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bookmarkEnd w:id="5"/>
    <w:bookmarkEnd w:id="6"/>
    <w:bookmarkEnd w:id="7"/>
    <w:bookmarkEnd w:id="8"/>
    <w:bookmarkEnd w:id="121"/>
    <w:p w14:paraId="7AAC2CCA">
      <w:pPr>
        <w:pStyle w:val="2"/>
        <w:spacing w:line="288" w:lineRule="auto"/>
        <w:ind w:left="300"/>
        <w:rPr>
          <w:rFonts w:ascii="宋体" w:eastAsia="宋体"/>
          <w:b w:val="0"/>
          <w:bCs/>
          <w:color w:val="auto"/>
          <w:sz w:val="44"/>
          <w:highlight w:val="none"/>
        </w:rPr>
      </w:pPr>
      <w:bookmarkStart w:id="124" w:name="_Toc511741120"/>
      <w:bookmarkStart w:id="125" w:name="_Toc386121757"/>
      <w:bookmarkStart w:id="126" w:name="_Toc386121568"/>
      <w:bookmarkStart w:id="127" w:name="_Toc169487823"/>
    </w:p>
    <w:p w14:paraId="3FF53C80">
      <w:pPr>
        <w:rPr>
          <w:rFonts w:ascii="宋体" w:eastAsia="宋体"/>
          <w:bCs/>
          <w:color w:val="auto"/>
          <w:sz w:val="44"/>
          <w:highlight w:val="none"/>
        </w:rPr>
      </w:pPr>
    </w:p>
    <w:p w14:paraId="24E285C5">
      <w:pPr>
        <w:rPr>
          <w:rFonts w:ascii="宋体" w:eastAsia="宋体"/>
          <w:bCs/>
          <w:color w:val="auto"/>
          <w:sz w:val="44"/>
          <w:highlight w:val="none"/>
        </w:rPr>
      </w:pPr>
    </w:p>
    <w:p w14:paraId="674C6581">
      <w:pPr>
        <w:rPr>
          <w:rFonts w:ascii="宋体" w:eastAsia="宋体"/>
          <w:bCs/>
          <w:color w:val="auto"/>
          <w:sz w:val="44"/>
          <w:highlight w:val="none"/>
        </w:rPr>
      </w:pPr>
    </w:p>
    <w:p w14:paraId="46824136">
      <w:pPr>
        <w:rPr>
          <w:rFonts w:ascii="宋体" w:eastAsia="宋体"/>
          <w:bCs/>
          <w:color w:val="auto"/>
          <w:sz w:val="44"/>
          <w:highlight w:val="none"/>
        </w:rPr>
      </w:pPr>
    </w:p>
    <w:p w14:paraId="2180973F">
      <w:pPr>
        <w:rPr>
          <w:rFonts w:ascii="宋体" w:eastAsia="宋体"/>
          <w:bCs/>
          <w:color w:val="auto"/>
          <w:sz w:val="44"/>
          <w:highlight w:val="none"/>
        </w:rPr>
      </w:pPr>
    </w:p>
    <w:p w14:paraId="3EE8EB94">
      <w:pPr>
        <w:rPr>
          <w:rFonts w:ascii="宋体" w:eastAsia="宋体"/>
          <w:bCs/>
          <w:color w:val="auto"/>
          <w:sz w:val="44"/>
          <w:highlight w:val="none"/>
        </w:rPr>
      </w:pPr>
    </w:p>
    <w:p w14:paraId="43328B26">
      <w:pPr>
        <w:rPr>
          <w:rFonts w:ascii="宋体" w:eastAsia="宋体"/>
          <w:bCs/>
          <w:color w:val="auto"/>
          <w:sz w:val="44"/>
          <w:highlight w:val="none"/>
        </w:rPr>
      </w:pPr>
    </w:p>
    <w:p w14:paraId="14792ABD">
      <w:pPr>
        <w:rPr>
          <w:rFonts w:ascii="宋体" w:eastAsia="宋体"/>
          <w:bCs/>
          <w:color w:val="auto"/>
          <w:sz w:val="44"/>
          <w:highlight w:val="none"/>
        </w:rPr>
      </w:pPr>
    </w:p>
    <w:p w14:paraId="525F068E">
      <w:pPr>
        <w:pStyle w:val="8"/>
        <w:outlineLvl w:val="0"/>
        <w:rPr>
          <w:rFonts w:ascii="黑体" w:hAnsi="黑体" w:eastAsia="黑体"/>
          <w:b/>
          <w:color w:val="auto"/>
          <w:sz w:val="32"/>
          <w:szCs w:val="32"/>
          <w:highlight w:val="none"/>
        </w:rPr>
      </w:pPr>
      <w:bookmarkStart w:id="128" w:name="_Toc484683196"/>
      <w:bookmarkStart w:id="129" w:name="_Toc20217"/>
      <w:bookmarkStart w:id="130" w:name="_Toc561"/>
    </w:p>
    <w:p w14:paraId="33854FEF">
      <w:pPr>
        <w:pStyle w:val="8"/>
        <w:outlineLvl w:val="0"/>
        <w:rPr>
          <w:rFonts w:ascii="黑体" w:hAnsi="黑体" w:eastAsia="黑体"/>
          <w:b/>
          <w:color w:val="auto"/>
          <w:sz w:val="32"/>
          <w:szCs w:val="32"/>
          <w:highlight w:val="none"/>
        </w:rPr>
      </w:pPr>
    </w:p>
    <w:p w14:paraId="6D997384">
      <w:pPr>
        <w:pStyle w:val="8"/>
        <w:jc w:val="both"/>
        <w:outlineLvl w:val="0"/>
        <w:rPr>
          <w:rFonts w:ascii="黑体" w:hAnsi="黑体" w:eastAsia="黑体"/>
          <w:b/>
          <w:color w:val="auto"/>
          <w:sz w:val="32"/>
          <w:szCs w:val="32"/>
          <w:highlight w:val="none"/>
        </w:rPr>
      </w:pPr>
    </w:p>
    <w:p w14:paraId="1D1D1A36">
      <w:pPr>
        <w:pStyle w:val="8"/>
        <w:jc w:val="both"/>
        <w:outlineLvl w:val="0"/>
        <w:rPr>
          <w:rFonts w:hint="eastAsia" w:ascii="黑体" w:hAnsi="黑体" w:eastAsia="黑体"/>
          <w:b/>
          <w:color w:val="auto"/>
          <w:sz w:val="32"/>
          <w:szCs w:val="32"/>
          <w:highlight w:val="none"/>
        </w:rPr>
      </w:pPr>
    </w:p>
    <w:p w14:paraId="25558ED3">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r>
    </w:p>
    <w:p w14:paraId="25D66BBF">
      <w:pPr>
        <w:pStyle w:val="8"/>
        <w:outlineLvl w:val="0"/>
        <w:rPr>
          <w:b/>
          <w:color w:val="auto"/>
          <w:highlight w:val="none"/>
        </w:rPr>
      </w:pPr>
      <w:r>
        <w:rPr>
          <w:rFonts w:hint="eastAsia" w:ascii="黑体" w:hAnsi="黑体" w:eastAsia="黑体"/>
          <w:b/>
          <w:color w:val="auto"/>
          <w:sz w:val="32"/>
          <w:szCs w:val="32"/>
          <w:highlight w:val="none"/>
        </w:rPr>
        <w:t>第二章  评标办法</w:t>
      </w:r>
      <w:bookmarkEnd w:id="128"/>
      <w:bookmarkEnd w:id="129"/>
    </w:p>
    <w:bookmarkEnd w:id="124"/>
    <w:bookmarkEnd w:id="130"/>
    <w:p w14:paraId="4EDE524C">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临海市限额以下公共资源交易水利工程建设项目水利项目评标办法</w:t>
      </w:r>
    </w:p>
    <w:p w14:paraId="219EA5C4">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评标顺序</w:t>
      </w:r>
    </w:p>
    <w:p w14:paraId="1A569194">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（一）商务标评审</w:t>
      </w:r>
    </w:p>
    <w:p w14:paraId="1B82F561">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（二）资信标评审</w:t>
      </w:r>
    </w:p>
    <w:p w14:paraId="2C172009">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（三）确定中标候选人</w:t>
      </w:r>
    </w:p>
    <w:p w14:paraId="10BCE64A">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一、商务标评审（100分）</w:t>
      </w:r>
    </w:p>
    <w:p w14:paraId="20E47675">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5B6E85BD">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最高投标限价乘以调整系数作为评标标底价，即评标标底价＝最高投标限价×调整系数。（以元为单位，保留整数，小数点后第1位四舍五入）</w:t>
      </w:r>
    </w:p>
    <w:p w14:paraId="431B5661">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最高投标限价的计算方法：最高投标限价=预算审核价×（1-下浮值），下浮值在1%，2.5%，4%，5.5%，7%等5个等差数值中抽取其中一值作为下浮值，投标报价不得超过最高限价。</w:t>
      </w:r>
    </w:p>
    <w:p w14:paraId="6E2D8579">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2DC1A8BC">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00C2F181">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1F3C4697">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二、资信标评审</w:t>
      </w:r>
    </w:p>
    <w:p w14:paraId="3E473BCE">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w:t>
      </w:r>
      <w:r>
        <w:rPr>
          <w:rFonts w:hint="eastAsia" w:ascii="宋体" w:hAnsi="宋体" w:eastAsia="宋体" w:cs="宋体"/>
          <w:color w:val="auto"/>
          <w:sz w:val="21"/>
          <w:szCs w:val="21"/>
          <w:highlight w:val="none"/>
          <w:lang w:val="en-US" w:eastAsia="zh-CN"/>
        </w:rPr>
        <w:t>此</w:t>
      </w:r>
      <w:r>
        <w:rPr>
          <w:rFonts w:hint="eastAsia" w:ascii="宋体" w:hAnsi="宋体" w:eastAsia="宋体" w:cs="宋体"/>
          <w:color w:val="auto"/>
          <w:sz w:val="21"/>
          <w:szCs w:val="21"/>
          <w:highlight w:val="none"/>
        </w:rPr>
        <w:t>类推，直至产生中标候选人。</w:t>
      </w:r>
    </w:p>
    <w:p w14:paraId="4D5D7F11">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69C5BFDD">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三、中标候选人的确定</w:t>
      </w:r>
    </w:p>
    <w:p w14:paraId="108C750A">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699E95C6">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4A4EF281">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14:paraId="134C2338">
      <w:pPr>
        <w:rPr>
          <w:color w:val="auto"/>
          <w:highlight w:val="none"/>
        </w:rPr>
      </w:pPr>
    </w:p>
    <w:p w14:paraId="5DE32790">
      <w:pPr>
        <w:pStyle w:val="21"/>
        <w:rPr>
          <w:color w:val="auto"/>
          <w:highlight w:val="none"/>
        </w:rPr>
      </w:pPr>
    </w:p>
    <w:p w14:paraId="0D7AFAFA">
      <w:pPr>
        <w:pStyle w:val="21"/>
        <w:jc w:val="both"/>
        <w:rPr>
          <w:color w:val="auto"/>
          <w:highlight w:val="none"/>
        </w:rPr>
      </w:pPr>
    </w:p>
    <w:p w14:paraId="5A02A9B7">
      <w:pPr>
        <w:rPr>
          <w:rFonts w:hint="eastAsia" w:hAnsi="黑体"/>
          <w:color w:val="auto"/>
          <w:sz w:val="30"/>
          <w:szCs w:val="22"/>
          <w:highlight w:val="none"/>
        </w:rPr>
      </w:pPr>
      <w:r>
        <w:rPr>
          <w:rFonts w:hint="eastAsia" w:hAnsi="黑体"/>
          <w:color w:val="auto"/>
          <w:sz w:val="30"/>
          <w:szCs w:val="22"/>
          <w:highlight w:val="none"/>
        </w:rPr>
        <w:br w:type="page"/>
      </w:r>
    </w:p>
    <w:p w14:paraId="1CEB67CC">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2CE095F2">
      <w:pPr>
        <w:pStyle w:val="4"/>
        <w:pageBreakBefore w:val="0"/>
        <w:numPr>
          <w:ilvl w:val="0"/>
          <w:numId w:val="0"/>
        </w:numPr>
        <w:kinsoku/>
        <w:wordWrap/>
        <w:overflowPunct/>
        <w:topLinePunct w:val="0"/>
        <w:bidi w:val="0"/>
        <w:ind w:left="574" w:leftChars="0" w:firstLine="0" w:firstLineChars="0"/>
        <w:jc w:val="center"/>
        <w:rPr>
          <w:rFonts w:hint="eastAsia" w:ascii="宋体" w:hAnsi="宋体" w:eastAsia="宋体" w:cs="宋体"/>
          <w:color w:val="auto"/>
          <w:sz w:val="32"/>
          <w:highlight w:val="none"/>
        </w:rPr>
      </w:pPr>
      <w:bookmarkStart w:id="131" w:name="_Toc30601"/>
    </w:p>
    <w:p w14:paraId="456739EA">
      <w:pPr>
        <w:pStyle w:val="4"/>
        <w:pageBreakBefore w:val="0"/>
        <w:numPr>
          <w:ilvl w:val="0"/>
          <w:numId w:val="0"/>
        </w:numPr>
        <w:kinsoku/>
        <w:wordWrap/>
        <w:overflowPunct/>
        <w:topLinePunct w:val="0"/>
        <w:bidi w:val="0"/>
        <w:ind w:left="574" w:leftChars="0" w:firstLine="0" w:firstLineChars="0"/>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t>第1节 通用合同条款（略）</w:t>
      </w:r>
      <w:bookmarkEnd w:id="131"/>
    </w:p>
    <w:p w14:paraId="1D14E6F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bookmarkStart w:id="132" w:name="_bookmark91"/>
      <w:bookmarkEnd w:id="132"/>
      <w:bookmarkStart w:id="133" w:name="_bookmark90"/>
      <w:bookmarkEnd w:id="133"/>
      <w:r>
        <w:rPr>
          <w:rFonts w:hint="eastAsia" w:ascii="宋体" w:hAnsi="宋体" w:eastAsia="宋体" w:cs="宋体"/>
          <w:color w:val="auto"/>
          <w:sz w:val="21"/>
          <w:szCs w:val="21"/>
          <w:highlight w:val="none"/>
          <w:lang w:eastAsia="zh-CN"/>
        </w:rPr>
        <w:t>通用条款参照《浙江省水利水电工程施工招标文件示范文本》（</w:t>
      </w:r>
      <w:r>
        <w:rPr>
          <w:rFonts w:hint="eastAsia" w:ascii="宋体" w:hAnsi="宋体" w:eastAsia="宋体" w:cs="宋体"/>
          <w:color w:val="auto"/>
          <w:sz w:val="21"/>
          <w:szCs w:val="21"/>
          <w:highlight w:val="none"/>
          <w:lang w:val="en-US" w:eastAsia="zh-CN"/>
        </w:rPr>
        <w:t>2022年）</w:t>
      </w:r>
    </w:p>
    <w:p w14:paraId="3B0B15AE">
      <w:pPr>
        <w:pStyle w:val="4"/>
        <w:pageBreakBefore w:val="0"/>
        <w:numPr>
          <w:ilvl w:val="0"/>
          <w:numId w:val="0"/>
        </w:numPr>
        <w:kinsoku/>
        <w:wordWrap/>
        <w:overflowPunct/>
        <w:topLinePunct w:val="0"/>
        <w:bidi w:val="0"/>
        <w:ind w:left="574" w:leftChars="0" w:firstLine="0" w:firstLineChars="0"/>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r>
      <w:bookmarkStart w:id="134" w:name="_Toc3783"/>
      <w:r>
        <w:rPr>
          <w:rFonts w:hint="eastAsia" w:ascii="宋体" w:hAnsi="宋体" w:eastAsia="宋体" w:cs="宋体"/>
          <w:color w:val="auto"/>
          <w:sz w:val="32"/>
          <w:highlight w:val="none"/>
        </w:rPr>
        <w:t>第2节 专用合同条款</w:t>
      </w:r>
      <w:bookmarkEnd w:id="134"/>
    </w:p>
    <w:p w14:paraId="11710CDF">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rPr>
      </w:pPr>
      <w:bookmarkStart w:id="135" w:name="_Toc29941"/>
      <w:bookmarkStart w:id="136" w:name="_Toc31192"/>
      <w:r>
        <w:rPr>
          <w:rFonts w:hint="eastAsia" w:ascii="宋体" w:hAnsi="宋体" w:eastAsia="宋体" w:cs="宋体"/>
          <w:b/>
          <w:bCs/>
          <w:color w:val="auto"/>
          <w:sz w:val="21"/>
          <w:szCs w:val="21"/>
          <w:highlight w:val="none"/>
        </w:rPr>
        <w:t>1  一般约定</w:t>
      </w:r>
      <w:bookmarkEnd w:id="135"/>
      <w:bookmarkEnd w:id="136"/>
    </w:p>
    <w:p w14:paraId="13F07D27">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1.1  词语定义</w:t>
      </w:r>
    </w:p>
    <w:p w14:paraId="2AD921F9">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1.1.2</w:t>
      </w:r>
      <w:r>
        <w:rPr>
          <w:rFonts w:hint="eastAsia" w:ascii="宋体" w:hAnsi="宋体" w:eastAsia="宋体" w:cs="宋体"/>
          <w:color w:val="auto"/>
          <w:sz w:val="21"/>
          <w:szCs w:val="21"/>
          <w:highlight w:val="none"/>
        </w:rPr>
        <w:t xml:space="preserve">  合同当事人和人员</w:t>
      </w:r>
    </w:p>
    <w:p w14:paraId="15E862F0">
      <w:pPr>
        <w:keepNext w:val="0"/>
        <w:keepLines w:val="0"/>
        <w:pageBreakBefore w:val="0"/>
        <w:widowControl/>
        <w:kinsoku/>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1.1.2.2  发包人：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w:t>
      </w:r>
    </w:p>
    <w:p w14:paraId="25824F5F">
      <w:pPr>
        <w:pStyle w:val="10"/>
        <w:keepNext w:val="0"/>
        <w:keepLines w:val="0"/>
        <w:pageBreakBefore w:val="0"/>
        <w:widowControl/>
        <w:kinsoku/>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1.1.2.3  承包人：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（签约后填入）。</w:t>
      </w:r>
    </w:p>
    <w:p w14:paraId="0A1374D1">
      <w:pPr>
        <w:pStyle w:val="11"/>
        <w:keepNext w:val="0"/>
        <w:keepLines w:val="0"/>
        <w:pageBreakBefore w:val="0"/>
        <w:widowControl/>
        <w:kinsoku/>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1.1.2.5  分包人：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（签约后填入）。</w:t>
      </w:r>
    </w:p>
    <w:p w14:paraId="2CCCF791">
      <w:pPr>
        <w:keepNext w:val="0"/>
        <w:keepLines w:val="0"/>
        <w:pageBreakBefore w:val="0"/>
        <w:widowControl/>
        <w:tabs>
          <w:tab w:val="left" w:pos="6340"/>
        </w:tabs>
        <w:kinsoku/>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1.1.2.6  监理人：：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lang w:val="en-US" w:eastAsia="zh-CN"/>
        </w:rPr>
        <w:tab/>
      </w:r>
    </w:p>
    <w:p w14:paraId="096B3232">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1.1.4</w:t>
      </w:r>
      <w:r>
        <w:rPr>
          <w:rFonts w:hint="eastAsia" w:ascii="宋体" w:hAnsi="宋体" w:eastAsia="宋体" w:cs="宋体"/>
          <w:color w:val="auto"/>
          <w:sz w:val="21"/>
          <w:szCs w:val="21"/>
          <w:highlight w:val="none"/>
          <w:lang w:val="en-US" w:eastAsia="zh-CN"/>
        </w:rPr>
        <w:t xml:space="preserve">  日期</w:t>
      </w:r>
    </w:p>
    <w:p w14:paraId="6C629F6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1.1.4.5  缺陷责任期（工程质量保修期）：为</w:t>
      </w:r>
      <w:r>
        <w:rPr>
          <w:rFonts w:hint="eastAsia" w:ascii="宋体" w:hAnsi="宋体" w:eastAsia="宋体" w:cs="宋体"/>
          <w:color w:val="auto"/>
          <w:sz w:val="21"/>
          <w:szCs w:val="21"/>
          <w:highlight w:val="none"/>
          <w:u w:val="single"/>
          <w:lang w:val="en-US" w:eastAsia="zh-CN"/>
        </w:rPr>
        <w:t xml:space="preserve">  1  </w:t>
      </w:r>
      <w:r>
        <w:rPr>
          <w:rFonts w:hint="eastAsia" w:ascii="宋体" w:hAnsi="宋体" w:eastAsia="宋体" w:cs="宋体"/>
          <w:color w:val="auto"/>
          <w:sz w:val="21"/>
          <w:szCs w:val="21"/>
          <w:highlight w:val="none"/>
          <w:u w:val="none"/>
          <w:lang w:val="en-US" w:eastAsia="zh-CN"/>
        </w:rPr>
        <w:t>年。</w:t>
      </w:r>
    </w:p>
    <w:p w14:paraId="635B661C">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1.4  合同文件的优先顺序</w:t>
      </w:r>
    </w:p>
    <w:p w14:paraId="6871A94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除合同另有规定外，解释合同文件的优先顺序如下：</w:t>
      </w:r>
    </w:p>
    <w:p w14:paraId="081D271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（1）合同协议书（包括补充协议书）。</w:t>
      </w:r>
    </w:p>
    <w:p w14:paraId="279BD0B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（2）中标通知书。</w:t>
      </w:r>
    </w:p>
    <w:p w14:paraId="069A722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（3）投标函及投标函附录。 </w:t>
      </w:r>
    </w:p>
    <w:p w14:paraId="62A5710E">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（4）招投标文件澄清问题、澄清问题的复函、补充通知等相关资料。</w:t>
      </w:r>
    </w:p>
    <w:p w14:paraId="61207DB9">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（5）专用合同条款。</w:t>
      </w:r>
    </w:p>
    <w:p w14:paraId="6B08F0E1">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（6）通用合同条款。</w:t>
      </w:r>
    </w:p>
    <w:p w14:paraId="7DC6D98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（7）技术标准和要求。</w:t>
      </w:r>
    </w:p>
    <w:p w14:paraId="1632D469">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（8）图纸。</w:t>
      </w:r>
    </w:p>
    <w:p w14:paraId="4EE74A02">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（9）已标价的工程量清单。</w:t>
      </w:r>
    </w:p>
    <w:p w14:paraId="098497C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（10）经双方确认进入合同的其他文件。</w:t>
      </w:r>
    </w:p>
    <w:p w14:paraId="28B24E90">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  联络</w:t>
      </w:r>
    </w:p>
    <w:p w14:paraId="2317613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1.7.2  来往函件均应按技术标准和要求（合同技术条款）约定的期限送达</w:t>
      </w:r>
      <w:r>
        <w:rPr>
          <w:rFonts w:hint="eastAsia" w:ascii="宋体" w:hAnsi="宋体" w:eastAsia="宋体" w:cs="宋体"/>
          <w:color w:val="auto"/>
          <w:sz w:val="21"/>
          <w:szCs w:val="21"/>
          <w:highlight w:val="none"/>
          <w:u w:val="single"/>
          <w:lang w:val="en-US" w:eastAsia="zh-CN"/>
        </w:rPr>
        <w:t>（填写文件送达地点）</w:t>
      </w:r>
      <w:r>
        <w:rPr>
          <w:rFonts w:hint="eastAsia" w:ascii="宋体" w:hAnsi="宋体" w:eastAsia="宋体" w:cs="宋体"/>
          <w:color w:val="auto"/>
          <w:sz w:val="21"/>
          <w:szCs w:val="21"/>
          <w:highlight w:val="none"/>
          <w:lang w:val="en-US" w:eastAsia="zh-CN"/>
        </w:rPr>
        <w:t>。</w:t>
      </w:r>
    </w:p>
    <w:p w14:paraId="4A653F91">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37" w:name="_bookmark92"/>
      <w:bookmarkEnd w:id="137"/>
      <w:bookmarkStart w:id="138" w:name="_Toc31854"/>
      <w:bookmarkStart w:id="139" w:name="_Toc20326"/>
      <w:r>
        <w:rPr>
          <w:rFonts w:hint="eastAsia" w:ascii="宋体" w:hAnsi="宋体" w:eastAsia="宋体" w:cs="宋体"/>
          <w:b/>
          <w:bCs/>
          <w:color w:val="auto"/>
          <w:sz w:val="21"/>
          <w:szCs w:val="21"/>
          <w:highlight w:val="none"/>
        </w:rPr>
        <w:t>2  发包人义务</w:t>
      </w:r>
      <w:bookmarkEnd w:id="138"/>
      <w:bookmarkEnd w:id="139"/>
    </w:p>
    <w:p w14:paraId="49323711">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2.3  提供施工场地</w:t>
      </w:r>
    </w:p>
    <w:p w14:paraId="3062B2A7">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2.3.2</w:t>
      </w:r>
      <w:r>
        <w:rPr>
          <w:rFonts w:hint="eastAsia" w:ascii="宋体" w:hAnsi="宋体" w:eastAsia="宋体" w:cs="宋体"/>
          <w:color w:val="auto"/>
          <w:sz w:val="21"/>
          <w:szCs w:val="21"/>
          <w:highlight w:val="none"/>
          <w:lang w:val="en-US" w:eastAsia="zh-CN"/>
        </w:rPr>
        <w:t xml:space="preserve">  发包人提供的用地范围为：</w:t>
      </w:r>
      <w:r>
        <w:rPr>
          <w:rFonts w:hint="eastAsia" w:ascii="宋体" w:hAnsi="宋体" w:eastAsia="宋体" w:cs="宋体"/>
          <w:color w:val="auto"/>
          <w:sz w:val="21"/>
          <w:szCs w:val="21"/>
          <w:highlight w:val="none"/>
          <w:u w:val="single"/>
          <w:lang w:val="en-US" w:eastAsia="zh-CN"/>
        </w:rPr>
        <w:t>工程施工范围内的用地</w:t>
      </w:r>
      <w:r>
        <w:rPr>
          <w:rFonts w:hint="eastAsia" w:ascii="宋体" w:hAnsi="宋体" w:eastAsia="宋体" w:cs="宋体"/>
          <w:color w:val="auto"/>
          <w:sz w:val="21"/>
          <w:szCs w:val="21"/>
          <w:highlight w:val="none"/>
          <w:lang w:val="en-US" w:eastAsia="zh-CN"/>
        </w:rPr>
        <w:t>。承包人自行勘察的施工场地范围为：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w:t>
      </w:r>
    </w:p>
    <w:p w14:paraId="0753BE2F">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2.8  其他义务</w:t>
      </w:r>
    </w:p>
    <w:p w14:paraId="717E8EE4">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lang w:val="en-US" w:eastAsia="zh-CN"/>
        </w:rPr>
        <w:t>。</w:t>
      </w:r>
    </w:p>
    <w:p w14:paraId="1BC69970">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40" w:name="_Toc29422"/>
      <w:bookmarkStart w:id="141" w:name="_Toc14308"/>
      <w:r>
        <w:rPr>
          <w:rFonts w:hint="eastAsia" w:ascii="宋体" w:hAnsi="宋体" w:eastAsia="宋体" w:cs="宋体"/>
          <w:b/>
          <w:bCs/>
          <w:color w:val="auto"/>
          <w:sz w:val="21"/>
          <w:szCs w:val="21"/>
          <w:highlight w:val="none"/>
        </w:rPr>
        <w:t>3  监理人</w:t>
      </w:r>
      <w:bookmarkEnd w:id="140"/>
      <w:bookmarkEnd w:id="141"/>
    </w:p>
    <w:p w14:paraId="19293927">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3.1  监理人的职责和权力</w:t>
      </w:r>
    </w:p>
    <w:p w14:paraId="4B500CE1">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3.1.1</w:t>
      </w:r>
      <w:r>
        <w:rPr>
          <w:rFonts w:hint="eastAsia" w:ascii="宋体" w:hAnsi="宋体" w:eastAsia="宋体" w:cs="宋体"/>
          <w:color w:val="auto"/>
          <w:sz w:val="21"/>
          <w:szCs w:val="21"/>
          <w:highlight w:val="none"/>
          <w:lang w:val="en-US" w:eastAsia="zh-CN"/>
        </w:rPr>
        <w:t xml:space="preserve">  监理人须根据发包人事先批准的权力范围行使权力，发包人批准的权利范围：</w:t>
      </w:r>
    </w:p>
    <w:p w14:paraId="5233BDA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（1）按第4.3条规定，批准工程分包。</w:t>
      </w:r>
    </w:p>
    <w:p w14:paraId="7B8AC57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（2）按第11.3款规定，确定延长完工期限。</w:t>
      </w:r>
    </w:p>
    <w:p w14:paraId="067B829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（3）按第15.6条规定，批准预留金的使用。    </w:t>
      </w:r>
    </w:p>
    <w:p w14:paraId="34E78B17">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42" w:name="_Toc8814"/>
      <w:bookmarkStart w:id="143" w:name="_Toc14797"/>
      <w:r>
        <w:rPr>
          <w:rFonts w:hint="eastAsia" w:ascii="宋体" w:hAnsi="宋体" w:eastAsia="宋体" w:cs="宋体"/>
          <w:b/>
          <w:bCs/>
          <w:color w:val="auto"/>
          <w:sz w:val="21"/>
          <w:szCs w:val="21"/>
          <w:highlight w:val="none"/>
        </w:rPr>
        <w:t>4  承包人</w:t>
      </w:r>
      <w:bookmarkEnd w:id="142"/>
      <w:bookmarkEnd w:id="143"/>
    </w:p>
    <w:p w14:paraId="10EE6D7C">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4.1  承包人的一般义务</w:t>
      </w:r>
    </w:p>
    <w:p w14:paraId="6F0CDC5B">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4.1.10</w:t>
      </w:r>
      <w:r>
        <w:rPr>
          <w:rFonts w:hint="eastAsia" w:ascii="宋体" w:hAnsi="宋体" w:eastAsia="宋体" w:cs="宋体"/>
          <w:color w:val="auto"/>
          <w:sz w:val="21"/>
          <w:szCs w:val="21"/>
          <w:highlight w:val="none"/>
          <w:lang w:val="en-US" w:eastAsia="zh-CN"/>
        </w:rPr>
        <w:t xml:space="preserve">  其他义务</w:t>
      </w:r>
    </w:p>
    <w:p w14:paraId="17A9EC6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（1）承包人应妥善处理好与工程其他承包人的配合关系，发生交叉施工时，承包人和工程其他承包人应相互配合，友好协作，并服从监理人的统一协调。</w:t>
      </w:r>
    </w:p>
    <w:p w14:paraId="50D65A9A">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（2）承包人应充分考虑到施工现场所有的设备、临时建筑等防火安全，配备足够的防火灭火设备。</w:t>
      </w:r>
    </w:p>
    <w:p w14:paraId="5FB8BD5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（3）承包人应严格遵守国家有关解决拖欠工程款和民工工资的法律、法规，及时支付工程中的材料、设备货款及民工工资等费用。承包人不得以任何借口拖欠材料、设备货款及民工工资等费用。</w:t>
      </w:r>
    </w:p>
    <w:p w14:paraId="1D966375">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4.3  分包</w:t>
      </w:r>
    </w:p>
    <w:p w14:paraId="290E0F04">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4.3.2 </w:t>
      </w:r>
      <w:r>
        <w:rPr>
          <w:rFonts w:hint="eastAsia" w:ascii="宋体" w:hAnsi="宋体" w:eastAsia="宋体" w:cs="宋体"/>
          <w:color w:val="auto"/>
          <w:sz w:val="21"/>
          <w:szCs w:val="21"/>
          <w:highlight w:val="none"/>
        </w:rPr>
        <w:t xml:space="preserve"> 允许承包人分包的工程项目、工作内容与分包金额如下：</w:t>
      </w:r>
    </w:p>
    <w:p w14:paraId="45176CD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mc:AlternateContent>
          <mc:Choice Requires="wps">
            <w:drawing>
              <wp:anchor distT="0" distB="0" distL="114300" distR="114300" simplePos="0" relativeHeight="251663360" behindDoc="0" locked="0" layoutInCell="1" allowOverlap="1">
                <wp:simplePos x="0" y="0"/>
                <wp:positionH relativeFrom="column">
                  <wp:posOffset>5249545</wp:posOffset>
                </wp:positionH>
                <wp:positionV relativeFrom="paragraph">
                  <wp:posOffset>400050</wp:posOffset>
                </wp:positionV>
                <wp:extent cx="121920" cy="10858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21920" cy="108585"/>
                        </a:xfrm>
                        <a:prstGeom prst="rect">
                          <a:avLst/>
                        </a:prstGeom>
                        <a:noFill/>
                        <a:ln>
                          <a:noFill/>
                        </a:ln>
                        <a:effectLst/>
                      </wps:spPr>
                      <wps:txbx>
                        <w:txbxContent>
                          <w:p w14:paraId="2D0D500C">
                            <w:pPr>
                              <w:spacing w:before="20" w:line="241" w:lineRule="auto"/>
                              <w:ind w:left="20"/>
                              <w:rPr>
                                <w:rFonts w:ascii="宋体" w:hAnsi="宋体" w:eastAsia="宋体" w:cs="宋体"/>
                                <w:sz w:val="10"/>
                                <w:szCs w:val="10"/>
                              </w:rPr>
                            </w:pPr>
                            <w:r>
                              <w:rPr>
                                <w:rFonts w:ascii="宋体" w:hAnsi="宋体" w:eastAsia="宋体" w:cs="宋体"/>
                                <w:spacing w:val="26"/>
                                <w:w w:val="125"/>
                                <w:sz w:val="10"/>
                                <w:szCs w:val="10"/>
                              </w:rPr>
                              <w:t>。</w:t>
                            </w:r>
                          </w:p>
                        </w:txbxContent>
                      </wps:txbx>
                      <wps:bodyPr lIns="0" tIns="0" rIns="0" bIns="0" upright="1"/>
                    </wps:wsp>
                  </a:graphicData>
                </a:graphic>
              </wp:anchor>
            </w:drawing>
          </mc:Choice>
          <mc:Fallback>
            <w:pict>
              <v:shape id="_x0000_s1026" o:spid="_x0000_s1026" o:spt="202" type="#_x0000_t202" style="position:absolute;left:0pt;margin-left:413.35pt;margin-top:31.5pt;height:8.55pt;width:9.6pt;z-index:251663360;mso-width-relative:page;mso-height-relative:page;" filled="f" stroked="f" coordsize="21600,21600" o:gfxdata="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I+MVQzYAAAACQEAAA8AAAAAAAAAAQAgAAAAIgAAAGRycy9kb3ducmV2LnhtbFBL&#10;AQIUABQAAAAIAIdO4kBDghWjvQEAAH8DAAAOAAAAAAAAAAEAIAAAACcBAABkcnMvZTJvRG9jLnht&#10;bFBLBQYAAAAABgAGAFkBAABWBQAAAAA=&#10;">
                <v:fill on="f" focussize="0,0"/>
                <v:stroke on="f"/>
                <v:imagedata o:title=""/>
                <o:lock v:ext="edit" aspectratio="f"/>
                <v:textbox inset="0mm,0mm,0mm,0mm">
                  <w:txbxContent>
                    <w:p w14:paraId="2D0D500C">
                      <w:pPr>
                        <w:spacing w:before="20" w:line="241" w:lineRule="auto"/>
                        <w:ind w:left="20"/>
                        <w:rPr>
                          <w:rFonts w:ascii="宋体" w:hAnsi="宋体" w:eastAsia="宋体" w:cs="宋体"/>
                          <w:sz w:val="10"/>
                          <w:szCs w:val="10"/>
                        </w:rPr>
                      </w:pPr>
                      <w:r>
                        <w:rPr>
                          <w:rFonts w:ascii="宋体" w:hAnsi="宋体" w:eastAsia="宋体" w:cs="宋体"/>
                          <w:spacing w:val="26"/>
                          <w:w w:val="125"/>
                          <w:sz w:val="10"/>
                          <w:szCs w:val="10"/>
                        </w:rPr>
                        <w:t>。</w:t>
                      </w:r>
                    </w:p>
                  </w:txbxContent>
                </v:textbox>
              </v:shape>
            </w:pict>
          </mc:Fallback>
        </mc:AlternateContent>
      </w:r>
      <w:r>
        <w:rPr>
          <w:rFonts w:hint="eastAsia" w:ascii="宋体" w:hAnsi="宋体" w:eastAsia="宋体" w:cs="宋体"/>
          <w:color w:val="auto"/>
          <w:sz w:val="21"/>
          <w:szCs w:val="21"/>
          <w:highlight w:val="none"/>
          <w:lang w:val="en-US" w:eastAsia="zh-CN"/>
        </w:rPr>
        <w:t>（1）工程项目：</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w:t>
      </w:r>
    </w:p>
    <w:p w14:paraId="7F408A1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（2）工作内容：</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lang w:val="en-US" w:eastAsia="zh-CN"/>
        </w:rPr>
        <w:t>。</w:t>
      </w:r>
    </w:p>
    <w:p w14:paraId="10AE423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（3）分包金额限额：</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lang w:val="en-US" w:eastAsia="zh-CN"/>
        </w:rPr>
        <w:t>。</w:t>
      </w:r>
    </w:p>
    <w:p w14:paraId="6D83AB9D">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4.3.10 </w:t>
      </w:r>
      <w:r>
        <w:rPr>
          <w:rFonts w:hint="eastAsia" w:ascii="宋体" w:hAnsi="宋体" w:eastAsia="宋体" w:cs="宋体"/>
          <w:color w:val="auto"/>
          <w:sz w:val="21"/>
          <w:szCs w:val="21"/>
          <w:highlight w:val="none"/>
        </w:rPr>
        <w:t xml:space="preserve"> 分包人项目管理机构的设立：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Start w:id="144" w:name="_bookmark93"/>
      <w:bookmarkEnd w:id="144"/>
    </w:p>
    <w:p w14:paraId="09CDFADB">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4.5  承包人项目负责人</w:t>
      </w:r>
    </w:p>
    <w:p w14:paraId="36F5E9A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本章4.5.5款补充：</w:t>
      </w:r>
    </w:p>
    <w:p w14:paraId="753F4EF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项目负责人每月驻工地的天数不少于22天（遇法定节假日可扣减），每少一天支付违约金</w:t>
      </w:r>
      <w:r>
        <w:rPr>
          <w:rFonts w:hint="eastAsia" w:ascii="宋体" w:hAnsi="宋体" w:eastAsia="宋体" w:cs="宋体"/>
          <w:color w:val="auto"/>
          <w:sz w:val="21"/>
          <w:szCs w:val="21"/>
          <w:highlight w:val="none"/>
          <w:u w:val="single"/>
          <w:lang w:val="en-US" w:eastAsia="zh-CN"/>
        </w:rPr>
        <w:t>2000</w:t>
      </w:r>
      <w:r>
        <w:rPr>
          <w:rFonts w:hint="eastAsia" w:ascii="宋体" w:hAnsi="宋体" w:eastAsia="宋体" w:cs="宋体"/>
          <w:color w:val="auto"/>
          <w:sz w:val="21"/>
          <w:szCs w:val="21"/>
          <w:highlight w:val="none"/>
          <w:lang w:val="en-US" w:eastAsia="zh-CN"/>
        </w:rPr>
        <w:t>元，但扣款最终的累计总金额不应超过</w:t>
      </w:r>
      <w:r>
        <w:rPr>
          <w:rFonts w:hint="eastAsia" w:ascii="宋体" w:hAnsi="宋体" w:eastAsia="宋体" w:cs="宋体"/>
          <w:color w:val="auto"/>
          <w:sz w:val="21"/>
          <w:szCs w:val="21"/>
          <w:highlight w:val="none"/>
          <w:u w:val="single"/>
          <w:lang w:val="en-US" w:eastAsia="zh-CN"/>
        </w:rPr>
        <w:t>20</w:t>
      </w:r>
      <w:r>
        <w:rPr>
          <w:rFonts w:hint="eastAsia" w:ascii="宋体" w:hAnsi="宋体" w:eastAsia="宋体" w:cs="宋体"/>
          <w:color w:val="auto"/>
          <w:sz w:val="21"/>
          <w:szCs w:val="21"/>
          <w:highlight w:val="none"/>
          <w:lang w:val="en-US" w:eastAsia="zh-CN"/>
        </w:rPr>
        <w:t>万元。</w:t>
      </w:r>
    </w:p>
    <w:p w14:paraId="0E8E627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上述违约金在当月工程进度款中直接扣除，在工地工作天数按监理人实际考勤记录为准。</w:t>
      </w:r>
    </w:p>
    <w:p w14:paraId="177240B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承包人的项目负责人连续</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lang w:val="en-US" w:eastAsia="zh-CN"/>
        </w:rPr>
        <w:t>个月及以上每月驻工地的天数少于</w:t>
      </w:r>
      <w:r>
        <w:rPr>
          <w:rFonts w:hint="eastAsia" w:ascii="宋体" w:hAnsi="宋体" w:eastAsia="宋体" w:cs="宋体"/>
          <w:color w:val="auto"/>
          <w:sz w:val="21"/>
          <w:szCs w:val="21"/>
          <w:highlight w:val="none"/>
          <w:u w:val="single"/>
          <w:lang w:val="en-US" w:eastAsia="zh-CN"/>
        </w:rPr>
        <w:t>22</w:t>
      </w:r>
      <w:r>
        <w:rPr>
          <w:rFonts w:hint="eastAsia" w:ascii="宋体" w:hAnsi="宋体" w:eastAsia="宋体" w:cs="宋体"/>
          <w:color w:val="auto"/>
          <w:sz w:val="21"/>
          <w:szCs w:val="21"/>
          <w:highlight w:val="none"/>
          <w:lang w:val="en-US" w:eastAsia="zh-CN"/>
        </w:rPr>
        <w:t>天，发包人有权解除合同，所有履约担保金归发包人，同时赔偿发包人损失。</w:t>
      </w:r>
    </w:p>
    <w:p w14:paraId="602F5D0A">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4.6  承包人人员的管理</w:t>
      </w:r>
    </w:p>
    <w:p w14:paraId="4D9AD8B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本章4.6.3款补充：</w:t>
      </w:r>
    </w:p>
    <w:p w14:paraId="2C6BCD1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项目技术负责人每月驻工地时间不得少于</w:t>
      </w:r>
      <w:r>
        <w:rPr>
          <w:rFonts w:hint="eastAsia" w:ascii="宋体" w:hAnsi="宋体" w:eastAsia="宋体" w:cs="宋体"/>
          <w:color w:val="auto"/>
          <w:sz w:val="21"/>
          <w:szCs w:val="21"/>
          <w:highlight w:val="none"/>
          <w:u w:val="single"/>
          <w:lang w:val="en-US" w:eastAsia="zh-CN"/>
        </w:rPr>
        <w:t>22</w:t>
      </w:r>
      <w:r>
        <w:rPr>
          <w:rFonts w:hint="eastAsia" w:ascii="宋体" w:hAnsi="宋体" w:eastAsia="宋体" w:cs="宋体"/>
          <w:color w:val="auto"/>
          <w:sz w:val="21"/>
          <w:szCs w:val="21"/>
          <w:highlight w:val="none"/>
          <w:lang w:val="en-US" w:eastAsia="zh-CN"/>
        </w:rPr>
        <w:t>天（遇法定节假日可扣减），每少一天支付违约金</w:t>
      </w:r>
      <w:r>
        <w:rPr>
          <w:rFonts w:hint="eastAsia" w:ascii="宋体" w:hAnsi="宋体" w:eastAsia="宋体" w:cs="宋体"/>
          <w:color w:val="auto"/>
          <w:sz w:val="21"/>
          <w:szCs w:val="21"/>
          <w:highlight w:val="none"/>
          <w:u w:val="single"/>
          <w:lang w:val="en-US" w:eastAsia="zh-CN"/>
        </w:rPr>
        <w:t>2000</w:t>
      </w:r>
      <w:r>
        <w:rPr>
          <w:rFonts w:hint="eastAsia" w:ascii="宋体" w:hAnsi="宋体" w:eastAsia="宋体" w:cs="宋体"/>
          <w:color w:val="auto"/>
          <w:sz w:val="21"/>
          <w:szCs w:val="21"/>
          <w:highlight w:val="none"/>
          <w:lang w:val="en-US" w:eastAsia="zh-CN"/>
        </w:rPr>
        <w:t>元，但扣款最终的累计总金额不应超过</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lang w:val="en-US" w:eastAsia="zh-CN"/>
        </w:rPr>
        <w:t>万元。</w:t>
      </w:r>
    </w:p>
    <w:p w14:paraId="262C632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专职安全生产管理人员、施工员、质检员每月驻工地时间不得少于</w:t>
      </w:r>
      <w:r>
        <w:rPr>
          <w:rFonts w:hint="eastAsia" w:ascii="宋体" w:hAnsi="宋体" w:eastAsia="宋体" w:cs="宋体"/>
          <w:color w:val="auto"/>
          <w:sz w:val="21"/>
          <w:szCs w:val="21"/>
          <w:highlight w:val="none"/>
          <w:u w:val="single"/>
          <w:lang w:val="en-US" w:eastAsia="zh-CN"/>
        </w:rPr>
        <w:t>22</w:t>
      </w:r>
      <w:r>
        <w:rPr>
          <w:rFonts w:hint="eastAsia" w:ascii="宋体" w:hAnsi="宋体" w:eastAsia="宋体" w:cs="宋体"/>
          <w:color w:val="auto"/>
          <w:sz w:val="21"/>
          <w:szCs w:val="21"/>
          <w:highlight w:val="none"/>
          <w:lang w:val="en-US" w:eastAsia="zh-CN"/>
        </w:rPr>
        <w:t>天（遇法定节假日可扣减），每人每少一天支付违约金</w:t>
      </w:r>
      <w:r>
        <w:rPr>
          <w:rFonts w:hint="eastAsia" w:ascii="宋体" w:hAnsi="宋体" w:eastAsia="宋体" w:cs="宋体"/>
          <w:color w:val="auto"/>
          <w:sz w:val="21"/>
          <w:szCs w:val="21"/>
          <w:highlight w:val="none"/>
          <w:u w:val="single"/>
          <w:lang w:val="en-US" w:eastAsia="zh-CN"/>
        </w:rPr>
        <w:t>1500</w:t>
      </w:r>
      <w:r>
        <w:rPr>
          <w:rFonts w:hint="eastAsia" w:ascii="宋体" w:hAnsi="宋体" w:eastAsia="宋体" w:cs="宋体"/>
          <w:color w:val="auto"/>
          <w:sz w:val="21"/>
          <w:szCs w:val="21"/>
          <w:highlight w:val="none"/>
          <w:lang w:val="en-US" w:eastAsia="zh-CN"/>
        </w:rPr>
        <w:t>元，但扣款最终的累计总金额不应超</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lang w:val="en-US" w:eastAsia="zh-CN"/>
        </w:rPr>
        <w:t>万元。</w:t>
      </w:r>
    </w:p>
    <w:p w14:paraId="6E79861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上述违约金在当月工程进度款中直接扣除，在工地工作天数按监理人实际考勤记录为准。</w:t>
      </w:r>
    </w:p>
    <w:p w14:paraId="6F10D86B">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4.7  撤换承包人项目负责人和其他人员</w:t>
      </w:r>
    </w:p>
    <w:p w14:paraId="6A44277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本款补充：</w:t>
      </w:r>
    </w:p>
    <w:p w14:paraId="2C3699C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项目负责人、技术负责人不得擅自更换。若承包人擅自更换的，除每人次需支付</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lang w:val="en-US" w:eastAsia="zh-CN"/>
        </w:rPr>
        <w:t>万元的违约金外，发包人有权将其作为不良行为记录上报水行政主管部门；情节特别严重的，发包人有权中止合同。在合同工程未通过完工验收或合同解除前，项目负责人、技术负责人确需更换的，应征得发包人同意，并经原项目负责人备案主管部门备案，且更换后的人员不得低于原投标承诺人员所具有的资格和业绩条件。</w:t>
      </w:r>
    </w:p>
    <w:p w14:paraId="7ADFC14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承包人的安全员、质量员、施工员、专职安全生产管理人员等人员擅自调换每人次需支付违约金</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lang w:val="en-US" w:eastAsia="zh-CN"/>
        </w:rPr>
        <w:t>万元。违约金在工程进度付款中扣除。</w:t>
      </w:r>
    </w:p>
    <w:p w14:paraId="76063C23">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4.11  不利物质条件</w:t>
      </w:r>
    </w:p>
    <w:p w14:paraId="7AD49A05">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4.11.1 </w:t>
      </w:r>
      <w:r>
        <w:rPr>
          <w:rFonts w:hint="eastAsia" w:ascii="宋体" w:hAnsi="宋体" w:eastAsia="宋体" w:cs="宋体"/>
          <w:color w:val="auto"/>
          <w:sz w:val="21"/>
          <w:szCs w:val="21"/>
          <w:highlight w:val="none"/>
          <w:lang w:val="en-US" w:eastAsia="zh-CN"/>
        </w:rPr>
        <w:t xml:space="preserve">  不利物质条件的范围：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2C80E73A">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45" w:name="_Toc22883"/>
      <w:bookmarkStart w:id="146" w:name="_Toc29073"/>
      <w:r>
        <w:rPr>
          <w:rFonts w:hint="eastAsia" w:ascii="宋体" w:hAnsi="宋体" w:eastAsia="宋体" w:cs="宋体"/>
          <w:b/>
          <w:bCs/>
          <w:color w:val="auto"/>
          <w:sz w:val="21"/>
          <w:szCs w:val="21"/>
          <w:highlight w:val="none"/>
        </w:rPr>
        <w:t>5  材料和工程设备</w:t>
      </w:r>
      <w:bookmarkEnd w:id="145"/>
      <w:bookmarkEnd w:id="146"/>
    </w:p>
    <w:p w14:paraId="654FB0F8">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5.2  发包人提供的材料和工程设备</w:t>
      </w:r>
    </w:p>
    <w:p w14:paraId="034FB406">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5.2.1</w:t>
      </w:r>
      <w:r>
        <w:rPr>
          <w:rFonts w:hint="eastAsia" w:ascii="宋体" w:hAnsi="宋体" w:eastAsia="宋体" w:cs="宋体"/>
          <w:color w:val="auto"/>
          <w:sz w:val="21"/>
          <w:szCs w:val="21"/>
          <w:highlight w:val="none"/>
        </w:rPr>
        <w:t xml:space="preserve">  发包人提供的材料和设备见下表。</w:t>
      </w:r>
    </w:p>
    <w:p w14:paraId="4A34DDD9">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发包人提供的材料表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参考格式</w:t>
      </w:r>
      <w:r>
        <w:rPr>
          <w:rFonts w:hint="eastAsia" w:ascii="宋体" w:hAnsi="宋体" w:eastAsia="宋体" w:cs="宋体"/>
          <w:color w:val="auto"/>
          <w:sz w:val="21"/>
          <w:szCs w:val="21"/>
          <w:highlight w:val="none"/>
          <w:lang w:eastAsia="zh-CN"/>
        </w:rPr>
        <w:t>）</w:t>
      </w:r>
    </w:p>
    <w:tbl>
      <w:tblPr>
        <w:tblStyle w:val="40"/>
        <w:tblW w:w="8950"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0"/>
        <w:gridCol w:w="1395"/>
        <w:gridCol w:w="1155"/>
        <w:gridCol w:w="960"/>
        <w:gridCol w:w="1050"/>
        <w:gridCol w:w="1200"/>
        <w:gridCol w:w="1335"/>
        <w:gridCol w:w="1215"/>
      </w:tblGrid>
      <w:tr w14:paraId="770E6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40" w:type="dxa"/>
            <w:noWrap w:val="0"/>
            <w:vAlign w:val="center"/>
          </w:tcPr>
          <w:p w14:paraId="16C73BF5">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95" w:type="dxa"/>
            <w:noWrap w:val="0"/>
            <w:vAlign w:val="center"/>
          </w:tcPr>
          <w:p w14:paraId="58B87E9E">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材料名称</w:t>
            </w:r>
          </w:p>
        </w:tc>
        <w:tc>
          <w:tcPr>
            <w:tcW w:w="1155" w:type="dxa"/>
            <w:noWrap w:val="0"/>
            <w:vAlign w:val="center"/>
          </w:tcPr>
          <w:p w14:paraId="1994E514">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材料规格</w:t>
            </w:r>
          </w:p>
        </w:tc>
        <w:tc>
          <w:tcPr>
            <w:tcW w:w="960" w:type="dxa"/>
            <w:noWrap w:val="0"/>
            <w:vAlign w:val="center"/>
          </w:tcPr>
          <w:p w14:paraId="152DE6BE">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050" w:type="dxa"/>
            <w:noWrap w:val="0"/>
            <w:vAlign w:val="center"/>
          </w:tcPr>
          <w:p w14:paraId="0FA15E08">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交货地点</w:t>
            </w:r>
          </w:p>
        </w:tc>
        <w:tc>
          <w:tcPr>
            <w:tcW w:w="1200" w:type="dxa"/>
            <w:noWrap w:val="0"/>
            <w:vAlign w:val="center"/>
          </w:tcPr>
          <w:p w14:paraId="4E4A6AFC">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交货方式</w:t>
            </w:r>
          </w:p>
        </w:tc>
        <w:tc>
          <w:tcPr>
            <w:tcW w:w="1335" w:type="dxa"/>
            <w:noWrap w:val="0"/>
            <w:vAlign w:val="center"/>
          </w:tcPr>
          <w:p w14:paraId="7117865A">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计划交货日期</w:t>
            </w:r>
          </w:p>
        </w:tc>
        <w:tc>
          <w:tcPr>
            <w:tcW w:w="1215" w:type="dxa"/>
            <w:noWrap w:val="0"/>
            <w:vAlign w:val="center"/>
          </w:tcPr>
          <w:p w14:paraId="167F657C">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50E161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640" w:type="dxa"/>
            <w:noWrap w:val="0"/>
            <w:vAlign w:val="center"/>
          </w:tcPr>
          <w:p w14:paraId="6D4B7088">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395" w:type="dxa"/>
            <w:noWrap w:val="0"/>
            <w:vAlign w:val="center"/>
          </w:tcPr>
          <w:p w14:paraId="40B0DFBE">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155" w:type="dxa"/>
            <w:noWrap w:val="0"/>
            <w:vAlign w:val="center"/>
          </w:tcPr>
          <w:p w14:paraId="1A725E6C">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960" w:type="dxa"/>
            <w:noWrap w:val="0"/>
            <w:vAlign w:val="center"/>
          </w:tcPr>
          <w:p w14:paraId="6BCA99D1">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050" w:type="dxa"/>
            <w:noWrap w:val="0"/>
            <w:vAlign w:val="center"/>
          </w:tcPr>
          <w:p w14:paraId="27E06316">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200" w:type="dxa"/>
            <w:noWrap w:val="0"/>
            <w:vAlign w:val="center"/>
          </w:tcPr>
          <w:p w14:paraId="6A8A285C">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335" w:type="dxa"/>
            <w:noWrap w:val="0"/>
            <w:vAlign w:val="center"/>
          </w:tcPr>
          <w:p w14:paraId="65A89A7D">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215" w:type="dxa"/>
            <w:noWrap w:val="0"/>
            <w:vAlign w:val="center"/>
          </w:tcPr>
          <w:p w14:paraId="0F306A75">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p>
        </w:tc>
      </w:tr>
    </w:tbl>
    <w:p w14:paraId="24210EFB">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p>
    <w:p w14:paraId="1347BAFA">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发包人提供的工程设备表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参考格式</w:t>
      </w:r>
      <w:r>
        <w:rPr>
          <w:rFonts w:hint="eastAsia" w:ascii="宋体" w:hAnsi="宋体" w:eastAsia="宋体" w:cs="宋体"/>
          <w:color w:val="auto"/>
          <w:sz w:val="21"/>
          <w:szCs w:val="21"/>
          <w:highlight w:val="none"/>
          <w:lang w:eastAsia="zh-CN"/>
        </w:rPr>
        <w:t>）</w:t>
      </w:r>
    </w:p>
    <w:tbl>
      <w:tblPr>
        <w:tblStyle w:val="40"/>
        <w:tblW w:w="8935"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5"/>
        <w:gridCol w:w="1410"/>
        <w:gridCol w:w="1275"/>
        <w:gridCol w:w="795"/>
        <w:gridCol w:w="1065"/>
        <w:gridCol w:w="1065"/>
        <w:gridCol w:w="1560"/>
        <w:gridCol w:w="1110"/>
      </w:tblGrid>
      <w:tr w14:paraId="2948C5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655" w:type="dxa"/>
            <w:noWrap w:val="0"/>
            <w:vAlign w:val="center"/>
          </w:tcPr>
          <w:p w14:paraId="45C34C1E">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10" w:type="dxa"/>
            <w:noWrap w:val="0"/>
            <w:vAlign w:val="center"/>
          </w:tcPr>
          <w:p w14:paraId="2501BDFF">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工程设备名称</w:t>
            </w:r>
          </w:p>
        </w:tc>
        <w:tc>
          <w:tcPr>
            <w:tcW w:w="1275" w:type="dxa"/>
            <w:noWrap w:val="0"/>
            <w:vAlign w:val="center"/>
          </w:tcPr>
          <w:p w14:paraId="34D268E7">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型号及规格</w:t>
            </w:r>
          </w:p>
        </w:tc>
        <w:tc>
          <w:tcPr>
            <w:tcW w:w="795" w:type="dxa"/>
            <w:noWrap w:val="0"/>
            <w:vAlign w:val="center"/>
          </w:tcPr>
          <w:p w14:paraId="5A92A87E">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065" w:type="dxa"/>
            <w:noWrap w:val="0"/>
            <w:vAlign w:val="center"/>
          </w:tcPr>
          <w:p w14:paraId="402437A7">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交货地点</w:t>
            </w:r>
          </w:p>
        </w:tc>
        <w:tc>
          <w:tcPr>
            <w:tcW w:w="1065" w:type="dxa"/>
            <w:noWrap w:val="0"/>
            <w:vAlign w:val="center"/>
          </w:tcPr>
          <w:p w14:paraId="7237C7F4">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交货方式</w:t>
            </w:r>
          </w:p>
        </w:tc>
        <w:tc>
          <w:tcPr>
            <w:tcW w:w="1560" w:type="dxa"/>
            <w:noWrap w:val="0"/>
            <w:vAlign w:val="center"/>
          </w:tcPr>
          <w:p w14:paraId="5E31775D">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计划交货日期</w:t>
            </w:r>
          </w:p>
        </w:tc>
        <w:tc>
          <w:tcPr>
            <w:tcW w:w="1110" w:type="dxa"/>
            <w:noWrap w:val="0"/>
            <w:vAlign w:val="center"/>
          </w:tcPr>
          <w:p w14:paraId="1C08AD78">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6E7F5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atLeast"/>
        </w:trPr>
        <w:tc>
          <w:tcPr>
            <w:tcW w:w="655" w:type="dxa"/>
            <w:noWrap w:val="0"/>
            <w:vAlign w:val="center"/>
          </w:tcPr>
          <w:p w14:paraId="6D53C07C">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410" w:type="dxa"/>
            <w:noWrap w:val="0"/>
            <w:vAlign w:val="center"/>
          </w:tcPr>
          <w:p w14:paraId="3609A611">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275" w:type="dxa"/>
            <w:noWrap w:val="0"/>
            <w:vAlign w:val="center"/>
          </w:tcPr>
          <w:p w14:paraId="6994E9E3">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795" w:type="dxa"/>
            <w:noWrap w:val="0"/>
            <w:vAlign w:val="center"/>
          </w:tcPr>
          <w:p w14:paraId="2549E3BD">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065" w:type="dxa"/>
            <w:noWrap w:val="0"/>
            <w:vAlign w:val="center"/>
          </w:tcPr>
          <w:p w14:paraId="38414F23">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065" w:type="dxa"/>
            <w:noWrap w:val="0"/>
            <w:vAlign w:val="center"/>
          </w:tcPr>
          <w:p w14:paraId="424A3A55">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560" w:type="dxa"/>
            <w:noWrap w:val="0"/>
            <w:vAlign w:val="center"/>
          </w:tcPr>
          <w:p w14:paraId="2A78AD74">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110" w:type="dxa"/>
            <w:noWrap w:val="0"/>
            <w:vAlign w:val="center"/>
          </w:tcPr>
          <w:p w14:paraId="76BA87B3">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p>
        </w:tc>
      </w:tr>
    </w:tbl>
    <w:p w14:paraId="6975B71E">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47" w:name="_Toc10101"/>
      <w:bookmarkStart w:id="148" w:name="_Toc1058"/>
      <w:r>
        <w:rPr>
          <w:rFonts w:hint="eastAsia" w:ascii="宋体" w:hAnsi="宋体" w:eastAsia="宋体" w:cs="宋体"/>
          <w:b/>
          <w:bCs/>
          <w:color w:val="auto"/>
          <w:sz w:val="21"/>
          <w:szCs w:val="21"/>
          <w:highlight w:val="none"/>
        </w:rPr>
        <w:t>6  施工设备和临时设施</w:t>
      </w:r>
      <w:bookmarkEnd w:id="147"/>
      <w:bookmarkEnd w:id="148"/>
    </w:p>
    <w:p w14:paraId="13E66D34">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6.2  发包人提供的施工设备和临时设施</w:t>
      </w:r>
    </w:p>
    <w:p w14:paraId="1E077E6E">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发包人提供的施工设备见下表。</w:t>
      </w:r>
    </w:p>
    <w:p w14:paraId="3E53121A">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发包人提供的施工设备表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参考格式</w:t>
      </w:r>
      <w:r>
        <w:rPr>
          <w:rFonts w:hint="eastAsia" w:ascii="宋体" w:hAnsi="宋体" w:eastAsia="宋体" w:cs="宋体"/>
          <w:color w:val="auto"/>
          <w:sz w:val="21"/>
          <w:szCs w:val="21"/>
          <w:highlight w:val="none"/>
          <w:lang w:eastAsia="zh-CN"/>
        </w:rPr>
        <w:t>）</w:t>
      </w:r>
    </w:p>
    <w:tbl>
      <w:tblPr>
        <w:tblStyle w:val="40"/>
        <w:tblW w:w="8950"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3"/>
        <w:gridCol w:w="1492"/>
        <w:gridCol w:w="1245"/>
        <w:gridCol w:w="1095"/>
        <w:gridCol w:w="810"/>
        <w:gridCol w:w="1185"/>
        <w:gridCol w:w="1485"/>
        <w:gridCol w:w="975"/>
      </w:tblGrid>
      <w:tr w14:paraId="58E00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63" w:type="dxa"/>
            <w:noWrap w:val="0"/>
            <w:vAlign w:val="center"/>
          </w:tcPr>
          <w:p w14:paraId="57615DAF">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92" w:type="dxa"/>
            <w:noWrap w:val="0"/>
            <w:vAlign w:val="center"/>
          </w:tcPr>
          <w:p w14:paraId="713F6BD3">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施工设备名称</w:t>
            </w:r>
          </w:p>
        </w:tc>
        <w:tc>
          <w:tcPr>
            <w:tcW w:w="1245" w:type="dxa"/>
            <w:noWrap w:val="0"/>
            <w:vAlign w:val="center"/>
          </w:tcPr>
          <w:p w14:paraId="3F2AA1FC">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型号及规格</w:t>
            </w:r>
          </w:p>
        </w:tc>
        <w:tc>
          <w:tcPr>
            <w:tcW w:w="1095" w:type="dxa"/>
            <w:noWrap w:val="0"/>
            <w:vAlign w:val="center"/>
          </w:tcPr>
          <w:p w14:paraId="12C36DB2">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设备状况</w:t>
            </w:r>
          </w:p>
        </w:tc>
        <w:tc>
          <w:tcPr>
            <w:tcW w:w="810" w:type="dxa"/>
            <w:noWrap w:val="0"/>
            <w:vAlign w:val="center"/>
          </w:tcPr>
          <w:p w14:paraId="5070AC3B">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185" w:type="dxa"/>
            <w:noWrap w:val="0"/>
            <w:vAlign w:val="center"/>
          </w:tcPr>
          <w:p w14:paraId="5A9C1A99">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移交地点</w:t>
            </w:r>
          </w:p>
        </w:tc>
        <w:tc>
          <w:tcPr>
            <w:tcW w:w="1485" w:type="dxa"/>
            <w:noWrap w:val="0"/>
            <w:vAlign w:val="center"/>
          </w:tcPr>
          <w:p w14:paraId="2E5812A0">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计划移交日期</w:t>
            </w:r>
          </w:p>
        </w:tc>
        <w:tc>
          <w:tcPr>
            <w:tcW w:w="975" w:type="dxa"/>
            <w:noWrap w:val="0"/>
            <w:vAlign w:val="center"/>
          </w:tcPr>
          <w:p w14:paraId="7C37DC3C">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56DA65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663" w:type="dxa"/>
            <w:noWrap w:val="0"/>
            <w:vAlign w:val="center"/>
          </w:tcPr>
          <w:p w14:paraId="0F9CE152">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492" w:type="dxa"/>
            <w:noWrap w:val="0"/>
            <w:vAlign w:val="center"/>
          </w:tcPr>
          <w:p w14:paraId="748862CD">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245" w:type="dxa"/>
            <w:noWrap w:val="0"/>
            <w:vAlign w:val="center"/>
          </w:tcPr>
          <w:p w14:paraId="69F41478">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095" w:type="dxa"/>
            <w:noWrap w:val="0"/>
            <w:vAlign w:val="center"/>
          </w:tcPr>
          <w:p w14:paraId="750A8CF0">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810" w:type="dxa"/>
            <w:noWrap w:val="0"/>
            <w:vAlign w:val="center"/>
          </w:tcPr>
          <w:p w14:paraId="36ADD486">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185" w:type="dxa"/>
            <w:noWrap w:val="0"/>
            <w:vAlign w:val="center"/>
          </w:tcPr>
          <w:p w14:paraId="566C30C4">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485" w:type="dxa"/>
            <w:noWrap w:val="0"/>
            <w:vAlign w:val="center"/>
          </w:tcPr>
          <w:p w14:paraId="3FD368A6">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975" w:type="dxa"/>
            <w:noWrap w:val="0"/>
            <w:vAlign w:val="center"/>
          </w:tcPr>
          <w:p w14:paraId="79564A22">
            <w:pPr>
              <w:keepNext w:val="0"/>
              <w:keepLines w:val="0"/>
              <w:pageBreakBefore w:val="0"/>
              <w:widowControl/>
              <w:kinsoku/>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p>
        </w:tc>
      </w:tr>
    </w:tbl>
    <w:p w14:paraId="7B9708C1">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注：设备状况栏内填写该设备的新旧程度、购进时间、已使用小时数和最近一次大修时间。</w:t>
      </w:r>
    </w:p>
    <w:p w14:paraId="6FA5953E">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发包人提供的临时设施：</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Start w:id="149" w:name="_bookmark94"/>
      <w:bookmarkEnd w:id="149"/>
    </w:p>
    <w:p w14:paraId="0A9C594C">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50" w:name="_Toc15122"/>
      <w:bookmarkStart w:id="151" w:name="_Toc10069"/>
      <w:r>
        <w:rPr>
          <w:rFonts w:hint="eastAsia" w:ascii="宋体" w:hAnsi="宋体" w:eastAsia="宋体" w:cs="宋体"/>
          <w:b/>
          <w:bCs/>
          <w:color w:val="auto"/>
          <w:sz w:val="21"/>
          <w:szCs w:val="21"/>
          <w:highlight w:val="none"/>
        </w:rPr>
        <w:t>7  交通运输</w:t>
      </w:r>
      <w:bookmarkEnd w:id="150"/>
      <w:bookmarkEnd w:id="151"/>
    </w:p>
    <w:p w14:paraId="235D9959">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7.1  道路通行权和场外设施</w:t>
      </w:r>
    </w:p>
    <w:p w14:paraId="139FCD4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道路通行权和场外设施的约定：</w:t>
      </w:r>
      <w:r>
        <w:rPr>
          <w:rFonts w:hint="eastAsia" w:ascii="宋体" w:hAnsi="宋体" w:eastAsia="宋体" w:cs="宋体"/>
          <w:color w:val="auto"/>
          <w:sz w:val="21"/>
          <w:szCs w:val="21"/>
          <w:highlight w:val="none"/>
          <w:u w:val="single"/>
        </w:rPr>
        <w:t>承包人自行协调场外道路及设施</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负责场内过境车辆的协调和分流工作。</w:t>
      </w:r>
    </w:p>
    <w:p w14:paraId="7F3A15F1">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52" w:name="_Toc24768"/>
      <w:bookmarkStart w:id="153" w:name="_Toc13738"/>
      <w:r>
        <w:rPr>
          <w:rFonts w:hint="eastAsia" w:ascii="宋体" w:hAnsi="宋体" w:eastAsia="宋体" w:cs="宋体"/>
          <w:b/>
          <w:bCs/>
          <w:color w:val="auto"/>
          <w:sz w:val="21"/>
          <w:szCs w:val="21"/>
          <w:highlight w:val="none"/>
        </w:rPr>
        <w:t>8  测量放线</w:t>
      </w:r>
      <w:bookmarkEnd w:id="152"/>
      <w:bookmarkEnd w:id="153"/>
    </w:p>
    <w:p w14:paraId="69068A89">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8.1  施工控制网</w:t>
      </w:r>
    </w:p>
    <w:p w14:paraId="11BB2D09">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b/>
          <w:bCs/>
          <w:color w:val="auto"/>
          <w:sz w:val="21"/>
          <w:szCs w:val="21"/>
          <w:highlight w:val="none"/>
        </w:rPr>
        <w:t>8.1.1</w:t>
      </w:r>
      <w:r>
        <w:rPr>
          <w:rFonts w:hint="eastAsia" w:ascii="宋体" w:hAnsi="宋体" w:eastAsia="宋体" w:cs="宋体"/>
          <w:color w:val="auto"/>
          <w:sz w:val="21"/>
          <w:szCs w:val="21"/>
          <w:highlight w:val="none"/>
        </w:rPr>
        <w:t xml:space="preserve">  施工控制网的约定：</w:t>
      </w:r>
      <w:r>
        <w:rPr>
          <w:rFonts w:hint="eastAsia" w:ascii="宋体" w:hAnsi="宋体" w:eastAsia="宋体" w:cs="宋体"/>
          <w:i w:val="0"/>
          <w:iCs/>
          <w:color w:val="auto"/>
          <w:sz w:val="21"/>
          <w:szCs w:val="21"/>
          <w:highlight w:val="none"/>
          <w:u w:val="single"/>
        </w:rPr>
        <w:t>发</w:t>
      </w:r>
      <w:r>
        <w:rPr>
          <w:rFonts w:hint="eastAsia" w:ascii="宋体" w:hAnsi="宋体" w:eastAsia="宋体" w:cs="宋体"/>
          <w:color w:val="auto"/>
          <w:sz w:val="21"/>
          <w:szCs w:val="21"/>
          <w:highlight w:val="none"/>
          <w:u w:val="single"/>
        </w:rPr>
        <w:t>包人应在本合同协议书签订后的14天内，通过监理人向承包人提供测量基准点布置图、基准线和水准点及其书面资料。承包人在接到测量及基准点布置图后14天内完成施工控制网布设，并将施工控制网资料报送监理人审批。</w:t>
      </w:r>
    </w:p>
    <w:p w14:paraId="5FE0C916">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54" w:name="_Toc28743"/>
      <w:bookmarkStart w:id="155" w:name="_Toc22739"/>
      <w:r>
        <w:rPr>
          <w:rFonts w:hint="eastAsia" w:ascii="宋体" w:hAnsi="宋体" w:eastAsia="宋体" w:cs="宋体"/>
          <w:b/>
          <w:bCs/>
          <w:color w:val="auto"/>
          <w:sz w:val="21"/>
          <w:szCs w:val="21"/>
          <w:highlight w:val="none"/>
        </w:rPr>
        <w:t>9  施工安全、治安保卫和环境保护</w:t>
      </w:r>
      <w:bookmarkEnd w:id="154"/>
      <w:bookmarkEnd w:id="155"/>
    </w:p>
    <w:p w14:paraId="0D0118B3">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9.1  发包人的施工安全责任</w:t>
      </w:r>
    </w:p>
    <w:p w14:paraId="1831A376">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9.1.4 </w:t>
      </w:r>
      <w:r>
        <w:rPr>
          <w:rFonts w:hint="eastAsia" w:ascii="宋体" w:hAnsi="宋体" w:eastAsia="宋体" w:cs="宋体"/>
          <w:color w:val="auto"/>
          <w:sz w:val="21"/>
          <w:szCs w:val="21"/>
          <w:highlight w:val="none"/>
        </w:rPr>
        <w:t>发包人提供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资料，其余资料由承包人负责收集。</w:t>
      </w:r>
    </w:p>
    <w:p w14:paraId="25562DD3">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9.2  承包人的施工安全责任</w:t>
      </w:r>
    </w:p>
    <w:p w14:paraId="34BD4E9B">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9.2.12 </w:t>
      </w:r>
      <w:r>
        <w:rPr>
          <w:rFonts w:hint="eastAsia" w:ascii="宋体" w:hAnsi="宋体" w:eastAsia="宋体" w:cs="宋体"/>
          <w:color w:val="auto"/>
          <w:sz w:val="21"/>
          <w:szCs w:val="21"/>
          <w:highlight w:val="none"/>
        </w:rPr>
        <w:t xml:space="preserve"> 下列工程应编制专项施工方案：</w:t>
      </w:r>
      <w:r>
        <w:rPr>
          <w:rFonts w:hint="eastAsia" w:ascii="宋体" w:hAnsi="宋体" w:eastAsia="宋体" w:cs="宋体"/>
          <w:color w:val="auto"/>
          <w:sz w:val="21"/>
          <w:szCs w:val="21"/>
          <w:highlight w:val="none"/>
          <w:u w:val="single"/>
        </w:rPr>
        <w:t>施工期度汛方案等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应组织专家论证和审查。</w:t>
      </w:r>
    </w:p>
    <w:p w14:paraId="6A6A460D">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9.7  文明工地</w:t>
      </w:r>
    </w:p>
    <w:p w14:paraId="18FE14D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本合同文明工地的约定：</w:t>
      </w:r>
      <w:r>
        <w:rPr>
          <w:rFonts w:hint="eastAsia" w:ascii="宋体" w:hAnsi="宋体" w:eastAsia="宋体" w:cs="宋体"/>
          <w:color w:val="auto"/>
          <w:sz w:val="21"/>
          <w:szCs w:val="21"/>
          <w:highlight w:val="none"/>
          <w:u w:val="single"/>
        </w:rPr>
        <w:t>按工程所在地人民政府有关部门颁发的文明施工要求及招标文件中技术条款执行，其中安全施工费按《浙江省水利水电工程设计概（预）算编制规定（</w:t>
      </w:r>
      <w:r>
        <w:rPr>
          <w:rFonts w:hint="eastAsia" w:ascii="宋体" w:hAnsi="宋体" w:eastAsia="宋体" w:cs="宋体"/>
          <w:color w:val="auto"/>
          <w:sz w:val="21"/>
          <w:szCs w:val="21"/>
          <w:highlight w:val="none"/>
          <w:u w:val="single"/>
          <w:lang w:val="en-US" w:eastAsia="zh-CN"/>
        </w:rPr>
        <w:t>2021</w:t>
      </w:r>
      <w:r>
        <w:rPr>
          <w:rFonts w:hint="eastAsia" w:ascii="宋体" w:hAnsi="宋体" w:eastAsia="宋体" w:cs="宋体"/>
          <w:color w:val="auto"/>
          <w:sz w:val="21"/>
          <w:szCs w:val="21"/>
          <w:highlight w:val="none"/>
          <w:u w:val="single"/>
        </w:rPr>
        <w:t>年）》执行，实行标外管理。</w:t>
      </w:r>
    </w:p>
    <w:p w14:paraId="35AB5BEB">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56" w:name="_Toc6536"/>
      <w:bookmarkStart w:id="157" w:name="_Toc8952"/>
      <w:r>
        <w:rPr>
          <w:rFonts w:hint="eastAsia" w:ascii="宋体" w:hAnsi="宋体" w:eastAsia="宋体" w:cs="宋体"/>
          <w:b/>
          <w:bCs/>
          <w:color w:val="auto"/>
          <w:sz w:val="21"/>
          <w:szCs w:val="21"/>
          <w:highlight w:val="none"/>
        </w:rPr>
        <w:t>11  开工和完工</w:t>
      </w:r>
      <w:bookmarkEnd w:id="156"/>
      <w:bookmarkEnd w:id="157"/>
    </w:p>
    <w:p w14:paraId="69056E75">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11.4  异常恶劣的气候条件</w:t>
      </w:r>
    </w:p>
    <w:p w14:paraId="2E0AF0C0">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11.4.3</w:t>
      </w:r>
      <w:r>
        <w:rPr>
          <w:rFonts w:hint="eastAsia" w:ascii="宋体" w:hAnsi="宋体" w:eastAsia="宋体" w:cs="宋体"/>
          <w:color w:val="auto"/>
          <w:sz w:val="21"/>
          <w:szCs w:val="21"/>
          <w:highlight w:val="none"/>
        </w:rPr>
        <w:t xml:space="preserve"> 本合同工程界定异常恶劣的气候条件的范围为：</w:t>
      </w:r>
    </w:p>
    <w:p w14:paraId="3198ABE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日降雨量大于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50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mm的雨日超过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w:t>
      </w:r>
    </w:p>
    <w:p w14:paraId="03E1D86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市级防汛部门发布的Ⅲ级及以上防台应急响应。</w:t>
      </w:r>
    </w:p>
    <w:p w14:paraId="4A3F8792">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日最高气温超过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的高温大于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w:t>
      </w:r>
    </w:p>
    <w:p w14:paraId="66A9865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日最低气温低于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℃的严寒大于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w:t>
      </w:r>
    </w:p>
    <w:p w14:paraId="53CC9A1A">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造成工程损失的冰雹和大雪灾害：冰雹天气或日降雪量超过</w:t>
      </w:r>
      <w:r>
        <w:rPr>
          <w:rFonts w:hint="eastAsia"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rPr>
        <w:t>mm以上的天气连续大于</w:t>
      </w:r>
      <w:r>
        <w:rPr>
          <w:rFonts w:hint="eastAsia"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rPr>
        <w:t>天。</w:t>
      </w:r>
    </w:p>
    <w:p w14:paraId="29BF210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其他异常恶劣气候灾害。</w:t>
      </w:r>
    </w:p>
    <w:p w14:paraId="5C88B18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注：1）异常恶劣气候的时间，监理人将根据承包人的申请和提交的证明予以评定。恶劣气候在每个月对工程进度影响的评定，应在整个合同期内予以累计。</w:t>
      </w:r>
    </w:p>
    <w:p w14:paraId="316944F9">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2）若恶劣气候只是对局部工程有影响，承包人应采取合同措施予以弥补，而不能推迟工程的总工期。</w:t>
      </w:r>
    </w:p>
    <w:p w14:paraId="20D296E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3）受本款所述的恶劣气候影响的分项工程，必须在工程施工进度网络计划的关键线路上，监理人方能考虑延长工程总工期。</w:t>
      </w:r>
    </w:p>
    <w:p w14:paraId="6AD7ED7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4）以上气象条件指工程所在地气象防汛部门发布的气象条件。</w:t>
      </w:r>
    </w:p>
    <w:p w14:paraId="02C50C5A">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11.5  承包人的工期延误</w:t>
      </w:r>
    </w:p>
    <w:p w14:paraId="6AB9799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逾期完工违约金表。</w:t>
      </w:r>
    </w:p>
    <w:p w14:paraId="41A3F55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逾期完工违约金表</w:t>
      </w:r>
    </w:p>
    <w:tbl>
      <w:tblPr>
        <w:tblStyle w:val="40"/>
        <w:tblW w:w="92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4"/>
        <w:gridCol w:w="2580"/>
        <w:gridCol w:w="2820"/>
        <w:gridCol w:w="2648"/>
      </w:tblGrid>
      <w:tr w14:paraId="6A323F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jc w:val="center"/>
        </w:trPr>
        <w:tc>
          <w:tcPr>
            <w:tcW w:w="1194" w:type="dxa"/>
            <w:noWrap w:val="0"/>
            <w:vAlign w:val="center"/>
          </w:tcPr>
          <w:p w14:paraId="334AB72E">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580" w:type="dxa"/>
            <w:noWrap w:val="0"/>
            <w:vAlign w:val="center"/>
          </w:tcPr>
          <w:p w14:paraId="7EEC7DF1">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项目及其说明</w:t>
            </w:r>
          </w:p>
        </w:tc>
        <w:tc>
          <w:tcPr>
            <w:tcW w:w="2820" w:type="dxa"/>
            <w:noWrap w:val="0"/>
            <w:vAlign w:val="center"/>
          </w:tcPr>
          <w:p w14:paraId="4990B755">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要求完工日期</w:t>
            </w:r>
          </w:p>
        </w:tc>
        <w:tc>
          <w:tcPr>
            <w:tcW w:w="2648" w:type="dxa"/>
            <w:noWrap w:val="0"/>
            <w:vAlign w:val="center"/>
          </w:tcPr>
          <w:p w14:paraId="3B63A4B4">
            <w:pPr>
              <w:keepNext w:val="0"/>
              <w:keepLines w:val="0"/>
              <w:pageBreakBefore w:val="0"/>
              <w:widowControl/>
              <w:kinsoku/>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违约金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元/天</w:t>
            </w:r>
            <w:r>
              <w:rPr>
                <w:rFonts w:hint="eastAsia" w:ascii="宋体" w:hAnsi="宋体" w:eastAsia="宋体" w:cs="宋体"/>
                <w:color w:val="auto"/>
                <w:sz w:val="21"/>
                <w:szCs w:val="21"/>
                <w:highlight w:val="none"/>
                <w:lang w:eastAsia="zh-CN"/>
              </w:rPr>
              <w:t>）</w:t>
            </w:r>
          </w:p>
        </w:tc>
      </w:tr>
      <w:tr w14:paraId="23CD86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1194" w:type="dxa"/>
            <w:noWrap w:val="0"/>
            <w:vAlign w:val="center"/>
          </w:tcPr>
          <w:p w14:paraId="3E677E11">
            <w:pPr>
              <w:pageBreakBefore w:val="0"/>
              <w:kinsoku/>
              <w:wordWrap/>
              <w:overflowPunct/>
              <w:topLinePunct w:val="0"/>
              <w:bidi w:val="0"/>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580" w:type="dxa"/>
            <w:noWrap w:val="0"/>
            <w:vAlign w:val="center"/>
          </w:tcPr>
          <w:p w14:paraId="1D043B6F">
            <w:pPr>
              <w:pageBreakBefore w:val="0"/>
              <w:kinsoku/>
              <w:wordWrap/>
              <w:overflowPunct/>
              <w:topLinePunct w:val="0"/>
              <w:bidi w:val="0"/>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全部工程</w:t>
            </w:r>
          </w:p>
        </w:tc>
        <w:tc>
          <w:tcPr>
            <w:tcW w:w="2820" w:type="dxa"/>
            <w:noWrap w:val="0"/>
            <w:vAlign w:val="center"/>
          </w:tcPr>
          <w:p w14:paraId="084A48E9">
            <w:pPr>
              <w:pageBreakBefore w:val="0"/>
              <w:kinsoku/>
              <w:wordWrap/>
              <w:overflowPunct/>
              <w:topLinePunct w:val="0"/>
              <w:bidi w:val="0"/>
              <w:adjustRightInd w:val="0"/>
              <w:snapToGrid w:val="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开工令发出后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p>
        </w:tc>
        <w:tc>
          <w:tcPr>
            <w:tcW w:w="2648" w:type="dxa"/>
            <w:noWrap w:val="0"/>
            <w:vAlign w:val="center"/>
          </w:tcPr>
          <w:p w14:paraId="2ED378EA">
            <w:pPr>
              <w:pageBreakBefore w:val="0"/>
              <w:kinsoku/>
              <w:wordWrap/>
              <w:overflowPunct/>
              <w:topLinePunct w:val="0"/>
              <w:bidi w:val="0"/>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2000</w:t>
            </w:r>
          </w:p>
        </w:tc>
      </w:tr>
    </w:tbl>
    <w:p w14:paraId="4EE10699">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p>
    <w:p w14:paraId="36B7498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全部逾期完工违约金的总限额不超过签约合同价的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4A7F13A">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11.6  工期提前</w:t>
      </w:r>
    </w:p>
    <w:p w14:paraId="6861551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工期提前的奖金约定：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7EC8532">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58" w:name="_Toc9308"/>
      <w:bookmarkStart w:id="159" w:name="_Toc13496"/>
      <w:r>
        <w:rPr>
          <w:rFonts w:hint="eastAsia" w:ascii="宋体" w:hAnsi="宋体" w:eastAsia="宋体" w:cs="宋体"/>
          <w:b/>
          <w:bCs/>
          <w:color w:val="auto"/>
          <w:sz w:val="21"/>
          <w:szCs w:val="21"/>
          <w:highlight w:val="none"/>
        </w:rPr>
        <w:t>12   暂停施工</w:t>
      </w:r>
      <w:bookmarkEnd w:id="158"/>
      <w:bookmarkEnd w:id="159"/>
    </w:p>
    <w:p w14:paraId="40DFCAF7">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12.1  承包人暂停施工的责任</w:t>
      </w:r>
    </w:p>
    <w:p w14:paraId="7A0341C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承包人承担暂停施工责任的其他情形：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2E34103">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12.2  发包人暂停施工的责任</w:t>
      </w:r>
    </w:p>
    <w:p w14:paraId="65FBB46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发包人承担暂停施工责任的其他情形：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66E2D27">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60" w:name="_Toc20646"/>
      <w:bookmarkStart w:id="161" w:name="_Toc771"/>
      <w:r>
        <w:rPr>
          <w:rFonts w:hint="eastAsia" w:ascii="宋体" w:hAnsi="宋体" w:eastAsia="宋体" w:cs="宋体"/>
          <w:b/>
          <w:bCs/>
          <w:color w:val="auto"/>
          <w:sz w:val="21"/>
          <w:szCs w:val="21"/>
          <w:highlight w:val="none"/>
        </w:rPr>
        <w:t>13   工程质量</w:t>
      </w:r>
      <w:bookmarkEnd w:id="160"/>
      <w:bookmarkEnd w:id="161"/>
    </w:p>
    <w:p w14:paraId="6B711E36">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13.7  质量评定</w:t>
      </w:r>
    </w:p>
    <w:p w14:paraId="31756758">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13.7.7</w:t>
      </w:r>
      <w:r>
        <w:rPr>
          <w:rFonts w:hint="eastAsia" w:ascii="宋体" w:hAnsi="宋体" w:eastAsia="宋体" w:cs="宋体"/>
          <w:color w:val="auto"/>
          <w:sz w:val="21"/>
          <w:szCs w:val="21"/>
          <w:highlight w:val="none"/>
        </w:rPr>
        <w:t xml:space="preserve">   工程质量等级标准为</w:t>
      </w:r>
      <w:r>
        <w:rPr>
          <w:rFonts w:hint="eastAsia" w:ascii="宋体" w:hAnsi="宋体" w:eastAsia="宋体" w:cs="宋体"/>
          <w:color w:val="auto"/>
          <w:sz w:val="21"/>
          <w:szCs w:val="21"/>
          <w:highlight w:val="none"/>
          <w:u w:val="single"/>
        </w:rPr>
        <w:t xml:space="preserve">         </w:t>
      </w:r>
      <w:r>
        <w:rPr>
          <w:rFonts w:hint="eastAsia" w:ascii="宋体" w:hAnsi="宋体" w:eastAsia="宋体" w:cs="宋体"/>
          <w:i/>
          <w:iCs/>
          <w:color w:val="auto"/>
          <w:sz w:val="21"/>
          <w:szCs w:val="21"/>
          <w:highlight w:val="none"/>
          <w:lang w:eastAsia="zh-CN"/>
        </w:rPr>
        <w:t>（</w:t>
      </w:r>
      <w:r>
        <w:rPr>
          <w:rFonts w:hint="eastAsia" w:ascii="宋体" w:hAnsi="宋体" w:eastAsia="宋体" w:cs="宋体"/>
          <w:color w:val="auto"/>
          <w:sz w:val="21"/>
          <w:szCs w:val="21"/>
          <w:highlight w:val="none"/>
        </w:rPr>
        <w:t>合格或优良</w:t>
      </w:r>
      <w:r>
        <w:rPr>
          <w:rFonts w:hint="eastAsia" w:ascii="宋体" w:hAnsi="宋体" w:eastAsia="宋体" w:cs="宋体"/>
          <w:i/>
          <w:iCs/>
          <w:color w:val="auto"/>
          <w:sz w:val="21"/>
          <w:szCs w:val="21"/>
          <w:highlight w:val="none"/>
          <w:lang w:eastAsia="zh-CN"/>
        </w:rPr>
        <w:t>）</w:t>
      </w:r>
      <w:r>
        <w:rPr>
          <w:rFonts w:hint="eastAsia" w:ascii="宋体" w:hAnsi="宋体" w:eastAsia="宋体" w:cs="宋体"/>
          <w:color w:val="auto"/>
          <w:sz w:val="21"/>
          <w:szCs w:val="21"/>
          <w:highlight w:val="none"/>
        </w:rPr>
        <w:t>。达到优良的奖金为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9553E71">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62" w:name="_Toc19072"/>
      <w:bookmarkStart w:id="163" w:name="_Toc2710"/>
      <w:r>
        <w:rPr>
          <w:rFonts w:hint="eastAsia" w:ascii="宋体" w:hAnsi="宋体" w:eastAsia="宋体" w:cs="宋体"/>
          <w:b/>
          <w:bCs/>
          <w:color w:val="auto"/>
          <w:sz w:val="21"/>
          <w:szCs w:val="21"/>
          <w:highlight w:val="none"/>
        </w:rPr>
        <w:t>14   试验和检验</w:t>
      </w:r>
      <w:bookmarkEnd w:id="162"/>
      <w:bookmarkEnd w:id="163"/>
    </w:p>
    <w:p w14:paraId="733C8E70">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14.1  材料、工程设备和工程的试验和检验</w:t>
      </w:r>
    </w:p>
    <w:p w14:paraId="707E6CBD">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14.1.5</w:t>
      </w:r>
      <w:r>
        <w:rPr>
          <w:rFonts w:hint="eastAsia" w:ascii="宋体" w:hAnsi="宋体" w:eastAsia="宋体" w:cs="宋体"/>
          <w:color w:val="auto"/>
          <w:sz w:val="21"/>
          <w:szCs w:val="21"/>
          <w:highlight w:val="none"/>
        </w:rPr>
        <w:t xml:space="preserve">   水工金属结构、启闭机及机电产品进场后的交货检查和验收中，承包人负责</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36010C9">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b/>
          <w:bCs/>
          <w:color w:val="auto"/>
          <w:sz w:val="21"/>
          <w:szCs w:val="21"/>
          <w:highlight w:val="none"/>
        </w:rPr>
        <w:t>14.1.6</w:t>
      </w:r>
      <w:r>
        <w:rPr>
          <w:rFonts w:hint="eastAsia" w:ascii="宋体" w:hAnsi="宋体" w:eastAsia="宋体" w:cs="宋体"/>
          <w:color w:val="auto"/>
          <w:sz w:val="21"/>
          <w:szCs w:val="21"/>
          <w:highlight w:val="none"/>
        </w:rPr>
        <w:t xml:space="preserve">  本工程实行见证取样的试块、试件及有关材料</w:t>
      </w:r>
      <w:r>
        <w:rPr>
          <w:rFonts w:hint="eastAsia" w:ascii="宋体" w:hAnsi="宋体" w:eastAsia="宋体" w:cs="宋体"/>
          <w:color w:val="auto"/>
          <w:sz w:val="21"/>
          <w:szCs w:val="21"/>
          <w:highlight w:val="none"/>
          <w:lang w:eastAsia="zh-CN"/>
        </w:rPr>
        <w:t>：</w:t>
      </w:r>
      <w:r>
        <w:rPr>
          <w:rFonts w:hint="eastAsia" w:ascii="宋体" w:hAnsi="宋体" w:eastAsia="宋体" w:cs="宋体"/>
          <w:i w:val="0"/>
          <w:iCs w:val="0"/>
          <w:color w:val="auto"/>
          <w:sz w:val="21"/>
          <w:szCs w:val="21"/>
          <w:highlight w:val="none"/>
          <w:u w:val="single"/>
        </w:rPr>
        <w:t>砂、碎石、水泥、钢筋、混凝土试块、钢筋焊接试件等（具体由监理人按有关规定确定）。</w:t>
      </w:r>
      <w:bookmarkStart w:id="164" w:name="_bookmark95"/>
      <w:bookmarkEnd w:id="164"/>
    </w:p>
    <w:p w14:paraId="50E8CC47">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65" w:name="_Toc26401"/>
      <w:bookmarkStart w:id="166" w:name="_Toc28623"/>
      <w:r>
        <w:rPr>
          <w:rFonts w:hint="eastAsia" w:ascii="宋体" w:hAnsi="宋体" w:eastAsia="宋体" w:cs="宋体"/>
          <w:b/>
          <w:bCs/>
          <w:color w:val="auto"/>
          <w:sz w:val="21"/>
          <w:szCs w:val="21"/>
          <w:highlight w:val="none"/>
        </w:rPr>
        <w:t xml:space="preserve">15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变更</w:t>
      </w:r>
      <w:bookmarkEnd w:id="165"/>
      <w:bookmarkEnd w:id="166"/>
    </w:p>
    <w:p w14:paraId="44C4B815">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15.1  变更的范围和内容</w:t>
      </w:r>
    </w:p>
    <w:p w14:paraId="2CB7389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）合同中单价承包项目的工程量不管增加或减少，其单价不作调整</w:t>
      </w:r>
      <w:r>
        <w:rPr>
          <w:rFonts w:hint="eastAsia" w:ascii="宋体" w:hAnsi="宋体" w:eastAsia="宋体" w:cs="宋体"/>
          <w:color w:val="auto"/>
          <w:sz w:val="21"/>
          <w:szCs w:val="21"/>
          <w:highlight w:val="none"/>
        </w:rPr>
        <w:t>。</w:t>
      </w:r>
    </w:p>
    <w:p w14:paraId="393D32E6">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15.3本条款补充：</w:t>
      </w:r>
    </w:p>
    <w:p w14:paraId="405A7A3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变更程序同时应执行《关于进一步完善政府投资项目管理的若干意见》（临政办发[2018]167号）文件的有关规定。如施工期间，当地政府部门有新的规定，则按新的规定执行。</w:t>
      </w:r>
    </w:p>
    <w:p w14:paraId="175002AF">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15.4  变更的估价原则</w:t>
      </w:r>
    </w:p>
    <w:p w14:paraId="2CEB5EFD">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15.4.3</w:t>
      </w:r>
      <w:r>
        <w:rPr>
          <w:rFonts w:hint="eastAsia" w:ascii="宋体" w:hAnsi="宋体" w:eastAsia="宋体" w:cs="宋体"/>
          <w:color w:val="auto"/>
          <w:sz w:val="21"/>
          <w:szCs w:val="21"/>
          <w:highlight w:val="none"/>
        </w:rPr>
        <w:t xml:space="preserve">  细化为：本合同在实施过程中，如遇到设计变更出现新增或变更项目时，则该新增或变更项目的单价由承包人按以下原则提出变更单价，监理人审核，发包人同意后进入工程结算，支付方式执行合同约定的支付条款。</w:t>
      </w:r>
    </w:p>
    <w:p w14:paraId="1733489A">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人工预算单价采用投标期浙江省现行水利行业人工预算单价。</w:t>
      </w:r>
    </w:p>
    <w:p w14:paraId="2472CB6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材料预算价格采用投标期基价。投标期的基价是投标截止日前1个月项目所在地造价管理部门发布的信息价。如无信息价，则根据项目实施时的材料市场价由相关部门组织询价确定材料预算价格。</w:t>
      </w:r>
    </w:p>
    <w:p w14:paraId="39145D7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机械台班单价按投标期浙江省现行水利水电工程施工机械台班定额和有关规定计算。</w:t>
      </w:r>
    </w:p>
    <w:p w14:paraId="09461D11">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定额采用投标期浙江省现行水利水电工程定额和有关规定，如浙江省水利工程定额不能满足计价，可采用部颁水利定额及其他相关行业定额的定额含量计价。</w:t>
      </w:r>
    </w:p>
    <w:p w14:paraId="7C29C04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取费费率采用投标期浙江省现行水利行业取费标准，按工程类别选取费率，对各项弹性区间费率取中间值。</w:t>
      </w:r>
    </w:p>
    <w:p w14:paraId="4E2C1782">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上述单价按以下计算的综合优惠率进行优惠。</w:t>
      </w:r>
    </w:p>
    <w:p w14:paraId="65CF9B0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综合优惠率=[1—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投标人投标价一预留金一暂估价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（预算审核价</w:t>
      </w:r>
      <w:r>
        <w:rPr>
          <w:rFonts w:hint="eastAsia" w:ascii="宋体" w:hAnsi="宋体" w:eastAsia="宋体" w:cs="宋体"/>
          <w:color w:val="auto"/>
          <w:sz w:val="21"/>
          <w:szCs w:val="21"/>
          <w:highlight w:val="none"/>
        </w:rPr>
        <w:t>一预留金一暂估价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]×100%。</w:t>
      </w:r>
    </w:p>
    <w:p w14:paraId="0F83A16E">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按照上述仍无法组价的，根据市场招标或询价确定。</w:t>
      </w:r>
    </w:p>
    <w:p w14:paraId="69C9C21C">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15.5  承包人的合理化建议</w:t>
      </w:r>
    </w:p>
    <w:p w14:paraId="4A79D11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15.5.2  承包人实现合理化建议的奖励金额为：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CF362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15.8  暂估价</w:t>
      </w:r>
    </w:p>
    <w:p w14:paraId="534FAD1B">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15.8.1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发包人和承包人组织招标的暂估价项目：</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签约后填入</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rPr>
        <w:t>发包人组织招标的暂估价项目：</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签约后填入</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6A270CA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发包人和承包人以招标方式选择暂估价项目供应商或分包人时，双方的权利义务关系</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none"/>
          <w:lang w:val="en-US" w:eastAsia="zh-CN"/>
        </w:rPr>
        <w:t>。</w:t>
      </w:r>
    </w:p>
    <w:p w14:paraId="1D59520F">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67" w:name="_Toc22880"/>
      <w:bookmarkStart w:id="168" w:name="_Toc22714"/>
      <w:r>
        <w:rPr>
          <w:rFonts w:hint="eastAsia" w:ascii="宋体" w:hAnsi="宋体" w:eastAsia="宋体" w:cs="宋体"/>
          <w:b/>
          <w:bCs/>
          <w:color w:val="auto"/>
          <w:sz w:val="21"/>
          <w:szCs w:val="21"/>
          <w:highlight w:val="none"/>
        </w:rPr>
        <w:t xml:space="preserve">16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价格调整</w:t>
      </w:r>
      <w:bookmarkEnd w:id="167"/>
      <w:bookmarkEnd w:id="168"/>
    </w:p>
    <w:p w14:paraId="057084DA">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16.1  物价波动引起的价格调整</w:t>
      </w:r>
    </w:p>
    <w:p w14:paraId="080ECBC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物价波动引起的价格调整方式：</w:t>
      </w:r>
      <w:r>
        <w:rPr>
          <w:rFonts w:hint="eastAsia" w:ascii="宋体" w:hAnsi="宋体" w:eastAsia="宋体" w:cs="宋体"/>
          <w:color w:val="auto"/>
          <w:sz w:val="21"/>
          <w:szCs w:val="21"/>
          <w:highlight w:val="none"/>
          <w:u w:val="single"/>
        </w:rPr>
        <w:t>不作调整</w:t>
      </w:r>
      <w:r>
        <w:rPr>
          <w:rFonts w:hint="eastAsia" w:ascii="宋体" w:hAnsi="宋体" w:eastAsia="宋体" w:cs="宋体"/>
          <w:color w:val="auto"/>
          <w:sz w:val="21"/>
          <w:szCs w:val="21"/>
          <w:highlight w:val="none"/>
        </w:rPr>
        <w:t>。</w:t>
      </w:r>
    </w:p>
    <w:p w14:paraId="1EF24B26">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val="en-US" w:eastAsia="zh-CN"/>
        </w:rPr>
      </w:pPr>
      <w:bookmarkStart w:id="169" w:name="_Toc7974"/>
      <w:bookmarkStart w:id="170" w:name="_Toc1514"/>
      <w:r>
        <w:rPr>
          <w:rFonts w:hint="eastAsia" w:ascii="宋体" w:hAnsi="宋体" w:eastAsia="宋体" w:cs="宋体"/>
          <w:b/>
          <w:bCs/>
          <w:color w:val="auto"/>
          <w:sz w:val="21"/>
          <w:szCs w:val="21"/>
          <w:highlight w:val="none"/>
          <w:lang w:val="en-US" w:eastAsia="zh-CN"/>
        </w:rPr>
        <w:t>16.2 结算方式</w:t>
      </w:r>
    </w:p>
    <w:p w14:paraId="5E89EC45">
      <w:pPr>
        <w:snapToGrid w:val="0"/>
        <w:spacing w:line="360" w:lineRule="auto"/>
        <w:ind w:firstLine="567"/>
        <w:textAlignment w:val="center"/>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本工程竣工结算价的计算方式为：</w:t>
      </w:r>
    </w:p>
    <w:p w14:paraId="4A76224B">
      <w:pPr>
        <w:snapToGrid w:val="0"/>
        <w:spacing w:line="360" w:lineRule="auto"/>
        <w:ind w:firstLine="567"/>
        <w:textAlignment w:val="center"/>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1、综合单价（包括建筑工程、金属结构设备及安装工程、施工临时工程（安全施工费除外））按招标人提供的预算书中的综合单价乘以结算率一次性包干，无论何种原因不作调整。</w:t>
      </w:r>
    </w:p>
    <w:p w14:paraId="0EC0484F">
      <w:pPr>
        <w:snapToGrid w:val="0"/>
        <w:spacing w:line="360" w:lineRule="auto"/>
        <w:ind w:firstLine="567"/>
        <w:textAlignment w:val="center"/>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lang w:val="en-US" w:eastAsia="zh-CN"/>
        </w:rPr>
        <w:t>2、其他项目清单中的</w:t>
      </w:r>
      <w:r>
        <w:rPr>
          <w:rFonts w:hint="eastAsia" w:ascii="宋体" w:hAnsi="宋体" w:eastAsia="宋体" w:cs="宋体"/>
          <w:snapToGrid w:val="0"/>
          <w:color w:val="auto"/>
          <w:sz w:val="21"/>
          <w:szCs w:val="21"/>
          <w:highlight w:val="none"/>
        </w:rPr>
        <w:t>保险费凭正式发票结算，但不得超过保险费预算价*结算率。</w:t>
      </w:r>
    </w:p>
    <w:p w14:paraId="54C5CE2A">
      <w:pPr>
        <w:snapToGrid w:val="0"/>
        <w:spacing w:line="360" w:lineRule="auto"/>
        <w:ind w:firstLine="567"/>
        <w:textAlignment w:val="center"/>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lang w:val="en-US" w:eastAsia="zh-CN"/>
        </w:rPr>
        <w:t>3、施工临时工程中的</w:t>
      </w:r>
      <w:r>
        <w:rPr>
          <w:rFonts w:hint="eastAsia" w:ascii="宋体" w:hAnsi="宋体" w:eastAsia="宋体" w:cs="宋体"/>
          <w:snapToGrid w:val="0"/>
          <w:color w:val="auto"/>
          <w:sz w:val="21"/>
          <w:szCs w:val="21"/>
          <w:highlight w:val="none"/>
        </w:rPr>
        <w:t>安全施工费</w:t>
      </w:r>
      <w:r>
        <w:rPr>
          <w:rFonts w:hint="eastAsia" w:ascii="宋体" w:hAnsi="宋体" w:eastAsia="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lang w:val="en-US" w:eastAsia="zh-CN"/>
        </w:rPr>
        <w:t>根据中标人提供的经批复的安全文明施工方案及相应发票，结合招标人及监理人的验收情况，根据方案按实结算，但不得超过预算价*结算率</w:t>
      </w:r>
      <w:r>
        <w:rPr>
          <w:rFonts w:hint="eastAsia" w:ascii="宋体" w:hAnsi="宋体" w:eastAsia="宋体" w:cs="宋体"/>
          <w:snapToGrid w:val="0"/>
          <w:color w:val="auto"/>
          <w:sz w:val="21"/>
          <w:szCs w:val="21"/>
          <w:highlight w:val="none"/>
        </w:rPr>
        <w:t>。</w:t>
      </w:r>
    </w:p>
    <w:p w14:paraId="74342F72">
      <w:pPr>
        <w:snapToGrid w:val="0"/>
        <w:spacing w:line="360" w:lineRule="auto"/>
        <w:ind w:firstLine="567"/>
        <w:textAlignment w:val="center"/>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4、工程量按预算书约定计量条款计算，以项为单位的清单工程量不作调整（未实施的除外）。</w:t>
      </w:r>
    </w:p>
    <w:p w14:paraId="55B86D72">
      <w:pPr>
        <w:snapToGrid w:val="0"/>
        <w:spacing w:line="360" w:lineRule="auto"/>
        <w:ind w:firstLine="567"/>
        <w:textAlignment w:val="center"/>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5、</w:t>
      </w:r>
      <w:r>
        <w:rPr>
          <w:rFonts w:hint="eastAsia" w:ascii="宋体" w:hAnsi="宋体" w:eastAsia="宋体" w:cs="宋体"/>
          <w:snapToGrid w:val="0"/>
          <w:color w:val="auto"/>
          <w:sz w:val="21"/>
          <w:szCs w:val="21"/>
          <w:highlight w:val="none"/>
        </w:rPr>
        <w:t>由于</w:t>
      </w:r>
      <w:r>
        <w:rPr>
          <w:rFonts w:hint="eastAsia" w:ascii="宋体" w:hAnsi="宋体" w:eastAsia="宋体" w:cs="宋体"/>
          <w:snapToGrid w:val="0"/>
          <w:color w:val="auto"/>
          <w:sz w:val="21"/>
          <w:szCs w:val="21"/>
          <w:highlight w:val="none"/>
          <w:lang w:val="en-US" w:eastAsia="zh-CN"/>
        </w:rPr>
        <w:t>非承包方</w:t>
      </w:r>
      <w:r>
        <w:rPr>
          <w:rFonts w:hint="eastAsia" w:ascii="宋体" w:hAnsi="宋体" w:eastAsia="宋体" w:cs="宋体"/>
          <w:snapToGrid w:val="0"/>
          <w:color w:val="auto"/>
          <w:sz w:val="21"/>
          <w:szCs w:val="21"/>
          <w:highlight w:val="none"/>
        </w:rPr>
        <w:t>引起</w:t>
      </w:r>
      <w:r>
        <w:rPr>
          <w:rFonts w:hint="eastAsia" w:ascii="宋体" w:hAnsi="宋体" w:eastAsia="宋体" w:cs="宋体"/>
          <w:snapToGrid w:val="0"/>
          <w:color w:val="auto"/>
          <w:sz w:val="21"/>
          <w:szCs w:val="21"/>
          <w:highlight w:val="none"/>
          <w:lang w:val="en-US" w:eastAsia="zh-CN"/>
        </w:rPr>
        <w:t>的变更或现场签证、确认单</w:t>
      </w:r>
      <w:r>
        <w:rPr>
          <w:rFonts w:hint="eastAsia" w:ascii="宋体" w:hAnsi="宋体" w:eastAsia="宋体" w:cs="宋体"/>
          <w:snapToGrid w:val="0"/>
          <w:color w:val="auto"/>
          <w:sz w:val="21"/>
          <w:szCs w:val="21"/>
          <w:highlight w:val="none"/>
        </w:rPr>
        <w:t>，经监理单位和业主认可，按</w:t>
      </w:r>
      <w:r>
        <w:rPr>
          <w:rFonts w:hint="eastAsia" w:ascii="宋体" w:hAnsi="宋体" w:eastAsia="宋体" w:cs="宋体"/>
          <w:snapToGrid w:val="0"/>
          <w:color w:val="auto"/>
          <w:sz w:val="21"/>
          <w:szCs w:val="21"/>
          <w:highlight w:val="none"/>
          <w:lang w:val="en-US" w:eastAsia="zh-CN"/>
        </w:rPr>
        <w:t>相关计量及支付条款计算，变更须执行</w:t>
      </w:r>
      <w:r>
        <w:rPr>
          <w:rFonts w:hint="eastAsia" w:ascii="宋体" w:hAnsi="宋体" w:eastAsia="宋体" w:cs="宋体"/>
          <w:color w:val="auto"/>
          <w:sz w:val="21"/>
          <w:szCs w:val="21"/>
          <w:highlight w:val="none"/>
        </w:rPr>
        <w:t>临政办发[2018]167号</w:t>
      </w:r>
      <w:r>
        <w:rPr>
          <w:rFonts w:hint="eastAsia" w:ascii="宋体" w:hAnsi="宋体" w:eastAsia="宋体" w:cs="宋体"/>
          <w:color w:val="auto"/>
          <w:sz w:val="21"/>
          <w:szCs w:val="21"/>
          <w:highlight w:val="none"/>
          <w:lang w:val="en-US" w:eastAsia="zh-CN"/>
        </w:rPr>
        <w:t>相关程序</w:t>
      </w:r>
      <w:r>
        <w:rPr>
          <w:rFonts w:hint="eastAsia" w:ascii="宋体" w:hAnsi="宋体" w:eastAsia="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lang w:val="en-US" w:eastAsia="zh-CN"/>
        </w:rPr>
        <w:t>签证价不作下浮。</w:t>
      </w:r>
    </w:p>
    <w:p w14:paraId="433B8D54">
      <w:pPr>
        <w:snapToGrid w:val="0"/>
        <w:spacing w:line="360" w:lineRule="auto"/>
        <w:ind w:left="272" w:leftChars="85" w:firstLine="420" w:firstLineChars="200"/>
        <w:textAlignment w:val="center"/>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lang w:val="en-US" w:eastAsia="zh-CN"/>
        </w:rPr>
        <w:t>6、</w:t>
      </w:r>
      <w:r>
        <w:rPr>
          <w:rFonts w:hint="eastAsia" w:ascii="宋体" w:hAnsi="宋体" w:eastAsia="宋体" w:cs="宋体"/>
          <w:snapToGrid w:val="0"/>
          <w:color w:val="auto"/>
          <w:sz w:val="21"/>
          <w:szCs w:val="21"/>
          <w:highlight w:val="none"/>
        </w:rPr>
        <w:t>投标人中标的结算率在施工过程中和结算时不论工程量怎样增减，均不作调整。根据实际情况，业主有权决定图纸内任何项目的增减，承包方不得有任何的异议。</w:t>
      </w:r>
    </w:p>
    <w:p w14:paraId="012D70D5">
      <w:pPr>
        <w:snapToGrid w:val="0"/>
        <w:spacing w:line="360" w:lineRule="auto"/>
        <w:ind w:firstLine="567"/>
        <w:rPr>
          <w:rFonts w:hint="eastAsia"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7、</w:t>
      </w:r>
      <w:r>
        <w:rPr>
          <w:rFonts w:hint="eastAsia" w:ascii="宋体" w:hAnsi="宋体" w:eastAsia="宋体" w:cs="宋体"/>
          <w:snapToGrid w:val="0"/>
          <w:color w:val="auto"/>
          <w:sz w:val="21"/>
          <w:szCs w:val="21"/>
          <w:highlight w:val="none"/>
        </w:rPr>
        <w:t>新增项目综合单价的确定方法:</w:t>
      </w:r>
      <w:r>
        <w:rPr>
          <w:rFonts w:hint="eastAsia" w:ascii="宋体" w:hAnsi="宋体" w:eastAsia="宋体" w:cs="宋体"/>
          <w:snapToGrid w:val="0"/>
          <w:color w:val="auto"/>
          <w:sz w:val="21"/>
          <w:szCs w:val="21"/>
          <w:highlight w:val="none"/>
          <w:lang w:val="en-US" w:eastAsia="zh-CN"/>
        </w:rPr>
        <w:t>按照合同通用条款15.4及专用条款15.4.3约定调整。</w:t>
      </w:r>
    </w:p>
    <w:p w14:paraId="734B3A68">
      <w:pPr>
        <w:snapToGrid w:val="0"/>
        <w:spacing w:line="360" w:lineRule="auto"/>
        <w:ind w:firstLine="567"/>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lang w:val="en-US" w:eastAsia="zh-CN"/>
        </w:rPr>
        <w:t>8、</w:t>
      </w:r>
      <w:r>
        <w:rPr>
          <w:rFonts w:hint="eastAsia" w:ascii="宋体" w:hAnsi="宋体" w:eastAsia="宋体" w:cs="宋体"/>
          <w:snapToGrid w:val="0"/>
          <w:color w:val="auto"/>
          <w:sz w:val="21"/>
          <w:szCs w:val="21"/>
          <w:highlight w:val="none"/>
        </w:rPr>
        <w:t>结算率计算方法：</w:t>
      </w:r>
      <w:bookmarkStart w:id="171" w:name="OLE_LINK2"/>
      <w:r>
        <w:rPr>
          <w:rFonts w:hint="eastAsia" w:ascii="宋体" w:hAnsi="宋体" w:eastAsia="宋体" w:cs="宋体"/>
          <w:snapToGrid w:val="0"/>
          <w:color w:val="auto"/>
          <w:sz w:val="21"/>
          <w:szCs w:val="21"/>
          <w:highlight w:val="none"/>
        </w:rPr>
        <w:t>结算率=</w:t>
      </w:r>
      <w:r>
        <w:rPr>
          <w:rFonts w:hint="eastAsia" w:ascii="宋体" w:hAnsi="宋体" w:eastAsia="宋体" w:cs="宋体"/>
          <w:snapToGrid w:val="0"/>
          <w:color w:val="auto"/>
          <w:sz w:val="21"/>
          <w:szCs w:val="21"/>
          <w:highlight w:val="none"/>
          <w:lang w:val="en-US" w:eastAsia="zh-CN"/>
        </w:rPr>
        <w:t>中标价</w:t>
      </w:r>
      <w:r>
        <w:rPr>
          <w:rFonts w:hint="eastAsia" w:ascii="宋体" w:hAnsi="宋体" w:eastAsia="宋体" w:cs="宋体"/>
          <w:snapToGrid w:val="0"/>
          <w:color w:val="auto"/>
          <w:sz w:val="21"/>
          <w:szCs w:val="21"/>
          <w:highlight w:val="none"/>
        </w:rPr>
        <w:t>/预算造价。</w:t>
      </w:r>
      <w:bookmarkEnd w:id="171"/>
    </w:p>
    <w:p w14:paraId="3C3B24EE">
      <w:pPr>
        <w:snapToGrid w:val="0"/>
        <w:spacing w:line="360" w:lineRule="auto"/>
        <w:ind w:firstLine="567"/>
        <w:rPr>
          <w:rFonts w:hint="eastAsia" w:ascii="宋体" w:hAnsi="宋体" w:eastAsia="宋体" w:cs="宋体"/>
          <w:color w:val="auto"/>
          <w:sz w:val="21"/>
          <w:szCs w:val="21"/>
          <w:highlight w:val="none"/>
          <w:lang w:val="en-US" w:eastAsia="zh-CN"/>
        </w:rPr>
      </w:pPr>
      <w:r>
        <w:rPr>
          <w:rFonts w:hint="eastAsia" w:ascii="宋体" w:hAnsi="宋体" w:eastAsia="宋体" w:cs="宋体"/>
          <w:snapToGrid w:val="0"/>
          <w:color w:val="auto"/>
          <w:sz w:val="21"/>
          <w:szCs w:val="21"/>
          <w:highlight w:val="none"/>
          <w:lang w:val="en-US" w:eastAsia="zh-CN"/>
        </w:rPr>
        <w:t>9、</w:t>
      </w:r>
      <w:r>
        <w:rPr>
          <w:rFonts w:hint="eastAsia" w:ascii="宋体" w:hAnsi="宋体" w:eastAsia="宋体" w:cs="宋体"/>
          <w:snapToGrid w:val="0"/>
          <w:color w:val="auto"/>
          <w:sz w:val="21"/>
          <w:szCs w:val="21"/>
          <w:highlight w:val="none"/>
        </w:rPr>
        <w:t>由于乙方未按设计要求和现行有关规范、标准施工，造成工程量增减或返工等，其责任由乙方自负。</w:t>
      </w:r>
    </w:p>
    <w:p w14:paraId="60C1678E">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17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计量与支付</w:t>
      </w:r>
      <w:bookmarkEnd w:id="169"/>
      <w:bookmarkEnd w:id="170"/>
    </w:p>
    <w:p w14:paraId="3238C6F7">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17.2  预付款</w:t>
      </w:r>
    </w:p>
    <w:p w14:paraId="113E9DC6">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17.2.1</w:t>
      </w:r>
      <w:r>
        <w:rPr>
          <w:rFonts w:hint="eastAsia" w:ascii="宋体" w:hAnsi="宋体" w:eastAsia="宋体" w:cs="宋体"/>
          <w:color w:val="auto"/>
          <w:sz w:val="21"/>
          <w:szCs w:val="21"/>
          <w:highlight w:val="none"/>
        </w:rPr>
        <w:t xml:space="preserve">  预付款</w:t>
      </w:r>
    </w:p>
    <w:p w14:paraId="7764790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工程预付款的总金额为签约合同价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扣除预留金后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lang w:val="en-US" w:eastAsia="zh-CN"/>
        </w:rPr>
        <w:t>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bCs/>
          <w:color w:val="auto"/>
          <w:sz w:val="21"/>
          <w:szCs w:val="21"/>
          <w:highlight w:val="none"/>
        </w:rPr>
        <w:t>付款时间定在承包人的主要人员及设备进场作业，并经监理人出具付款证书，报送发包人批准后予以支付</w:t>
      </w:r>
      <w:r>
        <w:rPr>
          <w:rFonts w:hint="eastAsia" w:ascii="宋体" w:hAnsi="宋体" w:eastAsia="宋体" w:cs="宋体"/>
          <w:color w:val="auto"/>
          <w:sz w:val="21"/>
          <w:szCs w:val="21"/>
          <w:highlight w:val="none"/>
        </w:rPr>
        <w:t>。</w:t>
      </w:r>
    </w:p>
    <w:p w14:paraId="06D0865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工程材料预付款的额度和预付办法约定为：</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67D7399">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17.2.3</w:t>
      </w:r>
      <w:r>
        <w:rPr>
          <w:rFonts w:hint="eastAsia" w:ascii="宋体" w:hAnsi="宋体" w:eastAsia="宋体" w:cs="宋体"/>
          <w:color w:val="auto"/>
          <w:sz w:val="21"/>
          <w:szCs w:val="21"/>
          <w:highlight w:val="none"/>
        </w:rPr>
        <w:t xml:space="preserve">  预付款的扣回与还清</w:t>
      </w:r>
    </w:p>
    <w:p w14:paraId="5300481E">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工程预付款的扣回与还清约定为：</w:t>
      </w:r>
      <w:r>
        <w:rPr>
          <w:rFonts w:hint="eastAsia" w:ascii="宋体" w:hAnsi="宋体" w:eastAsia="宋体" w:cs="宋体"/>
          <w:color w:val="auto"/>
          <w:sz w:val="21"/>
          <w:szCs w:val="21"/>
          <w:highlight w:val="none"/>
          <w:u w:val="single"/>
        </w:rPr>
        <w:t>预付款从进度款</w:t>
      </w:r>
      <w:r>
        <w:rPr>
          <w:rFonts w:hint="eastAsia" w:ascii="宋体" w:hAnsi="宋体" w:eastAsia="宋体" w:cs="宋体"/>
          <w:color w:val="auto"/>
          <w:sz w:val="21"/>
          <w:szCs w:val="21"/>
          <w:highlight w:val="none"/>
          <w:u w:val="single"/>
          <w:lang w:eastAsia="zh-CN"/>
        </w:rPr>
        <w:t>支付</w:t>
      </w:r>
      <w:r>
        <w:rPr>
          <w:rFonts w:hint="eastAsia" w:ascii="宋体" w:hAnsi="宋体" w:eastAsia="宋体" w:cs="宋体"/>
          <w:color w:val="auto"/>
          <w:sz w:val="21"/>
          <w:szCs w:val="21"/>
          <w:highlight w:val="none"/>
          <w:u w:val="single"/>
        </w:rPr>
        <w:t>开始</w:t>
      </w:r>
      <w:r>
        <w:rPr>
          <w:rFonts w:hint="eastAsia" w:ascii="宋体" w:hAnsi="宋体" w:eastAsia="宋体" w:cs="宋体"/>
          <w:color w:val="auto"/>
          <w:sz w:val="21"/>
          <w:szCs w:val="21"/>
          <w:highlight w:val="none"/>
          <w:u w:val="single"/>
          <w:lang w:val="en-US" w:eastAsia="zh-CN"/>
        </w:rPr>
        <w:t>一次性</w:t>
      </w:r>
      <w:r>
        <w:rPr>
          <w:rFonts w:hint="eastAsia" w:ascii="宋体" w:hAnsi="宋体" w:eastAsia="宋体" w:cs="宋体"/>
          <w:color w:val="auto"/>
          <w:sz w:val="21"/>
          <w:szCs w:val="21"/>
          <w:highlight w:val="none"/>
          <w:u w:val="single"/>
        </w:rPr>
        <w:t>扣回</w:t>
      </w:r>
      <w:r>
        <w:rPr>
          <w:rFonts w:hint="eastAsia" w:ascii="宋体" w:hAnsi="宋体" w:eastAsia="宋体" w:cs="宋体"/>
          <w:color w:val="auto"/>
          <w:sz w:val="21"/>
          <w:szCs w:val="21"/>
          <w:highlight w:val="none"/>
          <w:u w:val="single"/>
          <w:lang w:eastAsia="zh-CN"/>
        </w:rPr>
        <w:t>。</w:t>
      </w:r>
    </w:p>
    <w:p w14:paraId="4B0D6D5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工程材料预付款的扣回与还清约定为：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17CCC76">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17.3  工程进度付款</w:t>
      </w:r>
    </w:p>
    <w:p w14:paraId="029F3E84">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17.3.2 </w:t>
      </w:r>
      <w:r>
        <w:rPr>
          <w:rFonts w:hint="eastAsia" w:ascii="宋体" w:hAnsi="宋体" w:eastAsia="宋体" w:cs="宋体"/>
          <w:color w:val="auto"/>
          <w:sz w:val="21"/>
          <w:szCs w:val="21"/>
          <w:highlight w:val="none"/>
        </w:rPr>
        <w:t xml:space="preserve"> 承包人在每个付款周期末向监理人提交进度付款申请单的份数：</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rPr>
        <w:t>份。</w:t>
      </w:r>
    </w:p>
    <w:p w14:paraId="48BAA2EC">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17.3.3</w:t>
      </w:r>
      <w:r>
        <w:rPr>
          <w:rFonts w:hint="eastAsia" w:ascii="宋体" w:hAnsi="宋体" w:eastAsia="宋体" w:cs="宋体"/>
          <w:color w:val="auto"/>
          <w:sz w:val="21"/>
          <w:szCs w:val="21"/>
          <w:highlight w:val="none"/>
        </w:rPr>
        <w:t xml:space="preserve">  进度付款证书和支付时间</w:t>
      </w:r>
    </w:p>
    <w:p w14:paraId="5F2C545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细化为：</w:t>
      </w:r>
      <w:r>
        <w:rPr>
          <w:rFonts w:hint="eastAsia" w:ascii="宋体" w:hAnsi="宋体" w:eastAsia="宋体" w:cs="宋体"/>
          <w:color w:val="auto"/>
          <w:sz w:val="21"/>
          <w:szCs w:val="21"/>
          <w:highlight w:val="none"/>
          <w:lang w:val="en-US" w:eastAsia="zh-CN"/>
        </w:rPr>
        <w:t>本工程按进度结算工程款，承包人必须每月25日前将当月实际完成的各部位的已完工程量报告送交监理工程师。当完成总工程量的50%时最高支付至合同价的40%，完成总工程量的80%时最高支付至合同价的65%，完工验收合格后付至合同价的85%，并经有关部门造价审定后付至工程结算价款的98.5%，留1.5%作为工程质量保证金(即17.4.1 项的质量保证金)，并待缺陷责任期满后无息退还(如有剩余)。</w:t>
      </w:r>
    </w:p>
    <w:p w14:paraId="42EDF16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本款中规定的逾期付款违约金为按中国人民银行规定的同期贷款基准利率计算的逾期付款金额的利息。</w:t>
      </w:r>
    </w:p>
    <w:p w14:paraId="4FBA7B67">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17.4  质量保证金</w:t>
      </w:r>
    </w:p>
    <w:p w14:paraId="07FFE6D6">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17.4.1 </w:t>
      </w:r>
      <w:r>
        <w:rPr>
          <w:rFonts w:hint="eastAsia" w:ascii="宋体" w:hAnsi="宋体" w:eastAsia="宋体" w:cs="宋体"/>
          <w:color w:val="auto"/>
          <w:sz w:val="21"/>
          <w:szCs w:val="21"/>
          <w:highlight w:val="none"/>
        </w:rPr>
        <w:t xml:space="preserve"> 质量保证金总额为完工结算价款总额的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D7F6A15">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17.5  完工结算</w:t>
      </w:r>
    </w:p>
    <w:p w14:paraId="70AAECF8">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17.5.1</w:t>
      </w:r>
      <w:r>
        <w:rPr>
          <w:rFonts w:hint="eastAsia" w:ascii="宋体" w:hAnsi="宋体" w:eastAsia="宋体" w:cs="宋体"/>
          <w:color w:val="auto"/>
          <w:sz w:val="21"/>
          <w:szCs w:val="21"/>
          <w:highlight w:val="none"/>
        </w:rPr>
        <w:t xml:space="preserve">  完工付款申请单</w:t>
      </w:r>
    </w:p>
    <w:p w14:paraId="00167BCE">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承包人应提交完工付款申请单一式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p>
    <w:p w14:paraId="5A8FE759">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17.6   最终结清</w:t>
      </w:r>
    </w:p>
    <w:p w14:paraId="6545FE64">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17.6.1</w:t>
      </w:r>
      <w:r>
        <w:rPr>
          <w:rFonts w:hint="eastAsia" w:ascii="宋体" w:hAnsi="宋体" w:eastAsia="宋体" w:cs="宋体"/>
          <w:color w:val="auto"/>
          <w:sz w:val="21"/>
          <w:szCs w:val="21"/>
          <w:highlight w:val="none"/>
        </w:rPr>
        <w:t xml:space="preserve">  最终结清申请单</w:t>
      </w:r>
    </w:p>
    <w:p w14:paraId="28F79D5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承包人应提交最终结清申请单一式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p>
    <w:p w14:paraId="2C0E0562">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17.7  竣工财务决算</w:t>
      </w:r>
    </w:p>
    <w:p w14:paraId="7CB67E4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承包人应为竣工财务决算编制提供的资料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所有的技术资料、工料结算的经济文件、施工图纸和各种变更与签证资料等相关资料。</w:t>
      </w:r>
    </w:p>
    <w:p w14:paraId="62AEC6D7">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72" w:name="_Toc10121"/>
      <w:bookmarkStart w:id="173" w:name="_Toc9064"/>
      <w:r>
        <w:rPr>
          <w:rFonts w:hint="eastAsia" w:ascii="宋体" w:hAnsi="宋体" w:eastAsia="宋体" w:cs="宋体"/>
          <w:b/>
          <w:bCs/>
          <w:color w:val="auto"/>
          <w:sz w:val="21"/>
          <w:szCs w:val="21"/>
          <w:highlight w:val="none"/>
        </w:rPr>
        <w:t>18  工程验收</w:t>
      </w:r>
      <w:bookmarkEnd w:id="172"/>
      <w:bookmarkEnd w:id="173"/>
    </w:p>
    <w:p w14:paraId="3A87B7F2">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18.1  验收工作分类</w:t>
      </w:r>
    </w:p>
    <w:p w14:paraId="5BBF786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本工程项目法人验收包括：</w:t>
      </w: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HYPERLINK "http://www.baidu.com/s?wd=%E5%88%86%E9%83%A8%E5%B7%A5%E7%A8%8B&amp;hl_tag=textlink&amp;tn=SE_hldp01350_v6v6zkg6" \t "_blank"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分部工程</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验收、单位</w:t>
      </w: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HYPERLINK "http://www.baidu.com/s?wd=%E5%B7%A5%E7%A8%8B%E9%AA%8C%E6%94%B6&amp;hl_tag=textlink&amp;tn=SE_hldp01350_v6v6zkg6" \t "_blank"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工程验收</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、合同工程完工验收等</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rPr>
        <w:t>政府验收包括：</w:t>
      </w:r>
      <w:r>
        <w:rPr>
          <w:rFonts w:hint="eastAsia" w:ascii="宋体" w:hAnsi="宋体" w:eastAsia="宋体" w:cs="宋体"/>
          <w:color w:val="auto"/>
          <w:sz w:val="21"/>
          <w:szCs w:val="21"/>
          <w:highlight w:val="none"/>
          <w:u w:val="single"/>
        </w:rPr>
        <w:t>竣工验收等</w:t>
      </w:r>
      <w:r>
        <w:rPr>
          <w:rFonts w:hint="eastAsia" w:ascii="宋体" w:hAnsi="宋体" w:eastAsia="宋体" w:cs="宋体"/>
          <w:color w:val="auto"/>
          <w:sz w:val="21"/>
          <w:szCs w:val="21"/>
          <w:highlight w:val="none"/>
        </w:rPr>
        <w:t>。验收条件为：</w:t>
      </w:r>
      <w:r>
        <w:rPr>
          <w:rFonts w:hint="eastAsia" w:ascii="宋体" w:hAnsi="宋体" w:eastAsia="宋体" w:cs="宋体"/>
          <w:color w:val="auto"/>
          <w:sz w:val="21"/>
          <w:szCs w:val="21"/>
          <w:highlight w:val="none"/>
          <w:u w:val="single"/>
        </w:rPr>
        <w:t>前一阶段工程已完工并经过验收合格</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rPr>
        <w:t>验收程序为：</w:t>
      </w:r>
      <w:r>
        <w:rPr>
          <w:rFonts w:hint="eastAsia" w:ascii="宋体" w:hAnsi="宋体" w:eastAsia="宋体" w:cs="宋体"/>
          <w:color w:val="auto"/>
          <w:sz w:val="21"/>
          <w:szCs w:val="21"/>
          <w:highlight w:val="none"/>
          <w:u w:val="single"/>
        </w:rPr>
        <w:t>按国家和省颁布的有关验收规定进行。</w:t>
      </w:r>
    </w:p>
    <w:p w14:paraId="702E576C">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18.2  分部工程验收</w:t>
      </w:r>
    </w:p>
    <w:p w14:paraId="15CB4A19">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18.2.2</w:t>
      </w:r>
      <w:r>
        <w:rPr>
          <w:rFonts w:hint="eastAsia" w:ascii="宋体" w:hAnsi="宋体" w:eastAsia="宋体" w:cs="宋体"/>
          <w:color w:val="auto"/>
          <w:sz w:val="21"/>
          <w:szCs w:val="21"/>
          <w:highlight w:val="none"/>
        </w:rPr>
        <w:t xml:space="preserve">  本工程由监理人主持的分部工程验收在监理合同中约定，其余由发包人主持。</w:t>
      </w:r>
    </w:p>
    <w:p w14:paraId="383BCEE6">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18.3  单位工程验收</w:t>
      </w:r>
    </w:p>
    <w:p w14:paraId="133EF00F">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18.3.4</w:t>
      </w:r>
      <w:r>
        <w:rPr>
          <w:rFonts w:hint="eastAsia" w:ascii="宋体" w:hAnsi="宋体" w:eastAsia="宋体" w:cs="宋体"/>
          <w:color w:val="auto"/>
          <w:sz w:val="21"/>
          <w:szCs w:val="21"/>
          <w:highlight w:val="none"/>
        </w:rPr>
        <w:t xml:space="preserve">  提前投入使用的单位工程包括：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7F41BBA">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18.5  阶段验收</w:t>
      </w:r>
    </w:p>
    <w:p w14:paraId="58B3503C">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18.5.1</w:t>
      </w:r>
      <w:r>
        <w:rPr>
          <w:rFonts w:hint="eastAsia" w:ascii="宋体" w:hAnsi="宋体" w:eastAsia="宋体" w:cs="宋体"/>
          <w:color w:val="auto"/>
          <w:sz w:val="21"/>
          <w:szCs w:val="21"/>
          <w:highlight w:val="none"/>
        </w:rPr>
        <w:t xml:space="preserve">  本合同工程阶段验收类别包括：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2D172187">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18.6  专项验收</w:t>
      </w:r>
    </w:p>
    <w:p w14:paraId="29908AE7">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18.6.2 </w:t>
      </w:r>
      <w:r>
        <w:rPr>
          <w:rFonts w:hint="eastAsia" w:ascii="宋体" w:hAnsi="宋体" w:eastAsia="宋体" w:cs="宋体"/>
          <w:color w:val="auto"/>
          <w:sz w:val="21"/>
          <w:szCs w:val="21"/>
          <w:highlight w:val="none"/>
        </w:rPr>
        <w:t xml:space="preserve"> 本合同工程专项验收类别包括：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44701AE">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18.7  竣工验收</w:t>
      </w:r>
    </w:p>
    <w:p w14:paraId="7722C5EA">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18.7.3 </w:t>
      </w:r>
      <w:r>
        <w:rPr>
          <w:rFonts w:hint="eastAsia" w:ascii="宋体" w:hAnsi="宋体" w:eastAsia="宋体" w:cs="宋体"/>
          <w:color w:val="auto"/>
          <w:sz w:val="21"/>
          <w:szCs w:val="21"/>
          <w:highlight w:val="none"/>
        </w:rPr>
        <w:t xml:space="preserve"> 本工程</w:t>
      </w:r>
      <w:r>
        <w:rPr>
          <w:rFonts w:hint="eastAsia" w:ascii="宋体" w:hAnsi="宋体" w:eastAsia="宋体" w:cs="宋体"/>
          <w:color w:val="auto"/>
          <w:sz w:val="21"/>
          <w:szCs w:val="21"/>
          <w:highlight w:val="none"/>
          <w:u w:val="single"/>
        </w:rPr>
        <w:t xml:space="preserve">   不需要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需要</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不需要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竣工验收技术鉴定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蓄水安全鉴定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5113ADA0">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18.8  施工期运行</w:t>
      </w:r>
    </w:p>
    <w:p w14:paraId="51939837">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18.8.1</w:t>
      </w:r>
      <w:r>
        <w:rPr>
          <w:rFonts w:hint="eastAsia" w:ascii="宋体" w:hAnsi="宋体" w:eastAsia="宋体" w:cs="宋体"/>
          <w:color w:val="auto"/>
          <w:sz w:val="21"/>
          <w:szCs w:val="21"/>
          <w:highlight w:val="none"/>
        </w:rPr>
        <w:t xml:space="preserve">  需要在施工期运行的单位工程或工程设备为：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2CB393CA">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18.9  试运行</w:t>
      </w:r>
    </w:p>
    <w:p w14:paraId="351501A1">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18.9.1  试运行的组织：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rPr>
        <w:t>费用承担：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639D91D">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74" w:name="_Toc7646"/>
      <w:bookmarkStart w:id="175" w:name="_Toc6856"/>
      <w:r>
        <w:rPr>
          <w:rFonts w:hint="eastAsia" w:ascii="宋体" w:hAnsi="宋体" w:eastAsia="宋体" w:cs="宋体"/>
          <w:b/>
          <w:bCs/>
          <w:color w:val="auto"/>
          <w:sz w:val="21"/>
          <w:szCs w:val="21"/>
          <w:highlight w:val="none"/>
        </w:rPr>
        <w:t>19  缺陷责任与保修责任</w:t>
      </w:r>
      <w:bookmarkEnd w:id="174"/>
      <w:bookmarkEnd w:id="175"/>
    </w:p>
    <w:p w14:paraId="349B114D">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19.1  缺陷责任期</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工程质量保修期</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的起算时间</w:t>
      </w:r>
    </w:p>
    <w:p w14:paraId="01762E81">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本工程缺陷责任期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工程质量保修期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54C317EC">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color w:val="auto"/>
          <w:sz w:val="21"/>
          <w:szCs w:val="21"/>
          <w:highlight w:val="none"/>
          <w:lang w:eastAsia="zh-CN"/>
        </w:rPr>
      </w:pPr>
      <w:bookmarkStart w:id="176" w:name="_Toc22921"/>
      <w:bookmarkStart w:id="177" w:name="_Toc25875"/>
      <w:r>
        <w:rPr>
          <w:rFonts w:hint="eastAsia" w:ascii="宋体" w:hAnsi="宋体" w:eastAsia="宋体" w:cs="宋体"/>
          <w:b/>
          <w:bCs/>
          <w:color w:val="auto"/>
          <w:sz w:val="21"/>
          <w:szCs w:val="21"/>
          <w:highlight w:val="none"/>
        </w:rPr>
        <w:t>20  保险</w:t>
      </w:r>
      <w:bookmarkEnd w:id="176"/>
      <w:bookmarkEnd w:id="177"/>
    </w:p>
    <w:p w14:paraId="25852EB3">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20.1  建筑安装工程保险</w:t>
      </w:r>
    </w:p>
    <w:p w14:paraId="33E5959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建筑工程一切险和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安装工程一切险投保人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由承包人投保，费用包含在合同价内，承包人在投标时综合考虑。</w:t>
      </w:r>
    </w:p>
    <w:p w14:paraId="140C2AF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投保内容：</w:t>
      </w:r>
      <w:r>
        <w:rPr>
          <w:rFonts w:hint="eastAsia" w:ascii="宋体" w:hAnsi="宋体" w:eastAsia="宋体" w:cs="宋体"/>
          <w:color w:val="auto"/>
          <w:sz w:val="21"/>
          <w:szCs w:val="21"/>
          <w:highlight w:val="none"/>
          <w:u w:val="single"/>
        </w:rPr>
        <w:t>为本合同的永久工程、临时工程和设备及已运至施工工地用于永久工程的材料和设备所投的保险。</w:t>
      </w:r>
    </w:p>
    <w:p w14:paraId="01467BBE">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保险金额、保险费率和保险期限：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FE3167E">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20.2 </w:t>
      </w:r>
      <w:r>
        <w:rPr>
          <w:rFonts w:hint="eastAsia" w:ascii="宋体" w:hAnsi="宋体" w:eastAsia="宋体" w:cs="宋体"/>
          <w:b/>
          <w:bCs/>
          <w:color w:val="auto"/>
          <w:sz w:val="21"/>
          <w:szCs w:val="21"/>
          <w:highlight w:val="none"/>
        </w:rPr>
        <w:t>人员工伤事故的保险</w:t>
      </w:r>
    </w:p>
    <w:p w14:paraId="22FF858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20.2.1 承包人员工伤事故的保险</w:t>
      </w:r>
    </w:p>
    <w:p w14:paraId="3D427F0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承包人应依照有关法律规定参加工伤保险，为其履行合同所雇佣的全部人员，缴纳工伤保险费，并要求其分包人也进行此项保险。</w:t>
      </w:r>
    </w:p>
    <w:p w14:paraId="08B3353C">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同时遵守《临海市人力资源和社会保障局等5部门关于开展工程建设领域工伤保险专项整治行动的通知》（临人社综〔2023〕86号）文件的要求。</w:t>
      </w:r>
    </w:p>
    <w:p w14:paraId="6A4A8FE5">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20.4  第三者责任险</w:t>
      </w:r>
    </w:p>
    <w:p w14:paraId="607AE3A3">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20.4.2</w:t>
      </w:r>
      <w:r>
        <w:rPr>
          <w:rFonts w:hint="eastAsia" w:ascii="宋体" w:hAnsi="宋体" w:eastAsia="宋体" w:cs="宋体"/>
          <w:color w:val="auto"/>
          <w:sz w:val="21"/>
          <w:szCs w:val="21"/>
          <w:highlight w:val="none"/>
        </w:rPr>
        <w:t xml:space="preserve">  第三者责任险保险费率：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rPr>
        <w:t>第三者责任险保险金额：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56FE6C1C">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20.5  其他保险</w:t>
      </w:r>
    </w:p>
    <w:p w14:paraId="6ACE0463">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需要投保的其他内容：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B49F04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保险金额、保险费率和保险期限：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56B242">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20.6  对各项保险的一般要求</w:t>
      </w:r>
    </w:p>
    <w:p w14:paraId="3401DF3B">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20.6.1</w:t>
      </w:r>
      <w:r>
        <w:rPr>
          <w:rFonts w:hint="eastAsia" w:ascii="宋体" w:hAnsi="宋体" w:eastAsia="宋体" w:cs="宋体"/>
          <w:color w:val="auto"/>
          <w:sz w:val="21"/>
          <w:szCs w:val="21"/>
          <w:highlight w:val="none"/>
        </w:rPr>
        <w:t xml:space="preserve">  保险凭证</w:t>
      </w:r>
    </w:p>
    <w:p w14:paraId="172BF3E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承包人提交保险凭证的期限：保险手续办理完毕后</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天内提交。</w:t>
      </w:r>
    </w:p>
    <w:p w14:paraId="320757B4">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保险条件：</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25700BC">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20.6.4</w:t>
      </w:r>
      <w:r>
        <w:rPr>
          <w:rFonts w:hint="eastAsia" w:ascii="宋体" w:hAnsi="宋体" w:eastAsia="宋体" w:cs="宋体"/>
          <w:color w:val="auto"/>
          <w:sz w:val="21"/>
          <w:szCs w:val="21"/>
          <w:highlight w:val="none"/>
        </w:rPr>
        <w:t xml:space="preserve">  保险金不足的补偿</w:t>
      </w:r>
    </w:p>
    <w:p w14:paraId="7A071E22">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承包人负责补偿的范围与金额</w:t>
      </w:r>
      <w:r>
        <w:rPr>
          <w:rFonts w:hint="eastAsia" w:ascii="宋体" w:hAnsi="宋体" w:eastAsia="宋体" w:cs="宋体"/>
          <w:color w:val="auto"/>
          <w:sz w:val="21"/>
          <w:szCs w:val="21"/>
          <w:highlight w:val="none"/>
          <w:lang w:eastAsia="zh-CN"/>
        </w:rPr>
        <w:t>：</w:t>
      </w:r>
      <w:r>
        <w:rPr>
          <w:rFonts w:hint="eastAsia" w:ascii="宋体" w:hAnsi="宋体" w:eastAsia="宋体" w:cs="宋体"/>
          <w:i/>
          <w:color w:val="auto"/>
          <w:sz w:val="21"/>
          <w:szCs w:val="21"/>
          <w:highlight w:val="none"/>
          <w:u w:val="single"/>
        </w:rPr>
        <w:t>双方协商确定</w:t>
      </w:r>
      <w:r>
        <w:rPr>
          <w:rFonts w:hint="eastAsia" w:ascii="宋体" w:hAnsi="宋体" w:eastAsia="宋体" w:cs="宋体"/>
          <w:color w:val="auto"/>
          <w:sz w:val="21"/>
          <w:szCs w:val="21"/>
          <w:highlight w:val="none"/>
        </w:rPr>
        <w:t>。</w:t>
      </w:r>
    </w:p>
    <w:p w14:paraId="0C936D9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发包人负责补偿的范围与金额：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5B19368">
      <w:pPr>
        <w:keepNext w:val="0"/>
        <w:keepLines w:val="0"/>
        <w:pageBreakBefore w:val="0"/>
        <w:widowControl/>
        <w:kinsoku/>
        <w:wordWrap/>
        <w:overflowPunct/>
        <w:topLinePunct w:val="0"/>
        <w:autoSpaceDE w:val="0"/>
        <w:autoSpaceDN w:val="0"/>
        <w:bidi w:val="0"/>
        <w:adjustRightInd w:val="0"/>
        <w:snapToGrid w:val="0"/>
        <w:spacing w:before="0" w:after="0" w:line="360" w:lineRule="auto"/>
        <w:textAlignment w:val="baseline"/>
        <w:outlineLvl w:val="1"/>
        <w:rPr>
          <w:rFonts w:hint="eastAsia" w:ascii="宋体" w:hAnsi="宋体" w:eastAsia="宋体" w:cs="宋体"/>
          <w:b/>
          <w:bCs/>
          <w:color w:val="auto"/>
          <w:sz w:val="21"/>
          <w:szCs w:val="21"/>
          <w:highlight w:val="none"/>
          <w:lang w:eastAsia="zh-CN"/>
        </w:rPr>
      </w:pPr>
      <w:bookmarkStart w:id="178" w:name="_Toc12628"/>
      <w:bookmarkStart w:id="179" w:name="_Toc18117"/>
      <w:r>
        <w:rPr>
          <w:rFonts w:hint="eastAsia" w:ascii="宋体" w:hAnsi="宋体" w:eastAsia="宋体" w:cs="宋体"/>
          <w:b/>
          <w:bCs/>
          <w:color w:val="auto"/>
          <w:sz w:val="21"/>
          <w:szCs w:val="21"/>
          <w:highlight w:val="none"/>
        </w:rPr>
        <w:t>24  争议的解决</w:t>
      </w:r>
      <w:bookmarkEnd w:id="178"/>
      <w:bookmarkEnd w:id="179"/>
    </w:p>
    <w:p w14:paraId="3DC06B64">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24.1  争议的解决方式</w:t>
      </w:r>
    </w:p>
    <w:p w14:paraId="051D96D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合同当事人友好协商解决不成、不愿提请争议评审或不接受争议评审组意见的，约定的合同争议解决方式：</w:t>
      </w:r>
      <w:r>
        <w:rPr>
          <w:rFonts w:hint="eastAsia" w:ascii="宋体" w:hAnsi="宋体" w:eastAsia="宋体" w:cs="宋体"/>
          <w:color w:val="auto"/>
          <w:sz w:val="21"/>
          <w:szCs w:val="21"/>
          <w:highlight w:val="none"/>
          <w:u w:val="single"/>
        </w:rPr>
        <w:t>向工程所在地人民法院起诉</w:t>
      </w:r>
      <w:r>
        <w:rPr>
          <w:rFonts w:hint="eastAsia" w:ascii="宋体" w:hAnsi="宋体" w:eastAsia="宋体" w:cs="宋体"/>
          <w:color w:val="auto"/>
          <w:sz w:val="21"/>
          <w:szCs w:val="21"/>
          <w:highlight w:val="none"/>
        </w:rPr>
        <w:t>。</w:t>
      </w:r>
    </w:p>
    <w:p w14:paraId="233B5E80">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24.2  友好解决</w:t>
      </w:r>
    </w:p>
    <w:p w14:paraId="3EB2159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补充：合同当事人可以就争议请第三方进行调解，调解达成协议的，经双方签字并盖章后作为合同补充文件，双方均应遵照执行。</w:t>
      </w:r>
    </w:p>
    <w:p w14:paraId="4222042F">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24.3  争议评审</w:t>
      </w:r>
    </w:p>
    <w:p w14:paraId="6633B936">
      <w:pPr>
        <w:keepNext w:val="0"/>
        <w:keepLines w:val="0"/>
        <w:pageBreakBefore w:val="0"/>
        <w:widowControl/>
        <w:kinsoku/>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24.3.7</w:t>
      </w:r>
      <w:r>
        <w:rPr>
          <w:rFonts w:hint="eastAsia" w:ascii="宋体" w:hAnsi="宋体" w:eastAsia="宋体" w:cs="宋体"/>
          <w:color w:val="auto"/>
          <w:sz w:val="21"/>
          <w:szCs w:val="21"/>
          <w:highlight w:val="none"/>
        </w:rPr>
        <w:t xml:space="preserve">  补充：发包人或承包人不接受评审意见时，可请省水行政主管部门进行调解。</w:t>
      </w:r>
    </w:p>
    <w:p w14:paraId="68C81A5E">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rPr>
      </w:pPr>
    </w:p>
    <w:p w14:paraId="4F527934">
      <w:pPr>
        <w:pStyle w:val="4"/>
        <w:pageBreakBefore w:val="0"/>
        <w:kinsoku/>
        <w:wordWrap/>
        <w:overflowPunct/>
        <w:topLinePunct w:val="0"/>
        <w:bidi w:val="0"/>
        <w:jc w:val="center"/>
        <w:rPr>
          <w:rFonts w:hint="eastAsia" w:ascii="宋体" w:hAnsi="宋体" w:eastAsia="宋体" w:cs="宋体"/>
          <w:color w:val="auto"/>
          <w:sz w:val="32"/>
          <w:highlight w:val="none"/>
        </w:rPr>
        <w:sectPr>
          <w:pgSz w:w="11905" w:h="16838"/>
          <w:pgMar w:top="1134" w:right="1587" w:bottom="1134" w:left="1587" w:header="567" w:footer="454" w:gutter="0"/>
          <w:pgBorders>
            <w:top w:val="none" w:sz="0" w:space="0"/>
            <w:left w:val="none" w:sz="0" w:space="0"/>
            <w:bottom w:val="none" w:sz="0" w:space="0"/>
            <w:right w:val="none" w:sz="0" w:space="0"/>
          </w:pgBorders>
          <w:pgNumType w:fmt="decimal"/>
          <w:cols w:space="720" w:num="1"/>
          <w:rtlGutter w:val="0"/>
          <w:docGrid w:linePitch="312" w:charSpace="0"/>
        </w:sectPr>
      </w:pPr>
    </w:p>
    <w:p w14:paraId="1144A5D8">
      <w:pPr>
        <w:pStyle w:val="4"/>
        <w:keepNext/>
        <w:keepLines/>
        <w:pageBreakBefore w:val="0"/>
        <w:widowControl w:val="0"/>
        <w:numPr>
          <w:ilvl w:val="0"/>
          <w:numId w:val="0"/>
        </w:numPr>
        <w:kinsoku/>
        <w:wordWrap/>
        <w:overflowPunct/>
        <w:topLinePunct w:val="0"/>
        <w:autoSpaceDE/>
        <w:autoSpaceDN/>
        <w:bidi w:val="0"/>
        <w:adjustRightInd/>
        <w:snapToGrid w:val="0"/>
        <w:spacing w:line="360" w:lineRule="auto"/>
        <w:ind w:left="574" w:leftChars="0" w:firstLine="0" w:firstLineChars="0"/>
        <w:jc w:val="center"/>
        <w:textAlignment w:val="auto"/>
        <w:rPr>
          <w:rFonts w:hint="eastAsia" w:ascii="宋体" w:hAnsi="宋体" w:eastAsia="宋体" w:cs="宋体"/>
          <w:color w:val="auto"/>
          <w:szCs w:val="21"/>
          <w:highlight w:val="none"/>
        </w:rPr>
      </w:pPr>
      <w:bookmarkStart w:id="180" w:name="_Toc9660"/>
      <w:r>
        <w:rPr>
          <w:rFonts w:hint="eastAsia" w:ascii="宋体" w:hAnsi="宋体" w:eastAsia="宋体" w:cs="宋体"/>
          <w:color w:val="auto"/>
          <w:sz w:val="32"/>
          <w:highlight w:val="none"/>
        </w:rPr>
        <w:t>第3节 合同附件格式</w:t>
      </w:r>
      <w:bookmarkEnd w:id="180"/>
    </w:p>
    <w:p w14:paraId="4DA135E0">
      <w:pPr>
        <w:pStyle w:val="5"/>
        <w:keepNext/>
        <w:keepLines/>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附件一：合同协议书</w:t>
      </w:r>
    </w:p>
    <w:p w14:paraId="71EA3357">
      <w:pPr>
        <w:pageBreakBefore w:val="0"/>
        <w:kinsoku/>
        <w:wordWrap/>
        <w:overflowPunct/>
        <w:topLinePunct w:val="0"/>
        <w:bidi w:val="0"/>
        <w:spacing w:line="360" w:lineRule="auto"/>
        <w:ind w:firstLine="422" w:firstLineChars="20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合同协议书</w:t>
      </w:r>
    </w:p>
    <w:p w14:paraId="70CE823D">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（发包人名称，以下简称“发包人” ）为实施</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（项目名称），已接受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（承包人名称，以下简称“承包人” ）对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标段名称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的投标。发包人和承包人共同达成如下协议。</w:t>
      </w:r>
    </w:p>
    <w:p w14:paraId="2ABE628B">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1．本协议书与下列文件一起构成合同文件：</w:t>
      </w:r>
    </w:p>
    <w:p w14:paraId="5A164E19">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(l）中标通知书。</w:t>
      </w:r>
    </w:p>
    <w:p w14:paraId="03BB0B1A">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(2）投标函及投标函附录。</w:t>
      </w:r>
    </w:p>
    <w:p w14:paraId="54047FEA">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w:t>
      </w:r>
    </w:p>
    <w:p w14:paraId="5CBDC233">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0EAAEFDF">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(5）技术标准和要求（合同技术条款）。</w:t>
      </w:r>
    </w:p>
    <w:p w14:paraId="6CF975C8">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129F1D86">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w:t>
      </w:r>
    </w:p>
    <w:p w14:paraId="3A0746DF">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5298639F">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2．上述文件互相补充和解释，如有不明确或不一致之处，以合同约定次序在先者为准。</w:t>
      </w:r>
    </w:p>
    <w:p w14:paraId="5282878D">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3．签约合同价：人民币（大写）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464AC37">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，项目技术负责人：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8C4534">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5．工程质量符合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11DDCA3F">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6．承包人承诺按合同约定承担工程的实施、完成及缺陷修复。</w:t>
      </w:r>
    </w:p>
    <w:p w14:paraId="71E8281B">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7．发包人承诺按合同约定的条件、时间和方式向承包人支付合同价款。</w:t>
      </w:r>
    </w:p>
    <w:p w14:paraId="08CA71C2">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8．承包人承诺执行监理人开工通知，计划工期为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w:t>
      </w:r>
    </w:p>
    <w:p w14:paraId="51E9B269">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9．本协议书正本一式</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份，合同双方各执</w:t>
      </w:r>
      <w:r>
        <w:rPr>
          <w:rFonts w:hint="eastAsia" w:ascii="宋体" w:hAnsi="宋体" w:eastAsia="宋体" w:cs="宋体"/>
          <w:color w:val="auto"/>
          <w:sz w:val="21"/>
          <w:szCs w:val="21"/>
          <w:highlight w:val="none"/>
          <w:u w:val="single"/>
        </w:rPr>
        <w:t xml:space="preserve"> 壹 </w:t>
      </w:r>
      <w:r>
        <w:rPr>
          <w:rFonts w:hint="eastAsia" w:ascii="宋体" w:hAnsi="宋体" w:eastAsia="宋体" w:cs="宋体"/>
          <w:color w:val="auto"/>
          <w:sz w:val="21"/>
          <w:szCs w:val="21"/>
          <w:highlight w:val="none"/>
        </w:rPr>
        <w:t>份，副本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val="en-US" w:eastAsia="zh-CN"/>
        </w:rPr>
        <w:t>双方</w:t>
      </w:r>
      <w:r>
        <w:rPr>
          <w:rFonts w:hint="eastAsia" w:ascii="宋体" w:hAnsi="宋体" w:eastAsia="宋体" w:cs="宋体"/>
          <w:color w:val="auto"/>
          <w:sz w:val="21"/>
          <w:szCs w:val="21"/>
          <w:highlight w:val="none"/>
        </w:rPr>
        <w:t>各执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备案单位</w:t>
      </w:r>
      <w:r>
        <w:rPr>
          <w:rFonts w:hint="eastAsia" w:ascii="宋体" w:hAnsi="宋体" w:eastAsia="宋体" w:cs="宋体"/>
          <w:color w:val="auto"/>
          <w:sz w:val="21"/>
          <w:szCs w:val="21"/>
          <w:highlight w:val="none"/>
          <w:u w:val="single"/>
          <w:lang w:val="en-US" w:eastAsia="zh-CN"/>
        </w:rPr>
        <w:t xml:space="preserve"> 贰 </w:t>
      </w:r>
      <w:r>
        <w:rPr>
          <w:rFonts w:hint="eastAsia" w:ascii="宋体" w:hAnsi="宋体" w:eastAsia="宋体" w:cs="宋体"/>
          <w:color w:val="auto"/>
          <w:sz w:val="21"/>
          <w:szCs w:val="21"/>
          <w:highlight w:val="none"/>
          <w:lang w:val="en-US" w:eastAsia="zh-CN"/>
        </w:rPr>
        <w:t>份</w:t>
      </w:r>
      <w:r>
        <w:rPr>
          <w:rFonts w:hint="eastAsia" w:ascii="宋体" w:hAnsi="宋体" w:eastAsia="宋体" w:cs="宋体"/>
          <w:color w:val="auto"/>
          <w:sz w:val="21"/>
          <w:szCs w:val="21"/>
          <w:highlight w:val="none"/>
        </w:rPr>
        <w:t>。</w:t>
      </w:r>
    </w:p>
    <w:p w14:paraId="62C381EB">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10．合同未尽事宜，双方另行签订补充协议。补充协议是合同的组成部分。</w:t>
      </w:r>
    </w:p>
    <w:p w14:paraId="41C71358">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p>
    <w:p w14:paraId="45C8B89C">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        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14:paraId="0659B226">
      <w:pPr>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    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w:t>
      </w:r>
    </w:p>
    <w:p w14:paraId="67C8C277">
      <w:pPr>
        <w:pageBreakBefore w:val="0"/>
        <w:kinsoku/>
        <w:wordWrap/>
        <w:overflowPunct/>
        <w:topLinePunct w:val="0"/>
        <w:bidi w:val="0"/>
        <w:spacing w:line="360" w:lineRule="auto"/>
        <w:ind w:firstLine="1155" w:firstLineChars="550"/>
        <w:rPr>
          <w:rFonts w:hint="eastAsia" w:ascii="宋体" w:hAnsi="宋体" w:eastAsia="宋体" w:cs="宋体"/>
          <w:color w:val="auto"/>
          <w:sz w:val="21"/>
          <w:szCs w:val="21"/>
          <w:highlight w:val="none"/>
        </w:rPr>
        <w:sectPr>
          <w:pgSz w:w="11905" w:h="16838"/>
          <w:pgMar w:top="1134" w:right="1587" w:bottom="1134" w:left="1587" w:header="567" w:footer="454" w:gutter="0"/>
          <w:pgBorders>
            <w:top w:val="none" w:sz="0" w:space="0"/>
            <w:left w:val="none" w:sz="0" w:space="0"/>
            <w:bottom w:val="none" w:sz="0" w:space="0"/>
            <w:right w:val="none" w:sz="0" w:space="0"/>
          </w:pgBorders>
          <w:pgNumType w:fmt="decimal"/>
          <w:cols w:space="720" w:num="1"/>
          <w:rtlGutter w:val="0"/>
          <w:docGrid w:linePitch="312" w:charSpace="0"/>
        </w:sect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443596CE">
      <w:pPr>
        <w:pageBreakBefore w:val="0"/>
        <w:kinsoku/>
        <w:wordWrap/>
        <w:overflowPunct/>
        <w:topLinePunct w:val="0"/>
        <w:bidi w:val="0"/>
        <w:spacing w:line="360" w:lineRule="auto"/>
        <w:ind w:firstLine="422" w:firstLineChars="200"/>
        <w:jc w:val="left"/>
        <w:rPr>
          <w:rFonts w:hint="eastAsia" w:ascii="宋体" w:hAnsi="宋体" w:eastAsia="宋体" w:cs="宋体"/>
          <w:b/>
          <w:bCs/>
          <w:color w:val="auto"/>
          <w:sz w:val="21"/>
          <w:szCs w:val="21"/>
          <w:highlight w:val="none"/>
          <w:lang w:eastAsia="zh-CN"/>
        </w:rPr>
      </w:pPr>
      <w:bookmarkStart w:id="181" w:name="_Toc11440"/>
      <w:r>
        <w:rPr>
          <w:rFonts w:hint="eastAsia" w:ascii="宋体" w:hAnsi="宋体" w:eastAsia="宋体" w:cs="宋体"/>
          <w:b/>
          <w:bCs/>
          <w:color w:val="auto"/>
          <w:sz w:val="21"/>
          <w:szCs w:val="21"/>
          <w:highlight w:val="none"/>
        </w:rPr>
        <w:t>附件二</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履约担保</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格式</w:t>
      </w:r>
      <w:r>
        <w:rPr>
          <w:rFonts w:hint="eastAsia" w:ascii="宋体" w:hAnsi="宋体" w:eastAsia="宋体" w:cs="宋体"/>
          <w:b/>
          <w:bCs/>
          <w:color w:val="auto"/>
          <w:sz w:val="21"/>
          <w:szCs w:val="21"/>
          <w:highlight w:val="none"/>
          <w:lang w:eastAsia="zh-CN"/>
        </w:rPr>
        <w:t>）</w:t>
      </w:r>
      <w:bookmarkEnd w:id="181"/>
    </w:p>
    <w:p w14:paraId="6A42497B">
      <w:pPr>
        <w:pageBreakBefore w:val="0"/>
        <w:kinsoku/>
        <w:wordWrap/>
        <w:overflowPunct/>
        <w:topLinePunct w:val="0"/>
        <w:bidi w:val="0"/>
        <w:spacing w:line="360" w:lineRule="auto"/>
        <w:ind w:firstLine="420" w:firstLineChars="2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履 约 担 保</w:t>
      </w:r>
    </w:p>
    <w:p w14:paraId="7196E520">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发包人名称</w:t>
      </w:r>
      <w:r>
        <w:rPr>
          <w:rFonts w:hint="eastAsia" w:ascii="宋体" w:hAnsi="宋体" w:eastAsia="宋体" w:cs="宋体"/>
          <w:color w:val="auto"/>
          <w:sz w:val="21"/>
          <w:szCs w:val="21"/>
          <w:highlight w:val="none"/>
          <w:lang w:eastAsia="zh-CN"/>
        </w:rPr>
        <w:t>）：</w:t>
      </w:r>
    </w:p>
    <w:p w14:paraId="5FA68AD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鉴于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发包人名称，以下简称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承包人名称，以下称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承包人</w:t>
      </w:r>
      <w:r>
        <w:rPr>
          <w:rFonts w:hint="eastAsia" w:ascii="宋体" w:hAnsi="宋体" w:eastAsia="宋体" w:cs="宋体"/>
          <w:color w:val="auto"/>
          <w:sz w:val="21"/>
          <w:szCs w:val="21"/>
          <w:highlight w:val="none"/>
          <w:lang w:eastAsia="zh-CN"/>
        </w:rPr>
        <w:t>”）于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日递交的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标段名称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的投标文件。我方愿意无条件地、不可撤销地就承包人履行与你方订立的合同，向你方提供担保。</w:t>
      </w:r>
    </w:p>
    <w:p w14:paraId="4B79D04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担保金额人民币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64B63E5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担保有效期自发包人与承包人签订的合同生效之日起至发包人签发合同工程完工证书之日止。</w:t>
      </w:r>
    </w:p>
    <w:p w14:paraId="41D113D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在本担保有效期内，因承包人违反合同约定的义务给你方造成经济损失时，我方在收到你方以书面形式提出的在担保金额内的赔偿要求后，无条件地在7天内予以支付。</w:t>
      </w:r>
    </w:p>
    <w:p w14:paraId="76FCB391">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发包人和承包人按《通用合同条款》第15条变更合同时，我方承担本担保规定的义务不变。</w:t>
      </w:r>
    </w:p>
    <w:p w14:paraId="10475413">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rPr>
      </w:pPr>
    </w:p>
    <w:p w14:paraId="5C7E517D">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rPr>
      </w:pPr>
    </w:p>
    <w:p w14:paraId="0053B7A0">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rPr>
      </w:pPr>
    </w:p>
    <w:p w14:paraId="16519C3C">
      <w:pPr>
        <w:keepNext w:val="0"/>
        <w:keepLines w:val="0"/>
        <w:pageBreakBefore w:val="0"/>
        <w:widowControl/>
        <w:kinsoku/>
        <w:wordWrap/>
        <w:overflowPunct/>
        <w:topLinePunct w:val="0"/>
        <w:autoSpaceDE w:val="0"/>
        <w:autoSpaceDN w:val="0"/>
        <w:bidi w:val="0"/>
        <w:adjustRightInd w:val="0"/>
        <w:snapToGrid w:val="0"/>
        <w:spacing w:line="360" w:lineRule="auto"/>
        <w:ind w:firstLine="3990" w:firstLineChars="19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担保人：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盖单位章</w:t>
      </w:r>
      <w:r>
        <w:rPr>
          <w:rFonts w:hint="eastAsia" w:ascii="宋体" w:hAnsi="宋体" w:eastAsia="宋体" w:cs="宋体"/>
          <w:color w:val="auto"/>
          <w:sz w:val="21"/>
          <w:szCs w:val="21"/>
          <w:highlight w:val="none"/>
          <w:lang w:eastAsia="zh-CN"/>
        </w:rPr>
        <w:t>）</w:t>
      </w:r>
    </w:p>
    <w:p w14:paraId="0CD16872">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p>
    <w:p w14:paraId="7223EB88">
      <w:pPr>
        <w:keepNext w:val="0"/>
        <w:keepLines w:val="0"/>
        <w:pageBreakBefore w:val="0"/>
        <w:widowControl/>
        <w:kinsoku/>
        <w:wordWrap/>
        <w:overflowPunct/>
        <w:topLinePunct w:val="0"/>
        <w:autoSpaceDE w:val="0"/>
        <w:autoSpaceDN w:val="0"/>
        <w:bidi w:val="0"/>
        <w:adjustRightInd w:val="0"/>
        <w:snapToGrid w:val="0"/>
        <w:spacing w:line="360" w:lineRule="auto"/>
        <w:ind w:firstLine="3990" w:firstLineChars="19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签字</w:t>
      </w:r>
      <w:r>
        <w:rPr>
          <w:rFonts w:hint="eastAsia" w:ascii="宋体" w:hAnsi="宋体" w:eastAsia="宋体" w:cs="宋体"/>
          <w:color w:val="auto"/>
          <w:sz w:val="21"/>
          <w:szCs w:val="21"/>
          <w:highlight w:val="none"/>
          <w:lang w:eastAsia="zh-CN"/>
        </w:rPr>
        <w:t>）</w:t>
      </w:r>
    </w:p>
    <w:p w14:paraId="60B5CBF8">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p>
    <w:p w14:paraId="30767720">
      <w:pPr>
        <w:keepNext w:val="0"/>
        <w:keepLines w:val="0"/>
        <w:pageBreakBefore w:val="0"/>
        <w:widowControl/>
        <w:kinsoku/>
        <w:wordWrap/>
        <w:overflowPunct/>
        <w:topLinePunct w:val="0"/>
        <w:autoSpaceDE w:val="0"/>
        <w:autoSpaceDN w:val="0"/>
        <w:bidi w:val="0"/>
        <w:adjustRightInd w:val="0"/>
        <w:snapToGrid w:val="0"/>
        <w:spacing w:line="360" w:lineRule="auto"/>
        <w:ind w:firstLine="5460" w:firstLineChars="26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p>
    <w:p w14:paraId="0312CA8D">
      <w:pPr>
        <w:keepNext w:val="0"/>
        <w:keepLines w:val="0"/>
        <w:pageBreakBefore w:val="0"/>
        <w:widowControl/>
        <w:kinsoku/>
        <w:wordWrap/>
        <w:overflowPunct/>
        <w:topLinePunct w:val="0"/>
        <w:autoSpaceDE w:val="0"/>
        <w:autoSpaceDN w:val="0"/>
        <w:bidi w:val="0"/>
        <w:adjustRightInd w:val="0"/>
        <w:snapToGrid w:val="0"/>
        <w:spacing w:line="360" w:lineRule="auto"/>
        <w:ind w:firstLine="5460" w:firstLineChars="26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p>
    <w:p w14:paraId="4F1DE208">
      <w:pPr>
        <w:keepNext w:val="0"/>
        <w:keepLines w:val="0"/>
        <w:pageBreakBefore w:val="0"/>
        <w:widowControl/>
        <w:kinsoku/>
        <w:wordWrap/>
        <w:overflowPunct/>
        <w:topLinePunct w:val="0"/>
        <w:autoSpaceDE w:val="0"/>
        <w:autoSpaceDN w:val="0"/>
        <w:bidi w:val="0"/>
        <w:adjustRightInd w:val="0"/>
        <w:snapToGrid w:val="0"/>
        <w:spacing w:line="360" w:lineRule="auto"/>
        <w:ind w:firstLine="5460" w:firstLineChars="26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p>
    <w:p w14:paraId="4F3B10B7">
      <w:pPr>
        <w:keepNext w:val="0"/>
        <w:keepLines w:val="0"/>
        <w:pageBreakBefore w:val="0"/>
        <w:widowControl/>
        <w:kinsoku/>
        <w:wordWrap/>
        <w:overflowPunct/>
        <w:topLinePunct w:val="0"/>
        <w:autoSpaceDE w:val="0"/>
        <w:autoSpaceDN w:val="0"/>
        <w:bidi w:val="0"/>
        <w:adjustRightInd w:val="0"/>
        <w:snapToGrid w:val="0"/>
        <w:spacing w:line="360" w:lineRule="auto"/>
        <w:ind w:firstLine="5460" w:firstLineChars="26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w:t>
      </w:r>
    </w:p>
    <w:p w14:paraId="5067CB90">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p>
    <w:p w14:paraId="02E61940">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6D39EC9F">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注：委托代理人应附授权委托书。</w:t>
      </w:r>
    </w:p>
    <w:p w14:paraId="76EF9288">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rPr>
        <w:sectPr>
          <w:footerReference r:id="rId8" w:type="default"/>
          <w:pgSz w:w="11905" w:h="16838"/>
          <w:pgMar w:top="1134" w:right="1587" w:bottom="1134" w:left="1587" w:header="567" w:footer="454" w:gutter="0"/>
          <w:pgBorders>
            <w:top w:val="none" w:sz="0" w:space="0"/>
            <w:left w:val="none" w:sz="0" w:space="0"/>
            <w:bottom w:val="none" w:sz="0" w:space="0"/>
            <w:right w:val="none" w:sz="0" w:space="0"/>
          </w:pgBorders>
          <w:pgNumType w:fmt="decimal"/>
          <w:cols w:space="720" w:num="1"/>
          <w:rtlGutter w:val="0"/>
          <w:docGrid w:linePitch="1" w:charSpace="0"/>
        </w:sectPr>
      </w:pPr>
    </w:p>
    <w:p w14:paraId="1428DAE7">
      <w:pPr>
        <w:pageBreakBefore w:val="0"/>
        <w:kinsoku/>
        <w:wordWrap/>
        <w:overflowPunct/>
        <w:topLinePunct w:val="0"/>
        <w:bidi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附件</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：工程廉政责任书</w:t>
      </w:r>
    </w:p>
    <w:p w14:paraId="1886FD1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工程廉政责任书</w:t>
      </w:r>
    </w:p>
    <w:p w14:paraId="75D0704D">
      <w:pPr>
        <w:keepNext w:val="0"/>
        <w:keepLines w:val="0"/>
        <w:pageBreakBefore w:val="0"/>
        <w:widowControl w:val="0"/>
        <w:kinsoku/>
        <w:wordWrap/>
        <w:overflowPunct/>
        <w:topLinePunct w:val="0"/>
        <w:autoSpaceDE/>
        <w:autoSpaceDN/>
        <w:bidi w:val="0"/>
        <w:adjustRightInd/>
        <w:snapToGrid w:val="0"/>
        <w:spacing w:line="360" w:lineRule="auto"/>
        <w:ind w:firstLine="840" w:firstLineChars="4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为加强工程建设中的廉政建设，保证工程建设高效优质完成，保证建设资金的安全和有效使用，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（项目名称）的发包人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（以下称甲方）与承包人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（以下称乙方），特订立如下责任书。</w:t>
      </w:r>
    </w:p>
    <w:p w14:paraId="7DEA6CFD">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甲乙双方的权利和义务</w:t>
      </w:r>
    </w:p>
    <w:p w14:paraId="649629C4">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（一）严格遵守党和国家工程建设的有关法律法规及水利部门的有关规定。</w:t>
      </w:r>
    </w:p>
    <w:p w14:paraId="1A0962FE">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（二）严格执行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的合同文件，自觉按合同办事。</w:t>
      </w:r>
    </w:p>
    <w:p w14:paraId="1589BD1F">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（三）双方的业务活动坚持公开、公平、公正、诚信、透明的原则（除法律认定的商业秘密和合同文件另有规定之外），不得损害国家和集体利益，违反工程建设管理规定。</w:t>
      </w:r>
    </w:p>
    <w:p w14:paraId="6918209A">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（四）建立健全廉政制度、监督制度和处罚制度，开展廉政教育，设立廉政告示牌，公布举报电话。</w:t>
      </w:r>
    </w:p>
    <w:p w14:paraId="391A5D6C">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（五）发现对方在业务活动中有违反廉政规定的行为，有及时提醒对方纠正的权利和义务。</w:t>
      </w:r>
    </w:p>
    <w:p w14:paraId="6A8A64EF">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（六）发现对方严重违反本责任书义务条款的行为，有向其上级有关部门举报、建议给予处理并要求告知处理结果的权利。</w:t>
      </w:r>
    </w:p>
    <w:p w14:paraId="42980998">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甲方的义务</w:t>
      </w:r>
    </w:p>
    <w:p w14:paraId="28FA20B9">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（一）甲方及其工作人员不得索要或接受乙方的礼金、礼券、有价证劵和物品，不得到乙方报销任何由甲方或个人支付的费用等。</w:t>
      </w:r>
    </w:p>
    <w:p w14:paraId="07AB0FDD">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（二）甲方不得有意刁难、拖延承包商工程款，不得违反规定批拨工程建设费用等。</w:t>
      </w:r>
    </w:p>
    <w:p w14:paraId="25FF7738">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（三）甲方工作人员不得参加乙方安排的宴请和娱乐活动；不得接受乙方提供的通讯工具、交通工具和高档办公用品等。</w:t>
      </w:r>
    </w:p>
    <w:p w14:paraId="282A1C00">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（四）甲方及其工作人员不得要求或者接受乙方为其住房装修、操办婚丧嫁娶、安排配偶子女的工作以及出国出境、旅游等。</w:t>
      </w:r>
    </w:p>
    <w:p w14:paraId="69EE294B">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（五）甲方工作人员的配偶、子女以及下属单位不得从事与甲方工程有关材料设备供应、工程分包、劳务等经济活动。</w:t>
      </w:r>
    </w:p>
    <w:p w14:paraId="3DDC0401">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（六）甲方及其工作人员不得以任何理由向乙方推荐分包单位，不得要求乙方购买合同规定外的材料和设备，</w:t>
      </w:r>
    </w:p>
    <w:p w14:paraId="2FE053C7">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乙方义务</w:t>
      </w:r>
    </w:p>
    <w:p w14:paraId="63CC4259">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（一）乙方不得以任何理由向甲方及其工作人员行贿或馈赠礼金、礼券、有价证劵、礼品。</w:t>
      </w:r>
    </w:p>
    <w:p w14:paraId="286B88ED">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（二）乙方不得以任何名义为甲方及其工作人员报销应由甲方单位或个人支付的任何费用。</w:t>
      </w:r>
    </w:p>
    <w:p w14:paraId="140A85A1">
      <w:pPr>
        <w:keepNext w:val="0"/>
        <w:keepLines w:val="0"/>
        <w:pageBreakBefore w:val="0"/>
        <w:widowControl w:val="0"/>
        <w:kinsoku/>
        <w:wordWrap/>
        <w:overflowPunct/>
        <w:topLinePunct w:val="0"/>
        <w:autoSpaceDE/>
        <w:autoSpaceDN/>
        <w:bidi w:val="0"/>
        <w:adjustRightInd/>
        <w:snapToGrid w:val="0"/>
        <w:spacing w:line="360" w:lineRule="auto"/>
        <w:ind w:left="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（三）乙方不得要求甲方违反规定，批拨、追加工程建设费用等。</w:t>
      </w:r>
    </w:p>
    <w:p w14:paraId="1821A16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（四）乙方不得以任何理由安排甲方工作人员参加宴请及娱乐活动。</w:t>
      </w:r>
    </w:p>
    <w:p w14:paraId="133C6B1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（五）乙方不得为甲方单位和个人购置或提供通信工具、交通工具和高档办公室用品等。</w:t>
      </w:r>
    </w:p>
    <w:p w14:paraId="5EF4880A">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违约责任</w:t>
      </w:r>
    </w:p>
    <w:p w14:paraId="782C181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（一）甲方及其工作人员违反本责任书第一、二条，按管理权限，依据有关规定给予党纪、政纪或组织处理；涉嫌犯罪的，移送司法机关追究刑事责任；给乙方单位造成经济损失的，应予赔偿。</w:t>
      </w:r>
    </w:p>
    <w:p w14:paraId="33D6027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二）乙方及其工作人员违反本责任书第一、三条，按管理权限，依据有关规定，给予党纪、政纪、组织处理或停止承接业务处理；给甲方单位造成经济损失的，应予以赔偿；情节严重的，甲方建议有关工程建设主管部门给予乙方1～3年内不得参与工程建设项目投标的处罚。</w:t>
      </w:r>
    </w:p>
    <w:p w14:paraId="38DD45D6">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双方约定</w:t>
      </w:r>
    </w:p>
    <w:p w14:paraId="63E9C4A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本责任书由纪检监察机关负责监督执行。纪检监察机关对本责任书执行情况进行抽查。提出属于本责任书规定范围的处理意见。</w:t>
      </w:r>
    </w:p>
    <w:p w14:paraId="7CE22C85">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本责任书有效期同甲乙双方签署之日起至该工程项目工程款支付完结时止。</w:t>
      </w:r>
    </w:p>
    <w:p w14:paraId="1AA423B7">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本责任书作为本工程施工承包合同的附件，与工程施工合同具有同等的法律效力，经甲乙双方签署后生效。</w:t>
      </w:r>
    </w:p>
    <w:p w14:paraId="3A9CF958">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本责任书甲、乙双方各执</w:t>
      </w:r>
      <w:r>
        <w:rPr>
          <w:rFonts w:hint="eastAsia" w:ascii="宋体" w:hAnsi="宋体" w:eastAsia="宋体" w:cs="宋体"/>
          <w:color w:val="auto"/>
          <w:sz w:val="21"/>
          <w:szCs w:val="21"/>
          <w:highlight w:val="none"/>
          <w:lang w:eastAsia="zh-CN"/>
        </w:rPr>
        <w:t>一</w:t>
      </w:r>
      <w:r>
        <w:rPr>
          <w:rFonts w:hint="eastAsia" w:ascii="宋体" w:hAnsi="宋体" w:eastAsia="宋体" w:cs="宋体"/>
          <w:color w:val="auto"/>
          <w:sz w:val="21"/>
          <w:szCs w:val="21"/>
          <w:highlight w:val="none"/>
        </w:rPr>
        <w:t>份，送交监督单位</w:t>
      </w:r>
      <w:r>
        <w:rPr>
          <w:rFonts w:hint="eastAsia" w:ascii="宋体" w:hAnsi="宋体" w:eastAsia="宋体" w:cs="宋体"/>
          <w:color w:val="auto"/>
          <w:sz w:val="21"/>
          <w:szCs w:val="21"/>
          <w:highlight w:val="none"/>
          <w:lang w:eastAsia="zh-CN"/>
        </w:rPr>
        <w:t>一</w:t>
      </w:r>
      <w:r>
        <w:rPr>
          <w:rFonts w:hint="eastAsia" w:ascii="宋体" w:hAnsi="宋体" w:eastAsia="宋体" w:cs="宋体"/>
          <w:color w:val="auto"/>
          <w:sz w:val="21"/>
          <w:szCs w:val="21"/>
          <w:highlight w:val="none"/>
        </w:rPr>
        <w:t>份。</w:t>
      </w:r>
    </w:p>
    <w:p w14:paraId="39B6E530">
      <w:pPr>
        <w:pageBreakBefore w:val="0"/>
        <w:kinsoku/>
        <w:wordWrap/>
        <w:overflowPunct/>
        <w:topLinePunct w:val="0"/>
        <w:bidi w:val="0"/>
        <w:spacing w:line="360" w:lineRule="auto"/>
        <w:ind w:lef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54C58783">
      <w:pPr>
        <w:pageBreakBefore w:val="0"/>
        <w:kinsoku/>
        <w:wordWrap/>
        <w:overflowPunct/>
        <w:topLinePunct w:val="0"/>
        <w:bidi w:val="0"/>
        <w:spacing w:line="500" w:lineRule="exact"/>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甲方：</w:t>
      </w:r>
      <w:r>
        <w:rPr>
          <w:rFonts w:hint="eastAsia" w:ascii="宋体" w:hAnsi="宋体" w:eastAsia="宋体" w:cs="宋体"/>
          <w:b/>
          <w:bCs/>
          <w:color w:val="auto"/>
          <w:spacing w:val="-8"/>
          <w:sz w:val="21"/>
          <w:szCs w:val="21"/>
          <w:highlight w:val="none"/>
          <w:u w:val="single"/>
        </w:rPr>
        <w:t xml:space="preserve">                </w:t>
      </w:r>
      <w:r>
        <w:rPr>
          <w:rFonts w:hint="eastAsia" w:ascii="宋体" w:hAnsi="宋体" w:eastAsia="宋体" w:cs="宋体"/>
          <w:b/>
          <w:bCs/>
          <w:color w:val="auto"/>
          <w:spacing w:val="-8"/>
          <w:sz w:val="21"/>
          <w:szCs w:val="21"/>
          <w:highlight w:val="none"/>
          <w:u w:val="single"/>
          <w:lang w:val="en-US" w:eastAsia="zh-CN"/>
        </w:rPr>
        <w:t xml:space="preserve">  </w:t>
      </w:r>
      <w:r>
        <w:rPr>
          <w:rFonts w:hint="eastAsia" w:ascii="宋体" w:hAnsi="宋体" w:eastAsia="宋体" w:cs="宋体"/>
          <w:b/>
          <w:bCs/>
          <w:color w:val="auto"/>
          <w:spacing w:val="-8"/>
          <w:sz w:val="21"/>
          <w:szCs w:val="21"/>
          <w:highlight w:val="none"/>
          <w:u w:val="single"/>
        </w:rPr>
        <w:t xml:space="preserve">  </w:t>
      </w:r>
      <w:r>
        <w:rPr>
          <w:rFonts w:hint="eastAsia" w:ascii="宋体" w:hAnsi="宋体" w:eastAsia="宋体" w:cs="宋体"/>
          <w:b/>
          <w:bCs/>
          <w:color w:val="auto"/>
          <w:spacing w:val="-8"/>
          <w:sz w:val="21"/>
          <w:szCs w:val="21"/>
          <w:highlight w:val="none"/>
          <w:u w:val="single"/>
          <w:lang w:val="en-US" w:eastAsia="zh-CN"/>
        </w:rPr>
        <w:t xml:space="preserve">  </w:t>
      </w:r>
      <w:r>
        <w:rPr>
          <w:rFonts w:hint="eastAsia" w:ascii="宋体" w:hAnsi="宋体" w:eastAsia="宋体" w:cs="宋体"/>
          <w:b/>
          <w:bCs/>
          <w:color w:val="auto"/>
          <w:spacing w:val="-8"/>
          <w:sz w:val="21"/>
          <w:szCs w:val="21"/>
          <w:highlight w:val="none"/>
          <w:u w:val="single"/>
        </w:rPr>
        <w:t xml:space="preserve">  </w:t>
      </w:r>
      <w:r>
        <w:rPr>
          <w:rFonts w:hint="eastAsia" w:ascii="宋体" w:hAnsi="宋体" w:eastAsia="宋体" w:cs="宋体"/>
          <w:color w:val="auto"/>
          <w:spacing w:val="-8"/>
          <w:sz w:val="21"/>
          <w:szCs w:val="21"/>
          <w:highlight w:val="none"/>
          <w:u w:val="single"/>
        </w:rPr>
        <w:t>（盖章）</w:t>
      </w:r>
      <w:r>
        <w:rPr>
          <w:rFonts w:hint="eastAsia" w:ascii="宋体" w:hAnsi="宋体" w:eastAsia="宋体" w:cs="宋体"/>
          <w:color w:val="auto"/>
          <w:spacing w:val="-8"/>
          <w:sz w:val="21"/>
          <w:szCs w:val="21"/>
          <w:highlight w:val="none"/>
        </w:rPr>
        <w:t xml:space="preserve">             乙方：</w:t>
      </w:r>
      <w:r>
        <w:rPr>
          <w:rFonts w:hint="eastAsia" w:ascii="宋体" w:hAnsi="宋体" w:eastAsia="宋体" w:cs="宋体"/>
          <w:b/>
          <w:bCs/>
          <w:color w:val="auto"/>
          <w:spacing w:val="-8"/>
          <w:sz w:val="21"/>
          <w:szCs w:val="21"/>
          <w:highlight w:val="none"/>
          <w:u w:val="single"/>
        </w:rPr>
        <w:t xml:space="preserve">                            </w:t>
      </w:r>
      <w:r>
        <w:rPr>
          <w:rFonts w:hint="eastAsia" w:ascii="宋体" w:hAnsi="宋体" w:eastAsia="宋体" w:cs="宋体"/>
          <w:color w:val="auto"/>
          <w:spacing w:val="-8"/>
          <w:sz w:val="21"/>
          <w:szCs w:val="21"/>
          <w:highlight w:val="none"/>
          <w:u w:val="single"/>
        </w:rPr>
        <w:t>（盖章）</w:t>
      </w:r>
    </w:p>
    <w:p w14:paraId="4B1877C5">
      <w:pPr>
        <w:pageBreakBefore w:val="0"/>
        <w:kinsoku/>
        <w:wordWrap/>
        <w:overflowPunct/>
        <w:topLinePunct w:val="0"/>
        <w:bidi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（签字）</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u w:val="single"/>
        </w:rPr>
        <w:t xml:space="preserve">                  （签字）</w:t>
      </w:r>
      <w:r>
        <w:rPr>
          <w:rFonts w:hint="eastAsia" w:ascii="宋体" w:hAnsi="宋体" w:eastAsia="宋体" w:cs="宋体"/>
          <w:color w:val="auto"/>
          <w:sz w:val="21"/>
          <w:szCs w:val="21"/>
          <w:highlight w:val="none"/>
        </w:rPr>
        <w:t xml:space="preserve">    </w:t>
      </w:r>
    </w:p>
    <w:p w14:paraId="6861B3B4">
      <w:pPr>
        <w:pageBreakBefore w:val="0"/>
        <w:kinsoku/>
        <w:wordWrap/>
        <w:overflowPunct/>
        <w:topLinePunct w:val="0"/>
        <w:bidi w:val="0"/>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地址：</w:t>
      </w:r>
      <w:r>
        <w:rPr>
          <w:rFonts w:hint="eastAsia" w:ascii="宋体" w:hAnsi="宋体" w:eastAsia="宋体" w:cs="宋体"/>
          <w:color w:val="auto"/>
          <w:sz w:val="21"/>
          <w:szCs w:val="21"/>
          <w:highlight w:val="none"/>
          <w:u w:val="single"/>
        </w:rPr>
        <w:t xml:space="preserve">                                </w:t>
      </w:r>
    </w:p>
    <w:p w14:paraId="46F6B78F">
      <w:pPr>
        <w:pageBreakBefore w:val="0"/>
        <w:kinsoku/>
        <w:wordWrap/>
        <w:overflowPunct/>
        <w:topLinePunct w:val="0"/>
        <w:bidi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电话：</w:t>
      </w:r>
      <w:r>
        <w:rPr>
          <w:rFonts w:hint="eastAsia" w:ascii="宋体" w:hAnsi="宋体" w:eastAsia="宋体" w:cs="宋体"/>
          <w:color w:val="auto"/>
          <w:sz w:val="21"/>
          <w:szCs w:val="21"/>
          <w:highlight w:val="none"/>
          <w:u w:val="single"/>
        </w:rPr>
        <w:t xml:space="preserve">                                </w:t>
      </w:r>
    </w:p>
    <w:p w14:paraId="02D7F400">
      <w:pPr>
        <w:pageBreakBefore w:val="0"/>
        <w:kinsoku/>
        <w:wordWrap/>
        <w:overflowPunct/>
        <w:topLinePunct w:val="0"/>
        <w:bidi w:val="0"/>
        <w:spacing w:line="500" w:lineRule="exact"/>
        <w:ind w:firstLine="1575" w:firstLineChars="7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月    日</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月    日</w:t>
      </w:r>
    </w:p>
    <w:p w14:paraId="66F58F40">
      <w:pPr>
        <w:keepNext w:val="0"/>
        <w:keepLines w:val="0"/>
        <w:pageBreakBefore w:val="0"/>
        <w:kinsoku/>
        <w:wordWrap/>
        <w:overflowPunct/>
        <w:topLinePunct w:val="0"/>
        <w:bidi w:val="0"/>
        <w:snapToGrid w:val="0"/>
        <w:spacing w:line="360" w:lineRule="auto"/>
        <w:ind w:firstLine="420" w:firstLineChars="200"/>
        <w:rPr>
          <w:rFonts w:hint="eastAsia" w:ascii="宋体" w:hAnsi="宋体" w:eastAsia="宋体" w:cs="宋体"/>
          <w:color w:val="auto"/>
          <w:sz w:val="21"/>
          <w:szCs w:val="21"/>
          <w:highlight w:val="none"/>
        </w:rPr>
      </w:pPr>
      <w:bookmarkStart w:id="182" w:name="_Toc22096"/>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1"/>
          <w:szCs w:val="21"/>
          <w:highlight w:val="none"/>
        </w:rPr>
        <w:t>附件</w:t>
      </w:r>
      <w:r>
        <w:rPr>
          <w:rFonts w:hint="eastAsia" w:ascii="宋体" w:hAnsi="宋体" w:eastAsia="宋体" w:cs="宋体"/>
          <w:b/>
          <w:bCs/>
          <w:color w:val="auto"/>
          <w:sz w:val="21"/>
          <w:szCs w:val="21"/>
          <w:highlight w:val="none"/>
          <w:lang w:eastAsia="zh-CN"/>
        </w:rPr>
        <w:t>四</w:t>
      </w:r>
      <w:r>
        <w:rPr>
          <w:rFonts w:hint="eastAsia" w:ascii="宋体" w:hAnsi="宋体" w:eastAsia="宋体" w:cs="宋体"/>
          <w:b/>
          <w:bCs/>
          <w:color w:val="auto"/>
          <w:sz w:val="21"/>
          <w:szCs w:val="21"/>
          <w:highlight w:val="none"/>
        </w:rPr>
        <w:t>：安全生产协议书</w:t>
      </w:r>
      <w:bookmarkEnd w:id="182"/>
    </w:p>
    <w:p w14:paraId="4256F79E">
      <w:pPr>
        <w:keepNext w:val="0"/>
        <w:keepLines w:val="0"/>
        <w:pageBreakBefore w:val="0"/>
        <w:kinsoku/>
        <w:wordWrap/>
        <w:overflowPunct/>
        <w:topLinePunct w:val="0"/>
        <w:bidi w:val="0"/>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安全生产协议书</w:t>
      </w:r>
    </w:p>
    <w:p w14:paraId="42D13FED">
      <w:pPr>
        <w:keepNext w:val="0"/>
        <w:keepLines w:val="0"/>
        <w:pageBreakBefore w:val="0"/>
        <w:kinsoku/>
        <w:wordWrap/>
        <w:overflowPunct/>
        <w:topLinePunct w:val="0"/>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为在</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标段名称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施工合同的实施过程中创造安全、高效的施工环境，切实搞好本项目的安全管理工作，本项目的发包人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（以下简称“甲方”）与承包人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（以下简称“乙方”），特此签订安全生产协议书：</w:t>
      </w:r>
    </w:p>
    <w:p w14:paraId="17113AB6">
      <w:pPr>
        <w:keepNext w:val="0"/>
        <w:keepLines w:val="0"/>
        <w:pageBreakBefore w:val="0"/>
        <w:numPr>
          <w:ilvl w:val="0"/>
          <w:numId w:val="8"/>
        </w:numPr>
        <w:kinsoku/>
        <w:wordWrap/>
        <w:overflowPunct/>
        <w:topLinePunct w:val="0"/>
        <w:bidi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甲方职责</w:t>
      </w:r>
    </w:p>
    <w:p w14:paraId="5BC2454D">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遵守国家有关安全生产的法律法规，认真执行工程承包合同中的有关安全要求。</w:t>
      </w:r>
    </w:p>
    <w:p w14:paraId="6008EA12">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安全第一、预防为主、综合治理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和坚持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管生产必须管安全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的原则进行安全生产管理，做到生产与安全工作同时计划、布置、检查、总结和评比。</w:t>
      </w:r>
    </w:p>
    <w:p w14:paraId="774A5847">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重要的安全设施必须坚持与主体工程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三同时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的原则，即：同时设计、审批，同时施工，同时验收、投入使用。</w:t>
      </w:r>
    </w:p>
    <w:p w14:paraId="4652F792">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定期召开安全生产调度会，及时传达中央及地方有关安全生产的精神。</w:t>
      </w:r>
    </w:p>
    <w:p w14:paraId="35ABBC8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五</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组织对乙方施工现场安全生产检查，监督乙方及时处理发现的各种安全隐患。</w:t>
      </w:r>
    </w:p>
    <w:p w14:paraId="7A4518DA">
      <w:pPr>
        <w:keepNext w:val="0"/>
        <w:keepLines w:val="0"/>
        <w:pageBreakBefore w:val="0"/>
        <w:numPr>
          <w:ilvl w:val="0"/>
          <w:numId w:val="8"/>
        </w:numPr>
        <w:kinsoku/>
        <w:wordWrap/>
        <w:overflowPunct/>
        <w:topLinePunct w:val="0"/>
        <w:bidi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乙方职责</w:t>
      </w:r>
    </w:p>
    <w:p w14:paraId="662E6145">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严格遵守国家有关安全生产的法律法规、水利部颁发的有关工程施工安全技术规程的安全生产规定，认真执行工程承包合同中的有关安全要求。</w:t>
      </w:r>
    </w:p>
    <w:p w14:paraId="290D6B02">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坚持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安全第一、预防为主、综合治理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和坚持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管生产必须管安全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原则，加强安全生产宣传教育，增强全员安全生产意识，建立健全各项安全生产的管理机构和安全生产管理制度，配备专职及兼职安全检查人员，有组织有领导地开展安全生产活动。各级领导、工程技术人员、生产管理人员和 具体操作人员，必须熟悉和遵守本条款的各项规定，做到生产与安全工作同时计划、布置、检查、总结和评比。</w:t>
      </w:r>
    </w:p>
    <w:p w14:paraId="23F66842">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建立健全安全生产责任制。从派往项目实施的项目负责人到生产工人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包括临时雇请的民工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安全生产管理系统必须做到纵向到底，一环不漏；各职能部门、人员的安全生产责任制做到横向到边，人人有责。项目负责人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6BD17B1A">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乙方在任何时候都应采取各种合理的预防措施，防止其员工发生任何违法、违禁、暴力或妨碍治安的行为。</w:t>
      </w:r>
    </w:p>
    <w:p w14:paraId="0EABC19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五</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乙方必须具有劳动安全管理部门颁发的安全生产证书，参加施工的 人员，必须接受安全技术教育，熟知和遵守本工种的各项安全技术操作规程，定期进行安全技术考核，合格者方准上岗操作。对于从事电气、起重、建筑登 高架设作业、锅炉、压力容器、焊接、机动车驾驶、爆破等特殊工种的人员， 需经过专业培训，获得《安全操作合格证》后，方准持证上岗。施工现场如出现特种作业无证操作现象时，项目负责人必须承担管理责任。</w:t>
      </w:r>
    </w:p>
    <w:p w14:paraId="63BEA906">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于易燃易爆的材料除应专门妥善保管之外，还应配备有足够的消防设施，所有施工人员都应熟悉消防设备的性能和使用方法；乙方不得将任何种类的给予、易货或以其他方式转让给任何人，或允许、容忍上述同样行为。</w:t>
      </w:r>
    </w:p>
    <w:p w14:paraId="17F06B34">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操作人员上岗，必须按规定穿戴防护用品。施工负责人和安全检查员应随时检查劳动防护用品的穿戴情况，不按规定穿戴防护用品的人员不得上岗。</w:t>
      </w:r>
    </w:p>
    <w:p w14:paraId="56364FB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所有施工机具设备和高空作业的设备均应定期检查，并有安全员的签字记录，保证其经常处于完好状态；不合格的机具、设备和劳动保护用品严禁使用。</w:t>
      </w:r>
    </w:p>
    <w:p w14:paraId="458D2A70">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所有施工中采用新技术，新工艺、新设备、新材料时，必须制定相应的安全技术措施，施工现场必须具有相关的安全标志牌。</w:t>
      </w:r>
    </w:p>
    <w:p w14:paraId="4CB9734E">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乙方必须按照本工程项目特点，组织制定本工程实施中的生产安全事故应急救援预案；如果发生安全事故，应按照《国务院关于特大安全事故行政责任追究的规定》以及其他有关规定，及时上报有关部门，并坚持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四不放过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的原则，严肃处理相关责任人。</w:t>
      </w:r>
    </w:p>
    <w:p w14:paraId="57ADEBCA">
      <w:pPr>
        <w:keepNext w:val="0"/>
        <w:keepLines w:val="0"/>
        <w:pageBreakBefore w:val="0"/>
        <w:kinsoku/>
        <w:wordWrap/>
        <w:overflowPunct/>
        <w:topLinePunct w:val="0"/>
        <w:bidi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第三条  违约责任</w:t>
      </w:r>
    </w:p>
    <w:p w14:paraId="5CC6A7E4">
      <w:pPr>
        <w:keepNext w:val="0"/>
        <w:keepLines w:val="0"/>
        <w:pageBreakBefore w:val="0"/>
        <w:kinsoku/>
        <w:wordWrap/>
        <w:overflowPunct/>
        <w:topLinePunct w:val="0"/>
        <w:bidi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如因甲方或乙方违约造成安全事故，将依法追究责任，并视事故轻重扣除一定比例的安全保证金。</w:t>
      </w:r>
    </w:p>
    <w:p w14:paraId="3CE13FEB">
      <w:pPr>
        <w:keepNext w:val="0"/>
        <w:keepLines w:val="0"/>
        <w:pageBreakBefore w:val="0"/>
        <w:kinsoku/>
        <w:wordWrap/>
        <w:overflowPunct/>
        <w:topLinePunct w:val="0"/>
        <w:bidi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本合同正本一式贰份，副本捌份，合同双方各执正本壹份，副本肆份。由双方法定代表人或其授权的代理人签署与加盖公章后生效，全部工程竣工验收后失效。</w:t>
      </w:r>
    </w:p>
    <w:p w14:paraId="5C54BED4">
      <w:pPr>
        <w:keepNext w:val="0"/>
        <w:keepLines w:val="0"/>
        <w:pageBreakBefore w:val="0"/>
        <w:kinsoku/>
        <w:wordWrap/>
        <w:overflowPunct/>
        <w:topLinePunct w:val="0"/>
        <w:bidi w:val="0"/>
        <w:spacing w:line="360" w:lineRule="auto"/>
        <w:rPr>
          <w:rFonts w:hint="eastAsia" w:ascii="宋体" w:hAnsi="宋体" w:eastAsia="宋体" w:cs="宋体"/>
          <w:color w:val="auto"/>
          <w:spacing w:val="-8"/>
          <w:sz w:val="21"/>
          <w:szCs w:val="21"/>
          <w:highlight w:val="none"/>
        </w:rPr>
      </w:pPr>
    </w:p>
    <w:p w14:paraId="57EAABD5">
      <w:pPr>
        <w:keepNext w:val="0"/>
        <w:keepLines w:val="0"/>
        <w:pageBreakBefore w:val="0"/>
        <w:kinsoku/>
        <w:wordWrap/>
        <w:overflowPunct/>
        <w:topLinePunct w:val="0"/>
        <w:bidi w:val="0"/>
        <w:spacing w:line="360" w:lineRule="auto"/>
        <w:rPr>
          <w:rFonts w:hint="eastAsia" w:ascii="宋体" w:hAnsi="宋体" w:eastAsia="宋体" w:cs="宋体"/>
          <w:color w:val="auto"/>
          <w:spacing w:val="-8"/>
          <w:sz w:val="21"/>
          <w:szCs w:val="21"/>
          <w:highlight w:val="none"/>
        </w:rPr>
      </w:pPr>
    </w:p>
    <w:p w14:paraId="3CF5BA75">
      <w:pPr>
        <w:keepNext w:val="0"/>
        <w:keepLines w:val="0"/>
        <w:pageBreakBefore w:val="0"/>
        <w:kinsoku/>
        <w:wordWrap/>
        <w:overflowPunct/>
        <w:topLinePunct w:val="0"/>
        <w:bidi w:val="0"/>
        <w:spacing w:line="360" w:lineRule="auto"/>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甲方：</w:t>
      </w:r>
      <w:r>
        <w:rPr>
          <w:rFonts w:hint="eastAsia" w:ascii="宋体" w:hAnsi="宋体" w:eastAsia="宋体" w:cs="宋体"/>
          <w:b/>
          <w:bCs/>
          <w:color w:val="auto"/>
          <w:spacing w:val="-8"/>
          <w:sz w:val="21"/>
          <w:szCs w:val="21"/>
          <w:highlight w:val="none"/>
          <w:u w:val="single"/>
        </w:rPr>
        <w:t xml:space="preserve">                       </w:t>
      </w:r>
      <w:r>
        <w:rPr>
          <w:rFonts w:hint="eastAsia" w:ascii="宋体" w:hAnsi="宋体" w:eastAsia="宋体" w:cs="宋体"/>
          <w:color w:val="auto"/>
          <w:spacing w:val="-8"/>
          <w:sz w:val="21"/>
          <w:szCs w:val="21"/>
          <w:highlight w:val="none"/>
          <w:u w:val="single"/>
        </w:rPr>
        <w:t>（盖章）</w:t>
      </w:r>
      <w:r>
        <w:rPr>
          <w:rFonts w:hint="eastAsia" w:ascii="宋体" w:hAnsi="宋体" w:eastAsia="宋体" w:cs="宋体"/>
          <w:color w:val="auto"/>
          <w:spacing w:val="-8"/>
          <w:sz w:val="21"/>
          <w:szCs w:val="21"/>
          <w:highlight w:val="none"/>
        </w:rPr>
        <w:t xml:space="preserve">              乙方：</w:t>
      </w:r>
      <w:r>
        <w:rPr>
          <w:rFonts w:hint="eastAsia" w:ascii="宋体" w:hAnsi="宋体" w:eastAsia="宋体" w:cs="宋体"/>
          <w:b/>
          <w:bCs/>
          <w:color w:val="auto"/>
          <w:spacing w:val="-8"/>
          <w:sz w:val="21"/>
          <w:szCs w:val="21"/>
          <w:highlight w:val="none"/>
          <w:u w:val="single"/>
        </w:rPr>
        <w:t xml:space="preserve">                            </w:t>
      </w:r>
      <w:r>
        <w:rPr>
          <w:rFonts w:hint="eastAsia" w:ascii="宋体" w:hAnsi="宋体" w:eastAsia="宋体" w:cs="宋体"/>
          <w:color w:val="auto"/>
          <w:spacing w:val="-8"/>
          <w:sz w:val="21"/>
          <w:szCs w:val="21"/>
          <w:highlight w:val="none"/>
          <w:u w:val="single"/>
        </w:rPr>
        <w:t>（盖章）</w:t>
      </w:r>
    </w:p>
    <w:p w14:paraId="22F54E6F">
      <w:pPr>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（签字）</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u w:val="single"/>
        </w:rPr>
        <w:t xml:space="preserve">             （签字）</w:t>
      </w:r>
    </w:p>
    <w:p w14:paraId="2D0BE6BA">
      <w:pPr>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或其授权的代理人：</w:t>
      </w:r>
      <w:r>
        <w:rPr>
          <w:rFonts w:hint="eastAsia" w:ascii="宋体" w:hAnsi="宋体" w:eastAsia="宋体" w:cs="宋体"/>
          <w:color w:val="auto"/>
          <w:sz w:val="21"/>
          <w:szCs w:val="21"/>
          <w:highlight w:val="none"/>
          <w:u w:val="single"/>
        </w:rPr>
        <w:t xml:space="preserve">   （职务） （签字）</w:t>
      </w:r>
      <w:r>
        <w:rPr>
          <w:rFonts w:hint="eastAsia" w:ascii="宋体" w:hAnsi="宋体" w:eastAsia="宋体" w:cs="宋体"/>
          <w:color w:val="auto"/>
          <w:sz w:val="21"/>
          <w:szCs w:val="21"/>
          <w:highlight w:val="none"/>
        </w:rPr>
        <w:t xml:space="preserve">       或其授权的代理人：</w:t>
      </w:r>
      <w:r>
        <w:rPr>
          <w:rFonts w:hint="eastAsia" w:ascii="宋体" w:hAnsi="宋体" w:eastAsia="宋体" w:cs="宋体"/>
          <w:color w:val="auto"/>
          <w:sz w:val="21"/>
          <w:szCs w:val="21"/>
          <w:highlight w:val="none"/>
          <w:u w:val="single"/>
        </w:rPr>
        <w:t xml:space="preserve">   （职务）（签字）</w:t>
      </w:r>
      <w:r>
        <w:rPr>
          <w:rFonts w:hint="eastAsia" w:ascii="宋体" w:hAnsi="宋体" w:eastAsia="宋体" w:cs="宋体"/>
          <w:color w:val="auto"/>
          <w:sz w:val="21"/>
          <w:szCs w:val="21"/>
          <w:highlight w:val="none"/>
        </w:rPr>
        <w:t xml:space="preserve">  </w:t>
      </w:r>
    </w:p>
    <w:p w14:paraId="3987716F">
      <w:pPr>
        <w:keepNext w:val="0"/>
        <w:keepLines w:val="0"/>
        <w:pageBreakBefore w:val="0"/>
        <w:kinsoku/>
        <w:wordWrap/>
        <w:overflowPunct/>
        <w:topLinePunct w:val="0"/>
        <w:bidi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                         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4D6CA65">
      <w:pPr>
        <w:rPr>
          <w:color w:val="auto"/>
          <w:highlight w:val="none"/>
        </w:rPr>
      </w:pPr>
    </w:p>
    <w:p w14:paraId="35D5F2C6">
      <w:pPr>
        <w:pStyle w:val="21"/>
        <w:rPr>
          <w:color w:val="auto"/>
          <w:highlight w:val="none"/>
        </w:rPr>
      </w:pPr>
    </w:p>
    <w:p w14:paraId="58E59679">
      <w:pPr>
        <w:rPr>
          <w:color w:val="auto"/>
          <w:highlight w:val="none"/>
        </w:rPr>
      </w:pPr>
    </w:p>
    <w:p w14:paraId="6F3E39AD">
      <w:pPr>
        <w:pStyle w:val="21"/>
        <w:rPr>
          <w:color w:val="auto"/>
          <w:highlight w:val="none"/>
        </w:rPr>
      </w:pPr>
    </w:p>
    <w:p w14:paraId="3940EDFB">
      <w:pPr>
        <w:rPr>
          <w:color w:val="auto"/>
          <w:highlight w:val="none"/>
        </w:rPr>
      </w:pPr>
    </w:p>
    <w:p w14:paraId="386CE732">
      <w:pPr>
        <w:pStyle w:val="21"/>
        <w:rPr>
          <w:color w:val="auto"/>
          <w:highlight w:val="none"/>
        </w:rPr>
      </w:pPr>
    </w:p>
    <w:p w14:paraId="44308158">
      <w:pPr>
        <w:rPr>
          <w:color w:val="auto"/>
          <w:highlight w:val="none"/>
        </w:rPr>
      </w:pPr>
    </w:p>
    <w:bookmarkEnd w:id="125"/>
    <w:bookmarkEnd w:id="126"/>
    <w:bookmarkEnd w:id="127"/>
    <w:p w14:paraId="2C2CCEB7">
      <w:pPr>
        <w:rPr>
          <w:color w:val="auto"/>
          <w:highlight w:val="none"/>
        </w:rPr>
      </w:pPr>
      <w:bookmarkStart w:id="183" w:name="_Toc386121569"/>
      <w:bookmarkStart w:id="184" w:name="_Toc9900"/>
      <w:bookmarkStart w:id="185" w:name="_Toc21472"/>
      <w:bookmarkStart w:id="186" w:name="_Toc386121758"/>
      <w:bookmarkStart w:id="187" w:name="_Toc106012814"/>
      <w:bookmarkStart w:id="188" w:name="_Toc155342575"/>
    </w:p>
    <w:p w14:paraId="3ED2A326">
      <w:pPr>
        <w:pStyle w:val="2"/>
        <w:spacing w:beforeLines="50" w:afterLines="50"/>
        <w:rPr>
          <w:color w:val="auto"/>
          <w:highlight w:val="none"/>
        </w:rPr>
      </w:pPr>
      <w:r>
        <w:rPr>
          <w:rFonts w:hint="eastAsia"/>
          <w:color w:val="auto"/>
          <w:highlight w:val="none"/>
        </w:rPr>
        <w:t>第四章 投标文件格式</w:t>
      </w:r>
      <w:bookmarkEnd w:id="183"/>
      <w:bookmarkEnd w:id="184"/>
      <w:bookmarkEnd w:id="185"/>
      <w:bookmarkEnd w:id="186"/>
    </w:p>
    <w:bookmarkEnd w:id="187"/>
    <w:bookmarkEnd w:id="188"/>
    <w:p w14:paraId="52244FF8">
      <w:pPr>
        <w:rPr>
          <w:color w:val="auto"/>
          <w:highlight w:val="none"/>
        </w:rPr>
      </w:pPr>
      <w:bookmarkStart w:id="189" w:name="_Toc169487825"/>
    </w:p>
    <w:p w14:paraId="5948C6E4">
      <w:pPr>
        <w:rPr>
          <w:color w:val="auto"/>
          <w:highlight w:val="none"/>
        </w:rPr>
      </w:pPr>
    </w:p>
    <w:p w14:paraId="192BDB4F">
      <w:pPr>
        <w:rPr>
          <w:color w:val="auto"/>
          <w:highlight w:val="none"/>
        </w:rPr>
      </w:pPr>
    </w:p>
    <w:p w14:paraId="71632106">
      <w:pPr>
        <w:rPr>
          <w:color w:val="auto"/>
          <w:highlight w:val="none"/>
        </w:rPr>
      </w:pPr>
    </w:p>
    <w:p w14:paraId="2695EAD7">
      <w:pPr>
        <w:rPr>
          <w:color w:val="auto"/>
          <w:highlight w:val="none"/>
        </w:rPr>
      </w:pPr>
    </w:p>
    <w:p w14:paraId="0FA8A3B1">
      <w:pPr>
        <w:rPr>
          <w:color w:val="auto"/>
          <w:highlight w:val="none"/>
        </w:rPr>
      </w:pPr>
    </w:p>
    <w:p w14:paraId="67ECC824">
      <w:pPr>
        <w:rPr>
          <w:color w:val="auto"/>
          <w:highlight w:val="none"/>
        </w:rPr>
      </w:pPr>
    </w:p>
    <w:p w14:paraId="08CE3E48">
      <w:pPr>
        <w:rPr>
          <w:color w:val="auto"/>
          <w:highlight w:val="none"/>
        </w:rPr>
      </w:pPr>
    </w:p>
    <w:p w14:paraId="4AE808A2">
      <w:pPr>
        <w:rPr>
          <w:color w:val="auto"/>
          <w:highlight w:val="none"/>
        </w:rPr>
      </w:pPr>
    </w:p>
    <w:p w14:paraId="033AEEEF">
      <w:pPr>
        <w:rPr>
          <w:color w:val="auto"/>
          <w:highlight w:val="none"/>
        </w:rPr>
      </w:pPr>
    </w:p>
    <w:p w14:paraId="560145CD">
      <w:pPr>
        <w:rPr>
          <w:color w:val="auto"/>
          <w:highlight w:val="none"/>
        </w:rPr>
      </w:pPr>
    </w:p>
    <w:p w14:paraId="3C3ECCD6">
      <w:pPr>
        <w:rPr>
          <w:color w:val="auto"/>
          <w:highlight w:val="none"/>
        </w:rPr>
      </w:pPr>
    </w:p>
    <w:p w14:paraId="7D985089">
      <w:pPr>
        <w:pStyle w:val="21"/>
        <w:rPr>
          <w:color w:val="auto"/>
          <w:highlight w:val="none"/>
        </w:rPr>
      </w:pPr>
    </w:p>
    <w:p w14:paraId="6DA7525B">
      <w:pPr>
        <w:rPr>
          <w:color w:val="auto"/>
          <w:highlight w:val="none"/>
        </w:rPr>
      </w:pPr>
    </w:p>
    <w:p w14:paraId="3B8D22A2">
      <w:pPr>
        <w:pStyle w:val="21"/>
        <w:rPr>
          <w:color w:val="auto"/>
          <w:highlight w:val="none"/>
        </w:rPr>
      </w:pPr>
    </w:p>
    <w:p w14:paraId="1917A070">
      <w:pPr>
        <w:rPr>
          <w:color w:val="auto"/>
          <w:highlight w:val="none"/>
        </w:rPr>
      </w:pPr>
    </w:p>
    <w:p w14:paraId="71B5B0DB">
      <w:pPr>
        <w:pStyle w:val="21"/>
        <w:rPr>
          <w:color w:val="auto"/>
          <w:highlight w:val="none"/>
        </w:rPr>
      </w:pPr>
    </w:p>
    <w:p w14:paraId="0C5185DC">
      <w:pPr>
        <w:rPr>
          <w:color w:val="auto"/>
          <w:highlight w:val="none"/>
        </w:rPr>
      </w:pPr>
    </w:p>
    <w:p w14:paraId="76D8EA66">
      <w:pPr>
        <w:pStyle w:val="21"/>
        <w:rPr>
          <w:color w:val="auto"/>
          <w:highlight w:val="none"/>
        </w:rPr>
      </w:pPr>
    </w:p>
    <w:p w14:paraId="4968B293">
      <w:pPr>
        <w:rPr>
          <w:color w:val="auto"/>
          <w:highlight w:val="none"/>
        </w:rPr>
      </w:pPr>
    </w:p>
    <w:p w14:paraId="70290799">
      <w:pPr>
        <w:rPr>
          <w:color w:val="auto"/>
          <w:highlight w:val="none"/>
        </w:rPr>
      </w:pPr>
    </w:p>
    <w:p w14:paraId="6E3CFE0F">
      <w:pPr>
        <w:rPr>
          <w:color w:val="auto"/>
          <w:highlight w:val="none"/>
        </w:rPr>
      </w:pPr>
    </w:p>
    <w:p w14:paraId="12690C91">
      <w:pPr>
        <w:rPr>
          <w:color w:val="auto"/>
          <w:highlight w:val="none"/>
        </w:rPr>
      </w:pPr>
    </w:p>
    <w:p w14:paraId="102223AE">
      <w:pPr>
        <w:pStyle w:val="21"/>
        <w:rPr>
          <w:color w:val="auto"/>
          <w:highlight w:val="none"/>
        </w:rPr>
      </w:pPr>
    </w:p>
    <w:p w14:paraId="3BF7A30E">
      <w:pPr>
        <w:rPr>
          <w:color w:val="auto"/>
          <w:highlight w:val="none"/>
        </w:rPr>
      </w:pPr>
    </w:p>
    <w:p w14:paraId="630EF411">
      <w:pPr>
        <w:pStyle w:val="21"/>
        <w:rPr>
          <w:color w:val="auto"/>
          <w:highlight w:val="none"/>
        </w:rPr>
      </w:pPr>
    </w:p>
    <w:p w14:paraId="1DA8977A">
      <w:pPr>
        <w:rPr>
          <w:color w:val="auto"/>
          <w:highlight w:val="none"/>
        </w:rPr>
      </w:pPr>
    </w:p>
    <w:p w14:paraId="489FB147">
      <w:pPr>
        <w:rPr>
          <w:color w:val="auto"/>
          <w:highlight w:val="none"/>
        </w:rPr>
      </w:pPr>
    </w:p>
    <w:p w14:paraId="41222323">
      <w:pPr>
        <w:pStyle w:val="29"/>
        <w:rPr>
          <w:color w:val="auto"/>
          <w:highlight w:val="none"/>
        </w:rPr>
      </w:pPr>
    </w:p>
    <w:p w14:paraId="2180B21A">
      <w:pPr>
        <w:pStyle w:val="3"/>
        <w:numPr>
          <w:ilvl w:val="0"/>
          <w:numId w:val="0"/>
        </w:numPr>
        <w:spacing w:before="0" w:afterLines="0" w:line="360" w:lineRule="exact"/>
        <w:jc w:val="both"/>
        <w:rPr>
          <w:rFonts w:hint="eastAsia"/>
          <w:b w:val="0"/>
          <w:color w:val="auto"/>
          <w:sz w:val="28"/>
          <w:szCs w:val="28"/>
          <w:highlight w:val="none"/>
        </w:rPr>
      </w:pPr>
      <w:bookmarkStart w:id="190" w:name="_Toc386122456"/>
      <w:bookmarkStart w:id="191" w:name="_Toc386121759"/>
      <w:bookmarkStart w:id="192" w:name="_Toc30668"/>
      <w:bookmarkStart w:id="193" w:name="_Toc30925"/>
    </w:p>
    <w:p w14:paraId="070F0537">
      <w:pPr>
        <w:pStyle w:val="3"/>
        <w:numPr>
          <w:ilvl w:val="0"/>
          <w:numId w:val="0"/>
        </w:numPr>
        <w:spacing w:before="0" w:afterLines="0" w:line="360" w:lineRule="exact"/>
        <w:jc w:val="both"/>
        <w:rPr>
          <w:rFonts w:hint="eastAsia"/>
          <w:b w:val="0"/>
          <w:color w:val="auto"/>
          <w:sz w:val="28"/>
          <w:szCs w:val="28"/>
          <w:highlight w:val="none"/>
        </w:rPr>
      </w:pPr>
    </w:p>
    <w:p w14:paraId="4BA16DF8">
      <w:pPr>
        <w:pStyle w:val="3"/>
        <w:numPr>
          <w:ilvl w:val="0"/>
          <w:numId w:val="0"/>
        </w:numPr>
        <w:spacing w:before="0" w:afterLines="0" w:line="360" w:lineRule="exact"/>
        <w:jc w:val="both"/>
        <w:rPr>
          <w:b w:val="0"/>
          <w:color w:val="auto"/>
          <w:sz w:val="28"/>
          <w:szCs w:val="28"/>
          <w:highlight w:val="none"/>
        </w:rPr>
      </w:pPr>
      <w:r>
        <w:rPr>
          <w:rFonts w:hint="eastAsia"/>
          <w:b w:val="0"/>
          <w:color w:val="auto"/>
          <w:sz w:val="28"/>
          <w:szCs w:val="28"/>
          <w:highlight w:val="none"/>
        </w:rPr>
        <w:t>附件一：</w:t>
      </w:r>
      <w:bookmarkEnd w:id="189"/>
      <w:bookmarkEnd w:id="190"/>
      <w:bookmarkEnd w:id="191"/>
      <w:r>
        <w:rPr>
          <w:rFonts w:hint="eastAsia"/>
          <w:b w:val="0"/>
          <w:color w:val="auto"/>
          <w:sz w:val="28"/>
          <w:szCs w:val="28"/>
          <w:highlight w:val="none"/>
        </w:rPr>
        <w:t>投标函</w:t>
      </w:r>
      <w:bookmarkEnd w:id="192"/>
      <w:bookmarkEnd w:id="193"/>
    </w:p>
    <w:p w14:paraId="70AC6A56">
      <w:pPr>
        <w:rPr>
          <w:rFonts w:ascii="黑体" w:eastAsia="黑体"/>
          <w:color w:val="auto"/>
          <w:sz w:val="28"/>
          <w:szCs w:val="28"/>
          <w:highlight w:val="none"/>
        </w:rPr>
      </w:pPr>
    </w:p>
    <w:p w14:paraId="3D8E352C">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 xml:space="preserve">临海市尤溪镇山塘建设工程(双塘坑山塘) </w:t>
      </w:r>
    </w:p>
    <w:p w14:paraId="328BE380">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1D18729D">
      <w:pPr>
        <w:pStyle w:val="18"/>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eastAsia="zh-CN"/>
        </w:rPr>
        <w:t>临海市尤溪镇人民政府</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48E75145">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 xml:space="preserve">临海市尤溪镇山塘建设工程(双塘坑山塘) </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38ABF907">
      <w:pPr>
        <w:ind w:firstLine="585"/>
        <w:rPr>
          <w:rFonts w:ascii="宋体" w:hAnsi="宋体" w:eastAsia="宋体"/>
          <w:color w:val="auto"/>
          <w:w w:val="107"/>
          <w:sz w:val="24"/>
          <w:szCs w:val="24"/>
          <w:highlight w:val="none"/>
          <w:u w:val="single"/>
        </w:rPr>
      </w:pPr>
      <w:r>
        <w:rPr>
          <w:rFonts w:hint="eastAsia" w:ascii="宋体" w:hAnsi="宋体" w:eastAsia="宋体"/>
          <w:color w:val="auto"/>
          <w:sz w:val="24"/>
          <w:szCs w:val="24"/>
          <w:highlight w:val="none"/>
        </w:rPr>
        <w:t>1、愿以总报价人民币（大写）：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元（保留整数）承包上述工程的施工、竣工和保修。</w:t>
      </w:r>
    </w:p>
    <w:p w14:paraId="14B74F0C">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5511CE34">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064FD5F1">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535D516A">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73C0EEC1">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5FA91CF1">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1DE66631">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76EEFAE5">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5A83DCB6">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3418A753">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7D04ED7D">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2FF5D66D">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2C3F7A3B">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63A2D656">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6DB21B21">
      <w:pPr>
        <w:ind w:right="480"/>
        <w:rPr>
          <w:rFonts w:ascii="宋体" w:hAnsi="宋体" w:eastAsia="宋体"/>
          <w:color w:val="auto"/>
          <w:sz w:val="24"/>
          <w:szCs w:val="24"/>
          <w:highlight w:val="none"/>
        </w:rPr>
      </w:pPr>
    </w:p>
    <w:p w14:paraId="1BAA1335">
      <w:pPr>
        <w:rPr>
          <w:rFonts w:ascii="宋体" w:hAnsi="宋体" w:eastAsia="宋体"/>
          <w:color w:val="auto"/>
          <w:sz w:val="24"/>
          <w:szCs w:val="24"/>
          <w:highlight w:val="none"/>
        </w:rPr>
      </w:pPr>
    </w:p>
    <w:p w14:paraId="44989533">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94" w:name="_Hlt465761988"/>
      <w:bookmarkEnd w:id="194"/>
      <w:bookmarkStart w:id="195" w:name="_Hlk465759066"/>
      <w:bookmarkEnd w:id="195"/>
      <w:r>
        <w:rPr>
          <w:rFonts w:hint="eastAsia" w:ascii="宋体" w:hAnsi="宋体" w:eastAsia="宋体"/>
          <w:color w:val="auto"/>
          <w:sz w:val="24"/>
          <w:szCs w:val="24"/>
          <w:highlight w:val="none"/>
        </w:rPr>
        <w:t>投标人（盖章）：</w:t>
      </w:r>
    </w:p>
    <w:p w14:paraId="2459C55C">
      <w:pPr>
        <w:jc w:val="right"/>
        <w:rPr>
          <w:rFonts w:ascii="宋体" w:hAnsi="宋体" w:eastAsia="宋体"/>
          <w:color w:val="auto"/>
          <w:sz w:val="24"/>
          <w:szCs w:val="24"/>
          <w:highlight w:val="none"/>
        </w:rPr>
      </w:pPr>
    </w:p>
    <w:p w14:paraId="78EC7C69">
      <w:pPr>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96" w:name="_Toc169487830"/>
      <w:bookmarkStart w:id="197" w:name="_Toc106553077"/>
      <w:bookmarkStart w:id="198" w:name="_Toc386121760"/>
      <w:bookmarkStart w:id="199" w:name="_Toc23377"/>
      <w:bookmarkStart w:id="200" w:name="_Toc155342580"/>
      <w:bookmarkStart w:id="201" w:name="_Toc24432"/>
      <w:bookmarkStart w:id="202" w:name="_Toc386122457"/>
      <w:bookmarkStart w:id="203" w:name="_Toc106012815"/>
      <w:bookmarkStart w:id="204" w:name="_Toc144975208"/>
    </w:p>
    <w:p w14:paraId="39FBE1AE">
      <w:pPr>
        <w:pStyle w:val="29"/>
      </w:pPr>
    </w:p>
    <w:p w14:paraId="232D5C33">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96"/>
      <w:bookmarkEnd w:id="197"/>
      <w:bookmarkEnd w:id="198"/>
      <w:bookmarkEnd w:id="199"/>
      <w:bookmarkEnd w:id="200"/>
      <w:bookmarkEnd w:id="201"/>
      <w:bookmarkEnd w:id="202"/>
      <w:bookmarkEnd w:id="203"/>
      <w:bookmarkEnd w:id="204"/>
      <w:r>
        <w:rPr>
          <w:rFonts w:hint="eastAsia"/>
          <w:b w:val="0"/>
          <w:color w:val="auto"/>
          <w:sz w:val="28"/>
          <w:szCs w:val="28"/>
          <w:highlight w:val="none"/>
        </w:rPr>
        <w:t>临海市建设工程安全生产任职资格承诺书</w:t>
      </w:r>
    </w:p>
    <w:p w14:paraId="6AC61AA7">
      <w:pPr>
        <w:rPr>
          <w:b/>
          <w:bCs/>
          <w:color w:val="auto"/>
          <w:sz w:val="21"/>
          <w:szCs w:val="21"/>
          <w:highlight w:val="none"/>
        </w:rPr>
      </w:pPr>
    </w:p>
    <w:p w14:paraId="6B271F6E">
      <w:pPr>
        <w:jc w:val="center"/>
        <w:rPr>
          <w:rFonts w:ascii="宋体" w:hAnsi="宋体" w:eastAsia="宋体"/>
          <w:color w:val="auto"/>
          <w:szCs w:val="18"/>
          <w:highlight w:val="none"/>
        </w:rPr>
      </w:pPr>
    </w:p>
    <w:p w14:paraId="3B8CF4FB">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 xml:space="preserve">临海市尤溪镇山塘建设工程(双塘坑山塘) </w:t>
      </w:r>
    </w:p>
    <w:p w14:paraId="17AB1A2C">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29AA6444">
      <w:pPr>
        <w:rPr>
          <w:rFonts w:ascii="宋体" w:hAnsi="宋体" w:eastAsia="宋体"/>
          <w:color w:val="auto"/>
          <w:sz w:val="28"/>
          <w:highlight w:val="none"/>
        </w:rPr>
      </w:pPr>
    </w:p>
    <w:p w14:paraId="0E1102F8">
      <w:pPr>
        <w:rPr>
          <w:rFonts w:ascii="宋体" w:hAnsi="宋体" w:eastAsia="宋体" w:cs="宋体"/>
          <w:color w:val="auto"/>
          <w:sz w:val="24"/>
          <w:szCs w:val="24"/>
          <w:highlight w:val="none"/>
        </w:rPr>
      </w:pPr>
      <w:bookmarkStart w:id="205" w:name="_Toc155342584"/>
      <w:bookmarkStart w:id="206" w:name="_Toc106012816"/>
      <w:bookmarkStart w:id="207" w:name="_Toc106553078"/>
      <w:r>
        <w:rPr>
          <w:rFonts w:hint="eastAsia" w:ascii="宋体" w:hAnsi="宋体" w:eastAsia="宋体" w:cs="宋体"/>
          <w:color w:val="auto"/>
          <w:sz w:val="24"/>
          <w:szCs w:val="24"/>
          <w:highlight w:val="none"/>
        </w:rPr>
        <w:t>本人以企业法定代表人的身份郑重承诺：</w:t>
      </w:r>
    </w:p>
    <w:p w14:paraId="3CBBB1FD">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3DC585DA">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445BFE0E">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79D1FB27">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626C9609">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5FA32479">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7A19C0AD">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2DEC2450">
      <w:pPr>
        <w:ind w:firstLine="7080" w:firstLineChars="2950"/>
        <w:rPr>
          <w:rFonts w:ascii="宋体" w:hAnsi="宋体" w:eastAsia="宋体" w:cs="宋体"/>
          <w:color w:val="auto"/>
          <w:sz w:val="24"/>
          <w:szCs w:val="24"/>
          <w:highlight w:val="none"/>
        </w:rPr>
      </w:pPr>
    </w:p>
    <w:p w14:paraId="3ABAAAD7">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74F3D287">
      <w:pPr>
        <w:rPr>
          <w:color w:val="auto"/>
          <w:highlight w:val="none"/>
        </w:rPr>
      </w:pPr>
    </w:p>
    <w:p w14:paraId="39C69E71">
      <w:pPr>
        <w:rPr>
          <w:color w:val="auto"/>
          <w:highlight w:val="none"/>
        </w:rPr>
      </w:pPr>
    </w:p>
    <w:p w14:paraId="7DB0BACE">
      <w:pPr>
        <w:widowControl/>
        <w:jc w:val="left"/>
        <w:rPr>
          <w:rFonts w:ascii="Arial" w:hAnsi="Arial" w:eastAsia="黑体" w:cs="Arial"/>
          <w:color w:val="auto"/>
          <w:sz w:val="28"/>
          <w:szCs w:val="28"/>
          <w:highlight w:val="none"/>
        </w:rPr>
      </w:pPr>
      <w:bookmarkStart w:id="208" w:name="_Toc386122458"/>
      <w:bookmarkStart w:id="209" w:name="_Toc386121761"/>
      <w:bookmarkStart w:id="210" w:name="_Toc30036"/>
      <w:bookmarkStart w:id="211" w:name="_Toc14753"/>
      <w:r>
        <w:rPr>
          <w:b/>
          <w:color w:val="auto"/>
          <w:sz w:val="28"/>
          <w:szCs w:val="28"/>
          <w:highlight w:val="none"/>
        </w:rPr>
        <w:br w:type="page"/>
      </w:r>
    </w:p>
    <w:p w14:paraId="1AB5A6EC">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205"/>
      <w:bookmarkEnd w:id="206"/>
      <w:bookmarkEnd w:id="207"/>
      <w:bookmarkEnd w:id="208"/>
      <w:bookmarkEnd w:id="209"/>
      <w:r>
        <w:rPr>
          <w:rFonts w:hint="eastAsia"/>
          <w:b w:val="0"/>
          <w:color w:val="auto"/>
          <w:sz w:val="28"/>
          <w:szCs w:val="28"/>
          <w:highlight w:val="none"/>
        </w:rPr>
        <w:t>项目负责人简历表</w:t>
      </w:r>
      <w:bookmarkEnd w:id="210"/>
      <w:bookmarkEnd w:id="211"/>
    </w:p>
    <w:p w14:paraId="28BB6837">
      <w:pPr>
        <w:rPr>
          <w:rFonts w:ascii="黑体" w:eastAsia="黑体"/>
          <w:color w:val="auto"/>
          <w:sz w:val="28"/>
          <w:szCs w:val="28"/>
          <w:highlight w:val="none"/>
        </w:rPr>
      </w:pPr>
    </w:p>
    <w:p w14:paraId="2944C174">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 xml:space="preserve">临海市尤溪镇山塘建设工程(双塘坑山塘) </w:t>
      </w:r>
    </w:p>
    <w:p w14:paraId="64E4DDD7">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68BBB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D7CEFDE">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46FFFC0E">
            <w:pPr>
              <w:jc w:val="center"/>
              <w:rPr>
                <w:rFonts w:ascii="宋体" w:hAnsi="宋体" w:eastAsia="宋体"/>
                <w:color w:val="auto"/>
                <w:highlight w:val="none"/>
              </w:rPr>
            </w:pPr>
          </w:p>
        </w:tc>
        <w:tc>
          <w:tcPr>
            <w:tcW w:w="861" w:type="dxa"/>
            <w:vAlign w:val="center"/>
          </w:tcPr>
          <w:p w14:paraId="6B3BEFBA">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7CE423C7">
            <w:pPr>
              <w:jc w:val="center"/>
              <w:rPr>
                <w:rFonts w:ascii="宋体" w:hAnsi="宋体" w:eastAsia="宋体"/>
                <w:color w:val="auto"/>
                <w:highlight w:val="none"/>
              </w:rPr>
            </w:pPr>
          </w:p>
        </w:tc>
        <w:tc>
          <w:tcPr>
            <w:tcW w:w="913" w:type="dxa"/>
            <w:vAlign w:val="center"/>
          </w:tcPr>
          <w:p w14:paraId="2E62174D">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4221A14C">
            <w:pPr>
              <w:jc w:val="center"/>
              <w:rPr>
                <w:rFonts w:ascii="宋体" w:hAnsi="宋体" w:eastAsia="宋体"/>
                <w:color w:val="auto"/>
                <w:highlight w:val="none"/>
              </w:rPr>
            </w:pPr>
          </w:p>
        </w:tc>
        <w:tc>
          <w:tcPr>
            <w:tcW w:w="861" w:type="dxa"/>
            <w:vAlign w:val="center"/>
          </w:tcPr>
          <w:p w14:paraId="703FDC83">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F2E2D58">
            <w:pPr>
              <w:jc w:val="center"/>
              <w:rPr>
                <w:rFonts w:ascii="宋体" w:hAnsi="宋体" w:eastAsia="宋体"/>
                <w:color w:val="auto"/>
                <w:highlight w:val="none"/>
              </w:rPr>
            </w:pPr>
          </w:p>
        </w:tc>
      </w:tr>
      <w:tr w14:paraId="756E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2BFD1859">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0EE24C4A">
            <w:pPr>
              <w:jc w:val="center"/>
              <w:rPr>
                <w:rFonts w:ascii="宋体" w:hAnsi="宋体" w:eastAsia="宋体"/>
                <w:color w:val="auto"/>
                <w:highlight w:val="none"/>
              </w:rPr>
            </w:pPr>
          </w:p>
        </w:tc>
        <w:tc>
          <w:tcPr>
            <w:tcW w:w="1096" w:type="dxa"/>
            <w:vAlign w:val="center"/>
          </w:tcPr>
          <w:p w14:paraId="67853D44">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2B80CBA6">
            <w:pPr>
              <w:jc w:val="center"/>
              <w:rPr>
                <w:rFonts w:ascii="宋体" w:hAnsi="宋体" w:eastAsia="宋体"/>
                <w:color w:val="auto"/>
                <w:highlight w:val="none"/>
              </w:rPr>
            </w:pPr>
          </w:p>
        </w:tc>
        <w:tc>
          <w:tcPr>
            <w:tcW w:w="861" w:type="dxa"/>
            <w:vAlign w:val="center"/>
          </w:tcPr>
          <w:p w14:paraId="39169554">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095B39D2">
            <w:pPr>
              <w:jc w:val="center"/>
              <w:rPr>
                <w:rFonts w:ascii="宋体" w:hAnsi="宋体" w:eastAsia="宋体"/>
                <w:color w:val="auto"/>
                <w:highlight w:val="none"/>
              </w:rPr>
            </w:pPr>
          </w:p>
        </w:tc>
      </w:tr>
      <w:tr w14:paraId="15F8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5FDFACA">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4F8A6B97">
            <w:pPr>
              <w:jc w:val="center"/>
              <w:rPr>
                <w:rFonts w:ascii="宋体" w:hAnsi="宋体" w:eastAsia="宋体"/>
                <w:color w:val="auto"/>
                <w:highlight w:val="none"/>
              </w:rPr>
            </w:pPr>
          </w:p>
        </w:tc>
        <w:tc>
          <w:tcPr>
            <w:tcW w:w="3209" w:type="dxa"/>
            <w:gridSpan w:val="3"/>
            <w:vAlign w:val="center"/>
          </w:tcPr>
          <w:p w14:paraId="17C18777">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7399549E">
            <w:pPr>
              <w:jc w:val="center"/>
              <w:rPr>
                <w:rFonts w:ascii="宋体" w:hAnsi="宋体" w:eastAsia="宋体"/>
                <w:color w:val="auto"/>
                <w:highlight w:val="none"/>
              </w:rPr>
            </w:pPr>
          </w:p>
        </w:tc>
      </w:tr>
      <w:tr w14:paraId="6DEC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B837B2E">
            <w:pPr>
              <w:jc w:val="center"/>
              <w:rPr>
                <w:rFonts w:ascii="宋体" w:hAnsi="宋体" w:eastAsia="宋体"/>
                <w:color w:val="auto"/>
                <w:highlight w:val="none"/>
              </w:rPr>
            </w:pPr>
          </w:p>
          <w:p w14:paraId="2F482040">
            <w:pPr>
              <w:jc w:val="center"/>
              <w:rPr>
                <w:rFonts w:ascii="宋体" w:hAnsi="宋体" w:eastAsia="宋体"/>
                <w:color w:val="auto"/>
                <w:highlight w:val="none"/>
              </w:rPr>
            </w:pPr>
          </w:p>
          <w:p w14:paraId="29289E3D">
            <w:pPr>
              <w:jc w:val="center"/>
              <w:rPr>
                <w:rFonts w:ascii="宋体" w:hAnsi="宋体" w:eastAsia="宋体"/>
                <w:color w:val="auto"/>
                <w:highlight w:val="none"/>
              </w:rPr>
            </w:pPr>
          </w:p>
          <w:p w14:paraId="2254EC6E">
            <w:pPr>
              <w:jc w:val="center"/>
              <w:rPr>
                <w:rFonts w:ascii="宋体" w:hAnsi="宋体" w:eastAsia="宋体"/>
                <w:color w:val="auto"/>
                <w:highlight w:val="none"/>
              </w:rPr>
            </w:pPr>
            <w:r>
              <w:rPr>
                <w:rFonts w:hint="eastAsia" w:ascii="宋体" w:hAnsi="宋体" w:eastAsia="宋体"/>
                <w:color w:val="auto"/>
                <w:highlight w:val="none"/>
              </w:rPr>
              <w:t>简</w:t>
            </w:r>
          </w:p>
          <w:p w14:paraId="60E06C48">
            <w:pPr>
              <w:jc w:val="center"/>
              <w:rPr>
                <w:rFonts w:ascii="宋体" w:hAnsi="宋体" w:eastAsia="宋体"/>
                <w:color w:val="auto"/>
                <w:highlight w:val="none"/>
              </w:rPr>
            </w:pPr>
          </w:p>
          <w:p w14:paraId="06821995">
            <w:pPr>
              <w:jc w:val="center"/>
              <w:rPr>
                <w:rFonts w:ascii="宋体" w:hAnsi="宋体" w:eastAsia="宋体"/>
                <w:color w:val="auto"/>
                <w:highlight w:val="none"/>
              </w:rPr>
            </w:pPr>
          </w:p>
          <w:p w14:paraId="3A20C39E">
            <w:pPr>
              <w:rPr>
                <w:rFonts w:ascii="宋体" w:hAnsi="宋体" w:eastAsia="宋体"/>
                <w:color w:val="auto"/>
                <w:highlight w:val="none"/>
              </w:rPr>
            </w:pPr>
          </w:p>
          <w:p w14:paraId="3CD9ECD7">
            <w:pPr>
              <w:rPr>
                <w:rFonts w:ascii="宋体" w:hAnsi="宋体" w:eastAsia="宋体"/>
                <w:color w:val="auto"/>
                <w:highlight w:val="none"/>
              </w:rPr>
            </w:pPr>
          </w:p>
          <w:p w14:paraId="47F9ACF4">
            <w:pPr>
              <w:jc w:val="center"/>
              <w:rPr>
                <w:rFonts w:ascii="宋体" w:hAnsi="宋体" w:eastAsia="宋体"/>
                <w:color w:val="auto"/>
                <w:highlight w:val="none"/>
              </w:rPr>
            </w:pPr>
          </w:p>
          <w:p w14:paraId="61E08B1B">
            <w:pPr>
              <w:jc w:val="center"/>
              <w:rPr>
                <w:rFonts w:ascii="宋体" w:hAnsi="宋体" w:eastAsia="宋体"/>
                <w:color w:val="auto"/>
                <w:highlight w:val="none"/>
              </w:rPr>
            </w:pPr>
          </w:p>
          <w:p w14:paraId="11606B1C">
            <w:pPr>
              <w:jc w:val="center"/>
              <w:rPr>
                <w:rFonts w:ascii="宋体" w:hAnsi="宋体" w:eastAsia="宋体"/>
                <w:color w:val="auto"/>
                <w:highlight w:val="none"/>
              </w:rPr>
            </w:pPr>
            <w:r>
              <w:rPr>
                <w:rFonts w:hint="eastAsia" w:ascii="宋体" w:hAnsi="宋体" w:eastAsia="宋体"/>
                <w:color w:val="auto"/>
                <w:highlight w:val="none"/>
              </w:rPr>
              <w:t>历</w:t>
            </w:r>
          </w:p>
          <w:p w14:paraId="323C7A96">
            <w:pPr>
              <w:jc w:val="center"/>
              <w:rPr>
                <w:rFonts w:ascii="宋体" w:hAnsi="宋体" w:eastAsia="宋体"/>
                <w:color w:val="auto"/>
                <w:highlight w:val="none"/>
              </w:rPr>
            </w:pPr>
          </w:p>
          <w:p w14:paraId="447F7F9B">
            <w:pPr>
              <w:jc w:val="center"/>
              <w:rPr>
                <w:rFonts w:ascii="宋体" w:hAnsi="宋体" w:eastAsia="宋体"/>
                <w:color w:val="auto"/>
                <w:highlight w:val="none"/>
              </w:rPr>
            </w:pPr>
          </w:p>
          <w:p w14:paraId="6979BAA0">
            <w:pPr>
              <w:rPr>
                <w:rFonts w:ascii="宋体" w:hAnsi="宋体" w:eastAsia="宋体"/>
                <w:color w:val="auto"/>
                <w:highlight w:val="none"/>
              </w:rPr>
            </w:pPr>
          </w:p>
        </w:tc>
        <w:tc>
          <w:tcPr>
            <w:tcW w:w="8610" w:type="dxa"/>
            <w:gridSpan w:val="8"/>
          </w:tcPr>
          <w:p w14:paraId="7B9536F8">
            <w:pPr>
              <w:rPr>
                <w:rFonts w:ascii="宋体" w:hAnsi="宋体" w:eastAsia="宋体"/>
                <w:color w:val="auto"/>
                <w:highlight w:val="none"/>
              </w:rPr>
            </w:pPr>
          </w:p>
        </w:tc>
      </w:tr>
    </w:tbl>
    <w:p w14:paraId="6D75FF0E">
      <w:pPr>
        <w:rPr>
          <w:rFonts w:ascii="宋体" w:hAnsi="宋体" w:eastAsia="宋体"/>
          <w:color w:val="auto"/>
          <w:highlight w:val="none"/>
        </w:rPr>
      </w:pPr>
    </w:p>
    <w:p w14:paraId="544C52B5">
      <w:pPr>
        <w:rPr>
          <w:rFonts w:ascii="宋体" w:hAnsi="宋体" w:eastAsia="宋体"/>
          <w:color w:val="auto"/>
          <w:sz w:val="24"/>
          <w:szCs w:val="24"/>
          <w:highlight w:val="none"/>
        </w:rPr>
      </w:pPr>
      <w:bookmarkStart w:id="212" w:name="_Toc106553079"/>
      <w:bookmarkStart w:id="213" w:name="_Toc155342585"/>
      <w:bookmarkStart w:id="214" w:name="_Toc106012817"/>
      <w:r>
        <w:rPr>
          <w:rFonts w:hint="eastAsia" w:ascii="宋体" w:hAnsi="宋体" w:eastAsia="宋体"/>
          <w:color w:val="auto"/>
          <w:sz w:val="24"/>
          <w:szCs w:val="24"/>
          <w:highlight w:val="none"/>
        </w:rPr>
        <w:t>法定代表人（签字或盖章）：                            投标人（盖章）：</w:t>
      </w:r>
    </w:p>
    <w:p w14:paraId="3CD67437">
      <w:pPr>
        <w:jc w:val="right"/>
        <w:rPr>
          <w:rFonts w:ascii="宋体" w:hAnsi="宋体" w:eastAsia="宋体"/>
          <w:color w:val="auto"/>
          <w:sz w:val="24"/>
          <w:szCs w:val="24"/>
          <w:highlight w:val="none"/>
        </w:rPr>
      </w:pPr>
    </w:p>
    <w:p w14:paraId="15FB3A34">
      <w:pPr>
        <w:ind w:firstLine="6360" w:firstLineChars="2650"/>
        <w:rPr>
          <w:rFonts w:ascii="宋体" w:hAnsi="宋体" w:eastAsia="宋体"/>
          <w:color w:val="auto"/>
          <w:sz w:val="24"/>
          <w:szCs w:val="24"/>
          <w:highlight w:val="none"/>
        </w:rPr>
      </w:pPr>
    </w:p>
    <w:p w14:paraId="6DB65AF6">
      <w:pPr>
        <w:ind w:firstLine="6360" w:firstLineChars="2650"/>
        <w:rPr>
          <w:color w:val="auto"/>
          <w:highlight w:val="none"/>
        </w:rPr>
      </w:pPr>
      <w:r>
        <w:rPr>
          <w:rFonts w:hint="eastAsia" w:ascii="宋体" w:hAnsi="宋体" w:eastAsia="宋体"/>
          <w:color w:val="auto"/>
          <w:sz w:val="24"/>
          <w:szCs w:val="24"/>
          <w:highlight w:val="none"/>
        </w:rPr>
        <w:t>日期：   年   月   日</w:t>
      </w:r>
    </w:p>
    <w:p w14:paraId="672FF1F0">
      <w:pPr>
        <w:pStyle w:val="3"/>
        <w:numPr>
          <w:ilvl w:val="0"/>
          <w:numId w:val="0"/>
        </w:numPr>
        <w:spacing w:before="0" w:afterLines="0" w:line="240" w:lineRule="auto"/>
        <w:jc w:val="both"/>
        <w:rPr>
          <w:b w:val="0"/>
          <w:color w:val="auto"/>
          <w:sz w:val="28"/>
          <w:szCs w:val="28"/>
          <w:highlight w:val="none"/>
        </w:rPr>
      </w:pPr>
      <w:bookmarkStart w:id="215" w:name="_Toc386121762"/>
      <w:bookmarkStart w:id="216" w:name="_Toc386122459"/>
      <w:bookmarkStart w:id="217" w:name="_Toc581"/>
      <w:bookmarkStart w:id="218" w:name="_Toc20785"/>
    </w:p>
    <w:p w14:paraId="49AB37C4">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212"/>
      <w:bookmarkEnd w:id="213"/>
      <w:bookmarkEnd w:id="214"/>
      <w:bookmarkEnd w:id="215"/>
      <w:bookmarkEnd w:id="216"/>
      <w:r>
        <w:rPr>
          <w:rFonts w:hint="eastAsia"/>
          <w:b w:val="0"/>
          <w:color w:val="auto"/>
          <w:sz w:val="28"/>
          <w:szCs w:val="28"/>
          <w:highlight w:val="none"/>
        </w:rPr>
        <w:t>技术负责人简历表</w:t>
      </w:r>
      <w:bookmarkEnd w:id="217"/>
      <w:bookmarkEnd w:id="218"/>
    </w:p>
    <w:p w14:paraId="3C3DDBD6">
      <w:pPr>
        <w:rPr>
          <w:rFonts w:ascii="黑体" w:eastAsia="黑体"/>
          <w:color w:val="auto"/>
          <w:sz w:val="28"/>
          <w:szCs w:val="28"/>
          <w:highlight w:val="none"/>
        </w:rPr>
      </w:pPr>
    </w:p>
    <w:p w14:paraId="4373033B">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 xml:space="preserve">临海市尤溪镇山塘建设工程(双塘坑山塘) </w:t>
      </w:r>
    </w:p>
    <w:p w14:paraId="0BBCF550">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71EB1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4356195">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3F644CB3">
            <w:pPr>
              <w:jc w:val="center"/>
              <w:rPr>
                <w:rFonts w:ascii="宋体" w:hAnsi="宋体" w:eastAsia="宋体"/>
                <w:color w:val="auto"/>
                <w:highlight w:val="none"/>
              </w:rPr>
            </w:pPr>
          </w:p>
        </w:tc>
        <w:tc>
          <w:tcPr>
            <w:tcW w:w="861" w:type="dxa"/>
            <w:vAlign w:val="center"/>
          </w:tcPr>
          <w:p w14:paraId="5DB98138">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210A0DBD">
            <w:pPr>
              <w:jc w:val="center"/>
              <w:rPr>
                <w:rFonts w:ascii="宋体" w:hAnsi="宋体" w:eastAsia="宋体"/>
                <w:color w:val="auto"/>
                <w:highlight w:val="none"/>
              </w:rPr>
            </w:pPr>
          </w:p>
        </w:tc>
        <w:tc>
          <w:tcPr>
            <w:tcW w:w="913" w:type="dxa"/>
            <w:vAlign w:val="center"/>
          </w:tcPr>
          <w:p w14:paraId="0E2304B5">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1E379763">
            <w:pPr>
              <w:jc w:val="center"/>
              <w:rPr>
                <w:rFonts w:ascii="宋体" w:hAnsi="宋体" w:eastAsia="宋体"/>
                <w:color w:val="auto"/>
                <w:highlight w:val="none"/>
              </w:rPr>
            </w:pPr>
          </w:p>
        </w:tc>
        <w:tc>
          <w:tcPr>
            <w:tcW w:w="861" w:type="dxa"/>
            <w:vAlign w:val="center"/>
          </w:tcPr>
          <w:p w14:paraId="7CA3F137">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725D4458">
            <w:pPr>
              <w:jc w:val="center"/>
              <w:rPr>
                <w:rFonts w:ascii="宋体" w:hAnsi="宋体" w:eastAsia="宋体"/>
                <w:color w:val="auto"/>
                <w:highlight w:val="none"/>
              </w:rPr>
            </w:pPr>
          </w:p>
        </w:tc>
      </w:tr>
      <w:tr w14:paraId="022F2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9F084B6">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6966EE9B">
            <w:pPr>
              <w:jc w:val="center"/>
              <w:rPr>
                <w:rFonts w:ascii="宋体" w:hAnsi="宋体" w:eastAsia="宋体"/>
                <w:color w:val="auto"/>
                <w:highlight w:val="none"/>
              </w:rPr>
            </w:pPr>
          </w:p>
        </w:tc>
        <w:tc>
          <w:tcPr>
            <w:tcW w:w="1957" w:type="dxa"/>
            <w:gridSpan w:val="2"/>
            <w:vAlign w:val="center"/>
          </w:tcPr>
          <w:p w14:paraId="2B039454">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6AD6BBAC">
            <w:pPr>
              <w:jc w:val="center"/>
              <w:rPr>
                <w:rFonts w:ascii="宋体" w:hAnsi="宋体" w:eastAsia="宋体"/>
                <w:color w:val="auto"/>
                <w:highlight w:val="none"/>
              </w:rPr>
            </w:pPr>
          </w:p>
        </w:tc>
        <w:tc>
          <w:tcPr>
            <w:tcW w:w="861" w:type="dxa"/>
            <w:vAlign w:val="center"/>
          </w:tcPr>
          <w:p w14:paraId="48489CC0">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083E8440">
            <w:pPr>
              <w:jc w:val="center"/>
              <w:rPr>
                <w:rFonts w:ascii="宋体" w:hAnsi="宋体" w:eastAsia="宋体"/>
                <w:color w:val="auto"/>
                <w:highlight w:val="none"/>
              </w:rPr>
            </w:pPr>
          </w:p>
        </w:tc>
      </w:tr>
      <w:tr w14:paraId="6E36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0961B9E3">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79AD5826">
            <w:pPr>
              <w:jc w:val="center"/>
              <w:rPr>
                <w:rFonts w:ascii="宋体" w:hAnsi="宋体" w:eastAsia="宋体"/>
                <w:color w:val="auto"/>
                <w:highlight w:val="none"/>
              </w:rPr>
            </w:pPr>
          </w:p>
        </w:tc>
        <w:tc>
          <w:tcPr>
            <w:tcW w:w="3209" w:type="dxa"/>
            <w:gridSpan w:val="3"/>
            <w:vAlign w:val="center"/>
          </w:tcPr>
          <w:p w14:paraId="3494B1A0">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179743FF">
            <w:pPr>
              <w:jc w:val="center"/>
              <w:rPr>
                <w:rFonts w:ascii="宋体" w:hAnsi="宋体" w:eastAsia="宋体"/>
                <w:color w:val="auto"/>
                <w:highlight w:val="none"/>
              </w:rPr>
            </w:pPr>
          </w:p>
        </w:tc>
      </w:tr>
      <w:tr w14:paraId="3A73B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3F4028B7">
            <w:pPr>
              <w:jc w:val="center"/>
              <w:rPr>
                <w:rFonts w:ascii="宋体" w:hAnsi="宋体" w:eastAsia="宋体"/>
                <w:color w:val="auto"/>
                <w:highlight w:val="none"/>
              </w:rPr>
            </w:pPr>
          </w:p>
          <w:p w14:paraId="5BFB64BE">
            <w:pPr>
              <w:jc w:val="center"/>
              <w:rPr>
                <w:rFonts w:ascii="宋体" w:hAnsi="宋体" w:eastAsia="宋体"/>
                <w:color w:val="auto"/>
                <w:highlight w:val="none"/>
              </w:rPr>
            </w:pPr>
          </w:p>
          <w:p w14:paraId="01534529">
            <w:pPr>
              <w:jc w:val="center"/>
              <w:rPr>
                <w:rFonts w:ascii="宋体" w:hAnsi="宋体" w:eastAsia="宋体"/>
                <w:color w:val="auto"/>
                <w:highlight w:val="none"/>
              </w:rPr>
            </w:pPr>
          </w:p>
          <w:p w14:paraId="5B0A0876">
            <w:pPr>
              <w:jc w:val="center"/>
              <w:rPr>
                <w:rFonts w:ascii="宋体" w:hAnsi="宋体" w:eastAsia="宋体"/>
                <w:color w:val="auto"/>
                <w:highlight w:val="none"/>
              </w:rPr>
            </w:pPr>
            <w:r>
              <w:rPr>
                <w:rFonts w:hint="eastAsia" w:ascii="宋体" w:hAnsi="宋体" w:eastAsia="宋体"/>
                <w:color w:val="auto"/>
                <w:highlight w:val="none"/>
              </w:rPr>
              <w:t>简</w:t>
            </w:r>
          </w:p>
          <w:p w14:paraId="181B1755">
            <w:pPr>
              <w:jc w:val="center"/>
              <w:rPr>
                <w:rFonts w:ascii="宋体" w:hAnsi="宋体" w:eastAsia="宋体"/>
                <w:color w:val="auto"/>
                <w:highlight w:val="none"/>
              </w:rPr>
            </w:pPr>
          </w:p>
          <w:p w14:paraId="063C38BB">
            <w:pPr>
              <w:jc w:val="center"/>
              <w:rPr>
                <w:rFonts w:ascii="宋体" w:hAnsi="宋体" w:eastAsia="宋体"/>
                <w:color w:val="auto"/>
                <w:highlight w:val="none"/>
              </w:rPr>
            </w:pPr>
          </w:p>
          <w:p w14:paraId="5369D526">
            <w:pPr>
              <w:rPr>
                <w:rFonts w:ascii="宋体" w:hAnsi="宋体" w:eastAsia="宋体"/>
                <w:color w:val="auto"/>
                <w:highlight w:val="none"/>
              </w:rPr>
            </w:pPr>
          </w:p>
          <w:p w14:paraId="0A1AC306">
            <w:pPr>
              <w:rPr>
                <w:rFonts w:ascii="宋体" w:hAnsi="宋体" w:eastAsia="宋体"/>
                <w:color w:val="auto"/>
                <w:highlight w:val="none"/>
              </w:rPr>
            </w:pPr>
          </w:p>
          <w:p w14:paraId="30EF7540">
            <w:pPr>
              <w:jc w:val="center"/>
              <w:rPr>
                <w:rFonts w:ascii="宋体" w:hAnsi="宋体" w:eastAsia="宋体"/>
                <w:color w:val="auto"/>
                <w:highlight w:val="none"/>
              </w:rPr>
            </w:pPr>
          </w:p>
          <w:p w14:paraId="4A86CE34">
            <w:pPr>
              <w:jc w:val="center"/>
              <w:rPr>
                <w:rFonts w:ascii="宋体" w:hAnsi="宋体" w:eastAsia="宋体"/>
                <w:color w:val="auto"/>
                <w:highlight w:val="none"/>
              </w:rPr>
            </w:pPr>
          </w:p>
          <w:p w14:paraId="5C0AACBD">
            <w:pPr>
              <w:jc w:val="center"/>
              <w:rPr>
                <w:rFonts w:ascii="宋体" w:hAnsi="宋体" w:eastAsia="宋体"/>
                <w:color w:val="auto"/>
                <w:highlight w:val="none"/>
              </w:rPr>
            </w:pPr>
            <w:r>
              <w:rPr>
                <w:rFonts w:hint="eastAsia" w:ascii="宋体" w:hAnsi="宋体" w:eastAsia="宋体"/>
                <w:color w:val="auto"/>
                <w:highlight w:val="none"/>
              </w:rPr>
              <w:t>历</w:t>
            </w:r>
          </w:p>
          <w:p w14:paraId="076CD376">
            <w:pPr>
              <w:jc w:val="center"/>
              <w:rPr>
                <w:rFonts w:ascii="宋体" w:hAnsi="宋体" w:eastAsia="宋体"/>
                <w:color w:val="auto"/>
                <w:highlight w:val="none"/>
              </w:rPr>
            </w:pPr>
          </w:p>
          <w:p w14:paraId="3C1EAF77">
            <w:pPr>
              <w:jc w:val="center"/>
              <w:rPr>
                <w:rFonts w:ascii="宋体" w:hAnsi="宋体" w:eastAsia="宋体"/>
                <w:color w:val="auto"/>
                <w:highlight w:val="none"/>
              </w:rPr>
            </w:pPr>
          </w:p>
          <w:p w14:paraId="2F82F777">
            <w:pPr>
              <w:rPr>
                <w:rFonts w:ascii="宋体" w:hAnsi="宋体" w:eastAsia="宋体"/>
                <w:color w:val="auto"/>
                <w:highlight w:val="none"/>
              </w:rPr>
            </w:pPr>
          </w:p>
        </w:tc>
        <w:tc>
          <w:tcPr>
            <w:tcW w:w="8610" w:type="dxa"/>
            <w:gridSpan w:val="7"/>
          </w:tcPr>
          <w:p w14:paraId="1A0726EE">
            <w:pPr>
              <w:rPr>
                <w:rFonts w:ascii="宋体" w:hAnsi="宋体" w:eastAsia="宋体"/>
                <w:color w:val="auto"/>
                <w:highlight w:val="none"/>
              </w:rPr>
            </w:pPr>
          </w:p>
        </w:tc>
      </w:tr>
    </w:tbl>
    <w:p w14:paraId="7382569A">
      <w:pPr>
        <w:rPr>
          <w:rFonts w:ascii="宋体" w:hAnsi="宋体" w:eastAsia="宋体"/>
          <w:color w:val="auto"/>
          <w:highlight w:val="none"/>
        </w:rPr>
      </w:pPr>
    </w:p>
    <w:p w14:paraId="744F802C">
      <w:pPr>
        <w:rPr>
          <w:rFonts w:ascii="宋体" w:hAnsi="宋体" w:eastAsia="宋体"/>
          <w:color w:val="auto"/>
          <w:sz w:val="24"/>
          <w:szCs w:val="24"/>
          <w:highlight w:val="none"/>
        </w:rPr>
      </w:pPr>
      <w:bookmarkStart w:id="219" w:name="_Toc106553080"/>
      <w:bookmarkStart w:id="220" w:name="_Toc155342586"/>
      <w:bookmarkStart w:id="221" w:name="_Toc106012818"/>
      <w:r>
        <w:rPr>
          <w:rFonts w:hint="eastAsia" w:ascii="宋体" w:hAnsi="宋体" w:eastAsia="宋体"/>
          <w:color w:val="auto"/>
          <w:sz w:val="24"/>
          <w:szCs w:val="24"/>
          <w:highlight w:val="none"/>
        </w:rPr>
        <w:t>法定代表人（签字或盖章）：                             投标人（盖章）：</w:t>
      </w:r>
    </w:p>
    <w:p w14:paraId="0E0ABD46">
      <w:pPr>
        <w:jc w:val="right"/>
        <w:rPr>
          <w:rFonts w:ascii="宋体" w:hAnsi="宋体" w:eastAsia="宋体"/>
          <w:color w:val="auto"/>
          <w:sz w:val="24"/>
          <w:szCs w:val="24"/>
          <w:highlight w:val="none"/>
        </w:rPr>
      </w:pPr>
    </w:p>
    <w:p w14:paraId="5EAD8B4E">
      <w:pPr>
        <w:ind w:firstLine="6480" w:firstLineChars="2700"/>
        <w:rPr>
          <w:rFonts w:ascii="宋体" w:hAnsi="宋体" w:eastAsia="宋体"/>
          <w:color w:val="auto"/>
          <w:sz w:val="24"/>
          <w:szCs w:val="24"/>
          <w:highlight w:val="none"/>
        </w:rPr>
      </w:pPr>
    </w:p>
    <w:p w14:paraId="78E59D7F">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01BD1D7C">
      <w:pPr>
        <w:rPr>
          <w:color w:val="auto"/>
          <w:sz w:val="28"/>
          <w:szCs w:val="28"/>
          <w:highlight w:val="none"/>
        </w:rPr>
      </w:pPr>
      <w:bookmarkStart w:id="222" w:name="_Toc386207588"/>
      <w:bookmarkStart w:id="223" w:name="_Toc386207867"/>
      <w:bookmarkStart w:id="224" w:name="_Toc386207774"/>
      <w:bookmarkStart w:id="225" w:name="_Toc26311"/>
      <w:bookmarkStart w:id="226" w:name="_Toc386208332"/>
      <w:bookmarkStart w:id="227" w:name="_Toc386209083"/>
      <w:bookmarkStart w:id="228" w:name="_Toc4216"/>
      <w:bookmarkStart w:id="229" w:name="_Toc24065"/>
      <w:r>
        <w:rPr>
          <w:rFonts w:hint="eastAsia"/>
          <w:color w:val="auto"/>
          <w:sz w:val="28"/>
          <w:szCs w:val="28"/>
          <w:highlight w:val="none"/>
        </w:rPr>
        <w:br w:type="page"/>
      </w:r>
    </w:p>
    <w:p w14:paraId="2425EB60">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222"/>
      <w:bookmarkEnd w:id="223"/>
      <w:bookmarkEnd w:id="224"/>
      <w:bookmarkEnd w:id="225"/>
      <w:bookmarkEnd w:id="226"/>
      <w:bookmarkEnd w:id="227"/>
      <w:bookmarkEnd w:id="228"/>
      <w:bookmarkEnd w:id="229"/>
    </w:p>
    <w:p w14:paraId="019BF798">
      <w:pPr>
        <w:spacing w:line="440" w:lineRule="exact"/>
        <w:rPr>
          <w:rFonts w:eastAsia="黑体"/>
          <w:color w:val="auto"/>
          <w:sz w:val="20"/>
          <w:highlight w:val="none"/>
        </w:rPr>
      </w:pPr>
    </w:p>
    <w:p w14:paraId="4173A768">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691E3225">
      <w:pPr>
        <w:spacing w:line="440" w:lineRule="exact"/>
        <w:rPr>
          <w:rFonts w:ascii="宋体" w:hAnsi="宋体" w:eastAsia="宋体"/>
          <w:color w:val="auto"/>
          <w:sz w:val="24"/>
          <w:szCs w:val="24"/>
          <w:highlight w:val="none"/>
        </w:rPr>
      </w:pPr>
    </w:p>
    <w:p w14:paraId="72B6B51D">
      <w:pPr>
        <w:spacing w:line="440" w:lineRule="exact"/>
        <w:rPr>
          <w:rFonts w:ascii="宋体" w:hAnsi="宋体" w:eastAsia="宋体"/>
          <w:color w:val="auto"/>
          <w:sz w:val="24"/>
          <w:szCs w:val="24"/>
          <w:highlight w:val="none"/>
        </w:rPr>
      </w:pPr>
    </w:p>
    <w:p w14:paraId="2435A962">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673454B0">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 xml:space="preserve">临海市尤溪镇山塘建设工程(双塘坑山塘) </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66EF0C11">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77A1161C">
      <w:pPr>
        <w:spacing w:line="360" w:lineRule="auto"/>
        <w:ind w:firstLine="560" w:firstLineChars="200"/>
        <w:rPr>
          <w:rFonts w:ascii="宋体" w:hAnsi="宋体" w:eastAsia="宋体"/>
          <w:color w:val="auto"/>
          <w:sz w:val="28"/>
          <w:szCs w:val="28"/>
          <w:highlight w:val="none"/>
          <w:u w:val="single"/>
        </w:rPr>
      </w:pPr>
    </w:p>
    <w:p w14:paraId="7A3B0220">
      <w:pPr>
        <w:spacing w:line="440" w:lineRule="exact"/>
        <w:jc w:val="center"/>
        <w:rPr>
          <w:rFonts w:eastAsia="黑体"/>
          <w:color w:val="auto"/>
          <w:sz w:val="20"/>
          <w:highlight w:val="none"/>
        </w:rPr>
      </w:pPr>
    </w:p>
    <w:p w14:paraId="4A3580EA">
      <w:pPr>
        <w:spacing w:line="440" w:lineRule="exact"/>
        <w:jc w:val="center"/>
        <w:rPr>
          <w:rFonts w:eastAsia="黑体"/>
          <w:color w:val="auto"/>
          <w:sz w:val="20"/>
          <w:highlight w:val="none"/>
        </w:rPr>
      </w:pPr>
    </w:p>
    <w:p w14:paraId="16DD7345">
      <w:pPr>
        <w:spacing w:line="440" w:lineRule="exact"/>
        <w:jc w:val="center"/>
        <w:rPr>
          <w:rFonts w:eastAsia="黑体"/>
          <w:color w:val="auto"/>
          <w:sz w:val="20"/>
          <w:highlight w:val="none"/>
        </w:rPr>
      </w:pPr>
    </w:p>
    <w:p w14:paraId="03D85D6B">
      <w:pPr>
        <w:spacing w:line="440" w:lineRule="exact"/>
        <w:jc w:val="center"/>
        <w:rPr>
          <w:rFonts w:eastAsia="黑体"/>
          <w:color w:val="auto"/>
          <w:sz w:val="20"/>
          <w:highlight w:val="none"/>
        </w:rPr>
      </w:pPr>
    </w:p>
    <w:p w14:paraId="3AE1D27E">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37E1CD4C">
      <w:pPr>
        <w:spacing w:line="440" w:lineRule="exact"/>
        <w:jc w:val="right"/>
        <w:rPr>
          <w:rFonts w:ascii="宋体" w:hAnsi="宋体" w:eastAsia="宋体"/>
          <w:color w:val="auto"/>
          <w:sz w:val="28"/>
          <w:szCs w:val="28"/>
          <w:highlight w:val="none"/>
        </w:rPr>
      </w:pPr>
    </w:p>
    <w:p w14:paraId="2D055647">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1D8DCCA0">
      <w:pPr>
        <w:spacing w:line="440" w:lineRule="exact"/>
        <w:ind w:right="560" w:firstLine="3920" w:firstLineChars="1400"/>
        <w:rPr>
          <w:rFonts w:ascii="宋体" w:hAnsi="宋体" w:eastAsia="宋体"/>
          <w:color w:val="auto"/>
          <w:sz w:val="28"/>
          <w:szCs w:val="28"/>
          <w:highlight w:val="none"/>
        </w:rPr>
      </w:pPr>
    </w:p>
    <w:p w14:paraId="3C8E057A">
      <w:pPr>
        <w:rPr>
          <w:rFonts w:eastAsia="宋体"/>
          <w:color w:val="auto"/>
          <w:sz w:val="21"/>
          <w:szCs w:val="24"/>
          <w:highlight w:val="none"/>
        </w:rPr>
      </w:pPr>
    </w:p>
    <w:p w14:paraId="773D2DAF">
      <w:pPr>
        <w:jc w:val="right"/>
        <w:rPr>
          <w:color w:val="auto"/>
          <w:highlight w:val="none"/>
        </w:rPr>
      </w:pPr>
      <w:r>
        <w:rPr>
          <w:rFonts w:hint="eastAsia" w:ascii="宋体" w:hAnsi="宋体" w:eastAsia="宋体"/>
          <w:color w:val="auto"/>
          <w:sz w:val="28"/>
          <w:szCs w:val="28"/>
          <w:highlight w:val="none"/>
        </w:rPr>
        <w:t>日期：    年   月   日</w:t>
      </w:r>
    </w:p>
    <w:p w14:paraId="3289DCA4">
      <w:pPr>
        <w:pStyle w:val="3"/>
        <w:numPr>
          <w:ilvl w:val="0"/>
          <w:numId w:val="0"/>
        </w:numPr>
        <w:spacing w:before="0" w:afterLines="0" w:line="240" w:lineRule="auto"/>
        <w:jc w:val="both"/>
        <w:rPr>
          <w:b w:val="0"/>
          <w:color w:val="auto"/>
          <w:sz w:val="28"/>
          <w:szCs w:val="28"/>
          <w:highlight w:val="none"/>
        </w:rPr>
      </w:pPr>
      <w:bookmarkStart w:id="230" w:name="_Toc386122460"/>
      <w:bookmarkStart w:id="231" w:name="_Toc386121763"/>
      <w:bookmarkStart w:id="232" w:name="_Toc25896"/>
      <w:bookmarkStart w:id="233" w:name="_Toc13566"/>
    </w:p>
    <w:p w14:paraId="4140E468">
      <w:pPr>
        <w:rPr>
          <w:color w:val="auto"/>
          <w:sz w:val="28"/>
          <w:szCs w:val="28"/>
          <w:highlight w:val="none"/>
        </w:rPr>
      </w:pPr>
    </w:p>
    <w:p w14:paraId="14FF8B76">
      <w:pPr>
        <w:rPr>
          <w:color w:val="auto"/>
          <w:sz w:val="28"/>
          <w:szCs w:val="28"/>
          <w:highlight w:val="none"/>
        </w:rPr>
      </w:pPr>
    </w:p>
    <w:p w14:paraId="7081F593">
      <w:pPr>
        <w:rPr>
          <w:color w:val="auto"/>
          <w:sz w:val="28"/>
          <w:szCs w:val="28"/>
          <w:highlight w:val="none"/>
        </w:rPr>
      </w:pPr>
      <w:r>
        <w:rPr>
          <w:rFonts w:hint="eastAsia"/>
          <w:color w:val="auto"/>
          <w:sz w:val="28"/>
          <w:szCs w:val="28"/>
          <w:highlight w:val="none"/>
        </w:rPr>
        <w:br w:type="page"/>
      </w:r>
    </w:p>
    <w:p w14:paraId="21C869DE">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219"/>
      <w:bookmarkEnd w:id="220"/>
      <w:bookmarkEnd w:id="221"/>
      <w:bookmarkEnd w:id="230"/>
      <w:bookmarkEnd w:id="231"/>
      <w:r>
        <w:rPr>
          <w:rFonts w:hint="eastAsia"/>
          <w:b w:val="0"/>
          <w:color w:val="auto"/>
          <w:sz w:val="28"/>
          <w:szCs w:val="28"/>
          <w:highlight w:val="none"/>
        </w:rPr>
        <w:t>主要施工机械设备表</w:t>
      </w:r>
      <w:bookmarkEnd w:id="232"/>
      <w:bookmarkEnd w:id="233"/>
    </w:p>
    <w:p w14:paraId="6C19A3CF">
      <w:pPr>
        <w:rPr>
          <w:rFonts w:ascii="黑体" w:eastAsia="黑体"/>
          <w:color w:val="auto"/>
          <w:sz w:val="28"/>
          <w:szCs w:val="28"/>
          <w:highlight w:val="none"/>
        </w:rPr>
      </w:pPr>
    </w:p>
    <w:p w14:paraId="627F3AA4">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 xml:space="preserve">临海市尤溪镇山塘建设工程(双塘坑山塘) </w:t>
      </w:r>
    </w:p>
    <w:p w14:paraId="1CAD5175">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220E3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12B7298B">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4BE9BDD8">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2A0D75B5">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77E1B3DD">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70F1C9F2">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35B4D3EB">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6E2522CB">
            <w:pPr>
              <w:jc w:val="center"/>
              <w:rPr>
                <w:rFonts w:ascii="宋体" w:hAnsi="宋体" w:eastAsia="宋体"/>
                <w:color w:val="auto"/>
                <w:highlight w:val="none"/>
              </w:rPr>
            </w:pPr>
            <w:r>
              <w:rPr>
                <w:rFonts w:hint="eastAsia" w:ascii="宋体" w:hAnsi="宋体" w:eastAsia="宋体"/>
                <w:color w:val="auto"/>
                <w:highlight w:val="none"/>
              </w:rPr>
              <w:t>备注</w:t>
            </w:r>
          </w:p>
        </w:tc>
      </w:tr>
      <w:tr w14:paraId="7358B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CD324F">
            <w:pPr>
              <w:rPr>
                <w:rFonts w:ascii="宋体" w:hAnsi="宋体" w:eastAsia="宋体"/>
                <w:color w:val="auto"/>
                <w:highlight w:val="none"/>
              </w:rPr>
            </w:pPr>
          </w:p>
        </w:tc>
        <w:tc>
          <w:tcPr>
            <w:tcW w:w="1525" w:type="dxa"/>
          </w:tcPr>
          <w:p w14:paraId="73AFA91D">
            <w:pPr>
              <w:rPr>
                <w:rFonts w:ascii="宋体" w:hAnsi="宋体" w:eastAsia="宋体"/>
                <w:color w:val="auto"/>
                <w:highlight w:val="none"/>
              </w:rPr>
            </w:pPr>
          </w:p>
        </w:tc>
        <w:tc>
          <w:tcPr>
            <w:tcW w:w="1635" w:type="dxa"/>
          </w:tcPr>
          <w:p w14:paraId="285BE519">
            <w:pPr>
              <w:rPr>
                <w:rFonts w:ascii="宋体" w:hAnsi="宋体" w:eastAsia="宋体"/>
                <w:color w:val="auto"/>
                <w:highlight w:val="none"/>
              </w:rPr>
            </w:pPr>
          </w:p>
        </w:tc>
        <w:tc>
          <w:tcPr>
            <w:tcW w:w="859" w:type="dxa"/>
          </w:tcPr>
          <w:p w14:paraId="3177CEEA">
            <w:pPr>
              <w:rPr>
                <w:rFonts w:ascii="宋体" w:hAnsi="宋体" w:eastAsia="宋体"/>
                <w:color w:val="auto"/>
                <w:highlight w:val="none"/>
              </w:rPr>
            </w:pPr>
          </w:p>
        </w:tc>
        <w:tc>
          <w:tcPr>
            <w:tcW w:w="1582" w:type="dxa"/>
          </w:tcPr>
          <w:p w14:paraId="648410EC">
            <w:pPr>
              <w:rPr>
                <w:rFonts w:ascii="宋体" w:hAnsi="宋体" w:eastAsia="宋体"/>
                <w:color w:val="auto"/>
                <w:highlight w:val="none"/>
              </w:rPr>
            </w:pPr>
          </w:p>
        </w:tc>
        <w:tc>
          <w:tcPr>
            <w:tcW w:w="1582" w:type="dxa"/>
          </w:tcPr>
          <w:p w14:paraId="5FBC1857">
            <w:pPr>
              <w:rPr>
                <w:rFonts w:ascii="宋体" w:hAnsi="宋体" w:eastAsia="宋体"/>
                <w:color w:val="auto"/>
                <w:highlight w:val="none"/>
              </w:rPr>
            </w:pPr>
          </w:p>
        </w:tc>
        <w:tc>
          <w:tcPr>
            <w:tcW w:w="1437" w:type="dxa"/>
          </w:tcPr>
          <w:p w14:paraId="386E0C51">
            <w:pPr>
              <w:rPr>
                <w:rFonts w:ascii="宋体" w:hAnsi="宋体" w:eastAsia="宋体"/>
                <w:color w:val="auto"/>
                <w:highlight w:val="none"/>
              </w:rPr>
            </w:pPr>
          </w:p>
        </w:tc>
      </w:tr>
      <w:tr w14:paraId="5879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EF8629C">
            <w:pPr>
              <w:rPr>
                <w:rFonts w:ascii="宋体" w:hAnsi="宋体" w:eastAsia="宋体"/>
                <w:color w:val="auto"/>
                <w:highlight w:val="none"/>
              </w:rPr>
            </w:pPr>
          </w:p>
        </w:tc>
        <w:tc>
          <w:tcPr>
            <w:tcW w:w="1525" w:type="dxa"/>
          </w:tcPr>
          <w:p w14:paraId="7079FE78">
            <w:pPr>
              <w:rPr>
                <w:rFonts w:ascii="宋体" w:hAnsi="宋体" w:eastAsia="宋体"/>
                <w:color w:val="auto"/>
                <w:highlight w:val="none"/>
              </w:rPr>
            </w:pPr>
          </w:p>
        </w:tc>
        <w:tc>
          <w:tcPr>
            <w:tcW w:w="1635" w:type="dxa"/>
          </w:tcPr>
          <w:p w14:paraId="184B4F7D">
            <w:pPr>
              <w:rPr>
                <w:rFonts w:ascii="宋体" w:hAnsi="宋体" w:eastAsia="宋体"/>
                <w:color w:val="auto"/>
                <w:highlight w:val="none"/>
              </w:rPr>
            </w:pPr>
          </w:p>
        </w:tc>
        <w:tc>
          <w:tcPr>
            <w:tcW w:w="859" w:type="dxa"/>
          </w:tcPr>
          <w:p w14:paraId="0B555386">
            <w:pPr>
              <w:rPr>
                <w:rFonts w:ascii="宋体" w:hAnsi="宋体" w:eastAsia="宋体"/>
                <w:color w:val="auto"/>
                <w:highlight w:val="none"/>
              </w:rPr>
            </w:pPr>
          </w:p>
        </w:tc>
        <w:tc>
          <w:tcPr>
            <w:tcW w:w="1582" w:type="dxa"/>
          </w:tcPr>
          <w:p w14:paraId="77162BFA">
            <w:pPr>
              <w:rPr>
                <w:rFonts w:ascii="宋体" w:hAnsi="宋体" w:eastAsia="宋体"/>
                <w:color w:val="auto"/>
                <w:highlight w:val="none"/>
              </w:rPr>
            </w:pPr>
          </w:p>
        </w:tc>
        <w:tc>
          <w:tcPr>
            <w:tcW w:w="1582" w:type="dxa"/>
          </w:tcPr>
          <w:p w14:paraId="61309A17">
            <w:pPr>
              <w:rPr>
                <w:rFonts w:ascii="宋体" w:hAnsi="宋体" w:eastAsia="宋体"/>
                <w:color w:val="auto"/>
                <w:highlight w:val="none"/>
              </w:rPr>
            </w:pPr>
          </w:p>
        </w:tc>
        <w:tc>
          <w:tcPr>
            <w:tcW w:w="1437" w:type="dxa"/>
          </w:tcPr>
          <w:p w14:paraId="4245E9AC">
            <w:pPr>
              <w:rPr>
                <w:rFonts w:ascii="宋体" w:hAnsi="宋体" w:eastAsia="宋体"/>
                <w:color w:val="auto"/>
                <w:highlight w:val="none"/>
              </w:rPr>
            </w:pPr>
          </w:p>
        </w:tc>
      </w:tr>
      <w:tr w14:paraId="6B1B5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7EF24D">
            <w:pPr>
              <w:rPr>
                <w:rFonts w:ascii="宋体" w:hAnsi="宋体" w:eastAsia="宋体"/>
                <w:color w:val="auto"/>
                <w:highlight w:val="none"/>
              </w:rPr>
            </w:pPr>
          </w:p>
        </w:tc>
        <w:tc>
          <w:tcPr>
            <w:tcW w:w="1525" w:type="dxa"/>
          </w:tcPr>
          <w:p w14:paraId="3F8DBA40">
            <w:pPr>
              <w:rPr>
                <w:rFonts w:ascii="宋体" w:hAnsi="宋体" w:eastAsia="宋体"/>
                <w:color w:val="auto"/>
                <w:highlight w:val="none"/>
              </w:rPr>
            </w:pPr>
          </w:p>
        </w:tc>
        <w:tc>
          <w:tcPr>
            <w:tcW w:w="1635" w:type="dxa"/>
          </w:tcPr>
          <w:p w14:paraId="3DB8BD72">
            <w:pPr>
              <w:rPr>
                <w:rFonts w:ascii="宋体" w:hAnsi="宋体" w:eastAsia="宋体"/>
                <w:color w:val="auto"/>
                <w:highlight w:val="none"/>
              </w:rPr>
            </w:pPr>
          </w:p>
        </w:tc>
        <w:tc>
          <w:tcPr>
            <w:tcW w:w="859" w:type="dxa"/>
          </w:tcPr>
          <w:p w14:paraId="3B2B0A86">
            <w:pPr>
              <w:rPr>
                <w:rFonts w:ascii="宋体" w:hAnsi="宋体" w:eastAsia="宋体"/>
                <w:color w:val="auto"/>
                <w:highlight w:val="none"/>
              </w:rPr>
            </w:pPr>
          </w:p>
        </w:tc>
        <w:tc>
          <w:tcPr>
            <w:tcW w:w="1582" w:type="dxa"/>
          </w:tcPr>
          <w:p w14:paraId="1034B373">
            <w:pPr>
              <w:rPr>
                <w:rFonts w:ascii="宋体" w:hAnsi="宋体" w:eastAsia="宋体"/>
                <w:color w:val="auto"/>
                <w:highlight w:val="none"/>
              </w:rPr>
            </w:pPr>
          </w:p>
        </w:tc>
        <w:tc>
          <w:tcPr>
            <w:tcW w:w="1582" w:type="dxa"/>
          </w:tcPr>
          <w:p w14:paraId="2CF2B7EB">
            <w:pPr>
              <w:rPr>
                <w:rFonts w:ascii="宋体" w:hAnsi="宋体" w:eastAsia="宋体"/>
                <w:color w:val="auto"/>
                <w:highlight w:val="none"/>
              </w:rPr>
            </w:pPr>
          </w:p>
        </w:tc>
        <w:tc>
          <w:tcPr>
            <w:tcW w:w="1437" w:type="dxa"/>
          </w:tcPr>
          <w:p w14:paraId="507DD1AD">
            <w:pPr>
              <w:rPr>
                <w:rFonts w:ascii="宋体" w:hAnsi="宋体" w:eastAsia="宋体"/>
                <w:color w:val="auto"/>
                <w:highlight w:val="none"/>
              </w:rPr>
            </w:pPr>
          </w:p>
        </w:tc>
      </w:tr>
      <w:tr w14:paraId="74BA5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F7CC199">
            <w:pPr>
              <w:rPr>
                <w:rFonts w:ascii="宋体" w:hAnsi="宋体" w:eastAsia="宋体"/>
                <w:color w:val="auto"/>
                <w:highlight w:val="none"/>
              </w:rPr>
            </w:pPr>
          </w:p>
        </w:tc>
        <w:tc>
          <w:tcPr>
            <w:tcW w:w="1525" w:type="dxa"/>
          </w:tcPr>
          <w:p w14:paraId="1E73D412">
            <w:pPr>
              <w:rPr>
                <w:rFonts w:ascii="宋体" w:hAnsi="宋体" w:eastAsia="宋体"/>
                <w:color w:val="auto"/>
                <w:highlight w:val="none"/>
              </w:rPr>
            </w:pPr>
          </w:p>
        </w:tc>
        <w:tc>
          <w:tcPr>
            <w:tcW w:w="1635" w:type="dxa"/>
          </w:tcPr>
          <w:p w14:paraId="660F1802">
            <w:pPr>
              <w:rPr>
                <w:rFonts w:ascii="宋体" w:hAnsi="宋体" w:eastAsia="宋体"/>
                <w:color w:val="auto"/>
                <w:highlight w:val="none"/>
              </w:rPr>
            </w:pPr>
          </w:p>
        </w:tc>
        <w:tc>
          <w:tcPr>
            <w:tcW w:w="859" w:type="dxa"/>
          </w:tcPr>
          <w:p w14:paraId="088E9E7F">
            <w:pPr>
              <w:rPr>
                <w:rFonts w:ascii="宋体" w:hAnsi="宋体" w:eastAsia="宋体"/>
                <w:color w:val="auto"/>
                <w:highlight w:val="none"/>
              </w:rPr>
            </w:pPr>
          </w:p>
        </w:tc>
        <w:tc>
          <w:tcPr>
            <w:tcW w:w="1582" w:type="dxa"/>
          </w:tcPr>
          <w:p w14:paraId="0FD5F41A">
            <w:pPr>
              <w:rPr>
                <w:rFonts w:ascii="宋体" w:hAnsi="宋体" w:eastAsia="宋体"/>
                <w:color w:val="auto"/>
                <w:highlight w:val="none"/>
              </w:rPr>
            </w:pPr>
          </w:p>
        </w:tc>
        <w:tc>
          <w:tcPr>
            <w:tcW w:w="1582" w:type="dxa"/>
          </w:tcPr>
          <w:p w14:paraId="5D7EF7E5">
            <w:pPr>
              <w:rPr>
                <w:rFonts w:ascii="宋体" w:hAnsi="宋体" w:eastAsia="宋体"/>
                <w:color w:val="auto"/>
                <w:highlight w:val="none"/>
              </w:rPr>
            </w:pPr>
          </w:p>
        </w:tc>
        <w:tc>
          <w:tcPr>
            <w:tcW w:w="1437" w:type="dxa"/>
          </w:tcPr>
          <w:p w14:paraId="68133750">
            <w:pPr>
              <w:rPr>
                <w:rFonts w:ascii="宋体" w:hAnsi="宋体" w:eastAsia="宋体"/>
                <w:color w:val="auto"/>
                <w:highlight w:val="none"/>
              </w:rPr>
            </w:pPr>
          </w:p>
        </w:tc>
      </w:tr>
      <w:tr w14:paraId="6E4BF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D7F2AF7">
            <w:pPr>
              <w:rPr>
                <w:rFonts w:ascii="宋体" w:hAnsi="宋体" w:eastAsia="宋体"/>
                <w:color w:val="auto"/>
                <w:highlight w:val="none"/>
              </w:rPr>
            </w:pPr>
          </w:p>
        </w:tc>
        <w:tc>
          <w:tcPr>
            <w:tcW w:w="1525" w:type="dxa"/>
          </w:tcPr>
          <w:p w14:paraId="35C1ED79">
            <w:pPr>
              <w:rPr>
                <w:rFonts w:ascii="宋体" w:hAnsi="宋体" w:eastAsia="宋体"/>
                <w:color w:val="auto"/>
                <w:highlight w:val="none"/>
              </w:rPr>
            </w:pPr>
          </w:p>
        </w:tc>
        <w:tc>
          <w:tcPr>
            <w:tcW w:w="1635" w:type="dxa"/>
          </w:tcPr>
          <w:p w14:paraId="7A5BB25D">
            <w:pPr>
              <w:rPr>
                <w:rFonts w:ascii="宋体" w:hAnsi="宋体" w:eastAsia="宋体"/>
                <w:color w:val="auto"/>
                <w:highlight w:val="none"/>
              </w:rPr>
            </w:pPr>
          </w:p>
        </w:tc>
        <w:tc>
          <w:tcPr>
            <w:tcW w:w="859" w:type="dxa"/>
          </w:tcPr>
          <w:p w14:paraId="38ED61E3">
            <w:pPr>
              <w:rPr>
                <w:rFonts w:ascii="宋体" w:hAnsi="宋体" w:eastAsia="宋体"/>
                <w:color w:val="auto"/>
                <w:highlight w:val="none"/>
              </w:rPr>
            </w:pPr>
          </w:p>
        </w:tc>
        <w:tc>
          <w:tcPr>
            <w:tcW w:w="1582" w:type="dxa"/>
          </w:tcPr>
          <w:p w14:paraId="1FBA2FD3">
            <w:pPr>
              <w:rPr>
                <w:rFonts w:ascii="宋体" w:hAnsi="宋体" w:eastAsia="宋体"/>
                <w:color w:val="auto"/>
                <w:highlight w:val="none"/>
              </w:rPr>
            </w:pPr>
          </w:p>
        </w:tc>
        <w:tc>
          <w:tcPr>
            <w:tcW w:w="1582" w:type="dxa"/>
          </w:tcPr>
          <w:p w14:paraId="482A5F75">
            <w:pPr>
              <w:rPr>
                <w:rFonts w:ascii="宋体" w:hAnsi="宋体" w:eastAsia="宋体"/>
                <w:color w:val="auto"/>
                <w:highlight w:val="none"/>
              </w:rPr>
            </w:pPr>
          </w:p>
        </w:tc>
        <w:tc>
          <w:tcPr>
            <w:tcW w:w="1437" w:type="dxa"/>
          </w:tcPr>
          <w:p w14:paraId="56FEF986">
            <w:pPr>
              <w:rPr>
                <w:rFonts w:ascii="宋体" w:hAnsi="宋体" w:eastAsia="宋体"/>
                <w:color w:val="auto"/>
                <w:highlight w:val="none"/>
              </w:rPr>
            </w:pPr>
          </w:p>
        </w:tc>
      </w:tr>
      <w:tr w14:paraId="3E8D8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DBC95AD">
            <w:pPr>
              <w:rPr>
                <w:rFonts w:ascii="宋体" w:hAnsi="宋体" w:eastAsia="宋体"/>
                <w:color w:val="auto"/>
                <w:highlight w:val="none"/>
              </w:rPr>
            </w:pPr>
          </w:p>
        </w:tc>
        <w:tc>
          <w:tcPr>
            <w:tcW w:w="1525" w:type="dxa"/>
          </w:tcPr>
          <w:p w14:paraId="39DD59CA">
            <w:pPr>
              <w:rPr>
                <w:rFonts w:ascii="宋体" w:hAnsi="宋体" w:eastAsia="宋体"/>
                <w:color w:val="auto"/>
                <w:highlight w:val="none"/>
              </w:rPr>
            </w:pPr>
          </w:p>
        </w:tc>
        <w:tc>
          <w:tcPr>
            <w:tcW w:w="1635" w:type="dxa"/>
          </w:tcPr>
          <w:p w14:paraId="41617D5F">
            <w:pPr>
              <w:rPr>
                <w:rFonts w:ascii="宋体" w:hAnsi="宋体" w:eastAsia="宋体"/>
                <w:color w:val="auto"/>
                <w:highlight w:val="none"/>
              </w:rPr>
            </w:pPr>
          </w:p>
        </w:tc>
        <w:tc>
          <w:tcPr>
            <w:tcW w:w="859" w:type="dxa"/>
          </w:tcPr>
          <w:p w14:paraId="4EA63F10">
            <w:pPr>
              <w:rPr>
                <w:rFonts w:ascii="宋体" w:hAnsi="宋体" w:eastAsia="宋体"/>
                <w:color w:val="auto"/>
                <w:highlight w:val="none"/>
              </w:rPr>
            </w:pPr>
          </w:p>
        </w:tc>
        <w:tc>
          <w:tcPr>
            <w:tcW w:w="1582" w:type="dxa"/>
          </w:tcPr>
          <w:p w14:paraId="137BA0EA">
            <w:pPr>
              <w:rPr>
                <w:rFonts w:ascii="宋体" w:hAnsi="宋体" w:eastAsia="宋体"/>
                <w:color w:val="auto"/>
                <w:highlight w:val="none"/>
              </w:rPr>
            </w:pPr>
          </w:p>
        </w:tc>
        <w:tc>
          <w:tcPr>
            <w:tcW w:w="1582" w:type="dxa"/>
          </w:tcPr>
          <w:p w14:paraId="518D010C">
            <w:pPr>
              <w:rPr>
                <w:rFonts w:ascii="宋体" w:hAnsi="宋体" w:eastAsia="宋体"/>
                <w:color w:val="auto"/>
                <w:highlight w:val="none"/>
              </w:rPr>
            </w:pPr>
          </w:p>
        </w:tc>
        <w:tc>
          <w:tcPr>
            <w:tcW w:w="1437" w:type="dxa"/>
          </w:tcPr>
          <w:p w14:paraId="0BE3189A">
            <w:pPr>
              <w:rPr>
                <w:rFonts w:ascii="宋体" w:hAnsi="宋体" w:eastAsia="宋体"/>
                <w:color w:val="auto"/>
                <w:highlight w:val="none"/>
              </w:rPr>
            </w:pPr>
          </w:p>
        </w:tc>
      </w:tr>
      <w:tr w14:paraId="351FA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66EBBE9">
            <w:pPr>
              <w:rPr>
                <w:rFonts w:ascii="宋体" w:hAnsi="宋体" w:eastAsia="宋体"/>
                <w:color w:val="auto"/>
                <w:highlight w:val="none"/>
              </w:rPr>
            </w:pPr>
          </w:p>
        </w:tc>
        <w:tc>
          <w:tcPr>
            <w:tcW w:w="1525" w:type="dxa"/>
          </w:tcPr>
          <w:p w14:paraId="45181D3D">
            <w:pPr>
              <w:rPr>
                <w:rFonts w:ascii="宋体" w:hAnsi="宋体" w:eastAsia="宋体"/>
                <w:color w:val="auto"/>
                <w:highlight w:val="none"/>
              </w:rPr>
            </w:pPr>
          </w:p>
        </w:tc>
        <w:tc>
          <w:tcPr>
            <w:tcW w:w="1635" w:type="dxa"/>
          </w:tcPr>
          <w:p w14:paraId="279FF8A1">
            <w:pPr>
              <w:rPr>
                <w:rFonts w:ascii="宋体" w:hAnsi="宋体" w:eastAsia="宋体"/>
                <w:color w:val="auto"/>
                <w:highlight w:val="none"/>
              </w:rPr>
            </w:pPr>
          </w:p>
        </w:tc>
        <w:tc>
          <w:tcPr>
            <w:tcW w:w="859" w:type="dxa"/>
          </w:tcPr>
          <w:p w14:paraId="33EEF8CE">
            <w:pPr>
              <w:rPr>
                <w:rFonts w:ascii="宋体" w:hAnsi="宋体" w:eastAsia="宋体"/>
                <w:color w:val="auto"/>
                <w:highlight w:val="none"/>
              </w:rPr>
            </w:pPr>
          </w:p>
        </w:tc>
        <w:tc>
          <w:tcPr>
            <w:tcW w:w="1582" w:type="dxa"/>
          </w:tcPr>
          <w:p w14:paraId="4A564B7F">
            <w:pPr>
              <w:rPr>
                <w:rFonts w:ascii="宋体" w:hAnsi="宋体" w:eastAsia="宋体"/>
                <w:color w:val="auto"/>
                <w:highlight w:val="none"/>
              </w:rPr>
            </w:pPr>
          </w:p>
        </w:tc>
        <w:tc>
          <w:tcPr>
            <w:tcW w:w="1582" w:type="dxa"/>
          </w:tcPr>
          <w:p w14:paraId="7A9E49D9">
            <w:pPr>
              <w:rPr>
                <w:rFonts w:ascii="宋体" w:hAnsi="宋体" w:eastAsia="宋体"/>
                <w:color w:val="auto"/>
                <w:highlight w:val="none"/>
              </w:rPr>
            </w:pPr>
          </w:p>
        </w:tc>
        <w:tc>
          <w:tcPr>
            <w:tcW w:w="1437" w:type="dxa"/>
          </w:tcPr>
          <w:p w14:paraId="435C2D8B">
            <w:pPr>
              <w:rPr>
                <w:rFonts w:ascii="宋体" w:hAnsi="宋体" w:eastAsia="宋体"/>
                <w:color w:val="auto"/>
                <w:highlight w:val="none"/>
              </w:rPr>
            </w:pPr>
          </w:p>
        </w:tc>
      </w:tr>
      <w:tr w14:paraId="04460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883D62">
            <w:pPr>
              <w:rPr>
                <w:rFonts w:ascii="宋体" w:hAnsi="宋体" w:eastAsia="宋体"/>
                <w:color w:val="auto"/>
                <w:highlight w:val="none"/>
              </w:rPr>
            </w:pPr>
          </w:p>
        </w:tc>
        <w:tc>
          <w:tcPr>
            <w:tcW w:w="1525" w:type="dxa"/>
          </w:tcPr>
          <w:p w14:paraId="0F4FF5C3">
            <w:pPr>
              <w:rPr>
                <w:rFonts w:ascii="宋体" w:hAnsi="宋体" w:eastAsia="宋体"/>
                <w:color w:val="auto"/>
                <w:highlight w:val="none"/>
              </w:rPr>
            </w:pPr>
          </w:p>
        </w:tc>
        <w:tc>
          <w:tcPr>
            <w:tcW w:w="1635" w:type="dxa"/>
          </w:tcPr>
          <w:p w14:paraId="478FC6B2">
            <w:pPr>
              <w:rPr>
                <w:rFonts w:ascii="宋体" w:hAnsi="宋体" w:eastAsia="宋体"/>
                <w:color w:val="auto"/>
                <w:highlight w:val="none"/>
              </w:rPr>
            </w:pPr>
          </w:p>
        </w:tc>
        <w:tc>
          <w:tcPr>
            <w:tcW w:w="859" w:type="dxa"/>
          </w:tcPr>
          <w:p w14:paraId="3857AE42">
            <w:pPr>
              <w:rPr>
                <w:rFonts w:ascii="宋体" w:hAnsi="宋体" w:eastAsia="宋体"/>
                <w:color w:val="auto"/>
                <w:highlight w:val="none"/>
              </w:rPr>
            </w:pPr>
          </w:p>
        </w:tc>
        <w:tc>
          <w:tcPr>
            <w:tcW w:w="1582" w:type="dxa"/>
          </w:tcPr>
          <w:p w14:paraId="2EA0F668">
            <w:pPr>
              <w:rPr>
                <w:rFonts w:ascii="宋体" w:hAnsi="宋体" w:eastAsia="宋体"/>
                <w:color w:val="auto"/>
                <w:highlight w:val="none"/>
              </w:rPr>
            </w:pPr>
          </w:p>
        </w:tc>
        <w:tc>
          <w:tcPr>
            <w:tcW w:w="1582" w:type="dxa"/>
          </w:tcPr>
          <w:p w14:paraId="011B19C7">
            <w:pPr>
              <w:rPr>
                <w:rFonts w:ascii="宋体" w:hAnsi="宋体" w:eastAsia="宋体"/>
                <w:color w:val="auto"/>
                <w:highlight w:val="none"/>
              </w:rPr>
            </w:pPr>
          </w:p>
        </w:tc>
        <w:tc>
          <w:tcPr>
            <w:tcW w:w="1437" w:type="dxa"/>
          </w:tcPr>
          <w:p w14:paraId="3A6C4301">
            <w:pPr>
              <w:rPr>
                <w:rFonts w:ascii="宋体" w:hAnsi="宋体" w:eastAsia="宋体"/>
                <w:color w:val="auto"/>
                <w:highlight w:val="none"/>
              </w:rPr>
            </w:pPr>
          </w:p>
        </w:tc>
      </w:tr>
      <w:tr w14:paraId="78268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5B3C79">
            <w:pPr>
              <w:rPr>
                <w:rFonts w:ascii="宋体" w:hAnsi="宋体" w:eastAsia="宋体"/>
                <w:color w:val="auto"/>
                <w:highlight w:val="none"/>
              </w:rPr>
            </w:pPr>
          </w:p>
        </w:tc>
        <w:tc>
          <w:tcPr>
            <w:tcW w:w="1525" w:type="dxa"/>
          </w:tcPr>
          <w:p w14:paraId="7E3DFD4C">
            <w:pPr>
              <w:rPr>
                <w:rFonts w:ascii="宋体" w:hAnsi="宋体" w:eastAsia="宋体"/>
                <w:color w:val="auto"/>
                <w:highlight w:val="none"/>
              </w:rPr>
            </w:pPr>
          </w:p>
        </w:tc>
        <w:tc>
          <w:tcPr>
            <w:tcW w:w="1635" w:type="dxa"/>
          </w:tcPr>
          <w:p w14:paraId="2A527130">
            <w:pPr>
              <w:rPr>
                <w:rFonts w:ascii="宋体" w:hAnsi="宋体" w:eastAsia="宋体"/>
                <w:color w:val="auto"/>
                <w:highlight w:val="none"/>
              </w:rPr>
            </w:pPr>
          </w:p>
        </w:tc>
        <w:tc>
          <w:tcPr>
            <w:tcW w:w="859" w:type="dxa"/>
          </w:tcPr>
          <w:p w14:paraId="324457D0">
            <w:pPr>
              <w:rPr>
                <w:rFonts w:ascii="宋体" w:hAnsi="宋体" w:eastAsia="宋体"/>
                <w:color w:val="auto"/>
                <w:highlight w:val="none"/>
              </w:rPr>
            </w:pPr>
          </w:p>
        </w:tc>
        <w:tc>
          <w:tcPr>
            <w:tcW w:w="1582" w:type="dxa"/>
          </w:tcPr>
          <w:p w14:paraId="529E0199">
            <w:pPr>
              <w:rPr>
                <w:rFonts w:ascii="宋体" w:hAnsi="宋体" w:eastAsia="宋体"/>
                <w:color w:val="auto"/>
                <w:highlight w:val="none"/>
              </w:rPr>
            </w:pPr>
          </w:p>
        </w:tc>
        <w:tc>
          <w:tcPr>
            <w:tcW w:w="1582" w:type="dxa"/>
          </w:tcPr>
          <w:p w14:paraId="49980C2D">
            <w:pPr>
              <w:rPr>
                <w:rFonts w:ascii="宋体" w:hAnsi="宋体" w:eastAsia="宋体"/>
                <w:color w:val="auto"/>
                <w:highlight w:val="none"/>
              </w:rPr>
            </w:pPr>
          </w:p>
        </w:tc>
        <w:tc>
          <w:tcPr>
            <w:tcW w:w="1437" w:type="dxa"/>
          </w:tcPr>
          <w:p w14:paraId="55075A5A">
            <w:pPr>
              <w:rPr>
                <w:rFonts w:ascii="宋体" w:hAnsi="宋体" w:eastAsia="宋体"/>
                <w:color w:val="auto"/>
                <w:highlight w:val="none"/>
              </w:rPr>
            </w:pPr>
          </w:p>
        </w:tc>
      </w:tr>
      <w:tr w14:paraId="5C24D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EBC74BB">
            <w:pPr>
              <w:rPr>
                <w:rFonts w:ascii="宋体" w:hAnsi="宋体" w:eastAsia="宋体"/>
                <w:color w:val="auto"/>
                <w:highlight w:val="none"/>
              </w:rPr>
            </w:pPr>
          </w:p>
        </w:tc>
        <w:tc>
          <w:tcPr>
            <w:tcW w:w="1525" w:type="dxa"/>
          </w:tcPr>
          <w:p w14:paraId="7576815E">
            <w:pPr>
              <w:rPr>
                <w:rFonts w:ascii="宋体" w:hAnsi="宋体" w:eastAsia="宋体"/>
                <w:color w:val="auto"/>
                <w:highlight w:val="none"/>
              </w:rPr>
            </w:pPr>
          </w:p>
        </w:tc>
        <w:tc>
          <w:tcPr>
            <w:tcW w:w="1635" w:type="dxa"/>
          </w:tcPr>
          <w:p w14:paraId="4BDD161A">
            <w:pPr>
              <w:rPr>
                <w:rFonts w:ascii="宋体" w:hAnsi="宋体" w:eastAsia="宋体"/>
                <w:color w:val="auto"/>
                <w:highlight w:val="none"/>
              </w:rPr>
            </w:pPr>
          </w:p>
        </w:tc>
        <w:tc>
          <w:tcPr>
            <w:tcW w:w="859" w:type="dxa"/>
          </w:tcPr>
          <w:p w14:paraId="18D5E7DD">
            <w:pPr>
              <w:rPr>
                <w:rFonts w:ascii="宋体" w:hAnsi="宋体" w:eastAsia="宋体"/>
                <w:color w:val="auto"/>
                <w:highlight w:val="none"/>
              </w:rPr>
            </w:pPr>
          </w:p>
        </w:tc>
        <w:tc>
          <w:tcPr>
            <w:tcW w:w="1582" w:type="dxa"/>
          </w:tcPr>
          <w:p w14:paraId="5D13824E">
            <w:pPr>
              <w:rPr>
                <w:rFonts w:ascii="宋体" w:hAnsi="宋体" w:eastAsia="宋体"/>
                <w:color w:val="auto"/>
                <w:highlight w:val="none"/>
              </w:rPr>
            </w:pPr>
          </w:p>
        </w:tc>
        <w:tc>
          <w:tcPr>
            <w:tcW w:w="1582" w:type="dxa"/>
          </w:tcPr>
          <w:p w14:paraId="16336686">
            <w:pPr>
              <w:rPr>
                <w:rFonts w:ascii="宋体" w:hAnsi="宋体" w:eastAsia="宋体"/>
                <w:color w:val="auto"/>
                <w:highlight w:val="none"/>
              </w:rPr>
            </w:pPr>
          </w:p>
        </w:tc>
        <w:tc>
          <w:tcPr>
            <w:tcW w:w="1437" w:type="dxa"/>
          </w:tcPr>
          <w:p w14:paraId="346A5E6B">
            <w:pPr>
              <w:rPr>
                <w:rFonts w:ascii="宋体" w:hAnsi="宋体" w:eastAsia="宋体"/>
                <w:color w:val="auto"/>
                <w:highlight w:val="none"/>
              </w:rPr>
            </w:pPr>
          </w:p>
        </w:tc>
      </w:tr>
      <w:tr w14:paraId="0E262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5A1660A">
            <w:pPr>
              <w:rPr>
                <w:rFonts w:ascii="宋体" w:hAnsi="宋体" w:eastAsia="宋体"/>
                <w:color w:val="auto"/>
                <w:highlight w:val="none"/>
              </w:rPr>
            </w:pPr>
          </w:p>
        </w:tc>
        <w:tc>
          <w:tcPr>
            <w:tcW w:w="1525" w:type="dxa"/>
          </w:tcPr>
          <w:p w14:paraId="56EEB1D0">
            <w:pPr>
              <w:rPr>
                <w:rFonts w:ascii="宋体" w:hAnsi="宋体" w:eastAsia="宋体"/>
                <w:color w:val="auto"/>
                <w:highlight w:val="none"/>
              </w:rPr>
            </w:pPr>
          </w:p>
        </w:tc>
        <w:tc>
          <w:tcPr>
            <w:tcW w:w="1635" w:type="dxa"/>
          </w:tcPr>
          <w:p w14:paraId="1AAD76E6">
            <w:pPr>
              <w:rPr>
                <w:rFonts w:ascii="宋体" w:hAnsi="宋体" w:eastAsia="宋体"/>
                <w:color w:val="auto"/>
                <w:highlight w:val="none"/>
              </w:rPr>
            </w:pPr>
          </w:p>
        </w:tc>
        <w:tc>
          <w:tcPr>
            <w:tcW w:w="859" w:type="dxa"/>
          </w:tcPr>
          <w:p w14:paraId="31FC797B">
            <w:pPr>
              <w:rPr>
                <w:rFonts w:ascii="宋体" w:hAnsi="宋体" w:eastAsia="宋体"/>
                <w:color w:val="auto"/>
                <w:highlight w:val="none"/>
              </w:rPr>
            </w:pPr>
          </w:p>
        </w:tc>
        <w:tc>
          <w:tcPr>
            <w:tcW w:w="1582" w:type="dxa"/>
          </w:tcPr>
          <w:p w14:paraId="46C432FE">
            <w:pPr>
              <w:rPr>
                <w:rFonts w:ascii="宋体" w:hAnsi="宋体" w:eastAsia="宋体"/>
                <w:color w:val="auto"/>
                <w:highlight w:val="none"/>
              </w:rPr>
            </w:pPr>
          </w:p>
        </w:tc>
        <w:tc>
          <w:tcPr>
            <w:tcW w:w="1582" w:type="dxa"/>
          </w:tcPr>
          <w:p w14:paraId="7F719957">
            <w:pPr>
              <w:rPr>
                <w:rFonts w:ascii="宋体" w:hAnsi="宋体" w:eastAsia="宋体"/>
                <w:color w:val="auto"/>
                <w:highlight w:val="none"/>
              </w:rPr>
            </w:pPr>
          </w:p>
        </w:tc>
        <w:tc>
          <w:tcPr>
            <w:tcW w:w="1437" w:type="dxa"/>
          </w:tcPr>
          <w:p w14:paraId="00672A2A">
            <w:pPr>
              <w:rPr>
                <w:rFonts w:ascii="宋体" w:hAnsi="宋体" w:eastAsia="宋体"/>
                <w:color w:val="auto"/>
                <w:highlight w:val="none"/>
              </w:rPr>
            </w:pPr>
          </w:p>
        </w:tc>
      </w:tr>
      <w:tr w14:paraId="2968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2237283">
            <w:pPr>
              <w:rPr>
                <w:rFonts w:ascii="宋体" w:hAnsi="宋体" w:eastAsia="宋体"/>
                <w:color w:val="auto"/>
                <w:highlight w:val="none"/>
              </w:rPr>
            </w:pPr>
          </w:p>
        </w:tc>
        <w:tc>
          <w:tcPr>
            <w:tcW w:w="1525" w:type="dxa"/>
          </w:tcPr>
          <w:p w14:paraId="5B04DA4C">
            <w:pPr>
              <w:rPr>
                <w:rFonts w:ascii="宋体" w:hAnsi="宋体" w:eastAsia="宋体"/>
                <w:color w:val="auto"/>
                <w:highlight w:val="none"/>
              </w:rPr>
            </w:pPr>
          </w:p>
        </w:tc>
        <w:tc>
          <w:tcPr>
            <w:tcW w:w="1635" w:type="dxa"/>
          </w:tcPr>
          <w:p w14:paraId="01E77674">
            <w:pPr>
              <w:rPr>
                <w:rFonts w:ascii="宋体" w:hAnsi="宋体" w:eastAsia="宋体"/>
                <w:color w:val="auto"/>
                <w:highlight w:val="none"/>
              </w:rPr>
            </w:pPr>
          </w:p>
        </w:tc>
        <w:tc>
          <w:tcPr>
            <w:tcW w:w="859" w:type="dxa"/>
          </w:tcPr>
          <w:p w14:paraId="3942BAD6">
            <w:pPr>
              <w:rPr>
                <w:rFonts w:ascii="宋体" w:hAnsi="宋体" w:eastAsia="宋体"/>
                <w:color w:val="auto"/>
                <w:highlight w:val="none"/>
              </w:rPr>
            </w:pPr>
          </w:p>
        </w:tc>
        <w:tc>
          <w:tcPr>
            <w:tcW w:w="1582" w:type="dxa"/>
          </w:tcPr>
          <w:p w14:paraId="4AA9F032">
            <w:pPr>
              <w:rPr>
                <w:rFonts w:ascii="宋体" w:hAnsi="宋体" w:eastAsia="宋体"/>
                <w:color w:val="auto"/>
                <w:highlight w:val="none"/>
              </w:rPr>
            </w:pPr>
          </w:p>
        </w:tc>
        <w:tc>
          <w:tcPr>
            <w:tcW w:w="1582" w:type="dxa"/>
          </w:tcPr>
          <w:p w14:paraId="3AA1FAD8">
            <w:pPr>
              <w:rPr>
                <w:rFonts w:ascii="宋体" w:hAnsi="宋体" w:eastAsia="宋体"/>
                <w:color w:val="auto"/>
                <w:highlight w:val="none"/>
              </w:rPr>
            </w:pPr>
          </w:p>
        </w:tc>
        <w:tc>
          <w:tcPr>
            <w:tcW w:w="1437" w:type="dxa"/>
          </w:tcPr>
          <w:p w14:paraId="01776438">
            <w:pPr>
              <w:rPr>
                <w:rFonts w:ascii="宋体" w:hAnsi="宋体" w:eastAsia="宋体"/>
                <w:color w:val="auto"/>
                <w:highlight w:val="none"/>
              </w:rPr>
            </w:pPr>
          </w:p>
        </w:tc>
      </w:tr>
      <w:tr w14:paraId="73F80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2B26109">
            <w:pPr>
              <w:rPr>
                <w:rFonts w:ascii="宋体" w:hAnsi="宋体" w:eastAsia="宋体"/>
                <w:color w:val="auto"/>
                <w:highlight w:val="none"/>
              </w:rPr>
            </w:pPr>
          </w:p>
        </w:tc>
        <w:tc>
          <w:tcPr>
            <w:tcW w:w="1525" w:type="dxa"/>
          </w:tcPr>
          <w:p w14:paraId="521E648A">
            <w:pPr>
              <w:rPr>
                <w:rFonts w:ascii="宋体" w:hAnsi="宋体" w:eastAsia="宋体"/>
                <w:color w:val="auto"/>
                <w:highlight w:val="none"/>
              </w:rPr>
            </w:pPr>
          </w:p>
        </w:tc>
        <w:tc>
          <w:tcPr>
            <w:tcW w:w="1635" w:type="dxa"/>
          </w:tcPr>
          <w:p w14:paraId="379AF4D4">
            <w:pPr>
              <w:rPr>
                <w:rFonts w:ascii="宋体" w:hAnsi="宋体" w:eastAsia="宋体"/>
                <w:color w:val="auto"/>
                <w:highlight w:val="none"/>
              </w:rPr>
            </w:pPr>
          </w:p>
        </w:tc>
        <w:tc>
          <w:tcPr>
            <w:tcW w:w="859" w:type="dxa"/>
          </w:tcPr>
          <w:p w14:paraId="3E1B86BF">
            <w:pPr>
              <w:rPr>
                <w:rFonts w:ascii="宋体" w:hAnsi="宋体" w:eastAsia="宋体"/>
                <w:color w:val="auto"/>
                <w:highlight w:val="none"/>
              </w:rPr>
            </w:pPr>
          </w:p>
        </w:tc>
        <w:tc>
          <w:tcPr>
            <w:tcW w:w="1582" w:type="dxa"/>
          </w:tcPr>
          <w:p w14:paraId="6E438D44">
            <w:pPr>
              <w:rPr>
                <w:rFonts w:ascii="宋体" w:hAnsi="宋体" w:eastAsia="宋体"/>
                <w:color w:val="auto"/>
                <w:highlight w:val="none"/>
              </w:rPr>
            </w:pPr>
          </w:p>
        </w:tc>
        <w:tc>
          <w:tcPr>
            <w:tcW w:w="1582" w:type="dxa"/>
          </w:tcPr>
          <w:p w14:paraId="750DE599">
            <w:pPr>
              <w:rPr>
                <w:rFonts w:ascii="宋体" w:hAnsi="宋体" w:eastAsia="宋体"/>
                <w:color w:val="auto"/>
                <w:highlight w:val="none"/>
              </w:rPr>
            </w:pPr>
          </w:p>
        </w:tc>
        <w:tc>
          <w:tcPr>
            <w:tcW w:w="1437" w:type="dxa"/>
          </w:tcPr>
          <w:p w14:paraId="082A667A">
            <w:pPr>
              <w:rPr>
                <w:rFonts w:ascii="宋体" w:hAnsi="宋体" w:eastAsia="宋体"/>
                <w:color w:val="auto"/>
                <w:highlight w:val="none"/>
              </w:rPr>
            </w:pPr>
          </w:p>
        </w:tc>
      </w:tr>
      <w:tr w14:paraId="57D3B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1AA1A3">
            <w:pPr>
              <w:rPr>
                <w:rFonts w:ascii="宋体" w:hAnsi="宋体" w:eastAsia="宋体"/>
                <w:color w:val="auto"/>
                <w:highlight w:val="none"/>
              </w:rPr>
            </w:pPr>
          </w:p>
        </w:tc>
        <w:tc>
          <w:tcPr>
            <w:tcW w:w="1525" w:type="dxa"/>
          </w:tcPr>
          <w:p w14:paraId="3666A07A">
            <w:pPr>
              <w:rPr>
                <w:rFonts w:ascii="宋体" w:hAnsi="宋体" w:eastAsia="宋体"/>
                <w:color w:val="auto"/>
                <w:highlight w:val="none"/>
              </w:rPr>
            </w:pPr>
          </w:p>
        </w:tc>
        <w:tc>
          <w:tcPr>
            <w:tcW w:w="1635" w:type="dxa"/>
          </w:tcPr>
          <w:p w14:paraId="675D4990">
            <w:pPr>
              <w:rPr>
                <w:rFonts w:ascii="宋体" w:hAnsi="宋体" w:eastAsia="宋体"/>
                <w:color w:val="auto"/>
                <w:highlight w:val="none"/>
              </w:rPr>
            </w:pPr>
          </w:p>
        </w:tc>
        <w:tc>
          <w:tcPr>
            <w:tcW w:w="859" w:type="dxa"/>
          </w:tcPr>
          <w:p w14:paraId="0C566C7D">
            <w:pPr>
              <w:rPr>
                <w:rFonts w:ascii="宋体" w:hAnsi="宋体" w:eastAsia="宋体"/>
                <w:color w:val="auto"/>
                <w:highlight w:val="none"/>
              </w:rPr>
            </w:pPr>
          </w:p>
        </w:tc>
        <w:tc>
          <w:tcPr>
            <w:tcW w:w="1582" w:type="dxa"/>
          </w:tcPr>
          <w:p w14:paraId="50556FDA">
            <w:pPr>
              <w:rPr>
                <w:rFonts w:ascii="宋体" w:hAnsi="宋体" w:eastAsia="宋体"/>
                <w:color w:val="auto"/>
                <w:highlight w:val="none"/>
              </w:rPr>
            </w:pPr>
          </w:p>
        </w:tc>
        <w:tc>
          <w:tcPr>
            <w:tcW w:w="1582" w:type="dxa"/>
          </w:tcPr>
          <w:p w14:paraId="44B4F563">
            <w:pPr>
              <w:rPr>
                <w:rFonts w:ascii="宋体" w:hAnsi="宋体" w:eastAsia="宋体"/>
                <w:color w:val="auto"/>
                <w:highlight w:val="none"/>
              </w:rPr>
            </w:pPr>
          </w:p>
        </w:tc>
        <w:tc>
          <w:tcPr>
            <w:tcW w:w="1437" w:type="dxa"/>
          </w:tcPr>
          <w:p w14:paraId="49842E41">
            <w:pPr>
              <w:rPr>
                <w:rFonts w:ascii="宋体" w:hAnsi="宋体" w:eastAsia="宋体"/>
                <w:color w:val="auto"/>
                <w:highlight w:val="none"/>
              </w:rPr>
            </w:pPr>
          </w:p>
        </w:tc>
      </w:tr>
      <w:tr w14:paraId="101E1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DC6969">
            <w:pPr>
              <w:rPr>
                <w:rFonts w:ascii="宋体" w:hAnsi="宋体" w:eastAsia="宋体"/>
                <w:color w:val="auto"/>
                <w:highlight w:val="none"/>
              </w:rPr>
            </w:pPr>
          </w:p>
        </w:tc>
        <w:tc>
          <w:tcPr>
            <w:tcW w:w="1525" w:type="dxa"/>
          </w:tcPr>
          <w:p w14:paraId="7DC8FCC5">
            <w:pPr>
              <w:rPr>
                <w:rFonts w:ascii="宋体" w:hAnsi="宋体" w:eastAsia="宋体"/>
                <w:color w:val="auto"/>
                <w:highlight w:val="none"/>
              </w:rPr>
            </w:pPr>
          </w:p>
        </w:tc>
        <w:tc>
          <w:tcPr>
            <w:tcW w:w="1635" w:type="dxa"/>
          </w:tcPr>
          <w:p w14:paraId="3CF2EB50">
            <w:pPr>
              <w:rPr>
                <w:rFonts w:ascii="宋体" w:hAnsi="宋体" w:eastAsia="宋体"/>
                <w:color w:val="auto"/>
                <w:highlight w:val="none"/>
              </w:rPr>
            </w:pPr>
          </w:p>
        </w:tc>
        <w:tc>
          <w:tcPr>
            <w:tcW w:w="859" w:type="dxa"/>
          </w:tcPr>
          <w:p w14:paraId="35B2D3A6">
            <w:pPr>
              <w:rPr>
                <w:rFonts w:ascii="宋体" w:hAnsi="宋体" w:eastAsia="宋体"/>
                <w:color w:val="auto"/>
                <w:highlight w:val="none"/>
              </w:rPr>
            </w:pPr>
          </w:p>
        </w:tc>
        <w:tc>
          <w:tcPr>
            <w:tcW w:w="1582" w:type="dxa"/>
          </w:tcPr>
          <w:p w14:paraId="62BEDC15">
            <w:pPr>
              <w:rPr>
                <w:rFonts w:ascii="宋体" w:hAnsi="宋体" w:eastAsia="宋体"/>
                <w:color w:val="auto"/>
                <w:highlight w:val="none"/>
              </w:rPr>
            </w:pPr>
          </w:p>
        </w:tc>
        <w:tc>
          <w:tcPr>
            <w:tcW w:w="1582" w:type="dxa"/>
          </w:tcPr>
          <w:p w14:paraId="6C6E2F6E">
            <w:pPr>
              <w:rPr>
                <w:rFonts w:ascii="宋体" w:hAnsi="宋体" w:eastAsia="宋体"/>
                <w:color w:val="auto"/>
                <w:highlight w:val="none"/>
              </w:rPr>
            </w:pPr>
          </w:p>
        </w:tc>
        <w:tc>
          <w:tcPr>
            <w:tcW w:w="1437" w:type="dxa"/>
          </w:tcPr>
          <w:p w14:paraId="64C1FB18">
            <w:pPr>
              <w:rPr>
                <w:rFonts w:ascii="宋体" w:hAnsi="宋体" w:eastAsia="宋体"/>
                <w:color w:val="auto"/>
                <w:highlight w:val="none"/>
              </w:rPr>
            </w:pPr>
          </w:p>
        </w:tc>
      </w:tr>
      <w:tr w14:paraId="4CC18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067B863">
            <w:pPr>
              <w:rPr>
                <w:rFonts w:ascii="宋体" w:hAnsi="宋体" w:eastAsia="宋体"/>
                <w:color w:val="auto"/>
                <w:highlight w:val="none"/>
              </w:rPr>
            </w:pPr>
          </w:p>
        </w:tc>
        <w:tc>
          <w:tcPr>
            <w:tcW w:w="1525" w:type="dxa"/>
          </w:tcPr>
          <w:p w14:paraId="33E8108F">
            <w:pPr>
              <w:rPr>
                <w:rFonts w:ascii="宋体" w:hAnsi="宋体" w:eastAsia="宋体"/>
                <w:color w:val="auto"/>
                <w:highlight w:val="none"/>
              </w:rPr>
            </w:pPr>
          </w:p>
        </w:tc>
        <w:tc>
          <w:tcPr>
            <w:tcW w:w="1635" w:type="dxa"/>
          </w:tcPr>
          <w:p w14:paraId="0E0B26F5">
            <w:pPr>
              <w:rPr>
                <w:rFonts w:ascii="宋体" w:hAnsi="宋体" w:eastAsia="宋体"/>
                <w:color w:val="auto"/>
                <w:highlight w:val="none"/>
              </w:rPr>
            </w:pPr>
          </w:p>
        </w:tc>
        <w:tc>
          <w:tcPr>
            <w:tcW w:w="859" w:type="dxa"/>
          </w:tcPr>
          <w:p w14:paraId="5C81FF2E">
            <w:pPr>
              <w:rPr>
                <w:rFonts w:ascii="宋体" w:hAnsi="宋体" w:eastAsia="宋体"/>
                <w:color w:val="auto"/>
                <w:highlight w:val="none"/>
              </w:rPr>
            </w:pPr>
          </w:p>
        </w:tc>
        <w:tc>
          <w:tcPr>
            <w:tcW w:w="1582" w:type="dxa"/>
          </w:tcPr>
          <w:p w14:paraId="1CE7601B">
            <w:pPr>
              <w:rPr>
                <w:rFonts w:ascii="宋体" w:hAnsi="宋体" w:eastAsia="宋体"/>
                <w:color w:val="auto"/>
                <w:highlight w:val="none"/>
              </w:rPr>
            </w:pPr>
          </w:p>
        </w:tc>
        <w:tc>
          <w:tcPr>
            <w:tcW w:w="1582" w:type="dxa"/>
          </w:tcPr>
          <w:p w14:paraId="43678489">
            <w:pPr>
              <w:rPr>
                <w:rFonts w:ascii="宋体" w:hAnsi="宋体" w:eastAsia="宋体"/>
                <w:color w:val="auto"/>
                <w:highlight w:val="none"/>
              </w:rPr>
            </w:pPr>
          </w:p>
        </w:tc>
        <w:tc>
          <w:tcPr>
            <w:tcW w:w="1437" w:type="dxa"/>
          </w:tcPr>
          <w:p w14:paraId="09021177">
            <w:pPr>
              <w:rPr>
                <w:rFonts w:ascii="宋体" w:hAnsi="宋体" w:eastAsia="宋体"/>
                <w:color w:val="auto"/>
                <w:highlight w:val="none"/>
              </w:rPr>
            </w:pPr>
          </w:p>
        </w:tc>
      </w:tr>
    </w:tbl>
    <w:p w14:paraId="269613AC">
      <w:pPr>
        <w:rPr>
          <w:rFonts w:ascii="宋体" w:hAnsi="宋体" w:eastAsia="宋体"/>
          <w:color w:val="auto"/>
          <w:sz w:val="28"/>
          <w:highlight w:val="none"/>
        </w:rPr>
      </w:pPr>
    </w:p>
    <w:p w14:paraId="188CAF5F">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4D7F0CE9">
      <w:pPr>
        <w:jc w:val="right"/>
        <w:rPr>
          <w:rFonts w:ascii="宋体" w:hAnsi="宋体" w:eastAsia="宋体"/>
          <w:color w:val="auto"/>
          <w:sz w:val="24"/>
          <w:szCs w:val="24"/>
          <w:highlight w:val="none"/>
        </w:rPr>
      </w:pPr>
    </w:p>
    <w:p w14:paraId="1A605696">
      <w:pPr>
        <w:ind w:firstLine="6480" w:firstLineChars="2700"/>
        <w:rPr>
          <w:rFonts w:ascii="宋体" w:hAnsi="宋体" w:eastAsia="宋体"/>
          <w:color w:val="auto"/>
          <w:sz w:val="24"/>
          <w:szCs w:val="24"/>
          <w:highlight w:val="none"/>
        </w:rPr>
      </w:pPr>
    </w:p>
    <w:p w14:paraId="23E0F2D7">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234" w:name="_Toc169487834"/>
      <w:bookmarkStart w:id="235" w:name="_Toc386121764"/>
      <w:bookmarkStart w:id="236" w:name="_Toc155342588"/>
      <w:bookmarkStart w:id="237" w:name="_Toc386122461"/>
      <w:bookmarkStart w:id="238" w:name="_Toc20350"/>
      <w:bookmarkStart w:id="239" w:name="_Toc28874"/>
      <w:bookmarkStart w:id="240" w:name="_Toc147380660"/>
      <w:bookmarkStart w:id="241" w:name="_Toc118710617"/>
      <w:bookmarkStart w:id="242" w:name="_Toc76292000"/>
      <w:bookmarkStart w:id="243" w:name="_Toc106553081"/>
      <w:bookmarkStart w:id="244" w:name="_Toc155342587"/>
      <w:bookmarkStart w:id="245" w:name="_Toc118275606"/>
      <w:bookmarkStart w:id="246" w:name="_Toc136335625"/>
    </w:p>
    <w:p w14:paraId="0BCA8F03">
      <w:pPr>
        <w:pStyle w:val="3"/>
        <w:numPr>
          <w:ilvl w:val="0"/>
          <w:numId w:val="0"/>
        </w:numPr>
        <w:spacing w:before="0" w:afterLines="0" w:line="240" w:lineRule="auto"/>
        <w:jc w:val="both"/>
        <w:rPr>
          <w:b w:val="0"/>
          <w:color w:val="auto"/>
          <w:sz w:val="28"/>
          <w:szCs w:val="28"/>
          <w:highlight w:val="none"/>
        </w:rPr>
        <w:sectPr>
          <w:footerReference r:id="rId9"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5F2B2D61">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234"/>
      <w:bookmarkEnd w:id="235"/>
      <w:bookmarkEnd w:id="236"/>
      <w:bookmarkEnd w:id="237"/>
      <w:r>
        <w:rPr>
          <w:rFonts w:hint="eastAsia"/>
          <w:b w:val="0"/>
          <w:color w:val="auto"/>
          <w:sz w:val="28"/>
          <w:szCs w:val="28"/>
          <w:highlight w:val="none"/>
        </w:rPr>
        <w:t>临海市建设工程诚信投标承诺书</w:t>
      </w:r>
      <w:bookmarkEnd w:id="238"/>
      <w:bookmarkEnd w:id="239"/>
    </w:p>
    <w:p w14:paraId="656E30B9">
      <w:pPr>
        <w:rPr>
          <w:rFonts w:ascii="黑体" w:eastAsia="黑体"/>
          <w:color w:val="auto"/>
          <w:sz w:val="28"/>
          <w:szCs w:val="28"/>
          <w:highlight w:val="none"/>
        </w:rPr>
      </w:pPr>
    </w:p>
    <w:p w14:paraId="7AB9B2E3">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011E4B19">
      <w:pPr>
        <w:adjustRightInd w:val="0"/>
        <w:snapToGrid w:val="0"/>
        <w:spacing w:line="360" w:lineRule="auto"/>
        <w:rPr>
          <w:rFonts w:eastAsia="宋体"/>
          <w:color w:val="auto"/>
          <w:sz w:val="24"/>
          <w:highlight w:val="none"/>
        </w:rPr>
      </w:pPr>
    </w:p>
    <w:p w14:paraId="5BD11020">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57FC37F7">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 xml:space="preserve">临海市尤溪镇山塘建设工程(双塘坑山塘) </w:t>
      </w:r>
      <w:r>
        <w:rPr>
          <w:rFonts w:hint="eastAsia" w:eastAsia="宋体"/>
          <w:color w:val="auto"/>
          <w:sz w:val="28"/>
          <w:szCs w:val="28"/>
          <w:highlight w:val="none"/>
        </w:rPr>
        <w:t>的投标；</w:t>
      </w:r>
    </w:p>
    <w:p w14:paraId="4772D939">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43DA7C69">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09DCB6C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199C95A1">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29B98D91">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1E56806C">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0F19EF5E">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3BA92AC4">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eastAsia="宋体"/>
          <w:color w:val="auto"/>
          <w:sz w:val="28"/>
          <w:szCs w:val="28"/>
          <w:highlight w:val="none"/>
          <w:lang w:eastAsia="zh-CN"/>
        </w:rPr>
        <w:t>邮箱</w:t>
      </w:r>
      <w:r>
        <w:rPr>
          <w:rFonts w:hint="eastAsia" w:eastAsia="宋体"/>
          <w:color w:val="auto"/>
          <w:sz w:val="28"/>
          <w:szCs w:val="28"/>
          <w:highlight w:val="none"/>
        </w:rPr>
        <w:t>：</w:t>
      </w:r>
      <w:r>
        <w:rPr>
          <w:rFonts w:hint="eastAsia" w:eastAsia="宋体"/>
          <w:color w:val="auto"/>
          <w:sz w:val="28"/>
          <w:szCs w:val="28"/>
          <w:highlight w:val="none"/>
          <w:u w:val="single"/>
        </w:rPr>
        <w:t xml:space="preserve">             </w:t>
      </w:r>
    </w:p>
    <w:p w14:paraId="32C2E24B">
      <w:pPr>
        <w:pStyle w:val="29"/>
        <w:rPr>
          <w:color w:val="auto"/>
          <w:sz w:val="28"/>
          <w:szCs w:val="28"/>
          <w:highlight w:val="none"/>
        </w:rPr>
      </w:pPr>
    </w:p>
    <w:p w14:paraId="5CB60EB7">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1822A9F8">
      <w:pPr>
        <w:adjustRightInd w:val="0"/>
        <w:snapToGrid w:val="0"/>
        <w:spacing w:line="586" w:lineRule="exact"/>
        <w:rPr>
          <w:rFonts w:eastAsia="宋体"/>
          <w:color w:val="auto"/>
          <w:sz w:val="28"/>
          <w:szCs w:val="28"/>
          <w:highlight w:val="none"/>
        </w:rPr>
      </w:pPr>
    </w:p>
    <w:p w14:paraId="4198A093">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41B78924">
      <w:pPr>
        <w:adjustRightInd w:val="0"/>
        <w:snapToGrid w:val="0"/>
        <w:spacing w:line="586" w:lineRule="exact"/>
        <w:ind w:right="640" w:firstLine="3920" w:firstLineChars="1400"/>
        <w:jc w:val="center"/>
        <w:rPr>
          <w:color w:val="auto"/>
          <w:sz w:val="28"/>
          <w:szCs w:val="28"/>
          <w:highlight w:val="none"/>
        </w:rPr>
      </w:pPr>
      <w:bookmarkStart w:id="247" w:name="_Toc143318918"/>
      <w:bookmarkStart w:id="248" w:name="_Toc155322974"/>
      <w:bookmarkStart w:id="249" w:name="_Toc141242988"/>
      <w:bookmarkStart w:id="250" w:name="_Toc146440177"/>
      <w:bookmarkStart w:id="251" w:name="_Toc148157964"/>
      <w:bookmarkStart w:id="252" w:name="_Toc143319553"/>
      <w:r>
        <w:rPr>
          <w:rFonts w:hint="eastAsia" w:eastAsia="宋体"/>
          <w:color w:val="auto"/>
          <w:sz w:val="28"/>
          <w:szCs w:val="28"/>
          <w:highlight w:val="none"/>
        </w:rPr>
        <w:t xml:space="preserve">       年    月    日</w:t>
      </w:r>
      <w:bookmarkEnd w:id="240"/>
      <w:bookmarkEnd w:id="241"/>
      <w:bookmarkEnd w:id="242"/>
      <w:bookmarkEnd w:id="243"/>
      <w:bookmarkEnd w:id="244"/>
      <w:bookmarkEnd w:id="245"/>
      <w:bookmarkEnd w:id="246"/>
      <w:bookmarkEnd w:id="247"/>
      <w:bookmarkEnd w:id="248"/>
      <w:bookmarkEnd w:id="249"/>
      <w:bookmarkEnd w:id="250"/>
      <w:bookmarkEnd w:id="251"/>
      <w:bookmarkEnd w:id="252"/>
      <w:bookmarkStart w:id="253" w:name="_Toc169487835"/>
      <w:bookmarkStart w:id="254" w:name="_Toc155342591"/>
    </w:p>
    <w:p w14:paraId="1A016D86">
      <w:pPr>
        <w:pStyle w:val="3"/>
        <w:numPr>
          <w:ilvl w:val="0"/>
          <w:numId w:val="0"/>
        </w:numPr>
        <w:spacing w:before="0" w:afterLines="0" w:line="240" w:lineRule="auto"/>
        <w:jc w:val="both"/>
        <w:rPr>
          <w:b w:val="0"/>
          <w:color w:val="auto"/>
          <w:sz w:val="28"/>
          <w:szCs w:val="28"/>
          <w:highlight w:val="none"/>
        </w:rPr>
      </w:pPr>
      <w:bookmarkStart w:id="255" w:name="_Toc11522"/>
      <w:bookmarkStart w:id="256" w:name="_Toc386121765"/>
      <w:bookmarkStart w:id="257" w:name="_Toc386122462"/>
      <w:bookmarkStart w:id="258" w:name="_Toc18290"/>
    </w:p>
    <w:p w14:paraId="16DCD7E4">
      <w:pPr>
        <w:pStyle w:val="3"/>
        <w:numPr>
          <w:ilvl w:val="0"/>
          <w:numId w:val="0"/>
        </w:numPr>
        <w:spacing w:before="0" w:afterLines="0" w:line="240" w:lineRule="auto"/>
        <w:jc w:val="both"/>
        <w:rPr>
          <w:b w:val="0"/>
          <w:color w:val="auto"/>
          <w:sz w:val="28"/>
          <w:szCs w:val="28"/>
          <w:highlight w:val="none"/>
        </w:rPr>
      </w:pPr>
    </w:p>
    <w:p w14:paraId="74FF4F77">
      <w:pPr>
        <w:rPr>
          <w:color w:val="auto"/>
          <w:sz w:val="28"/>
          <w:szCs w:val="28"/>
          <w:highlight w:val="none"/>
        </w:rPr>
      </w:pPr>
      <w:r>
        <w:rPr>
          <w:rFonts w:hint="eastAsia"/>
          <w:color w:val="auto"/>
          <w:sz w:val="28"/>
          <w:szCs w:val="28"/>
          <w:highlight w:val="none"/>
        </w:rPr>
        <w:br w:type="page"/>
      </w:r>
    </w:p>
    <w:bookmarkEnd w:id="253"/>
    <w:bookmarkEnd w:id="254"/>
    <w:bookmarkEnd w:id="255"/>
    <w:bookmarkEnd w:id="256"/>
    <w:bookmarkEnd w:id="257"/>
    <w:bookmarkEnd w:id="258"/>
    <w:p w14:paraId="08EF64DA">
      <w:pPr>
        <w:spacing w:before="231" w:line="222" w:lineRule="auto"/>
        <w:ind w:left="26"/>
        <w:rPr>
          <w:rFonts w:ascii="黑体" w:hAnsi="黑体" w:eastAsia="黑体" w:cs="黑体"/>
          <w:b/>
          <w:bCs/>
          <w:color w:val="auto"/>
          <w:szCs w:val="32"/>
          <w:highlight w:val="none"/>
        </w:rPr>
      </w:pPr>
      <w:r>
        <w:rPr>
          <w:rFonts w:ascii="黑体" w:hAnsi="黑体" w:eastAsia="黑体" w:cs="黑体"/>
          <w:color w:val="auto"/>
          <w:spacing w:val="-2"/>
          <w:sz w:val="28"/>
          <w:szCs w:val="28"/>
          <w:highlight w:val="none"/>
        </w:rPr>
        <w:t>附件</w:t>
      </w:r>
      <w:r>
        <w:rPr>
          <w:rFonts w:hint="eastAsia" w:ascii="黑体" w:hAnsi="黑体" w:eastAsia="黑体" w:cs="黑体"/>
          <w:color w:val="auto"/>
          <w:spacing w:val="-2"/>
          <w:sz w:val="28"/>
          <w:szCs w:val="28"/>
          <w:highlight w:val="none"/>
        </w:rPr>
        <w:t>八</w:t>
      </w:r>
      <w:r>
        <w:rPr>
          <w:rFonts w:ascii="黑体" w:hAnsi="黑体" w:eastAsia="黑体" w:cs="黑体"/>
          <w:color w:val="auto"/>
          <w:spacing w:val="-2"/>
          <w:sz w:val="28"/>
          <w:szCs w:val="28"/>
          <w:highlight w:val="none"/>
        </w:rPr>
        <w:t>：</w:t>
      </w:r>
      <w:r>
        <w:rPr>
          <w:rFonts w:hint="eastAsia" w:ascii="黑体" w:hAnsi="黑体" w:eastAsia="黑体" w:cs="黑体"/>
          <w:color w:val="auto"/>
          <w:spacing w:val="-2"/>
          <w:sz w:val="28"/>
          <w:szCs w:val="28"/>
          <w:highlight w:val="none"/>
        </w:rPr>
        <w:t>法定代表人身份证明</w:t>
      </w:r>
    </w:p>
    <w:p w14:paraId="0C9C965B">
      <w:pPr>
        <w:widowControl/>
        <w:snapToGrid w:val="0"/>
        <w:spacing w:beforeLines="50" w:line="360" w:lineRule="auto"/>
        <w:ind w:firstLine="643" w:firstLineChars="200"/>
        <w:jc w:val="center"/>
        <w:rPr>
          <w:rFonts w:ascii="方正小标宋简体" w:hAnsi="方正小标宋简体"/>
          <w:b/>
          <w:color w:val="auto"/>
          <w:sz w:val="44"/>
          <w:szCs w:val="44"/>
          <w:highlight w:val="none"/>
        </w:rPr>
      </w:pPr>
      <w:r>
        <w:rPr>
          <w:rFonts w:hint="eastAsia" w:ascii="黑体" w:hAnsi="黑体" w:eastAsia="黑体" w:cs="黑体"/>
          <w:b/>
          <w:bCs/>
          <w:color w:val="auto"/>
          <w:szCs w:val="32"/>
          <w:highlight w:val="none"/>
        </w:rPr>
        <w:t>法定代表人身份证明</w:t>
      </w:r>
      <w:r>
        <w:rPr>
          <w:rFonts w:hint="eastAsia"/>
          <w:b/>
          <w:color w:val="auto"/>
          <w:sz w:val="28"/>
          <w:highlight w:val="none"/>
        </w:rPr>
        <w:t>（参考样张）</w:t>
      </w:r>
    </w:p>
    <w:p w14:paraId="10A6DA85">
      <w:pPr>
        <w:widowControl/>
        <w:spacing w:line="360" w:lineRule="auto"/>
        <w:jc w:val="center"/>
        <w:rPr>
          <w:rFonts w:ascii="黑体" w:hAnsi="黑体" w:eastAsia="黑体" w:cs="黑体"/>
          <w:b/>
          <w:bCs/>
          <w:color w:val="auto"/>
          <w:szCs w:val="32"/>
          <w:highlight w:val="none"/>
        </w:rPr>
      </w:pPr>
    </w:p>
    <w:p w14:paraId="0AB50A51">
      <w:pPr>
        <w:snapToGrid w:val="0"/>
        <w:spacing w:line="360" w:lineRule="auto"/>
        <w:ind w:firstLine="560" w:firstLineChars="200"/>
        <w:textAlignment w:val="baseline"/>
        <w:rPr>
          <w:rFonts w:ascii="宋体" w:hAnsi="宋体"/>
          <w:color w:val="auto"/>
          <w:sz w:val="28"/>
          <w:szCs w:val="28"/>
          <w:highlight w:val="none"/>
          <w:u w:val="singl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002CD147">
      <w:pPr>
        <w:snapToGrid w:val="0"/>
        <w:spacing w:line="360" w:lineRule="auto"/>
        <w:ind w:firstLine="560" w:firstLineChars="200"/>
        <w:textAlignment w:val="baseline"/>
        <w:rPr>
          <w:rFonts w:ascii="宋体" w:hAnsi="宋体"/>
          <w:color w:val="auto"/>
          <w:sz w:val="28"/>
          <w:szCs w:val="28"/>
          <w:highlight w:val="none"/>
          <w:u w:val="singl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1607C070">
      <w:pPr>
        <w:pStyle w:val="38"/>
        <w:spacing w:line="360" w:lineRule="auto"/>
        <w:ind w:firstLine="560" w:firstLineChars="200"/>
        <w:rPr>
          <w:rFonts w:ascii="新宋体" w:hAnsi="新宋体" w:eastAsia="新宋体" w:cs="新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778CA6D3">
      <w:pPr>
        <w:snapToGrid w:val="0"/>
        <w:spacing w:line="360" w:lineRule="auto"/>
        <w:ind w:firstLine="560" w:firstLineChars="200"/>
        <w:textAlignment w:val="baseline"/>
        <w:rPr>
          <w:rFonts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的法定代表人</w:t>
      </w:r>
    </w:p>
    <w:p w14:paraId="14181464">
      <w:pPr>
        <w:snapToGrid w:val="0"/>
        <w:spacing w:line="360" w:lineRule="auto"/>
        <w:ind w:firstLine="560" w:firstLineChars="200"/>
        <w:textAlignment w:val="baseline"/>
        <w:rPr>
          <w:rFonts w:ascii="宋体" w:hAnsi="宋体"/>
          <w:color w:val="auto"/>
          <w:sz w:val="28"/>
          <w:szCs w:val="28"/>
          <w:highlight w:val="none"/>
        </w:rPr>
      </w:pPr>
      <w:r>
        <w:rPr>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color w:val="auto"/>
          <w:sz w:val="28"/>
          <w:szCs w:val="28"/>
          <w:highlight w:val="none"/>
        </w:rPr>
        <w:t>法定代表人手机号码：</w:t>
      </w:r>
      <w:r>
        <w:rPr>
          <w:rFonts w:hint="eastAsia" w:ascii="宋体" w:hAnsi="宋体"/>
          <w:color w:val="auto"/>
          <w:sz w:val="28"/>
          <w:szCs w:val="28"/>
          <w:highlight w:val="none"/>
          <w:u w:val="single"/>
        </w:rPr>
        <w:t xml:space="preserve">              </w:t>
      </w:r>
    </w:p>
    <w:p w14:paraId="315181BB">
      <w:pPr>
        <w:snapToGrid w:val="0"/>
        <w:spacing w:line="360" w:lineRule="auto"/>
        <w:ind w:firstLine="480" w:firstLineChars="200"/>
        <w:textAlignment w:val="baseline"/>
        <w:rPr>
          <w:rFonts w:ascii="宋体" w:hAnsi="宋体"/>
          <w:color w:val="auto"/>
          <w:sz w:val="28"/>
          <w:szCs w:val="28"/>
          <w:highlight w:val="none"/>
        </w:rPr>
      </w:pPr>
      <w:r>
        <w:rPr>
          <w:rFonts w:hint="eastAsia" w:ascii="宋体" w:hAnsi="宋体" w:cs="宋体"/>
          <w:color w:val="auto"/>
          <w:sz w:val="24"/>
          <w:highlight w:val="none"/>
        </w:rPr>
        <w:t>附</w:t>
      </w:r>
      <w:r>
        <w:rPr>
          <w:rFonts w:hint="eastAsia" w:ascii="宋体" w:hAnsi="宋体"/>
          <w:color w:val="auto"/>
          <w:sz w:val="28"/>
          <w:szCs w:val="28"/>
          <w:highlight w:val="none"/>
        </w:rPr>
        <w:t xml:space="preserve">                                      </w:t>
      </w:r>
    </w:p>
    <w:p w14:paraId="7D2AA585">
      <w:pPr>
        <w:snapToGrid w:val="0"/>
        <w:spacing w:line="360" w:lineRule="auto"/>
        <w:ind w:firstLine="560" w:firstLineChars="200"/>
        <w:jc w:val="right"/>
        <w:textAlignment w:val="baseline"/>
        <w:rPr>
          <w:rFonts w:ascii="宋体" w:hAnsi="宋体"/>
          <w:color w:val="auto"/>
          <w:sz w:val="28"/>
          <w:szCs w:val="28"/>
          <w:highlight w:val="none"/>
        </w:rPr>
      </w:pPr>
    </w:p>
    <w:p w14:paraId="252874C2">
      <w:pPr>
        <w:snapToGrid w:val="0"/>
        <w:spacing w:line="360" w:lineRule="auto"/>
        <w:ind w:firstLine="560" w:firstLineChars="200"/>
        <w:jc w:val="right"/>
        <w:textAlignment w:val="baseline"/>
        <w:rPr>
          <w:rFonts w:ascii="宋体" w:hAnsi="宋体"/>
          <w:color w:val="auto"/>
          <w:sz w:val="28"/>
          <w:szCs w:val="28"/>
          <w:highlight w:val="none"/>
        </w:rPr>
      </w:pPr>
    </w:p>
    <w:p w14:paraId="687869F0">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136525</wp:posOffset>
                </wp:positionV>
                <wp:extent cx="3476625" cy="567055"/>
                <wp:effectExtent l="4445" t="4445" r="5080" b="1905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5520E1C9">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10.75pt;height:44.65pt;width:273.75pt;z-index:251661312;mso-width-relative:page;mso-height-relative:page;" fillcolor="#FFFFFF" filled="t" stroked="t" coordsize="21600,21600" o:gfxdata="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B4k&#10;l13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5520E1C9">
                      <w:pPr>
                        <w:jc w:val="center"/>
                      </w:pPr>
                      <w:r>
                        <w:rPr>
                          <w:rFonts w:hint="eastAsia"/>
                        </w:rPr>
                        <w:t>法定代表人身份证正面复印件粘贴处</w:t>
                      </w:r>
                    </w:p>
                  </w:txbxContent>
                </v:textbox>
              </v:shape>
            </w:pict>
          </mc:Fallback>
        </mc:AlternateContent>
      </w:r>
    </w:p>
    <w:p w14:paraId="2C45CEEA">
      <w:pPr>
        <w:snapToGrid w:val="0"/>
        <w:spacing w:line="360" w:lineRule="auto"/>
        <w:ind w:firstLine="560" w:firstLineChars="200"/>
        <w:jc w:val="right"/>
        <w:textAlignment w:val="baseline"/>
        <w:rPr>
          <w:rFonts w:ascii="宋体" w:hAnsi="宋体"/>
          <w:color w:val="auto"/>
          <w:sz w:val="28"/>
          <w:szCs w:val="28"/>
          <w:highlight w:val="none"/>
        </w:rPr>
      </w:pPr>
    </w:p>
    <w:p w14:paraId="3F1A3F92">
      <w:pPr>
        <w:snapToGrid w:val="0"/>
        <w:spacing w:line="360" w:lineRule="auto"/>
        <w:ind w:firstLine="560" w:firstLineChars="200"/>
        <w:jc w:val="right"/>
        <w:textAlignment w:val="baseline"/>
        <w:rPr>
          <w:rFonts w:ascii="宋体" w:hAnsi="宋体"/>
          <w:color w:val="auto"/>
          <w:sz w:val="28"/>
          <w:szCs w:val="28"/>
          <w:highlight w:val="none"/>
        </w:rPr>
      </w:pPr>
    </w:p>
    <w:p w14:paraId="76C8DFEF">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2043EFD">
      <w:pPr>
        <w:snapToGrid w:val="0"/>
        <w:spacing w:line="360" w:lineRule="auto"/>
        <w:ind w:firstLine="560" w:firstLineChars="200"/>
        <w:jc w:val="right"/>
        <w:textAlignment w:val="baseline"/>
        <w:rPr>
          <w:rFonts w:ascii="宋体" w:hAnsi="宋体"/>
          <w:color w:val="auto"/>
          <w:sz w:val="28"/>
          <w:szCs w:val="28"/>
          <w:highlight w:val="none"/>
        </w:rPr>
      </w:pPr>
    </w:p>
    <w:p w14:paraId="4A679ABD">
      <w:pPr>
        <w:snapToGrid w:val="0"/>
        <w:spacing w:line="360" w:lineRule="auto"/>
        <w:ind w:firstLine="560" w:firstLineChars="200"/>
        <w:jc w:val="right"/>
        <w:textAlignment w:val="baseline"/>
        <w:rPr>
          <w:rFonts w:ascii="宋体" w:hAnsi="宋体"/>
          <w:color w:val="auto"/>
          <w:sz w:val="28"/>
          <w:szCs w:val="28"/>
          <w:highlight w:val="none"/>
        </w:rPr>
      </w:pPr>
    </w:p>
    <w:p w14:paraId="57968243">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471170"/>
                <wp:effectExtent l="4445" t="4445" r="5080" b="19685"/>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AB793BC">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37.1pt;width:273.75pt;z-index:251662336;mso-width-relative:page;mso-height-relative:page;" fillcolor="#FFFFFF" filled="t" stroked="t" coordsize="21600,21600" o:gfxdata="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&#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O&#10;i8o/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AB793BC">
                      <w:pPr>
                        <w:jc w:val="center"/>
                      </w:pPr>
                      <w:r>
                        <w:rPr>
                          <w:rFonts w:hint="eastAsia"/>
                        </w:rPr>
                        <w:t>法定代表人身份证反面复印件粘贴处</w:t>
                      </w:r>
                    </w:p>
                  </w:txbxContent>
                </v:textbox>
              </v:shape>
            </w:pict>
          </mc:Fallback>
        </mc:AlternateContent>
      </w:r>
    </w:p>
    <w:p w14:paraId="468F0287">
      <w:pPr>
        <w:snapToGrid w:val="0"/>
        <w:spacing w:line="360" w:lineRule="auto"/>
        <w:ind w:firstLine="560" w:firstLineChars="200"/>
        <w:jc w:val="right"/>
        <w:textAlignment w:val="baseline"/>
        <w:rPr>
          <w:rFonts w:ascii="宋体" w:hAnsi="宋体"/>
          <w:color w:val="auto"/>
          <w:sz w:val="28"/>
          <w:szCs w:val="28"/>
          <w:highlight w:val="none"/>
        </w:rPr>
      </w:pPr>
    </w:p>
    <w:p w14:paraId="3233A08E">
      <w:pPr>
        <w:snapToGrid w:val="0"/>
        <w:spacing w:line="360" w:lineRule="auto"/>
        <w:ind w:firstLine="560" w:firstLineChars="200"/>
        <w:jc w:val="right"/>
        <w:textAlignment w:val="baseline"/>
        <w:rPr>
          <w:rFonts w:ascii="宋体" w:hAnsi="宋体"/>
          <w:color w:val="auto"/>
          <w:sz w:val="28"/>
          <w:szCs w:val="28"/>
          <w:highlight w:val="none"/>
        </w:rPr>
      </w:pPr>
    </w:p>
    <w:p w14:paraId="444C7F10">
      <w:pPr>
        <w:snapToGrid w:val="0"/>
        <w:spacing w:line="360" w:lineRule="auto"/>
        <w:ind w:firstLine="560" w:firstLineChars="200"/>
        <w:jc w:val="right"/>
        <w:textAlignment w:val="baseline"/>
        <w:rPr>
          <w:rFonts w:ascii="宋体" w:hAnsi="宋体"/>
          <w:color w:val="auto"/>
          <w:sz w:val="28"/>
          <w:szCs w:val="28"/>
          <w:highlight w:val="none"/>
        </w:rPr>
      </w:pPr>
    </w:p>
    <w:p w14:paraId="3A467A05">
      <w:pPr>
        <w:snapToGrid w:val="0"/>
        <w:spacing w:line="360" w:lineRule="auto"/>
        <w:ind w:firstLine="560" w:firstLineChars="200"/>
        <w:jc w:val="right"/>
        <w:textAlignment w:val="baseline"/>
        <w:rPr>
          <w:rFonts w:ascii="宋体" w:hAnsi="宋体"/>
          <w:color w:val="auto"/>
          <w:sz w:val="28"/>
          <w:szCs w:val="28"/>
          <w:highlight w:val="none"/>
        </w:rPr>
      </w:pPr>
    </w:p>
    <w:p w14:paraId="0C19B783">
      <w:pPr>
        <w:snapToGrid w:val="0"/>
        <w:spacing w:line="360" w:lineRule="auto"/>
        <w:ind w:firstLine="560" w:firstLineChars="200"/>
        <w:jc w:val="right"/>
        <w:textAlignment w:val="baseline"/>
        <w:rPr>
          <w:rFonts w:ascii="宋体" w:hAnsi="宋体"/>
          <w:color w:val="auto"/>
          <w:sz w:val="28"/>
          <w:szCs w:val="28"/>
          <w:highlight w:val="none"/>
          <w:u w:val="single"/>
        </w:rPr>
      </w:pPr>
      <w:r>
        <w:rPr>
          <w:rFonts w:hint="eastAsia" w:ascii="宋体" w:hAnsi="宋体"/>
          <w:color w:val="auto"/>
          <w:sz w:val="28"/>
          <w:szCs w:val="28"/>
          <w:highlight w:val="none"/>
        </w:rPr>
        <w:t>投标人：（盖单位公章）</w:t>
      </w:r>
    </w:p>
    <w:p w14:paraId="2236B3B4">
      <w:pPr>
        <w:pStyle w:val="10"/>
        <w:tabs>
          <w:tab w:val="left" w:pos="9360"/>
          <w:tab w:val="clear" w:pos="574"/>
        </w:tabs>
        <w:ind w:firstLine="280"/>
        <w:jc w:val="right"/>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0F8F4304">
      <w:pPr>
        <w:spacing w:before="156"/>
        <w:rPr>
          <w:rFonts w:ascii="新宋体" w:hAnsi="新宋体" w:eastAsia="新宋体" w:cs="新宋体"/>
          <w:b/>
          <w:bCs/>
          <w:color w:val="auto"/>
          <w:szCs w:val="32"/>
          <w:highlight w:val="none"/>
        </w:rPr>
      </w:pPr>
    </w:p>
    <w:p w14:paraId="42E401EB">
      <w:pPr>
        <w:spacing w:before="231" w:line="222" w:lineRule="auto"/>
        <w:ind w:left="26"/>
        <w:rPr>
          <w:rFonts w:ascii="黑体" w:hAnsi="黑体" w:eastAsia="黑体" w:cs="黑体"/>
          <w:color w:val="auto"/>
          <w:spacing w:val="-2"/>
          <w:sz w:val="28"/>
          <w:szCs w:val="28"/>
          <w:highlight w:val="none"/>
        </w:rPr>
      </w:pPr>
      <w:r>
        <w:rPr>
          <w:rFonts w:ascii="黑体" w:hAnsi="黑体" w:eastAsia="黑体" w:cs="黑体"/>
          <w:color w:val="auto"/>
          <w:spacing w:val="-2"/>
          <w:sz w:val="28"/>
          <w:szCs w:val="28"/>
          <w:highlight w:val="none"/>
        </w:rPr>
        <w:t>附件</w:t>
      </w:r>
      <w:r>
        <w:rPr>
          <w:rFonts w:hint="eastAsia" w:ascii="黑体" w:hAnsi="黑体" w:eastAsia="黑体" w:cs="黑体"/>
          <w:color w:val="auto"/>
          <w:spacing w:val="-2"/>
          <w:sz w:val="28"/>
          <w:szCs w:val="28"/>
          <w:highlight w:val="none"/>
        </w:rPr>
        <w:t>九</w:t>
      </w:r>
      <w:r>
        <w:rPr>
          <w:rFonts w:ascii="黑体" w:hAnsi="黑体" w:eastAsia="黑体" w:cs="黑体"/>
          <w:color w:val="auto"/>
          <w:spacing w:val="-2"/>
          <w:sz w:val="28"/>
          <w:szCs w:val="28"/>
          <w:highlight w:val="none"/>
        </w:rPr>
        <w:t>：</w:t>
      </w:r>
      <w:r>
        <w:rPr>
          <w:rFonts w:hint="eastAsia" w:ascii="黑体" w:hAnsi="黑体" w:eastAsia="黑体" w:cs="黑体"/>
          <w:color w:val="auto"/>
          <w:spacing w:val="-2"/>
          <w:sz w:val="28"/>
          <w:szCs w:val="28"/>
          <w:highlight w:val="none"/>
        </w:rPr>
        <w:t>法定代表人授权委托书</w:t>
      </w:r>
    </w:p>
    <w:p w14:paraId="00D46F5D">
      <w:pPr>
        <w:spacing w:before="156"/>
        <w:jc w:val="center"/>
        <w:rPr>
          <w:rFonts w:ascii="宋体" w:hAnsi="宋体" w:cs="宋体"/>
          <w:b/>
          <w:bCs/>
          <w:color w:val="auto"/>
          <w:sz w:val="28"/>
          <w:szCs w:val="28"/>
          <w:highlight w:val="none"/>
        </w:rPr>
      </w:pPr>
      <w:r>
        <w:rPr>
          <w:rFonts w:hint="eastAsia" w:ascii="宋体" w:hAnsi="宋体" w:cs="宋体"/>
          <w:b/>
          <w:bCs/>
          <w:color w:val="auto"/>
          <w:szCs w:val="32"/>
          <w:highlight w:val="none"/>
        </w:rPr>
        <w:t>法定代表人授权委托书</w:t>
      </w:r>
      <w:r>
        <w:rPr>
          <w:rFonts w:hint="eastAsia" w:ascii="宋体" w:hAnsi="宋体" w:cs="宋体"/>
          <w:b/>
          <w:bCs/>
          <w:color w:val="auto"/>
          <w:sz w:val="28"/>
          <w:szCs w:val="28"/>
          <w:highlight w:val="none"/>
        </w:rPr>
        <w:t>（参考样张）</w:t>
      </w:r>
    </w:p>
    <w:p w14:paraId="67CB1EBD">
      <w:pPr>
        <w:spacing w:line="400" w:lineRule="exact"/>
        <w:ind w:left="16" w:leftChars="5" w:firstLine="372" w:firstLineChars="133"/>
        <w:jc w:val="left"/>
        <w:rPr>
          <w:rFonts w:ascii="宋体" w:hAnsi="宋体" w:cs="宋体"/>
          <w:color w:val="auto"/>
          <w:sz w:val="28"/>
          <w:szCs w:val="28"/>
          <w:highlight w:val="none"/>
        </w:rPr>
      </w:pPr>
      <w:r>
        <w:rPr>
          <w:rFonts w:hint="eastAsia" w:ascii="宋体" w:hAnsi="宋体" w:cs="宋体"/>
          <w:color w:val="auto"/>
          <w:sz w:val="28"/>
          <w:szCs w:val="28"/>
          <w:highlight w:val="none"/>
        </w:rPr>
        <w:t>本授权委托书声明：我</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（姓名）系</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（投标人）的法定代表人，现授权委托我单位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（姓名）为我的委托代理人，以本单位的名义参加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（招标人）的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（工程名称）的投标。委托代理人在该工程招投标活动中的一切事务，我均予以承认。</w:t>
      </w:r>
    </w:p>
    <w:p w14:paraId="6C326EE0">
      <w:pPr>
        <w:snapToGrid w:val="0"/>
        <w:spacing w:line="4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委托代理人无转委权，特此委托。</w:t>
      </w:r>
    </w:p>
    <w:p w14:paraId="4E1D2E3A">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投标人（公章）：</w:t>
      </w:r>
      <w:r>
        <w:rPr>
          <w:rFonts w:hint="eastAsia" w:ascii="宋体" w:hAnsi="宋体" w:cs="宋体"/>
          <w:color w:val="auto"/>
          <w:sz w:val="28"/>
          <w:szCs w:val="28"/>
          <w:highlight w:val="none"/>
          <w:u w:val="single"/>
        </w:rPr>
        <w:t xml:space="preserve">                                         </w:t>
      </w:r>
    </w:p>
    <w:p w14:paraId="018497F4">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法定代表人（签字或盖章）：</w:t>
      </w:r>
      <w:r>
        <w:rPr>
          <w:rFonts w:hint="eastAsia" w:ascii="宋体" w:hAnsi="宋体" w:cs="宋体"/>
          <w:color w:val="auto"/>
          <w:sz w:val="28"/>
          <w:szCs w:val="28"/>
          <w:highlight w:val="none"/>
          <w:u w:val="single"/>
        </w:rPr>
        <w:t xml:space="preserve">                                     </w:t>
      </w:r>
    </w:p>
    <w:p w14:paraId="0BC390E5">
      <w:pPr>
        <w:snapToGrid w:val="0"/>
        <w:spacing w:beforeLines="50" w:line="4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委托代理人：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性别：</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年龄</w:t>
      </w:r>
      <w:r>
        <w:rPr>
          <w:rFonts w:hint="eastAsia" w:ascii="宋体" w:hAnsi="宋体" w:cs="宋体"/>
          <w:color w:val="auto"/>
          <w:sz w:val="28"/>
          <w:szCs w:val="28"/>
          <w:highlight w:val="none"/>
          <w:u w:val="single"/>
        </w:rPr>
        <w:t xml:space="preserve">          </w:t>
      </w:r>
    </w:p>
    <w:p w14:paraId="3ACF56A2">
      <w:pPr>
        <w:snapToGrid w:val="0"/>
        <w:spacing w:beforeLines="50" w:line="4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w:t>
      </w:r>
      <w:r>
        <w:rPr>
          <w:rFonts w:hint="eastAsia" w:ascii="宋体" w:hAnsi="宋体" w:cs="宋体"/>
          <w:color w:val="auto"/>
          <w:sz w:val="28"/>
          <w:szCs w:val="28"/>
          <w:highlight w:val="none"/>
          <w:u w:val="single"/>
        </w:rPr>
        <w:t xml:space="preserve">                    </w:t>
      </w:r>
    </w:p>
    <w:p w14:paraId="04771101">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联系电话：</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电子邮箱：</w:t>
      </w:r>
      <w:r>
        <w:rPr>
          <w:rFonts w:hint="eastAsia" w:ascii="宋体" w:hAnsi="宋体" w:cs="宋体"/>
          <w:color w:val="auto"/>
          <w:sz w:val="28"/>
          <w:szCs w:val="28"/>
          <w:highlight w:val="none"/>
          <w:u w:val="single"/>
        </w:rPr>
        <w:t xml:space="preserve">                  </w:t>
      </w:r>
    </w:p>
    <w:p w14:paraId="67ABEF1B">
      <w:pPr>
        <w:pStyle w:val="21"/>
        <w:spacing w:line="400" w:lineRule="exact"/>
        <w:ind w:firstLine="240"/>
        <w:jc w:val="both"/>
        <w:rPr>
          <w:rFonts w:ascii="宋体" w:hAnsi="宋体" w:cs="宋体"/>
          <w:color w:val="auto"/>
          <w:sz w:val="28"/>
          <w:szCs w:val="28"/>
          <w:highlight w:val="none"/>
        </w:rPr>
      </w:pPr>
      <w:bookmarkStart w:id="259" w:name="_Toc1484"/>
      <w:r>
        <w:rPr>
          <w:rFonts w:hint="eastAsia" w:ascii="宋体" w:hAnsi="宋体" w:cs="宋体"/>
          <w:b w:val="0"/>
          <w:color w:val="auto"/>
          <w:sz w:val="28"/>
          <w:szCs w:val="28"/>
          <w:highlight w:val="none"/>
        </w:rPr>
        <w:t>授权委托日期：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bookmarkEnd w:id="259"/>
    </w:p>
    <w:p w14:paraId="3632A5A6">
      <w:pPr>
        <w:snapToGrid w:val="0"/>
        <w:spacing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22"/>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783FA34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0C965865">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38" w:type="dxa"/>
          </w:tcPr>
          <w:p w14:paraId="4EC720D5">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5FB18C1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7161E58D">
            <w:pPr>
              <w:spacing w:line="360" w:lineRule="auto"/>
              <w:rPr>
                <w:color w:val="auto"/>
                <w:sz w:val="30"/>
                <w:szCs w:val="30"/>
                <w:highlight w:val="none"/>
              </w:rPr>
            </w:pPr>
          </w:p>
        </w:tc>
        <w:tc>
          <w:tcPr>
            <w:tcW w:w="4938" w:type="dxa"/>
          </w:tcPr>
          <w:p w14:paraId="09618BE1">
            <w:pPr>
              <w:spacing w:line="360" w:lineRule="auto"/>
              <w:rPr>
                <w:color w:val="auto"/>
                <w:sz w:val="30"/>
                <w:szCs w:val="30"/>
                <w:highlight w:val="none"/>
              </w:rPr>
            </w:pPr>
          </w:p>
        </w:tc>
      </w:tr>
    </w:tbl>
    <w:p w14:paraId="70E8B884">
      <w:pPr>
        <w:pStyle w:val="29"/>
        <w:rPr>
          <w:rFonts w:ascii="宋体" w:hAnsi="宋体" w:cs="宋体"/>
          <w:color w:val="auto"/>
          <w:sz w:val="28"/>
          <w:szCs w:val="28"/>
          <w:highlight w:val="none"/>
        </w:rPr>
        <w:sectPr>
          <w:footnotePr>
            <w:numRestart w:val="eachPage"/>
          </w:footnotePr>
          <w:endnotePr>
            <w:numRestart w:val="eachSect"/>
          </w:endnotePr>
          <w:pgSz w:w="11907" w:h="16840"/>
          <w:pgMar w:top="1247" w:right="1361" w:bottom="1247" w:left="1417" w:header="851" w:footer="838" w:gutter="0"/>
          <w:cols w:space="720" w:num="1"/>
          <w:docGrid w:type="lines" w:linePitch="435" w:charSpace="-6554"/>
        </w:sectPr>
      </w:pPr>
    </w:p>
    <w:p w14:paraId="08AC4C0C">
      <w:pPr>
        <w:rPr>
          <w:rFonts w:hint="eastAsia" w:eastAsia="黑体"/>
          <w:color w:val="auto"/>
          <w:highlight w:val="none"/>
        </w:rPr>
      </w:pP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十．停工证明（如有）</w:t>
      </w:r>
    </w:p>
    <w:p w14:paraId="064218FF">
      <w:pPr>
        <w:pageBreakBefore w:val="0"/>
        <w:kinsoku/>
        <w:overflowPunct/>
        <w:topLinePunct w:val="0"/>
        <w:bidi w:val="0"/>
        <w:outlineLvl w:val="9"/>
        <w:rPr>
          <w:rFonts w:hint="eastAsia"/>
          <w:color w:val="auto"/>
          <w:highlight w:val="none"/>
        </w:rPr>
      </w:pPr>
    </w:p>
    <w:p w14:paraId="2C314794">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06CC8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65E6833A">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0D71A3A4">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5BF98D6">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3210C554">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7E5C1A6A">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1CD7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noWrap w:val="0"/>
            <w:vAlign w:val="top"/>
          </w:tcPr>
          <w:p w14:paraId="3999BF19">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5FDAC190">
            <w:pPr>
              <w:pageBreakBefore w:val="0"/>
              <w:kinsoku/>
              <w:overflowPunct/>
              <w:topLinePunct w:val="0"/>
              <w:bidi w:val="0"/>
              <w:spacing w:line="360" w:lineRule="auto"/>
              <w:outlineLvl w:val="9"/>
              <w:rPr>
                <w:rFonts w:hint="eastAsia"/>
                <w:color w:val="auto"/>
                <w:sz w:val="28"/>
                <w:szCs w:val="28"/>
                <w:highlight w:val="none"/>
              </w:rPr>
            </w:pPr>
          </w:p>
          <w:p w14:paraId="1ECBE037">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1B2599E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551ABBE0">
            <w:pPr>
              <w:pageBreakBefore w:val="0"/>
              <w:kinsoku/>
              <w:overflowPunct/>
              <w:topLinePunct w:val="0"/>
              <w:bidi w:val="0"/>
              <w:spacing w:line="360" w:lineRule="auto"/>
              <w:outlineLvl w:val="9"/>
              <w:rPr>
                <w:rFonts w:hint="eastAsia"/>
                <w:color w:val="auto"/>
                <w:highlight w:val="none"/>
              </w:rPr>
            </w:pPr>
          </w:p>
        </w:tc>
      </w:tr>
      <w:tr w14:paraId="3289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14:paraId="5EE7915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40A6798A">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25817AD8">
            <w:pPr>
              <w:pageBreakBefore w:val="0"/>
              <w:kinsoku/>
              <w:overflowPunct/>
              <w:topLinePunct w:val="0"/>
              <w:bidi w:val="0"/>
              <w:spacing w:line="360" w:lineRule="auto"/>
              <w:jc w:val="right"/>
              <w:outlineLvl w:val="9"/>
              <w:rPr>
                <w:rFonts w:hint="eastAsia"/>
                <w:color w:val="auto"/>
                <w:sz w:val="28"/>
                <w:szCs w:val="28"/>
                <w:highlight w:val="none"/>
              </w:rPr>
            </w:pPr>
          </w:p>
          <w:p w14:paraId="1E81BCF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2662AA2C">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22E14A9F">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val="en-US" w:eastAsia="zh-CN"/>
        </w:rPr>
        <w:t>一</w:t>
      </w:r>
      <w:r>
        <w:rPr>
          <w:rFonts w:hint="eastAsia" w:ascii="黑体" w:hAnsi="黑体" w:eastAsia="黑体" w:cs="黑体"/>
          <w:b/>
          <w:color w:val="auto"/>
          <w:sz w:val="28"/>
          <w:szCs w:val="28"/>
          <w:highlight w:val="none"/>
        </w:rPr>
        <w:t>．未验收证明（如有）</w:t>
      </w:r>
    </w:p>
    <w:p w14:paraId="46DA9732">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7F7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7997D78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3ADBAA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23929A0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249DE1C6">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2C1F2BCD">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6FF4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0D30A393">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1F7AB861">
            <w:pPr>
              <w:pageBreakBefore w:val="0"/>
              <w:kinsoku/>
              <w:overflowPunct/>
              <w:topLinePunct w:val="0"/>
              <w:bidi w:val="0"/>
              <w:spacing w:line="360" w:lineRule="auto"/>
              <w:outlineLvl w:val="9"/>
              <w:rPr>
                <w:rFonts w:hint="eastAsia"/>
                <w:color w:val="auto"/>
                <w:sz w:val="28"/>
                <w:szCs w:val="28"/>
                <w:highlight w:val="none"/>
              </w:rPr>
            </w:pPr>
          </w:p>
          <w:p w14:paraId="717D0E53">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77BD2ED5">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1D86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4E76BE5C">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349873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4E22AD4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1FE16610">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01BCFA3C">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4A9069EB">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7BC6A609">
      <w:pPr>
        <w:numPr>
          <w:ilvl w:val="0"/>
          <w:numId w:val="0"/>
        </w:numPr>
        <w:snapToGrid w:val="0"/>
        <w:spacing w:line="360" w:lineRule="auto"/>
        <w:jc w:val="left"/>
        <w:rPr>
          <w:rFonts w:hint="eastAsia" w:ascii="黑体" w:hAnsi="黑体" w:eastAsia="黑体" w:cs="黑体"/>
          <w:b/>
          <w:color w:val="auto"/>
          <w:sz w:val="28"/>
          <w:szCs w:val="28"/>
          <w:highlight w:val="none"/>
        </w:rPr>
      </w:pPr>
      <w:r>
        <w:rPr>
          <w:rFonts w:hint="eastAsia" w:ascii="黑体" w:hAnsi="黑体" w:eastAsia="黑体" w:cs="黑体"/>
          <w:b/>
          <w:color w:val="auto"/>
          <w:kern w:val="2"/>
          <w:sz w:val="28"/>
          <w:szCs w:val="28"/>
          <w:highlight w:val="none"/>
          <w:lang w:val="en-US" w:eastAsia="zh-CN" w:bidi="ar-SA"/>
        </w:rPr>
        <w:t>附件十二.</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p>
    <w:p w14:paraId="5BB28F61">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2"/>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0D32C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3C5FB956">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0B8F37A7">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70509066">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25123344">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379C41FE">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0C5A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02E20D29">
            <w:pPr>
              <w:spacing w:line="360" w:lineRule="auto"/>
              <w:rPr>
                <w:rFonts w:hint="eastAsia"/>
                <w:color w:val="auto"/>
                <w:sz w:val="28"/>
                <w:szCs w:val="28"/>
                <w:highlight w:val="none"/>
              </w:rPr>
            </w:pPr>
            <w:r>
              <w:rPr>
                <w:rFonts w:hint="eastAsia"/>
                <w:color w:val="auto"/>
                <w:sz w:val="28"/>
                <w:szCs w:val="28"/>
                <w:highlight w:val="none"/>
              </w:rPr>
              <w:t>原建设单位意见：</w:t>
            </w:r>
          </w:p>
          <w:p w14:paraId="6F058246">
            <w:pPr>
              <w:spacing w:line="360" w:lineRule="auto"/>
              <w:rPr>
                <w:rFonts w:hint="eastAsia"/>
                <w:color w:val="auto"/>
                <w:sz w:val="28"/>
                <w:szCs w:val="28"/>
                <w:highlight w:val="none"/>
              </w:rPr>
            </w:pPr>
          </w:p>
          <w:p w14:paraId="72B7018B">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0F47AFD4">
            <w:pPr>
              <w:spacing w:line="360" w:lineRule="auto"/>
              <w:jc w:val="right"/>
              <w:rPr>
                <w:rFonts w:hint="eastAsia"/>
                <w:color w:val="auto"/>
                <w:highlight w:val="none"/>
              </w:rPr>
            </w:pPr>
            <w:r>
              <w:rPr>
                <w:rFonts w:hint="eastAsia"/>
                <w:color w:val="auto"/>
                <w:sz w:val="28"/>
                <w:szCs w:val="28"/>
                <w:highlight w:val="none"/>
              </w:rPr>
              <w:t>___年___月___日</w:t>
            </w:r>
          </w:p>
        </w:tc>
      </w:tr>
      <w:tr w14:paraId="4F95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1C237200">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289DF155">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1B0313FE">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3D3503ED">
            <w:pPr>
              <w:spacing w:line="360" w:lineRule="auto"/>
              <w:jc w:val="right"/>
              <w:rPr>
                <w:rFonts w:hint="eastAsia"/>
                <w:color w:val="auto"/>
                <w:highlight w:val="none"/>
              </w:rPr>
            </w:pPr>
            <w:r>
              <w:rPr>
                <w:rFonts w:hint="eastAsia"/>
                <w:color w:val="auto"/>
                <w:sz w:val="28"/>
                <w:szCs w:val="28"/>
                <w:highlight w:val="none"/>
              </w:rPr>
              <w:t>___年___月___日</w:t>
            </w:r>
          </w:p>
        </w:tc>
      </w:tr>
    </w:tbl>
    <w:p w14:paraId="7C141AED">
      <w:pPr>
        <w:widowControl w:val="0"/>
        <w:jc w:val="left"/>
        <w:outlineLvl w:val="0"/>
        <w:rPr>
          <w:rFonts w:hint="eastAsia" w:eastAsia="宋体"/>
          <w:color w:val="auto"/>
          <w:sz w:val="28"/>
          <w:szCs w:val="28"/>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p w14:paraId="3962EDE9">
      <w:pPr>
        <w:rPr>
          <w:color w:val="auto"/>
          <w:highlight w:val="none"/>
        </w:rPr>
      </w:pPr>
    </w:p>
    <w:p w14:paraId="6C2E444F">
      <w:pPr>
        <w:pStyle w:val="29"/>
        <w:rPr>
          <w:rFonts w:ascii="宋体" w:hAnsi="宋体" w:cs="宋体"/>
          <w:color w:val="auto"/>
          <w:sz w:val="28"/>
          <w:szCs w:val="28"/>
          <w:highlight w:val="none"/>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小标宋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508F7">
    <w:pPr>
      <w:pStyle w:val="15"/>
      <w:jc w:val="both"/>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5D3C8D">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F5D3C8D">
                    <w:pPr>
                      <w:pStyle w:val="15"/>
                    </w:pPr>
                    <w:r>
                      <w:fldChar w:fldCharType="begin"/>
                    </w:r>
                    <w:r>
                      <w:instrText xml:space="preserve"> PAGE  \* MERGEFORMAT </w:instrText>
                    </w:r>
                    <w:r>
                      <w:fldChar w:fldCharType="separate"/>
                    </w:r>
                    <w:r>
                      <w:t>1</w:t>
                    </w:r>
                    <w:r>
                      <w:fldChar w:fldCharType="end"/>
                    </w:r>
                  </w:p>
                </w:txbxContent>
              </v:textbox>
            </v:shape>
          </w:pict>
        </mc:Fallback>
      </mc:AlternateContent>
    </w:r>
  </w:p>
  <w:p w14:paraId="381F1CEF">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4DEF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C29223E">
                          <w:pPr>
                            <w:pStyle w:val="15"/>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3C29223E">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E099B">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ABF71">
    <w:pPr>
      <w:spacing w:line="187" w:lineRule="auto"/>
      <w:ind w:left="15781"/>
      <w:rPr>
        <w:rFonts w:ascii="宋体" w:hAnsi="宋体" w:eastAsia="宋体" w:cs="宋体"/>
        <w:sz w:val="29"/>
        <w:szCs w:val="29"/>
      </w:rPr>
    </w:pPr>
    <w:r>
      <w:rPr>
        <w:sz w:val="29"/>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8AC96C0">
                          <w:pPr>
                            <w:pStyle w:val="15"/>
                          </w:pPr>
                          <w:r>
                            <w:fldChar w:fldCharType="begin"/>
                          </w:r>
                          <w:r>
                            <w:instrText xml:space="preserve"> PAGE  \* MERGEFORMAT </w:instrText>
                          </w:r>
                          <w:r>
                            <w:fldChar w:fldCharType="separate"/>
                          </w:r>
                          <w:r>
                            <w:t>94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O+K7L9IBAAClAwAADgAAAAAAAAABACAAAAAi&#10;AQAAZHJzL2Uyb0RvYy54bWxQSwUGAAAAAAYABgBZAQAAZgUAAAAA&#10;">
              <v:fill on="f" focussize="0,0"/>
              <v:stroke on="f" weight="1.25pt"/>
              <v:imagedata o:title=""/>
              <o:lock v:ext="edit" aspectratio="f"/>
              <v:textbox inset="0mm,0mm,0mm,0mm" style="mso-fit-shape-to-text:t;">
                <w:txbxContent>
                  <w:p w14:paraId="08AC96C0">
                    <w:pPr>
                      <w:pStyle w:val="15"/>
                    </w:pPr>
                    <w:r>
                      <w:fldChar w:fldCharType="begin"/>
                    </w:r>
                    <w:r>
                      <w:instrText xml:space="preserve"> PAGE  \* MERGEFORMAT </w:instrText>
                    </w:r>
                    <w:r>
                      <w:fldChar w:fldCharType="separate"/>
                    </w:r>
                    <w:r>
                      <w:t>94</w:t>
                    </w:r>
                    <w:r>
                      <w:fldChar w:fldCharType="end"/>
                    </w:r>
                  </w:p>
                </w:txbxContent>
              </v:textbox>
            </v:shape>
          </w:pict>
        </mc:Fallback>
      </mc:AlternateContent>
    </w:r>
    <w:r>
      <w:rPr>
        <w:rFonts w:ascii="宋体" w:hAnsi="宋体" w:eastAsia="宋体" w:cs="宋体"/>
        <w:spacing w:val="-5"/>
        <w:sz w:val="29"/>
        <w:szCs w:val="29"/>
      </w:rPr>
      <w:t>159</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034C3">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58CAC84">
                          <w:pPr>
                            <w:pStyle w:val="15"/>
                          </w:pPr>
                          <w:r>
                            <w:fldChar w:fldCharType="begin"/>
                          </w:r>
                          <w:r>
                            <w:instrText xml:space="preserve"> PAGE  \* MERGEFORMAT </w:instrText>
                          </w:r>
                          <w:r>
                            <w:fldChar w:fldCharType="separate"/>
                          </w:r>
                          <w:r>
                            <w:t>56</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058CAC84">
                    <w:pPr>
                      <w:pStyle w:val="1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F89B2">
    <w:pPr>
      <w:pStyle w:val="16"/>
      <w:pBdr>
        <w:bottom w:val="single" w:color="auto" w:sz="4" w:space="1"/>
      </w:pBdr>
      <w:jc w:val="right"/>
    </w:pPr>
    <w:r>
      <w:rPr>
        <w:rFonts w:hint="eastAsia" w:ascii="宋体" w:hAnsi="宋体" w:eastAsia="宋体"/>
        <w:bCs/>
        <w:color w:val="auto"/>
        <w:sz w:val="21"/>
        <w:lang w:eastAsia="zh-CN"/>
      </w:rPr>
      <w:t xml:space="preserve">临海市尤溪镇山塘建设工程(双塘坑山塘) </w:t>
    </w:r>
    <w:r>
      <w:rPr>
        <w:rFonts w:hint="eastAsia" w:ascii="宋体" w:hAnsi="宋体" w:eastAsia="宋体"/>
        <w:bCs/>
        <w:color w:val="auto"/>
        <w:sz w:val="21"/>
      </w:rPr>
      <w:t>招</w:t>
    </w:r>
    <w:r>
      <w:rPr>
        <w:rFonts w:hint="eastAsia" w:ascii="宋体" w:hAnsi="宋体" w:eastAsia="宋体"/>
        <w:bCs/>
        <w:sz w:val="21"/>
      </w:rPr>
      <w:t>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AC519">
    <w:pPr>
      <w:pBdr>
        <w:bottom w:val="single" w:color="auto" w:sz="6" w:space="1"/>
      </w:pBdr>
      <w:snapToGrid w:val="0"/>
      <w:ind w:right="180"/>
      <w:jc w:val="right"/>
      <w:rPr>
        <w:rFonts w:eastAsia="宋体"/>
        <w:sz w:val="18"/>
      </w:rPr>
    </w:pPr>
    <w:r>
      <w:rPr>
        <w:rFonts w:hint="eastAsia" w:ascii="宋体" w:hAnsi="宋体" w:eastAsia="宋体"/>
        <w:bCs/>
        <w:color w:val="FF0000"/>
        <w:sz w:val="18"/>
        <w:szCs w:val="18"/>
        <w:lang w:eastAsia="zh-CN"/>
      </w:rPr>
      <w:t xml:space="preserve">临海市尤溪镇山塘建设工程(双塘坑山塘) </w:t>
    </w:r>
    <w:r>
      <w:rPr>
        <w:rFonts w:hint="eastAsia" w:eastAsia="宋体"/>
        <w:sz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C9D410E7"/>
    <w:multiLevelType w:val="singleLevel"/>
    <w:tmpl w:val="C9D410E7"/>
    <w:lvl w:ilvl="0" w:tentative="0">
      <w:start w:val="1"/>
      <w:numFmt w:val="decimal"/>
      <w:lvlText w:val="%1."/>
      <w:lvlJc w:val="left"/>
      <w:pPr>
        <w:tabs>
          <w:tab w:val="left" w:pos="312"/>
        </w:tabs>
      </w:pPr>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5DB2380F"/>
    <w:multiLevelType w:val="multilevel"/>
    <w:tmpl w:val="5DB2380F"/>
    <w:lvl w:ilvl="0" w:tentative="0">
      <w:start w:val="1"/>
      <w:numFmt w:val="japaneseCounting"/>
      <w:lvlText w:val="第%1条"/>
      <w:lvlJc w:val="left"/>
      <w:pPr>
        <w:tabs>
          <w:tab w:val="left" w:pos="1380"/>
        </w:tabs>
        <w:ind w:left="1380" w:hanging="9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7">
    <w:nsid w:val="6D180FEC"/>
    <w:multiLevelType w:val="multilevel"/>
    <w:tmpl w:val="6D180FEC"/>
    <w:lvl w:ilvl="0" w:tentative="0">
      <w:start w:val="1"/>
      <w:numFmt w:val="japaneseCounting"/>
      <w:lvlText w:val="第%1条"/>
      <w:lvlJc w:val="left"/>
      <w:pPr>
        <w:tabs>
          <w:tab w:val="left" w:pos="1562"/>
        </w:tabs>
        <w:ind w:left="1562" w:hanging="1080"/>
      </w:pPr>
      <w:rPr>
        <w:rFonts w:hint="default"/>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lvlText w:val="%4."/>
      <w:lvlJc w:val="left"/>
      <w:pPr>
        <w:tabs>
          <w:tab w:val="left" w:pos="2162"/>
        </w:tabs>
        <w:ind w:left="2162" w:hanging="420"/>
      </w:pPr>
    </w:lvl>
    <w:lvl w:ilvl="4" w:tentative="0">
      <w:start w:val="1"/>
      <w:numFmt w:val="lowerLetter"/>
      <w:lvlText w:val="%5)"/>
      <w:lvlJc w:val="left"/>
      <w:pPr>
        <w:tabs>
          <w:tab w:val="left" w:pos="2582"/>
        </w:tabs>
        <w:ind w:left="2582" w:hanging="420"/>
      </w:pPr>
    </w:lvl>
    <w:lvl w:ilvl="5" w:tentative="0">
      <w:start w:val="1"/>
      <w:numFmt w:val="lowerRoman"/>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num w:numId="1">
    <w:abstractNumId w:val="3"/>
  </w:num>
  <w:num w:numId="2">
    <w:abstractNumId w:val="2"/>
  </w:num>
  <w:num w:numId="3">
    <w:abstractNumId w:val="1"/>
  </w:num>
  <w:num w:numId="4">
    <w:abstractNumId w:val="4"/>
  </w:num>
  <w:num w:numId="5">
    <w:abstractNumId w:val="5"/>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zYjYwYmFjNDZkZjI5ZTJmMTI0MjliNTM1ZDJiODAifQ=="/>
  </w:docVars>
  <w:rsids>
    <w:rsidRoot w:val="1FF80AF3"/>
    <w:rsid w:val="00001D40"/>
    <w:rsid w:val="0000285E"/>
    <w:rsid w:val="0000785B"/>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C53BF"/>
    <w:rsid w:val="00200752"/>
    <w:rsid w:val="00201393"/>
    <w:rsid w:val="00201E00"/>
    <w:rsid w:val="00204F00"/>
    <w:rsid w:val="0021163E"/>
    <w:rsid w:val="00221E57"/>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B38D2"/>
    <w:rsid w:val="004C09CE"/>
    <w:rsid w:val="004C2D78"/>
    <w:rsid w:val="004F0AE7"/>
    <w:rsid w:val="004F18C7"/>
    <w:rsid w:val="00500138"/>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104B"/>
    <w:rsid w:val="00902D3F"/>
    <w:rsid w:val="00905478"/>
    <w:rsid w:val="00911A9E"/>
    <w:rsid w:val="00911DF3"/>
    <w:rsid w:val="00912DE5"/>
    <w:rsid w:val="009307CE"/>
    <w:rsid w:val="00961762"/>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2505"/>
    <w:rsid w:val="00B26932"/>
    <w:rsid w:val="00B31684"/>
    <w:rsid w:val="00B57A30"/>
    <w:rsid w:val="00B65B0C"/>
    <w:rsid w:val="00BA147E"/>
    <w:rsid w:val="00BA27B9"/>
    <w:rsid w:val="00BA2C3E"/>
    <w:rsid w:val="00BB434B"/>
    <w:rsid w:val="00BC667C"/>
    <w:rsid w:val="00BC6899"/>
    <w:rsid w:val="00BD0A16"/>
    <w:rsid w:val="00BE3256"/>
    <w:rsid w:val="00BE62B9"/>
    <w:rsid w:val="00BF0396"/>
    <w:rsid w:val="00BF7637"/>
    <w:rsid w:val="00C034CB"/>
    <w:rsid w:val="00C17964"/>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4632E9"/>
    <w:rsid w:val="01900016"/>
    <w:rsid w:val="01E00CE2"/>
    <w:rsid w:val="01F11D37"/>
    <w:rsid w:val="022B2C0A"/>
    <w:rsid w:val="02377887"/>
    <w:rsid w:val="024141DC"/>
    <w:rsid w:val="02C24BF1"/>
    <w:rsid w:val="031664A1"/>
    <w:rsid w:val="03345AEF"/>
    <w:rsid w:val="038A570F"/>
    <w:rsid w:val="039E1C60"/>
    <w:rsid w:val="03B51FD0"/>
    <w:rsid w:val="03B629A7"/>
    <w:rsid w:val="03CC3F79"/>
    <w:rsid w:val="03DB7D17"/>
    <w:rsid w:val="045301F6"/>
    <w:rsid w:val="04682F74"/>
    <w:rsid w:val="048B7990"/>
    <w:rsid w:val="04926F71"/>
    <w:rsid w:val="049A5E25"/>
    <w:rsid w:val="0543026B"/>
    <w:rsid w:val="05504736"/>
    <w:rsid w:val="05646570"/>
    <w:rsid w:val="05966E33"/>
    <w:rsid w:val="05FF5E80"/>
    <w:rsid w:val="06277B8D"/>
    <w:rsid w:val="064458FD"/>
    <w:rsid w:val="06D43082"/>
    <w:rsid w:val="072E4E50"/>
    <w:rsid w:val="07426CE9"/>
    <w:rsid w:val="076F5347"/>
    <w:rsid w:val="0782379F"/>
    <w:rsid w:val="082C51DF"/>
    <w:rsid w:val="088654F9"/>
    <w:rsid w:val="088A7F5F"/>
    <w:rsid w:val="08F9325E"/>
    <w:rsid w:val="09554A11"/>
    <w:rsid w:val="096B4234"/>
    <w:rsid w:val="097D0D2A"/>
    <w:rsid w:val="098B3F8E"/>
    <w:rsid w:val="099E0A79"/>
    <w:rsid w:val="09AF75D6"/>
    <w:rsid w:val="09C51CFC"/>
    <w:rsid w:val="09D43B87"/>
    <w:rsid w:val="09F22179"/>
    <w:rsid w:val="0A0D7099"/>
    <w:rsid w:val="0A3D4C57"/>
    <w:rsid w:val="0A3F44B0"/>
    <w:rsid w:val="0A805ABD"/>
    <w:rsid w:val="0A8A2498"/>
    <w:rsid w:val="0AC15133"/>
    <w:rsid w:val="0B950884"/>
    <w:rsid w:val="0C1464BD"/>
    <w:rsid w:val="0C1C748A"/>
    <w:rsid w:val="0C2504BC"/>
    <w:rsid w:val="0C470FE2"/>
    <w:rsid w:val="0CC71781"/>
    <w:rsid w:val="0CD21ED4"/>
    <w:rsid w:val="0CDA66F1"/>
    <w:rsid w:val="0D375B4A"/>
    <w:rsid w:val="0DBB7938"/>
    <w:rsid w:val="0DBB7AFD"/>
    <w:rsid w:val="0E036230"/>
    <w:rsid w:val="0E8826CF"/>
    <w:rsid w:val="0ECC12D1"/>
    <w:rsid w:val="0EF446F9"/>
    <w:rsid w:val="0FED5C47"/>
    <w:rsid w:val="105842F0"/>
    <w:rsid w:val="105F761E"/>
    <w:rsid w:val="107B4D5D"/>
    <w:rsid w:val="108B3885"/>
    <w:rsid w:val="10A67900"/>
    <w:rsid w:val="10DD77C5"/>
    <w:rsid w:val="10E75D7D"/>
    <w:rsid w:val="117A14B8"/>
    <w:rsid w:val="120025CD"/>
    <w:rsid w:val="12377009"/>
    <w:rsid w:val="126239DA"/>
    <w:rsid w:val="12E91DF8"/>
    <w:rsid w:val="12F9465F"/>
    <w:rsid w:val="1319260B"/>
    <w:rsid w:val="137628D3"/>
    <w:rsid w:val="137F578F"/>
    <w:rsid w:val="13C33841"/>
    <w:rsid w:val="13EB16CD"/>
    <w:rsid w:val="14180B15"/>
    <w:rsid w:val="141E51AF"/>
    <w:rsid w:val="141F36D1"/>
    <w:rsid w:val="14251536"/>
    <w:rsid w:val="14380DCC"/>
    <w:rsid w:val="14B526E9"/>
    <w:rsid w:val="150C0477"/>
    <w:rsid w:val="152E0C09"/>
    <w:rsid w:val="15475B55"/>
    <w:rsid w:val="15B36D47"/>
    <w:rsid w:val="163360DA"/>
    <w:rsid w:val="16765C98"/>
    <w:rsid w:val="16886279"/>
    <w:rsid w:val="168D7598"/>
    <w:rsid w:val="16905AFB"/>
    <w:rsid w:val="16A772DE"/>
    <w:rsid w:val="16BF34C9"/>
    <w:rsid w:val="16C949C0"/>
    <w:rsid w:val="16D76E1A"/>
    <w:rsid w:val="16FA2753"/>
    <w:rsid w:val="176830F2"/>
    <w:rsid w:val="179B5CE4"/>
    <w:rsid w:val="179E43E0"/>
    <w:rsid w:val="17B60C89"/>
    <w:rsid w:val="17C4348D"/>
    <w:rsid w:val="17CF3BE0"/>
    <w:rsid w:val="180E64B6"/>
    <w:rsid w:val="18AB7C3A"/>
    <w:rsid w:val="18B90B18"/>
    <w:rsid w:val="18E12580"/>
    <w:rsid w:val="18FC3FD7"/>
    <w:rsid w:val="19357237"/>
    <w:rsid w:val="193B5FBC"/>
    <w:rsid w:val="19416453"/>
    <w:rsid w:val="195372DB"/>
    <w:rsid w:val="196565AA"/>
    <w:rsid w:val="197D44AD"/>
    <w:rsid w:val="199B021E"/>
    <w:rsid w:val="19BA2262"/>
    <w:rsid w:val="19C01A32"/>
    <w:rsid w:val="19C93D3D"/>
    <w:rsid w:val="19FE75B4"/>
    <w:rsid w:val="1A0C60B1"/>
    <w:rsid w:val="1A7867B1"/>
    <w:rsid w:val="1AFD6ED9"/>
    <w:rsid w:val="1B1509BD"/>
    <w:rsid w:val="1B167A44"/>
    <w:rsid w:val="1B3D6B0E"/>
    <w:rsid w:val="1B416BA3"/>
    <w:rsid w:val="1B6F0B5F"/>
    <w:rsid w:val="1BAD0D5C"/>
    <w:rsid w:val="1BC177F6"/>
    <w:rsid w:val="1BF97D30"/>
    <w:rsid w:val="1C7C5094"/>
    <w:rsid w:val="1C913B5A"/>
    <w:rsid w:val="1C98187E"/>
    <w:rsid w:val="1D295B40"/>
    <w:rsid w:val="1D81683F"/>
    <w:rsid w:val="1D8F2E5D"/>
    <w:rsid w:val="1E197A94"/>
    <w:rsid w:val="1E363CE9"/>
    <w:rsid w:val="1E3F7760"/>
    <w:rsid w:val="1ECC2C27"/>
    <w:rsid w:val="1EDA5344"/>
    <w:rsid w:val="1F160D12"/>
    <w:rsid w:val="1F594D53"/>
    <w:rsid w:val="1F677E3D"/>
    <w:rsid w:val="1F8606E6"/>
    <w:rsid w:val="1FC96B63"/>
    <w:rsid w:val="1FDA555D"/>
    <w:rsid w:val="1FE90F62"/>
    <w:rsid w:val="1FF046FF"/>
    <w:rsid w:val="1FF80AF3"/>
    <w:rsid w:val="201B4916"/>
    <w:rsid w:val="20670BCA"/>
    <w:rsid w:val="20EE12E8"/>
    <w:rsid w:val="210950AC"/>
    <w:rsid w:val="22340D23"/>
    <w:rsid w:val="22916662"/>
    <w:rsid w:val="22B810D6"/>
    <w:rsid w:val="230B4F2D"/>
    <w:rsid w:val="23502079"/>
    <w:rsid w:val="23636EA1"/>
    <w:rsid w:val="23853A79"/>
    <w:rsid w:val="23893479"/>
    <w:rsid w:val="239361D0"/>
    <w:rsid w:val="23A0402B"/>
    <w:rsid w:val="24047D50"/>
    <w:rsid w:val="241021B1"/>
    <w:rsid w:val="241430A6"/>
    <w:rsid w:val="24DA423A"/>
    <w:rsid w:val="24EE5273"/>
    <w:rsid w:val="24F37160"/>
    <w:rsid w:val="24F44C86"/>
    <w:rsid w:val="24FD1D8D"/>
    <w:rsid w:val="251A36F0"/>
    <w:rsid w:val="253432D4"/>
    <w:rsid w:val="25503B1C"/>
    <w:rsid w:val="25554E0E"/>
    <w:rsid w:val="25563DFB"/>
    <w:rsid w:val="258D58C4"/>
    <w:rsid w:val="25983B4F"/>
    <w:rsid w:val="25A75047"/>
    <w:rsid w:val="262F3B7A"/>
    <w:rsid w:val="26672398"/>
    <w:rsid w:val="26892F9B"/>
    <w:rsid w:val="26967876"/>
    <w:rsid w:val="26DD1E76"/>
    <w:rsid w:val="26E47778"/>
    <w:rsid w:val="27072D1B"/>
    <w:rsid w:val="27230FF2"/>
    <w:rsid w:val="277B2C7C"/>
    <w:rsid w:val="27865A78"/>
    <w:rsid w:val="278E6684"/>
    <w:rsid w:val="27AC4882"/>
    <w:rsid w:val="285C40CB"/>
    <w:rsid w:val="291458F7"/>
    <w:rsid w:val="291B76E3"/>
    <w:rsid w:val="29F86FC6"/>
    <w:rsid w:val="29F92152"/>
    <w:rsid w:val="2A0475B6"/>
    <w:rsid w:val="2A385615"/>
    <w:rsid w:val="2A755A69"/>
    <w:rsid w:val="2A815E10"/>
    <w:rsid w:val="2AD402FC"/>
    <w:rsid w:val="2B262C8E"/>
    <w:rsid w:val="2B4F0E68"/>
    <w:rsid w:val="2B547697"/>
    <w:rsid w:val="2BBB64FD"/>
    <w:rsid w:val="2C071743"/>
    <w:rsid w:val="2C2755C6"/>
    <w:rsid w:val="2C4C1CFB"/>
    <w:rsid w:val="2C7F3E77"/>
    <w:rsid w:val="2C8B1621"/>
    <w:rsid w:val="2C9F7FE8"/>
    <w:rsid w:val="2CAA34BC"/>
    <w:rsid w:val="2CB70815"/>
    <w:rsid w:val="2D5371F7"/>
    <w:rsid w:val="2D602A71"/>
    <w:rsid w:val="2DA34B7C"/>
    <w:rsid w:val="2DDC09C5"/>
    <w:rsid w:val="2EC471BB"/>
    <w:rsid w:val="2EF7419D"/>
    <w:rsid w:val="2F132647"/>
    <w:rsid w:val="2F266FDE"/>
    <w:rsid w:val="2F554512"/>
    <w:rsid w:val="2F7353A9"/>
    <w:rsid w:val="2F807842"/>
    <w:rsid w:val="2FA9340D"/>
    <w:rsid w:val="2FB76535"/>
    <w:rsid w:val="2FC76E2B"/>
    <w:rsid w:val="2FDA531F"/>
    <w:rsid w:val="2FE5322D"/>
    <w:rsid w:val="2FF9633A"/>
    <w:rsid w:val="300A50D0"/>
    <w:rsid w:val="30203683"/>
    <w:rsid w:val="3048098A"/>
    <w:rsid w:val="304B5279"/>
    <w:rsid w:val="306C426A"/>
    <w:rsid w:val="30893998"/>
    <w:rsid w:val="30E42053"/>
    <w:rsid w:val="31737A6D"/>
    <w:rsid w:val="31861B3A"/>
    <w:rsid w:val="318759BE"/>
    <w:rsid w:val="319D4C21"/>
    <w:rsid w:val="31D63CDE"/>
    <w:rsid w:val="320F4EAD"/>
    <w:rsid w:val="32222E32"/>
    <w:rsid w:val="322B60F3"/>
    <w:rsid w:val="322D17D7"/>
    <w:rsid w:val="32470AEB"/>
    <w:rsid w:val="325D1D20"/>
    <w:rsid w:val="32756BDD"/>
    <w:rsid w:val="32BE3742"/>
    <w:rsid w:val="33D4015C"/>
    <w:rsid w:val="33D51112"/>
    <w:rsid w:val="33D70CD4"/>
    <w:rsid w:val="33D71AE1"/>
    <w:rsid w:val="33EC7C08"/>
    <w:rsid w:val="33FA6465"/>
    <w:rsid w:val="341B331C"/>
    <w:rsid w:val="341D7D55"/>
    <w:rsid w:val="347D25A2"/>
    <w:rsid w:val="34B44B07"/>
    <w:rsid w:val="35573DFD"/>
    <w:rsid w:val="358C5B68"/>
    <w:rsid w:val="35A52E1A"/>
    <w:rsid w:val="3612088D"/>
    <w:rsid w:val="36254176"/>
    <w:rsid w:val="363C023B"/>
    <w:rsid w:val="364D2448"/>
    <w:rsid w:val="3679323D"/>
    <w:rsid w:val="36BA0411"/>
    <w:rsid w:val="36E20676"/>
    <w:rsid w:val="371158BC"/>
    <w:rsid w:val="37184AB8"/>
    <w:rsid w:val="372926AA"/>
    <w:rsid w:val="37BB1D08"/>
    <w:rsid w:val="37BE1059"/>
    <w:rsid w:val="38042FDA"/>
    <w:rsid w:val="38202807"/>
    <w:rsid w:val="3820356C"/>
    <w:rsid w:val="385939FB"/>
    <w:rsid w:val="388303A3"/>
    <w:rsid w:val="3886386B"/>
    <w:rsid w:val="38AA6EBD"/>
    <w:rsid w:val="38FB262F"/>
    <w:rsid w:val="39024127"/>
    <w:rsid w:val="39535FC7"/>
    <w:rsid w:val="395B2504"/>
    <w:rsid w:val="39CB7802"/>
    <w:rsid w:val="39F71049"/>
    <w:rsid w:val="39FF3A59"/>
    <w:rsid w:val="3A527C44"/>
    <w:rsid w:val="3A660B39"/>
    <w:rsid w:val="3A6E21CD"/>
    <w:rsid w:val="3ACA2AA9"/>
    <w:rsid w:val="3B0F5000"/>
    <w:rsid w:val="3B8E3C86"/>
    <w:rsid w:val="3BAC51D5"/>
    <w:rsid w:val="3BCD61AB"/>
    <w:rsid w:val="3BE610FE"/>
    <w:rsid w:val="3D024F18"/>
    <w:rsid w:val="3D0D4F35"/>
    <w:rsid w:val="3D2757A1"/>
    <w:rsid w:val="3D65451B"/>
    <w:rsid w:val="3D74475E"/>
    <w:rsid w:val="3D7C2FCD"/>
    <w:rsid w:val="3D913C2B"/>
    <w:rsid w:val="3E087075"/>
    <w:rsid w:val="3E265A58"/>
    <w:rsid w:val="3E4F24FA"/>
    <w:rsid w:val="3E787E6D"/>
    <w:rsid w:val="3E99447C"/>
    <w:rsid w:val="3EA7436E"/>
    <w:rsid w:val="3EC040FF"/>
    <w:rsid w:val="3EDF1871"/>
    <w:rsid w:val="3F0459F8"/>
    <w:rsid w:val="3F165ACD"/>
    <w:rsid w:val="3F265D57"/>
    <w:rsid w:val="3F357653"/>
    <w:rsid w:val="3FE57185"/>
    <w:rsid w:val="407C4056"/>
    <w:rsid w:val="40B97058"/>
    <w:rsid w:val="40FE0657"/>
    <w:rsid w:val="415C326C"/>
    <w:rsid w:val="41747AA6"/>
    <w:rsid w:val="417C3D0E"/>
    <w:rsid w:val="41E77BF5"/>
    <w:rsid w:val="41EF14C0"/>
    <w:rsid w:val="427202C7"/>
    <w:rsid w:val="42A41642"/>
    <w:rsid w:val="42C972FA"/>
    <w:rsid w:val="42DC0DDB"/>
    <w:rsid w:val="42EC3BCF"/>
    <w:rsid w:val="42F60C81"/>
    <w:rsid w:val="4345654F"/>
    <w:rsid w:val="4377167D"/>
    <w:rsid w:val="439247CC"/>
    <w:rsid w:val="43E90623"/>
    <w:rsid w:val="43FA4F55"/>
    <w:rsid w:val="44587568"/>
    <w:rsid w:val="446B2213"/>
    <w:rsid w:val="448C6831"/>
    <w:rsid w:val="449C6A74"/>
    <w:rsid w:val="44A46D82"/>
    <w:rsid w:val="44A91605"/>
    <w:rsid w:val="45437449"/>
    <w:rsid w:val="45585CB2"/>
    <w:rsid w:val="45746826"/>
    <w:rsid w:val="459F465A"/>
    <w:rsid w:val="461940F5"/>
    <w:rsid w:val="464D361E"/>
    <w:rsid w:val="46531883"/>
    <w:rsid w:val="467D4684"/>
    <w:rsid w:val="46B07873"/>
    <w:rsid w:val="46B362F7"/>
    <w:rsid w:val="47697DF3"/>
    <w:rsid w:val="478B0E64"/>
    <w:rsid w:val="48181636"/>
    <w:rsid w:val="483328BE"/>
    <w:rsid w:val="48382CAC"/>
    <w:rsid w:val="48C9729F"/>
    <w:rsid w:val="48DA029C"/>
    <w:rsid w:val="49083D73"/>
    <w:rsid w:val="491D3EFC"/>
    <w:rsid w:val="493C6D00"/>
    <w:rsid w:val="49543DC1"/>
    <w:rsid w:val="49A92568"/>
    <w:rsid w:val="49CB1BAA"/>
    <w:rsid w:val="49E0612F"/>
    <w:rsid w:val="49E60792"/>
    <w:rsid w:val="49ED1B20"/>
    <w:rsid w:val="49F42EAF"/>
    <w:rsid w:val="4A072AFA"/>
    <w:rsid w:val="4A6F08EE"/>
    <w:rsid w:val="4AE47F90"/>
    <w:rsid w:val="4B014AD5"/>
    <w:rsid w:val="4B29302C"/>
    <w:rsid w:val="4B651398"/>
    <w:rsid w:val="4B6E038D"/>
    <w:rsid w:val="4BB01057"/>
    <w:rsid w:val="4BE40D01"/>
    <w:rsid w:val="4BFF5B3B"/>
    <w:rsid w:val="4C411A42"/>
    <w:rsid w:val="4C854292"/>
    <w:rsid w:val="4CB608EF"/>
    <w:rsid w:val="4CD1365E"/>
    <w:rsid w:val="4D022A2B"/>
    <w:rsid w:val="4D2770F7"/>
    <w:rsid w:val="4D293402"/>
    <w:rsid w:val="4D2C295F"/>
    <w:rsid w:val="4D312D6A"/>
    <w:rsid w:val="4D43040D"/>
    <w:rsid w:val="4DCB4199"/>
    <w:rsid w:val="4DE97A11"/>
    <w:rsid w:val="4E013DEC"/>
    <w:rsid w:val="4E2B70BB"/>
    <w:rsid w:val="4E734184"/>
    <w:rsid w:val="4E9B3BAE"/>
    <w:rsid w:val="4E9E163B"/>
    <w:rsid w:val="4ECE03CB"/>
    <w:rsid w:val="4EFF657E"/>
    <w:rsid w:val="4F7640D9"/>
    <w:rsid w:val="4F964D9C"/>
    <w:rsid w:val="4F9B4980"/>
    <w:rsid w:val="5012695A"/>
    <w:rsid w:val="504B75A0"/>
    <w:rsid w:val="504F66E7"/>
    <w:rsid w:val="50AB665B"/>
    <w:rsid w:val="51692A01"/>
    <w:rsid w:val="51A67B22"/>
    <w:rsid w:val="51C06A6D"/>
    <w:rsid w:val="51E07D46"/>
    <w:rsid w:val="5214574C"/>
    <w:rsid w:val="526A0AC2"/>
    <w:rsid w:val="527B7B57"/>
    <w:rsid w:val="529E5241"/>
    <w:rsid w:val="52A74DDA"/>
    <w:rsid w:val="52DF7FD7"/>
    <w:rsid w:val="53803A05"/>
    <w:rsid w:val="541E33F9"/>
    <w:rsid w:val="5432067D"/>
    <w:rsid w:val="543F721E"/>
    <w:rsid w:val="5454111A"/>
    <w:rsid w:val="54993F60"/>
    <w:rsid w:val="54C635B3"/>
    <w:rsid w:val="54CF07A0"/>
    <w:rsid w:val="54D1675D"/>
    <w:rsid w:val="54EF357C"/>
    <w:rsid w:val="550E731E"/>
    <w:rsid w:val="5597283F"/>
    <w:rsid w:val="55A02470"/>
    <w:rsid w:val="55BF2A09"/>
    <w:rsid w:val="562A4811"/>
    <w:rsid w:val="563E3F56"/>
    <w:rsid w:val="56554CD5"/>
    <w:rsid w:val="565C6BA3"/>
    <w:rsid w:val="568C5381"/>
    <w:rsid w:val="56A01561"/>
    <w:rsid w:val="56BF79F3"/>
    <w:rsid w:val="56F50266"/>
    <w:rsid w:val="56FE711B"/>
    <w:rsid w:val="570606C5"/>
    <w:rsid w:val="57544F8D"/>
    <w:rsid w:val="57584EF8"/>
    <w:rsid w:val="57A86903"/>
    <w:rsid w:val="57B17899"/>
    <w:rsid w:val="57C355C8"/>
    <w:rsid w:val="585717F8"/>
    <w:rsid w:val="58EA0AE9"/>
    <w:rsid w:val="58EC6049"/>
    <w:rsid w:val="58F24A5D"/>
    <w:rsid w:val="59A26473"/>
    <w:rsid w:val="5A4451C5"/>
    <w:rsid w:val="5A6A4AC7"/>
    <w:rsid w:val="5A7226D5"/>
    <w:rsid w:val="5ADF330A"/>
    <w:rsid w:val="5AE76118"/>
    <w:rsid w:val="5B264E92"/>
    <w:rsid w:val="5B61290C"/>
    <w:rsid w:val="5B94004E"/>
    <w:rsid w:val="5B9F0DEB"/>
    <w:rsid w:val="5BA306EC"/>
    <w:rsid w:val="5BB16FB8"/>
    <w:rsid w:val="5BB63711"/>
    <w:rsid w:val="5BD42B40"/>
    <w:rsid w:val="5BEE5961"/>
    <w:rsid w:val="5C2971E1"/>
    <w:rsid w:val="5C5C01D0"/>
    <w:rsid w:val="5C9A058F"/>
    <w:rsid w:val="5CD45F5B"/>
    <w:rsid w:val="5DA057D6"/>
    <w:rsid w:val="5E0A6506"/>
    <w:rsid w:val="5E394EDC"/>
    <w:rsid w:val="5EB86047"/>
    <w:rsid w:val="5EEB267A"/>
    <w:rsid w:val="5EF51719"/>
    <w:rsid w:val="5F0059FA"/>
    <w:rsid w:val="5F697A43"/>
    <w:rsid w:val="5F6B70B6"/>
    <w:rsid w:val="5F78453A"/>
    <w:rsid w:val="5FB20FC0"/>
    <w:rsid w:val="5FB54A36"/>
    <w:rsid w:val="601C4F4D"/>
    <w:rsid w:val="602C4CF9"/>
    <w:rsid w:val="604F0731"/>
    <w:rsid w:val="60A5308D"/>
    <w:rsid w:val="60F3624E"/>
    <w:rsid w:val="60FA6BA5"/>
    <w:rsid w:val="611361AA"/>
    <w:rsid w:val="6130435D"/>
    <w:rsid w:val="614257A1"/>
    <w:rsid w:val="616F6362"/>
    <w:rsid w:val="6199775B"/>
    <w:rsid w:val="621326DC"/>
    <w:rsid w:val="62173103"/>
    <w:rsid w:val="62A64E6E"/>
    <w:rsid w:val="62A82630"/>
    <w:rsid w:val="630E6937"/>
    <w:rsid w:val="63350763"/>
    <w:rsid w:val="635C4F62"/>
    <w:rsid w:val="63DA3422"/>
    <w:rsid w:val="63E63410"/>
    <w:rsid w:val="63F32E9F"/>
    <w:rsid w:val="6459506F"/>
    <w:rsid w:val="648C1DD2"/>
    <w:rsid w:val="64B417CF"/>
    <w:rsid w:val="656324F2"/>
    <w:rsid w:val="65896749"/>
    <w:rsid w:val="65EA46A0"/>
    <w:rsid w:val="65ED7D25"/>
    <w:rsid w:val="66A03BE2"/>
    <w:rsid w:val="66B0141D"/>
    <w:rsid w:val="66BD2ECA"/>
    <w:rsid w:val="66C91A1A"/>
    <w:rsid w:val="66F92416"/>
    <w:rsid w:val="66FE3079"/>
    <w:rsid w:val="682E182A"/>
    <w:rsid w:val="68A86C0D"/>
    <w:rsid w:val="68C81038"/>
    <w:rsid w:val="68DC6B0B"/>
    <w:rsid w:val="69097887"/>
    <w:rsid w:val="690B3A0D"/>
    <w:rsid w:val="6911480D"/>
    <w:rsid w:val="69296C69"/>
    <w:rsid w:val="69995F28"/>
    <w:rsid w:val="699D75EA"/>
    <w:rsid w:val="69B12939"/>
    <w:rsid w:val="69CA10DE"/>
    <w:rsid w:val="69E91EAC"/>
    <w:rsid w:val="69FA7C16"/>
    <w:rsid w:val="6A6A1D24"/>
    <w:rsid w:val="6ACE4BFE"/>
    <w:rsid w:val="6AF234D0"/>
    <w:rsid w:val="6B02033C"/>
    <w:rsid w:val="6B194AB8"/>
    <w:rsid w:val="6B2505AD"/>
    <w:rsid w:val="6C4B33B4"/>
    <w:rsid w:val="6CEC5C56"/>
    <w:rsid w:val="6D0408D4"/>
    <w:rsid w:val="6D0964BE"/>
    <w:rsid w:val="6D46205C"/>
    <w:rsid w:val="6D6E7C26"/>
    <w:rsid w:val="6E865B4B"/>
    <w:rsid w:val="6EBE7FE8"/>
    <w:rsid w:val="6F067EF3"/>
    <w:rsid w:val="6F712728"/>
    <w:rsid w:val="6F7777FC"/>
    <w:rsid w:val="70534653"/>
    <w:rsid w:val="706C7393"/>
    <w:rsid w:val="70B52AE8"/>
    <w:rsid w:val="70EE7DA8"/>
    <w:rsid w:val="710B320B"/>
    <w:rsid w:val="710B6E6E"/>
    <w:rsid w:val="71267D67"/>
    <w:rsid w:val="71395DE7"/>
    <w:rsid w:val="714D4ACF"/>
    <w:rsid w:val="71AA5770"/>
    <w:rsid w:val="71B26270"/>
    <w:rsid w:val="72284FDE"/>
    <w:rsid w:val="72430EED"/>
    <w:rsid w:val="72720E38"/>
    <w:rsid w:val="72A21AD8"/>
    <w:rsid w:val="731735E6"/>
    <w:rsid w:val="733E6F30"/>
    <w:rsid w:val="73892C50"/>
    <w:rsid w:val="73ED07EB"/>
    <w:rsid w:val="73ED6070"/>
    <w:rsid w:val="74135A7F"/>
    <w:rsid w:val="741E09A4"/>
    <w:rsid w:val="74275AAB"/>
    <w:rsid w:val="743C1582"/>
    <w:rsid w:val="74463A57"/>
    <w:rsid w:val="745B379C"/>
    <w:rsid w:val="74C52B97"/>
    <w:rsid w:val="74C96B62"/>
    <w:rsid w:val="74EF6293"/>
    <w:rsid w:val="74EF6A2D"/>
    <w:rsid w:val="74FF07D6"/>
    <w:rsid w:val="75087C7C"/>
    <w:rsid w:val="752E7228"/>
    <w:rsid w:val="75FE283B"/>
    <w:rsid w:val="762348A3"/>
    <w:rsid w:val="763C5112"/>
    <w:rsid w:val="76604F4D"/>
    <w:rsid w:val="767429A8"/>
    <w:rsid w:val="76CB7939"/>
    <w:rsid w:val="76E41CBF"/>
    <w:rsid w:val="76EC11F8"/>
    <w:rsid w:val="770C2D36"/>
    <w:rsid w:val="77287328"/>
    <w:rsid w:val="777C610E"/>
    <w:rsid w:val="77CD051F"/>
    <w:rsid w:val="7812577F"/>
    <w:rsid w:val="782425AC"/>
    <w:rsid w:val="782D3BDA"/>
    <w:rsid w:val="78B41987"/>
    <w:rsid w:val="78B93301"/>
    <w:rsid w:val="78E01A48"/>
    <w:rsid w:val="79110AD8"/>
    <w:rsid w:val="792A3948"/>
    <w:rsid w:val="796E4E17"/>
    <w:rsid w:val="79A166DA"/>
    <w:rsid w:val="79DB4509"/>
    <w:rsid w:val="79DF6126"/>
    <w:rsid w:val="7A305301"/>
    <w:rsid w:val="7A4E65D5"/>
    <w:rsid w:val="7A835B1C"/>
    <w:rsid w:val="7AA5597C"/>
    <w:rsid w:val="7AB9703C"/>
    <w:rsid w:val="7AD361E3"/>
    <w:rsid w:val="7CA83D7E"/>
    <w:rsid w:val="7CCD740C"/>
    <w:rsid w:val="7CEC5A5F"/>
    <w:rsid w:val="7D474714"/>
    <w:rsid w:val="7D712852"/>
    <w:rsid w:val="7D8E7BDF"/>
    <w:rsid w:val="7DB97798"/>
    <w:rsid w:val="7DBA173E"/>
    <w:rsid w:val="7DF760C3"/>
    <w:rsid w:val="7DF92F90"/>
    <w:rsid w:val="7E324F08"/>
    <w:rsid w:val="7E3A6615"/>
    <w:rsid w:val="7E4F2BA1"/>
    <w:rsid w:val="7E9A2DAA"/>
    <w:rsid w:val="7EE66563"/>
    <w:rsid w:val="7EEFC07D"/>
    <w:rsid w:val="7F3F6048"/>
    <w:rsid w:val="7F503B7C"/>
    <w:rsid w:val="7F5E259D"/>
    <w:rsid w:val="7F8F180F"/>
    <w:rsid w:val="7FAB05D1"/>
    <w:rsid w:val="7FAE0E2E"/>
    <w:rsid w:val="7FCF657D"/>
    <w:rsid w:val="ED5C2FAB"/>
    <w:rsid w:val="FBEF48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1"/>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5">
    <w:name w:val="heading 4"/>
    <w:basedOn w:val="1"/>
    <w:next w:val="6"/>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1"/>
    <w:next w:val="11"/>
    <w:qFormat/>
    <w:uiPriority w:val="0"/>
    <w:pPr>
      <w:tabs>
        <w:tab w:val="left" w:pos="574"/>
      </w:tabs>
      <w:spacing w:after="120" w:line="240" w:lineRule="auto"/>
      <w:ind w:firstLine="420" w:firstLineChars="100"/>
    </w:pPr>
    <w:rPr>
      <w:rFonts w:ascii="Times New Roman" w:hAnsi="Times New Roman"/>
    </w:rPr>
  </w:style>
  <w:style w:type="paragraph" w:styleId="11">
    <w:name w:val="toc 6"/>
    <w:basedOn w:val="1"/>
    <w:next w:val="1"/>
    <w:unhideWhenUsed/>
    <w:qFormat/>
    <w:uiPriority w:val="0"/>
    <w:pPr>
      <w:ind w:left="2100" w:leftChars="1000"/>
    </w:pPr>
  </w:style>
  <w:style w:type="paragraph" w:styleId="12">
    <w:name w:val="index 4"/>
    <w:basedOn w:val="1"/>
    <w:next w:val="1"/>
    <w:semiHidden/>
    <w:qFormat/>
    <w:uiPriority w:val="0"/>
    <w:pPr>
      <w:ind w:left="600" w:leftChars="600"/>
    </w:pPr>
  </w:style>
  <w:style w:type="paragraph" w:styleId="13">
    <w:name w:val="Plain Text"/>
    <w:basedOn w:val="1"/>
    <w:qFormat/>
    <w:uiPriority w:val="0"/>
    <w:rPr>
      <w:rFonts w:ascii="宋体" w:hAnsi="Courier New"/>
    </w:rPr>
  </w:style>
  <w:style w:type="paragraph" w:styleId="14">
    <w:name w:val="Balloon Text"/>
    <w:basedOn w:val="1"/>
    <w:link w:val="33"/>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39"/>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line number"/>
    <w:basedOn w:val="24"/>
    <w:qFormat/>
    <w:uiPriority w:val="0"/>
  </w:style>
  <w:style w:type="character" w:styleId="27">
    <w:name w:val="Hyperlink"/>
    <w:qFormat/>
    <w:uiPriority w:val="99"/>
    <w:rPr>
      <w:color w:val="0000FF"/>
      <w:u w:val="single"/>
    </w:rPr>
  </w:style>
  <w:style w:type="character" w:styleId="28">
    <w:name w:val="annotation reference"/>
    <w:basedOn w:val="24"/>
    <w:semiHidden/>
    <w:unhideWhenUsed/>
    <w:qFormat/>
    <w:uiPriority w:val="0"/>
    <w:rPr>
      <w:sz w:val="21"/>
      <w:szCs w:val="21"/>
    </w:rPr>
  </w:style>
  <w:style w:type="paragraph" w:customStyle="1" w:styleId="2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0">
    <w:name w:val="WPSOffice手动目录 1"/>
    <w:qFormat/>
    <w:uiPriority w:val="0"/>
    <w:rPr>
      <w:rFonts w:ascii="Calibri" w:hAnsi="Calibri" w:eastAsia="宋体" w:cs="Times New Roman"/>
      <w:lang w:val="en-US" w:eastAsia="zh-CN" w:bidi="ar-SA"/>
    </w:rPr>
  </w:style>
  <w:style w:type="paragraph" w:customStyle="1" w:styleId="31">
    <w:name w:val="p0"/>
    <w:basedOn w:val="1"/>
    <w:qFormat/>
    <w:uiPriority w:val="0"/>
    <w:pPr>
      <w:widowControl/>
    </w:pPr>
    <w:rPr>
      <w:kern w:val="0"/>
      <w:szCs w:val="32"/>
    </w:rPr>
  </w:style>
  <w:style w:type="paragraph" w:customStyle="1" w:styleId="32">
    <w:name w:val="标题4"/>
    <w:basedOn w:val="1"/>
    <w:qFormat/>
    <w:uiPriority w:val="0"/>
  </w:style>
  <w:style w:type="character" w:customStyle="1" w:styleId="33">
    <w:name w:val="批注框文本 Char"/>
    <w:basedOn w:val="24"/>
    <w:link w:val="14"/>
    <w:qFormat/>
    <w:uiPriority w:val="0"/>
    <w:rPr>
      <w:rFonts w:ascii="Calibri" w:hAnsi="Calibri" w:eastAsia="仿宋_GB2312"/>
      <w:kern w:val="2"/>
      <w:sz w:val="18"/>
      <w:szCs w:val="18"/>
    </w:rPr>
  </w:style>
  <w:style w:type="paragraph" w:customStyle="1" w:styleId="34">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6">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7">
    <w:name w:val="List Paragraph"/>
    <w:basedOn w:val="1"/>
    <w:qFormat/>
    <w:uiPriority w:val="0"/>
    <w:pPr>
      <w:autoSpaceDE w:val="0"/>
      <w:autoSpaceDN w:val="0"/>
      <w:adjustRightInd w:val="0"/>
      <w:jc w:val="left"/>
    </w:pPr>
    <w:rPr>
      <w:rFonts w:eastAsia="宋体"/>
      <w:kern w:val="0"/>
      <w:sz w:val="24"/>
      <w:szCs w:val="24"/>
    </w:rPr>
  </w:style>
  <w:style w:type="paragraph" w:customStyle="1" w:styleId="38">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9">
    <w:name w:val="NormalCharacter"/>
    <w:semiHidden/>
    <w:qFormat/>
    <w:uiPriority w:val="0"/>
    <w:rPr>
      <w:kern w:val="2"/>
      <w:sz w:val="21"/>
      <w:szCs w:val="24"/>
      <w:lang w:val="en-US" w:eastAsia="zh-CN" w:bidi="ar-SA"/>
    </w:rPr>
  </w:style>
  <w:style w:type="table" w:customStyle="1" w:styleId="4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16674</Words>
  <Characters>17678</Characters>
  <Lines>317</Lines>
  <Paragraphs>89</Paragraphs>
  <TotalTime>12</TotalTime>
  <ScaleCrop>false</ScaleCrop>
  <LinksUpToDate>false</LinksUpToDate>
  <CharactersWithSpaces>18351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2021-02-08T18:43:00Z</dcterms:created>
  <dc:creator>HaHaHa~</dc:creator>
  <cp:lastModifiedBy>比烟花寂寞</cp:lastModifiedBy>
  <cp:lastPrinted>2026-04-21T07:44:00Z</cp:lastPrinted>
  <dcterms:modified xsi:type="dcterms:W3CDTF">2026-04-23T07:21:51Z</dcterms:modified>
  <cp:revision>154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945F181B3BAF4167BB6C22F02F3501B1_13</vt:lpwstr>
  </property>
  <property fmtid="{D5CDD505-2E9C-101B-9397-08002B2CF9AE}" pid="4" name="KSOTemplateDocerSaveRecord">
    <vt:lpwstr>eyJoZGlkIjoiZDk5ZjFkMDEzNzhiNDhhN2ZlMDQzZmQ3MzM5ZGNkMmYiLCJ1c2VySWQiOiIxMjcxNTE1NDA5In0=</vt:lpwstr>
  </property>
</Properties>
</file>