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0DE76">
      <w:pPr>
        <w:pStyle w:val="2"/>
        <w:rPr>
          <w:color w:val="auto"/>
          <w:highlight w:val="none"/>
        </w:rPr>
      </w:pPr>
    </w:p>
    <w:p w14:paraId="2E98B3BD">
      <w:pPr>
        <w:jc w:val="center"/>
        <w:rPr>
          <w:rFonts w:hint="eastAsia" w:ascii="宋体" w:hAnsi="宋体" w:eastAsia="宋体"/>
          <w:bCs/>
          <w:color w:val="auto"/>
          <w:sz w:val="48"/>
          <w:highlight w:val="none"/>
        </w:rPr>
      </w:pPr>
    </w:p>
    <w:p w14:paraId="4FD1E39F">
      <w:pPr>
        <w:jc w:val="center"/>
        <w:rPr>
          <w:rFonts w:hint="eastAsia" w:ascii="宋体" w:hAnsi="宋体" w:eastAsia="宋体"/>
          <w:bCs/>
          <w:color w:val="auto"/>
          <w:sz w:val="48"/>
          <w:highlight w:val="none"/>
        </w:rPr>
      </w:pPr>
    </w:p>
    <w:p w14:paraId="4FD429F6">
      <w:pPr>
        <w:jc w:val="center"/>
        <w:rPr>
          <w:rFonts w:ascii="宋体" w:hAnsi="宋体"/>
          <w:bCs/>
          <w:color w:val="auto"/>
          <w:sz w:val="48"/>
          <w:highlight w:val="none"/>
        </w:rPr>
      </w:pPr>
      <w:r>
        <w:rPr>
          <w:rFonts w:hint="eastAsia" w:ascii="宋体" w:hAnsi="宋体" w:eastAsia="宋体"/>
          <w:bCs/>
          <w:color w:val="auto"/>
          <w:sz w:val="48"/>
          <w:highlight w:val="none"/>
        </w:rPr>
        <w:t>临海市限额以</w:t>
      </w:r>
      <w:bookmarkStart w:id="214" w:name="_GoBack"/>
      <w:bookmarkEnd w:id="214"/>
      <w:r>
        <w:rPr>
          <w:rFonts w:hint="eastAsia" w:ascii="宋体" w:hAnsi="宋体" w:eastAsia="宋体"/>
          <w:bCs/>
          <w:color w:val="auto"/>
          <w:sz w:val="48"/>
          <w:highlight w:val="none"/>
        </w:rPr>
        <w:t>下建设工程</w:t>
      </w:r>
    </w:p>
    <w:p w14:paraId="2002BAA3">
      <w:pPr>
        <w:jc w:val="center"/>
        <w:rPr>
          <w:rFonts w:ascii="宋体" w:hAnsi="宋体"/>
          <w:color w:val="auto"/>
          <w:sz w:val="72"/>
          <w:highlight w:val="none"/>
        </w:rPr>
      </w:pPr>
      <w:r>
        <w:rPr>
          <w:rFonts w:hint="eastAsia" w:ascii="宋体" w:hAnsi="宋体" w:eastAsia="宋体"/>
          <w:b/>
          <w:color w:val="auto"/>
          <w:sz w:val="84"/>
          <w:highlight w:val="none"/>
        </w:rPr>
        <w:t>招 标 文 件</w:t>
      </w:r>
    </w:p>
    <w:p w14:paraId="005BDC18">
      <w:pPr>
        <w:spacing w:line="440" w:lineRule="exact"/>
        <w:ind w:left="1148"/>
        <w:rPr>
          <w:rFonts w:ascii="宋体" w:hAnsi="宋体" w:eastAsia="宋体"/>
          <w:b/>
          <w:bCs/>
          <w:color w:val="auto"/>
          <w:sz w:val="28"/>
          <w:highlight w:val="none"/>
        </w:rPr>
      </w:pPr>
    </w:p>
    <w:p w14:paraId="18369C0B">
      <w:pPr>
        <w:spacing w:line="440" w:lineRule="exact"/>
        <w:jc w:val="center"/>
        <w:rPr>
          <w:rFonts w:ascii="宋体" w:hAnsi="宋体" w:eastAsia="宋体"/>
          <w:bCs/>
          <w:color w:val="auto"/>
          <w:sz w:val="28"/>
          <w:highlight w:val="none"/>
        </w:rPr>
      </w:pPr>
      <w:r>
        <w:rPr>
          <w:rFonts w:hint="eastAsia" w:ascii="宋体" w:hAnsi="宋体" w:eastAsia="宋体"/>
          <w:bCs/>
          <w:color w:val="auto"/>
          <w:sz w:val="28"/>
          <w:highlight w:val="none"/>
        </w:rPr>
        <w:t>备案登记号：临建招备小额[202</w:t>
      </w:r>
      <w:r>
        <w:rPr>
          <w:rFonts w:hint="eastAsia" w:ascii="宋体" w:hAnsi="宋体" w:eastAsia="宋体"/>
          <w:bCs/>
          <w:color w:val="auto"/>
          <w:sz w:val="28"/>
          <w:highlight w:val="none"/>
          <w:lang w:val="en-US" w:eastAsia="zh-CN"/>
        </w:rPr>
        <w:t>6</w:t>
      </w:r>
      <w:r>
        <w:rPr>
          <w:rFonts w:hint="eastAsia" w:ascii="宋体" w:hAnsi="宋体" w:eastAsia="宋体"/>
          <w:bCs/>
          <w:color w:val="auto"/>
          <w:sz w:val="28"/>
          <w:highlight w:val="none"/>
        </w:rPr>
        <w:t>]</w:t>
      </w:r>
      <w:r>
        <w:rPr>
          <w:rFonts w:hint="eastAsia" w:ascii="宋体" w:hAnsi="宋体" w:eastAsia="宋体"/>
          <w:bCs/>
          <w:color w:val="auto"/>
          <w:sz w:val="28"/>
          <w:highlight w:val="none"/>
          <w:u w:val="single"/>
        </w:rPr>
        <w:t xml:space="preserve"> </w:t>
      </w:r>
      <w:r>
        <w:rPr>
          <w:rFonts w:hint="eastAsia" w:ascii="宋体" w:hAnsi="宋体" w:eastAsia="宋体"/>
          <w:bCs/>
          <w:color w:val="auto"/>
          <w:sz w:val="28"/>
          <w:highlight w:val="none"/>
          <w:u w:val="single"/>
          <w:lang w:val="en-US" w:eastAsia="zh-CN"/>
        </w:rPr>
        <w:t>16</w:t>
      </w:r>
      <w:r>
        <w:rPr>
          <w:rFonts w:hint="eastAsia" w:ascii="宋体" w:hAnsi="宋体" w:eastAsia="宋体"/>
          <w:bCs/>
          <w:color w:val="auto"/>
          <w:sz w:val="28"/>
          <w:highlight w:val="none"/>
          <w:u w:val="single"/>
        </w:rPr>
        <w:t xml:space="preserve"> </w:t>
      </w:r>
      <w:r>
        <w:rPr>
          <w:rFonts w:hint="eastAsia" w:ascii="宋体" w:hAnsi="宋体" w:eastAsia="宋体"/>
          <w:bCs/>
          <w:color w:val="auto"/>
          <w:sz w:val="28"/>
          <w:highlight w:val="none"/>
        </w:rPr>
        <w:t>号</w:t>
      </w:r>
    </w:p>
    <w:p w14:paraId="4EC07096">
      <w:pPr>
        <w:spacing w:line="660" w:lineRule="exact"/>
        <w:ind w:firstLine="1120" w:firstLineChars="400"/>
        <w:rPr>
          <w:rFonts w:ascii="宋体" w:hAnsi="宋体" w:eastAsia="宋体"/>
          <w:bCs/>
          <w:color w:val="auto"/>
          <w:sz w:val="28"/>
          <w:highlight w:val="none"/>
        </w:rPr>
      </w:pPr>
    </w:p>
    <w:p w14:paraId="4CF60799">
      <w:pPr>
        <w:spacing w:line="660" w:lineRule="exact"/>
        <w:ind w:firstLine="1120" w:firstLineChars="400"/>
        <w:rPr>
          <w:rFonts w:ascii="宋体" w:hAnsi="宋体" w:eastAsia="宋体"/>
          <w:bCs/>
          <w:color w:val="auto"/>
          <w:sz w:val="28"/>
          <w:highlight w:val="none"/>
        </w:rPr>
      </w:pPr>
    </w:p>
    <w:p w14:paraId="31BAB530">
      <w:pPr>
        <w:spacing w:line="288" w:lineRule="auto"/>
        <w:rPr>
          <w:rFonts w:ascii="宋体" w:hAnsi="宋体" w:eastAsia="宋体"/>
          <w:color w:val="auto"/>
          <w:sz w:val="28"/>
          <w:highlight w:val="none"/>
        </w:rPr>
      </w:pPr>
    </w:p>
    <w:p w14:paraId="59B2C8E0">
      <w:pPr>
        <w:spacing w:line="660" w:lineRule="exact"/>
        <w:ind w:left="2510" w:leftChars="522" w:hanging="840" w:hangingChars="300"/>
        <w:rPr>
          <w:rFonts w:hint="eastAsia" w:ascii="宋体" w:hAnsi="宋体" w:eastAsia="宋体" w:cs="宋体"/>
          <w:color w:val="auto"/>
          <w:sz w:val="28"/>
          <w:highlight w:val="none"/>
          <w:u w:val="none"/>
          <w:lang w:eastAsia="zh-CN"/>
        </w:rPr>
      </w:pPr>
      <w:r>
        <w:rPr>
          <w:rFonts w:hint="eastAsia" w:ascii="宋体" w:hAnsi="宋体" w:eastAsia="宋体"/>
          <w:bCs/>
          <w:color w:val="auto"/>
          <w:sz w:val="28"/>
          <w:highlight w:val="none"/>
        </w:rPr>
        <w:t>招标项</w:t>
      </w:r>
      <w:r>
        <w:rPr>
          <w:rFonts w:hint="eastAsia" w:ascii="宋体" w:hAnsi="宋体" w:eastAsia="宋体"/>
          <w:bCs/>
          <w:color w:val="auto"/>
          <w:sz w:val="28"/>
          <w:highlight w:val="none"/>
          <w:u w:val="none"/>
        </w:rPr>
        <w:t>目：</w:t>
      </w:r>
      <w:r>
        <w:rPr>
          <w:rFonts w:hint="eastAsia" w:ascii="Times New Roman" w:hAnsi="Times New Roman" w:eastAsia="宋体"/>
          <w:color w:val="auto"/>
          <w:sz w:val="28"/>
          <w:highlight w:val="none"/>
          <w:u w:val="none"/>
          <w:lang w:eastAsia="zh-CN"/>
        </w:rPr>
        <w:t>临海市上盘镇新塘岸村村民活动中心（二期）</w:t>
      </w:r>
    </w:p>
    <w:p w14:paraId="772D6545">
      <w:pPr>
        <w:spacing w:line="660" w:lineRule="exact"/>
        <w:ind w:firstLine="1680" w:firstLineChars="600"/>
        <w:rPr>
          <w:rFonts w:ascii="宋体" w:hAnsi="宋体" w:eastAsia="宋体"/>
          <w:color w:val="auto"/>
          <w:sz w:val="28"/>
          <w:szCs w:val="22"/>
          <w:highlight w:val="none"/>
          <w:u w:val="none"/>
        </w:rPr>
      </w:pPr>
      <w:r>
        <w:rPr>
          <w:rFonts w:hint="eastAsia" w:ascii="宋体" w:hAnsi="宋体" w:eastAsia="宋体"/>
          <w:color w:val="auto"/>
          <w:sz w:val="28"/>
          <w:highlight w:val="none"/>
          <w:u w:val="none"/>
        </w:rPr>
        <w:t>招 标 人</w:t>
      </w:r>
      <w:r>
        <w:rPr>
          <w:rFonts w:hint="eastAsia" w:ascii="宋体" w:hAnsi="宋体" w:eastAsia="宋体"/>
          <w:color w:val="auto"/>
          <w:sz w:val="28"/>
          <w:szCs w:val="22"/>
          <w:highlight w:val="none"/>
          <w:u w:val="none"/>
        </w:rPr>
        <w:t>：</w:t>
      </w:r>
      <w:r>
        <w:rPr>
          <w:rFonts w:hint="eastAsia" w:ascii="宋体" w:hAnsi="宋体" w:eastAsia="宋体"/>
          <w:color w:val="auto"/>
          <w:sz w:val="28"/>
          <w:szCs w:val="22"/>
          <w:highlight w:val="none"/>
          <w:u w:val="none"/>
          <w:lang w:val="en-US" w:eastAsia="zh-CN"/>
        </w:rPr>
        <w:t>临海市上盘镇新塘岸村村民委员会</w:t>
      </w:r>
      <w:r>
        <w:rPr>
          <w:rFonts w:hint="eastAsia" w:ascii="宋体" w:hAnsi="宋体" w:eastAsia="宋体"/>
          <w:color w:val="auto"/>
          <w:sz w:val="28"/>
          <w:szCs w:val="22"/>
          <w:highlight w:val="none"/>
          <w:u w:val="none"/>
        </w:rPr>
        <w:t>（盖章）</w:t>
      </w:r>
    </w:p>
    <w:p w14:paraId="61A6ECCC">
      <w:pPr>
        <w:spacing w:line="660" w:lineRule="exact"/>
        <w:ind w:firstLine="1705" w:firstLineChars="609"/>
        <w:rPr>
          <w:rFonts w:hint="default" w:ascii="宋体" w:hAnsi="宋体" w:eastAsia="宋体"/>
          <w:color w:val="auto"/>
          <w:sz w:val="28"/>
          <w:highlight w:val="none"/>
          <w:u w:val="none"/>
          <w:lang w:val="en-US" w:eastAsia="zh-CN"/>
        </w:rPr>
      </w:pPr>
      <w:r>
        <w:rPr>
          <w:rFonts w:hint="eastAsia" w:ascii="宋体" w:hAnsi="宋体" w:eastAsia="宋体"/>
          <w:color w:val="auto"/>
          <w:sz w:val="28"/>
          <w:highlight w:val="none"/>
          <w:u w:val="none"/>
        </w:rPr>
        <w:t>联 系 人：</w:t>
      </w:r>
      <w:r>
        <w:rPr>
          <w:rFonts w:hint="eastAsia" w:ascii="宋体" w:hAnsi="宋体" w:eastAsia="宋体"/>
          <w:color w:val="auto"/>
          <w:sz w:val="28"/>
          <w:highlight w:val="none"/>
          <w:u w:val="none"/>
          <w:lang w:val="en-US" w:eastAsia="zh-CN"/>
        </w:rPr>
        <w:t>王先生</w:t>
      </w:r>
      <w:r>
        <w:rPr>
          <w:rFonts w:hint="eastAsia" w:ascii="宋体" w:hAnsi="宋体" w:eastAsia="宋体"/>
          <w:color w:val="auto"/>
          <w:sz w:val="28"/>
          <w:highlight w:val="none"/>
          <w:u w:val="none"/>
        </w:rPr>
        <w:t xml:space="preserve">         联系电话：</w:t>
      </w:r>
      <w:r>
        <w:rPr>
          <w:rFonts w:hint="eastAsia" w:ascii="宋体" w:hAnsi="宋体" w:eastAsia="宋体"/>
          <w:color w:val="auto"/>
          <w:sz w:val="28"/>
          <w:highlight w:val="none"/>
          <w:u w:val="none"/>
          <w:lang w:val="en-US" w:eastAsia="zh-CN"/>
        </w:rPr>
        <w:t>15867665993</w:t>
      </w:r>
    </w:p>
    <w:p w14:paraId="47FF7E68">
      <w:pPr>
        <w:spacing w:line="360" w:lineRule="auto"/>
        <w:ind w:firstLine="826" w:firstLineChars="295"/>
        <w:rPr>
          <w:rFonts w:ascii="宋体" w:hAnsi="宋体" w:eastAsia="宋体"/>
          <w:color w:val="auto"/>
          <w:sz w:val="28"/>
          <w:highlight w:val="none"/>
          <w:u w:val="none"/>
        </w:rPr>
      </w:pPr>
    </w:p>
    <w:p w14:paraId="52BAF446">
      <w:pPr>
        <w:spacing w:line="360" w:lineRule="auto"/>
        <w:rPr>
          <w:rFonts w:ascii="宋体" w:hAnsi="宋体" w:eastAsia="宋体"/>
          <w:color w:val="auto"/>
          <w:sz w:val="28"/>
          <w:highlight w:val="none"/>
          <w:u w:val="none"/>
        </w:rPr>
      </w:pPr>
    </w:p>
    <w:p w14:paraId="4AD3F319">
      <w:pPr>
        <w:spacing w:line="660" w:lineRule="exact"/>
        <w:ind w:left="2510" w:leftChars="522" w:hanging="840" w:hangingChars="300"/>
        <w:rPr>
          <w:rFonts w:ascii="宋体" w:hAnsi="宋体" w:eastAsia="宋体"/>
          <w:bCs/>
          <w:color w:val="auto"/>
          <w:sz w:val="28"/>
          <w:highlight w:val="none"/>
          <w:u w:val="none"/>
        </w:rPr>
      </w:pPr>
      <w:r>
        <w:rPr>
          <w:rFonts w:hint="eastAsia" w:ascii="宋体" w:hAnsi="宋体" w:eastAsia="宋体"/>
          <w:bCs/>
          <w:color w:val="auto"/>
          <w:sz w:val="28"/>
          <w:highlight w:val="none"/>
          <w:u w:val="none"/>
        </w:rPr>
        <w:t>招标代理机构：</w:t>
      </w:r>
      <w:r>
        <w:rPr>
          <w:rFonts w:hint="eastAsia" w:ascii="宋体" w:hAnsi="宋体" w:eastAsia="宋体"/>
          <w:bCs/>
          <w:color w:val="auto"/>
          <w:sz w:val="28"/>
          <w:highlight w:val="none"/>
          <w:u w:val="none"/>
          <w:lang w:eastAsia="zh-CN"/>
        </w:rPr>
        <w:t>临海市金道工程咨询有限公司</w:t>
      </w:r>
      <w:r>
        <w:rPr>
          <w:rFonts w:hint="eastAsia" w:ascii="宋体" w:hAnsi="宋体" w:eastAsia="宋体"/>
          <w:bCs/>
          <w:color w:val="auto"/>
          <w:sz w:val="28"/>
          <w:highlight w:val="none"/>
          <w:u w:val="none"/>
        </w:rPr>
        <w:t xml:space="preserve">（盖章）   </w:t>
      </w:r>
    </w:p>
    <w:p w14:paraId="5925D1A6">
      <w:pPr>
        <w:spacing w:line="660" w:lineRule="exact"/>
        <w:ind w:left="2510" w:leftChars="522" w:hanging="840" w:hangingChars="300"/>
        <w:rPr>
          <w:rFonts w:hint="eastAsia" w:ascii="宋体" w:hAnsi="宋体" w:eastAsia="宋体"/>
          <w:bCs/>
          <w:sz w:val="28"/>
        </w:rPr>
      </w:pPr>
      <w:r>
        <w:rPr>
          <w:rFonts w:hint="eastAsia" w:ascii="宋体" w:hAnsi="宋体" w:eastAsia="宋体"/>
          <w:bCs/>
          <w:sz w:val="28"/>
        </w:rPr>
        <w:t>代理项目负责人</w:t>
      </w:r>
      <w:r>
        <w:rPr>
          <w:rFonts w:hint="eastAsia" w:ascii="宋体" w:hAnsi="宋体" w:eastAsia="宋体"/>
          <w:bCs/>
          <w:sz w:val="28"/>
          <w:u w:val="none"/>
        </w:rPr>
        <w:t>：</w:t>
      </w:r>
      <w:r>
        <w:rPr>
          <w:rFonts w:hint="eastAsia" w:ascii="宋体" w:hAnsi="宋体" w:eastAsia="宋体"/>
          <w:bCs/>
          <w:sz w:val="28"/>
          <w:u w:val="none"/>
          <w:lang w:val="en-US" w:eastAsia="zh-CN"/>
        </w:rPr>
        <w:t>潘卫红</w:t>
      </w:r>
      <w:r>
        <w:rPr>
          <w:rFonts w:hint="eastAsia" w:ascii="宋体" w:hAnsi="宋体" w:eastAsia="宋体"/>
          <w:bCs/>
          <w:sz w:val="28"/>
          <w:u w:val="none"/>
        </w:rPr>
        <w:t xml:space="preserve"> </w:t>
      </w:r>
    </w:p>
    <w:p w14:paraId="14C13ECB">
      <w:pPr>
        <w:spacing w:line="660" w:lineRule="exact"/>
        <w:ind w:left="2510" w:leftChars="522" w:hanging="840" w:hangingChars="300"/>
        <w:rPr>
          <w:rFonts w:hint="default" w:ascii="宋体" w:hAnsi="宋体" w:eastAsia="宋体"/>
          <w:bCs/>
          <w:sz w:val="28"/>
          <w:u w:val="single"/>
          <w:lang w:val="en-US"/>
        </w:rPr>
      </w:pPr>
      <w:r>
        <w:rPr>
          <w:rFonts w:hint="eastAsia" w:ascii="宋体" w:hAnsi="宋体" w:eastAsia="宋体"/>
          <w:bCs/>
          <w:sz w:val="28"/>
        </w:rPr>
        <w:t>联 系 人：</w:t>
      </w:r>
      <w:r>
        <w:rPr>
          <w:rFonts w:hint="eastAsia" w:ascii="宋体" w:hAnsi="宋体" w:eastAsia="宋体"/>
          <w:bCs/>
          <w:sz w:val="28"/>
          <w:u w:val="none"/>
        </w:rPr>
        <w:t xml:space="preserve"> </w:t>
      </w:r>
      <w:r>
        <w:rPr>
          <w:rFonts w:hint="eastAsia" w:ascii="宋体" w:hAnsi="宋体" w:eastAsia="宋体"/>
          <w:bCs/>
          <w:sz w:val="28"/>
          <w:u w:val="none"/>
          <w:lang w:val="en-US" w:eastAsia="zh-CN"/>
        </w:rPr>
        <w:t>沈亦峰</w:t>
      </w:r>
      <w:r>
        <w:rPr>
          <w:rFonts w:hint="eastAsia" w:ascii="宋体" w:hAnsi="宋体" w:eastAsia="宋体"/>
          <w:bCs/>
          <w:sz w:val="28"/>
          <w:u w:val="none"/>
        </w:rPr>
        <w:t xml:space="preserve"> </w:t>
      </w:r>
      <w:r>
        <w:rPr>
          <w:rFonts w:hint="eastAsia" w:ascii="宋体" w:hAnsi="宋体" w:eastAsia="宋体"/>
          <w:bCs/>
          <w:sz w:val="28"/>
        </w:rPr>
        <w:t xml:space="preserve">         联系电话：</w:t>
      </w:r>
      <w:r>
        <w:rPr>
          <w:rFonts w:hint="eastAsia" w:ascii="宋体" w:hAnsi="宋体" w:eastAsia="宋体" w:cs="宋体"/>
          <w:color w:val="auto"/>
          <w:sz w:val="28"/>
          <w:szCs w:val="22"/>
          <w:highlight w:val="none"/>
          <w:u w:val="none"/>
          <w:lang w:val="en-US" w:eastAsia="zh-CN"/>
        </w:rPr>
        <w:t>15606550587</w:t>
      </w:r>
    </w:p>
    <w:p w14:paraId="09125093">
      <w:pPr>
        <w:spacing w:line="660" w:lineRule="exact"/>
        <w:ind w:left="2510" w:leftChars="522" w:hanging="840" w:hangingChars="300"/>
        <w:rPr>
          <w:rFonts w:hint="default" w:ascii="宋体" w:hAnsi="宋体" w:eastAsia="宋体"/>
          <w:bCs/>
          <w:color w:val="auto"/>
          <w:sz w:val="28"/>
          <w:highlight w:val="none"/>
          <w:u w:val="none"/>
          <w:lang w:val="en-US" w:eastAsia="zh-CN"/>
        </w:rPr>
      </w:pPr>
    </w:p>
    <w:p w14:paraId="7F63E1C3">
      <w:pPr>
        <w:spacing w:line="288" w:lineRule="auto"/>
        <w:rPr>
          <w:rFonts w:ascii="宋体" w:hAnsi="宋体" w:eastAsia="宋体"/>
          <w:color w:val="auto"/>
          <w:sz w:val="28"/>
          <w:highlight w:val="none"/>
        </w:rPr>
      </w:pPr>
    </w:p>
    <w:p w14:paraId="4E290E5B">
      <w:pPr>
        <w:spacing w:line="288" w:lineRule="auto"/>
        <w:rPr>
          <w:rFonts w:ascii="宋体" w:hAnsi="宋体" w:eastAsia="宋体"/>
          <w:color w:val="auto"/>
          <w:sz w:val="28"/>
          <w:szCs w:val="22"/>
          <w:highlight w:val="none"/>
        </w:rPr>
      </w:pPr>
    </w:p>
    <w:p w14:paraId="1EFA073C">
      <w:pPr>
        <w:spacing w:line="288" w:lineRule="auto"/>
        <w:rPr>
          <w:rFonts w:ascii="宋体" w:hAnsi="宋体" w:eastAsia="宋体"/>
          <w:color w:val="auto"/>
          <w:sz w:val="28"/>
          <w:szCs w:val="22"/>
          <w:highlight w:val="none"/>
        </w:rPr>
      </w:pPr>
    </w:p>
    <w:p w14:paraId="1A4BE2EB">
      <w:pPr>
        <w:spacing w:line="288" w:lineRule="auto"/>
        <w:jc w:val="center"/>
        <w:rPr>
          <w:rFonts w:ascii="宋体" w:hAnsi="宋体" w:eastAsia="宋体"/>
          <w:b/>
          <w:color w:val="auto"/>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440" w:right="1080" w:bottom="1440" w:left="1080"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202</w:t>
      </w:r>
      <w:r>
        <w:rPr>
          <w:rFonts w:hint="eastAsia" w:ascii="宋体" w:hAnsi="宋体" w:eastAsia="宋体"/>
          <w:color w:val="auto"/>
          <w:sz w:val="28"/>
          <w:szCs w:val="22"/>
          <w:highlight w:val="none"/>
          <w:lang w:val="en-US" w:eastAsia="zh-CN"/>
        </w:rPr>
        <w:t>6</w:t>
      </w:r>
      <w:r>
        <w:rPr>
          <w:rFonts w:hint="eastAsia" w:ascii="宋体" w:hAnsi="宋体" w:eastAsia="宋体"/>
          <w:color w:val="auto"/>
          <w:sz w:val="28"/>
          <w:szCs w:val="22"/>
          <w:highlight w:val="none"/>
        </w:rPr>
        <w:t>年</w:t>
      </w:r>
      <w:r>
        <w:rPr>
          <w:rFonts w:hint="eastAsia" w:ascii="宋体" w:hAnsi="宋体" w:eastAsia="宋体"/>
          <w:color w:val="auto"/>
          <w:sz w:val="28"/>
          <w:szCs w:val="22"/>
          <w:highlight w:val="none"/>
          <w:lang w:val="en-US" w:eastAsia="zh-CN"/>
        </w:rPr>
        <w:t>3</w:t>
      </w:r>
      <w:r>
        <w:rPr>
          <w:rFonts w:hint="eastAsia" w:ascii="宋体" w:hAnsi="宋体" w:eastAsia="宋体"/>
          <w:color w:val="auto"/>
          <w:sz w:val="28"/>
          <w:szCs w:val="22"/>
          <w:highlight w:val="none"/>
        </w:rPr>
        <w:t>月</w:t>
      </w:r>
    </w:p>
    <w:p w14:paraId="6AE85332">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目录</w:t>
      </w:r>
    </w:p>
    <w:p w14:paraId="39629F0C">
      <w:pPr>
        <w:jc w:val="center"/>
        <w:rPr>
          <w:rFonts w:ascii="宋体" w:hAnsi="宋体" w:eastAsia="宋体" w:cs="宋体"/>
          <w:b/>
          <w:bCs/>
          <w:color w:val="auto"/>
          <w:sz w:val="48"/>
          <w:szCs w:val="48"/>
          <w:highlight w:val="none"/>
        </w:rPr>
      </w:pPr>
    </w:p>
    <w:p w14:paraId="5336CD38">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B86331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689F0DF">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D99DFFE">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5A2641D4">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0</w:t>
      </w:r>
    </w:p>
    <w:p w14:paraId="3978F9B9">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44CD80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74D7A49">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69342C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74D7704">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5</w:t>
      </w:r>
    </w:p>
    <w:p w14:paraId="637835FB">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6</w:t>
      </w:r>
    </w:p>
    <w:p w14:paraId="46480C75">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6705D15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1C7E4B34">
      <w:pPr>
        <w:pStyle w:val="30"/>
        <w:tabs>
          <w:tab w:val="right" w:leader="dot" w:pos="9185"/>
        </w:tabs>
        <w:spacing w:line="360" w:lineRule="auto"/>
        <w:rPr>
          <w:rFonts w:ascii="宋体" w:hAnsi="宋体" w:cs="宋体"/>
          <w:color w:val="auto"/>
          <w:sz w:val="28"/>
          <w:szCs w:val="28"/>
          <w:highlight w:val="none"/>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件九：法定代表人身份证明......................................59</w:t>
      </w:r>
    </w:p>
    <w:p w14:paraId="075DD915">
      <w:pPr>
        <w:keepNext/>
        <w:keepLines/>
        <w:spacing w:before="120" w:after="120"/>
        <w:jc w:val="center"/>
        <w:outlineLvl w:val="0"/>
        <w:rPr>
          <w:rFonts w:ascii="黑体" w:hAnsi="黑体" w:eastAsia="黑体"/>
          <w:b/>
          <w:color w:val="auto"/>
          <w:kern w:val="44"/>
          <w:sz w:val="30"/>
          <w:highlight w:val="none"/>
        </w:rPr>
      </w:pPr>
      <w:bookmarkStart w:id="0" w:name="_Toc1787"/>
      <w:bookmarkStart w:id="1" w:name="_Toc22713"/>
      <w:bookmarkStart w:id="2" w:name="_Toc5497"/>
      <w:bookmarkStart w:id="3" w:name="_Toc500208499"/>
      <w:bookmarkStart w:id="4" w:name="_Toc386121562"/>
      <w:bookmarkStart w:id="5" w:name="_Toc386121751"/>
      <w:bookmarkStart w:id="6" w:name="_Toc500209421"/>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500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0B63CBE">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AC8E685">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69464A56">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472C4A14">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2288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45FDB222">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1E10327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09AE42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1AD17117">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临海市上盘镇新塘岸村村民活动中心（二期）</w:t>
            </w:r>
          </w:p>
        </w:tc>
      </w:tr>
      <w:tr w14:paraId="6751C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52B5C562">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406AD5B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95C4A8F">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417F01C7">
            <w:pPr>
              <w:adjustRightInd w:val="0"/>
              <w:snapToGrid w:val="0"/>
              <w:rPr>
                <w:rFonts w:hint="default"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临海市上盘镇新塘岸村</w:t>
            </w:r>
          </w:p>
        </w:tc>
      </w:tr>
      <w:tr w14:paraId="3458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682" w:type="dxa"/>
            <w:tcBorders>
              <w:bottom w:val="single" w:color="auto" w:sz="4" w:space="0"/>
            </w:tcBorders>
            <w:vAlign w:val="center"/>
          </w:tcPr>
          <w:p w14:paraId="04247CA4">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0539D84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FECA05E">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3E6B8065">
            <w:pPr>
              <w:adjustRightInd w:val="0"/>
              <w:snapToGrid w:val="0"/>
              <w:rPr>
                <w:rFonts w:hint="eastAsia" w:ascii="宋体" w:hAnsi="宋体" w:eastAsia="宋体" w:cs="Times New Roman"/>
                <w:bCs/>
                <w:color w:val="auto"/>
                <w:sz w:val="21"/>
                <w:highlight w:val="none"/>
                <w:lang w:val="en-US" w:eastAsia="zh-CN"/>
              </w:rPr>
            </w:pPr>
            <w:r>
              <w:rPr>
                <w:rFonts w:hint="eastAsia" w:ascii="宋体" w:hAnsi="宋体" w:eastAsia="宋体"/>
                <w:color w:val="auto"/>
                <w:sz w:val="21"/>
                <w:highlight w:val="none"/>
                <w:lang w:eastAsia="zh-CN"/>
              </w:rPr>
              <w:t>图纸范围内的建筑安装工程。</w:t>
            </w:r>
          </w:p>
        </w:tc>
      </w:tr>
      <w:tr w14:paraId="7CE3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642C86D">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02D3A687">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B75D058">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39E6384E">
            <w:pPr>
              <w:widowControl/>
              <w:jc w:val="left"/>
              <w:rPr>
                <w:rFonts w:ascii="宋体" w:hAnsi="宋体" w:eastAsia="宋体"/>
                <w:color w:val="auto"/>
                <w:sz w:val="21"/>
                <w:highlight w:val="none"/>
              </w:rPr>
            </w:pPr>
            <w:r>
              <w:rPr>
                <w:rFonts w:hint="eastAsia" w:ascii="宋体" w:hAnsi="宋体" w:eastAsia="宋体"/>
                <w:color w:val="auto"/>
                <w:sz w:val="21"/>
                <w:highlight w:val="none"/>
                <w:lang w:eastAsia="zh-CN"/>
              </w:rPr>
              <w:t>1411896</w:t>
            </w:r>
            <w:r>
              <w:rPr>
                <w:rFonts w:hint="eastAsia" w:ascii="宋体" w:hAnsi="宋体" w:eastAsia="宋体"/>
                <w:color w:val="auto"/>
                <w:sz w:val="21"/>
                <w:highlight w:val="none"/>
              </w:rPr>
              <w:t>元（详见招标人预算书）</w:t>
            </w:r>
          </w:p>
        </w:tc>
      </w:tr>
      <w:tr w14:paraId="2A79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065FA8A">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3BABEC4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808D5AD">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4B8ED676">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4613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2DACBD24">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56DBFE1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2046F44">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04AA3730">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547F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7C7E0773">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795B22D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0AA3A44">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1B6ED44E">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u w:val="single"/>
                <w:lang w:val="en-US" w:eastAsia="zh-CN"/>
              </w:rPr>
              <w:t>120</w:t>
            </w:r>
            <w:r>
              <w:rPr>
                <w:rFonts w:hint="eastAsia" w:ascii="宋体" w:hAnsi="宋体" w:eastAsia="宋体"/>
                <w:color w:val="auto"/>
                <w:sz w:val="21"/>
                <w:highlight w:val="none"/>
              </w:rPr>
              <w:t>日历天</w:t>
            </w:r>
          </w:p>
        </w:tc>
      </w:tr>
      <w:tr w14:paraId="0751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4EA143B">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52365069">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64C36C9B">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55B2D4FE">
            <w:pPr>
              <w:rPr>
                <w:rFonts w:ascii="宋体" w:hAnsi="宋体" w:eastAsia="宋体"/>
                <w:color w:val="auto"/>
                <w:sz w:val="21"/>
                <w:highlight w:val="none"/>
              </w:rPr>
            </w:pPr>
            <w:r>
              <w:rPr>
                <w:rFonts w:hint="eastAsia" w:ascii="宋体" w:hAnsi="宋体" w:eastAsia="宋体"/>
                <w:color w:val="auto"/>
                <w:sz w:val="21"/>
                <w:highlight w:val="none"/>
              </w:rPr>
              <w:t>公开招标</w:t>
            </w:r>
          </w:p>
        </w:tc>
      </w:tr>
      <w:tr w14:paraId="476F4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3D83B667">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4B3DB28E">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7178848F">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5B0FE838">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bCs/>
                <w:color w:val="auto"/>
                <w:sz w:val="21"/>
                <w:highlight w:val="none"/>
                <w:lang w:eastAsia="zh-CN"/>
              </w:rPr>
              <w:t>临海市上盘镇新塘岸村村民活动中心（二期）</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7916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4332911E">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B455A51">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7A2CBC7B">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53806051">
            <w:pPr>
              <w:adjustRightInd w:val="0"/>
              <w:snapToGrid w:val="0"/>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财政拨款及村自筹</w:t>
            </w:r>
          </w:p>
        </w:tc>
      </w:tr>
      <w:tr w14:paraId="0785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3AB80E4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1DA71500">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43939D77">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63D31A86">
            <w:pPr>
              <w:rPr>
                <w:rFonts w:ascii="宋体" w:hAnsi="宋体" w:eastAsia="宋体"/>
                <w:color w:val="auto"/>
                <w:sz w:val="21"/>
                <w:highlight w:val="none"/>
              </w:rPr>
            </w:pPr>
            <w:r>
              <w:rPr>
                <w:rFonts w:hint="eastAsia" w:ascii="宋体" w:hAnsi="宋体" w:eastAsia="宋体"/>
                <w:color w:val="auto"/>
                <w:sz w:val="21"/>
                <w:highlight w:val="none"/>
              </w:rPr>
              <w:t>全国范围内建筑工程施工总承包三级及以上资质；</w:t>
            </w:r>
          </w:p>
        </w:tc>
      </w:tr>
      <w:tr w14:paraId="254B6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82" w:type="dxa"/>
            <w:vAlign w:val="center"/>
          </w:tcPr>
          <w:p w14:paraId="462AF599">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7DC650AB">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6E943D13">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4BB0F634">
            <w:pPr>
              <w:rPr>
                <w:rFonts w:ascii="宋体" w:hAnsi="宋体" w:eastAsia="宋体"/>
                <w:color w:val="auto"/>
                <w:sz w:val="21"/>
                <w:highlight w:val="none"/>
              </w:rPr>
            </w:pPr>
            <w:r>
              <w:rPr>
                <w:rFonts w:hint="eastAsia" w:ascii="宋体" w:hAnsi="宋体" w:eastAsia="宋体"/>
                <w:color w:val="auto"/>
                <w:sz w:val="21"/>
                <w:highlight w:val="none"/>
              </w:rPr>
              <w:t>注册建造师（建筑工程）二级及以上；</w:t>
            </w:r>
          </w:p>
        </w:tc>
      </w:tr>
      <w:tr w14:paraId="41B8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6030B2CE">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2450C54B">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227904D8">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3DAD9D92">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06BA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7B628321">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555B38DB">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4E43D4FE">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2CB2B9FE">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5E691665">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622BD5C0">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530339C5">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5FC6F00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4C3E3A6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7494A7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0E1B01D">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59383D7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2D652B5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17F72D7F">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139CBCBF">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629D2408">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4492B3CF">
            <w:pPr>
              <w:pStyle w:val="6"/>
              <w:adjustRightInd w:val="0"/>
              <w:ind w:firstLine="422"/>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B8A438C">
            <w:pPr>
              <w:pStyle w:val="6"/>
              <w:adjustRightInd w:val="0"/>
              <w:ind w:firstLine="422"/>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430FFA2D">
            <w:pPr>
              <w:spacing w:line="300" w:lineRule="exact"/>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58608E7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④《省外企业进浙承接业务备案证明》或“浙江省建筑市场监管公共服务系统”对外发布的通过审核形成的备案信息网页截图（仅指浙江省省外企业）；</w:t>
            </w:r>
          </w:p>
          <w:p w14:paraId="4CEF592A">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302FDC4F">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7A9C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E9AA487">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664295F7">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0DF7FED6">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5FE0D43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6CABE1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6BF08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E16665A">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7DEE143A">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8C5B9CB">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351F15E2">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3C12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5197F041">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1A708B7D">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1C3E7458">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招标控制价及最高投标限价</w:t>
            </w:r>
          </w:p>
        </w:tc>
        <w:tc>
          <w:tcPr>
            <w:tcW w:w="5919" w:type="dxa"/>
            <w:vAlign w:val="center"/>
          </w:tcPr>
          <w:p w14:paraId="617D682E">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w:t>
            </w:r>
            <w:r>
              <w:rPr>
                <w:rFonts w:hint="eastAsia" w:ascii="宋体" w:hAnsi="宋体" w:eastAsia="宋体" w:cs="宋体"/>
                <w:color w:val="auto"/>
                <w:sz w:val="21"/>
                <w:szCs w:val="21"/>
                <w:highlight w:val="none"/>
                <w:u w:val="single"/>
                <w:lang w:val="en-US" w:eastAsia="zh-CN"/>
              </w:rPr>
              <w:t xml:space="preserve"> 1411896 </w:t>
            </w:r>
            <w:r>
              <w:rPr>
                <w:rFonts w:hint="eastAsia" w:ascii="宋体" w:hAnsi="宋体" w:eastAsia="宋体" w:cs="宋体"/>
                <w:color w:val="auto"/>
                <w:sz w:val="21"/>
                <w:szCs w:val="21"/>
                <w:highlight w:val="none"/>
              </w:rPr>
              <w:t>元；</w:t>
            </w:r>
          </w:p>
          <w:p w14:paraId="20DEBAAA">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r>
              <w:rPr>
                <w:rFonts w:hint="eastAsia" w:ascii="宋体" w:hAnsi="宋体" w:eastAsia="宋体" w:cs="宋体"/>
                <w:color w:val="auto"/>
                <w:sz w:val="21"/>
                <w:szCs w:val="21"/>
                <w:highlight w:val="none"/>
                <w:u w:val="single"/>
                <w:lang w:val="en-US" w:eastAsia="zh-CN"/>
              </w:rPr>
              <w:t>1270706</w:t>
            </w:r>
            <w:r>
              <w:rPr>
                <w:rFonts w:hint="eastAsia" w:ascii="宋体" w:hAnsi="宋体" w:eastAsia="宋体" w:cs="宋体"/>
                <w:color w:val="auto"/>
                <w:sz w:val="21"/>
                <w:szCs w:val="21"/>
                <w:highlight w:val="none"/>
              </w:rPr>
              <w:t xml:space="preserve">元   </w:t>
            </w:r>
          </w:p>
          <w:p w14:paraId="378D6718">
            <w:pPr>
              <w:pStyle w:val="10"/>
              <w:rPr>
                <w:b/>
                <w:color w:val="auto"/>
                <w:sz w:val="24"/>
                <w:szCs w:val="24"/>
                <w:highlight w:val="none"/>
              </w:rPr>
            </w:pPr>
            <w:r>
              <w:rPr>
                <w:rFonts w:hint="eastAsia" w:cs="宋体"/>
                <w:color w:val="auto"/>
                <w:szCs w:val="21"/>
                <w:highlight w:val="none"/>
              </w:rPr>
              <w:t>最高投标限价=招标控制价</w:t>
            </w:r>
            <w:r>
              <w:rPr>
                <w:rFonts w:hint="eastAsia" w:cs="宋体"/>
                <w:color w:val="auto"/>
                <w:szCs w:val="21"/>
                <w:highlight w:val="none"/>
                <w:lang w:val="en-US" w:eastAsia="zh-CN"/>
              </w:rPr>
              <w:t>*</w:t>
            </w:r>
            <w:r>
              <w:rPr>
                <w:rFonts w:hint="eastAsia" w:cs="宋体"/>
                <w:color w:val="auto"/>
                <w:szCs w:val="21"/>
                <w:highlight w:val="none"/>
                <w:u w:val="single"/>
                <w:lang w:val="en-US" w:eastAsia="zh-CN"/>
              </w:rPr>
              <w:t>90</w:t>
            </w:r>
            <w:r>
              <w:rPr>
                <w:rFonts w:hint="eastAsia" w:cs="宋体"/>
                <w:color w:val="auto"/>
                <w:szCs w:val="21"/>
                <w:highlight w:val="none"/>
                <w:u w:val="single"/>
              </w:rPr>
              <w:t>%</w:t>
            </w:r>
          </w:p>
        </w:tc>
      </w:tr>
      <w:tr w14:paraId="780A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98DF232">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07C08D5D">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5248E662">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5A712D30">
            <w:pPr>
              <w:rPr>
                <w:rFonts w:ascii="宋体" w:hAnsi="宋体" w:eastAsia="宋体"/>
                <w:b/>
                <w:bCs/>
                <w:color w:val="auto"/>
                <w:sz w:val="21"/>
                <w:highlight w:val="none"/>
              </w:rPr>
            </w:pPr>
            <w:r>
              <w:rPr>
                <w:rFonts w:hint="eastAsia" w:ascii="宋体" w:hAnsi="宋体" w:eastAsia="宋体"/>
                <w:b/>
                <w:bCs/>
                <w:color w:val="auto"/>
                <w:sz w:val="21"/>
                <w:highlight w:val="none"/>
              </w:rPr>
              <w:t>1、投标保证金金额：</w:t>
            </w:r>
            <w:r>
              <w:rPr>
                <w:rFonts w:hint="eastAsia" w:ascii="宋体" w:hAnsi="宋体" w:eastAsia="宋体"/>
                <w:b/>
                <w:bCs/>
                <w:color w:val="auto"/>
                <w:sz w:val="21"/>
                <w:highlight w:val="none"/>
                <w:u w:val="single"/>
                <w:lang w:val="en-US" w:eastAsia="zh-CN"/>
              </w:rPr>
              <w:t>2.5</w:t>
            </w:r>
            <w:r>
              <w:rPr>
                <w:rFonts w:hint="eastAsia" w:ascii="宋体" w:hAnsi="宋体" w:eastAsia="宋体"/>
                <w:b/>
                <w:bCs/>
                <w:color w:val="auto"/>
                <w:sz w:val="21"/>
                <w:highlight w:val="none"/>
              </w:rPr>
              <w:t>万元。</w:t>
            </w:r>
          </w:p>
          <w:p w14:paraId="4A024947">
            <w:pPr>
              <w:pStyle w:val="2"/>
              <w:rPr>
                <w:color w:val="auto"/>
                <w:highlight w:val="none"/>
              </w:rPr>
            </w:pPr>
            <w:r>
              <w:rPr>
                <w:rFonts w:hint="eastAsia" w:ascii="宋体" w:hAnsi="宋体" w:cs="宋体"/>
                <w:color w:val="auto"/>
                <w:spacing w:val="13"/>
                <w:sz w:val="21"/>
                <w:szCs w:val="21"/>
                <w:highlight w:val="none"/>
              </w:rPr>
              <w:t>2、投标保证金缴纳方式：网上银行转账或工程保函。</w:t>
            </w:r>
          </w:p>
          <w:p w14:paraId="6529F79E">
            <w:pPr>
              <w:spacing w:line="320" w:lineRule="exact"/>
              <w:rPr>
                <w:rFonts w:ascii="宋体" w:hAnsi="宋体" w:eastAsia="宋体" w:cs="宋体"/>
                <w:color w:val="auto"/>
                <w:spacing w:val="13"/>
                <w:kern w:val="0"/>
                <w:sz w:val="21"/>
                <w:szCs w:val="21"/>
                <w:highlight w:val="none"/>
              </w:rPr>
            </w:pPr>
            <w:r>
              <w:rPr>
                <w:rStyle w:val="38"/>
                <w:rFonts w:hint="eastAsia" w:ascii="宋体" w:hAnsi="宋体"/>
                <w:b/>
                <w:color w:val="auto"/>
                <w:sz w:val="24"/>
                <w:highlight w:val="none"/>
              </w:rPr>
              <w:t>(1)</w:t>
            </w:r>
            <w:r>
              <w:rPr>
                <w:rStyle w:val="38"/>
                <w:rFonts w:hint="eastAsia" w:ascii="宋体" w:hAnsi="宋体" w:eastAsia="宋体" w:cs="宋体"/>
                <w:b/>
                <w:color w:val="auto"/>
                <w:sz w:val="24"/>
                <w:highlight w:val="none"/>
              </w:rPr>
              <w:t xml:space="preserve"> 担保形式</w:t>
            </w:r>
            <w:r>
              <w:rPr>
                <w:rStyle w:val="38"/>
                <w:rFonts w:hint="eastAsia" w:ascii="宋体" w:hAnsi="宋体"/>
                <w:b/>
                <w:color w:val="auto"/>
                <w:sz w:val="24"/>
                <w:highlight w:val="none"/>
              </w:rPr>
              <w:t>：</w:t>
            </w:r>
            <w:r>
              <w:rPr>
                <w:rFonts w:hint="eastAsia" w:ascii="宋体" w:hAnsi="宋体" w:eastAsia="宋体" w:cs="宋体"/>
                <w:color w:val="auto"/>
                <w:spacing w:val="13"/>
                <w:kern w:val="0"/>
                <w:sz w:val="21"/>
                <w:szCs w:val="21"/>
                <w:highlight w:val="none"/>
              </w:rPr>
              <w:t>网上银行转账。</w:t>
            </w:r>
          </w:p>
          <w:p w14:paraId="086D8CF4">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开户名：临海市产权交易所有限公司</w:t>
            </w:r>
          </w:p>
          <w:p w14:paraId="151AB96E">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开户行：浙江临海农村商业银行股份有限公司科技支行；</w:t>
            </w:r>
          </w:p>
          <w:p w14:paraId="49F61F7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投标保证金账号：201000105503123000001</w:t>
            </w:r>
          </w:p>
          <w:p w14:paraId="103487B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投标保证金应在投标截止时间前到达指定账户；</w:t>
            </w:r>
          </w:p>
          <w:p w14:paraId="07B83FA3">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投标单位汇出账号必须是企业基本账户。</w:t>
            </w:r>
          </w:p>
          <w:p w14:paraId="225BB13E">
            <w:pPr>
              <w:jc w:val="left"/>
              <w:rPr>
                <w:rFonts w:ascii="宋体" w:hAnsi="宋体" w:eastAsia="宋体" w:cs="宋体"/>
                <w:b/>
                <w:color w:val="auto"/>
                <w:sz w:val="24"/>
                <w:highlight w:val="none"/>
              </w:rPr>
            </w:pPr>
            <w:r>
              <w:rPr>
                <w:rStyle w:val="38"/>
                <w:rFonts w:hint="eastAsia" w:ascii="宋体" w:hAnsi="宋体"/>
                <w:b/>
                <w:color w:val="auto"/>
                <w:sz w:val="24"/>
                <w:highlight w:val="none"/>
              </w:rPr>
              <w:t>(2)</w:t>
            </w:r>
            <w:r>
              <w:rPr>
                <w:rStyle w:val="38"/>
                <w:rFonts w:hint="eastAsia" w:ascii="宋体" w:hAnsi="宋体" w:eastAsia="宋体" w:cs="宋体"/>
                <w:b/>
                <w:color w:val="auto"/>
                <w:sz w:val="24"/>
                <w:highlight w:val="none"/>
              </w:rPr>
              <w:t>担保</w:t>
            </w:r>
            <w:r>
              <w:rPr>
                <w:rFonts w:hint="eastAsia" w:ascii="宋体" w:hAnsi="宋体" w:eastAsia="宋体" w:cs="宋体"/>
                <w:b/>
                <w:color w:val="auto"/>
                <w:sz w:val="24"/>
                <w:highlight w:val="none"/>
              </w:rPr>
              <w:t>形式：工程保函</w:t>
            </w:r>
          </w:p>
          <w:p w14:paraId="51DF6D6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保函形式：须为银行保函、保险机构保证保险保单或融资担保公司保函。</w:t>
            </w:r>
          </w:p>
          <w:p w14:paraId="62AEE85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工程保函的受益人：</w:t>
            </w:r>
            <w:r>
              <w:rPr>
                <w:rFonts w:hint="eastAsia" w:ascii="宋体" w:hAnsi="宋体" w:eastAsia="宋体" w:cs="宋体"/>
                <w:color w:val="auto"/>
                <w:spacing w:val="13"/>
                <w:kern w:val="0"/>
                <w:sz w:val="21"/>
                <w:szCs w:val="21"/>
                <w:highlight w:val="none"/>
                <w:u w:val="single"/>
                <w:lang w:eastAsia="zh-CN"/>
              </w:rPr>
              <w:t>临海市上盘镇新塘岸村村民委员会</w:t>
            </w:r>
            <w:r>
              <w:rPr>
                <w:rFonts w:hint="eastAsia" w:ascii="宋体" w:hAnsi="宋体" w:eastAsia="宋体" w:cs="宋体"/>
                <w:color w:val="auto"/>
                <w:spacing w:val="13"/>
                <w:kern w:val="0"/>
                <w:sz w:val="21"/>
                <w:szCs w:val="21"/>
                <w:highlight w:val="none"/>
              </w:rPr>
              <w:t>（招标人名称）；</w:t>
            </w:r>
          </w:p>
          <w:p w14:paraId="74DC3F4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工程保函的有效期为1年（工程保函有效期起始时间最早为招标公告发布之日，最迟为投标截止日）；</w:t>
            </w:r>
          </w:p>
          <w:p w14:paraId="201D79C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保函递交方式：工程电子保函形式或工程纸质保函形式</w:t>
            </w:r>
            <w:r>
              <w:rPr>
                <w:rFonts w:hint="eastAsia" w:ascii="宋体" w:hAnsi="宋体" w:eastAsia="宋体" w:cs="宋体"/>
                <w:color w:val="auto"/>
                <w:spacing w:val="13"/>
                <w:kern w:val="0"/>
                <w:sz w:val="21"/>
                <w:szCs w:val="21"/>
                <w:highlight w:val="none"/>
              </w:rPr>
              <w:t>。</w:t>
            </w:r>
          </w:p>
          <w:p w14:paraId="3DF00F68">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①用工程电子保函形式</w:t>
            </w:r>
            <w:r>
              <w:rPr>
                <w:rFonts w:hint="eastAsia" w:ascii="宋体" w:hAnsi="宋体" w:eastAsia="宋体" w:cs="宋体"/>
                <w:color w:val="auto"/>
                <w:spacing w:val="13"/>
                <w:kern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0075B37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z w:val="24"/>
                <w:highlight w:val="none"/>
              </w:rPr>
              <w:t>②</w:t>
            </w:r>
            <w:r>
              <w:rPr>
                <w:rFonts w:hint="eastAsia" w:ascii="宋体" w:hAnsi="宋体" w:eastAsia="宋体" w:cs="宋体"/>
                <w:b/>
                <w:bCs/>
                <w:color w:val="auto"/>
                <w:spacing w:val="13"/>
                <w:kern w:val="0"/>
                <w:sz w:val="21"/>
                <w:szCs w:val="21"/>
                <w:highlight w:val="none"/>
              </w:rPr>
              <w:t>用工程纸质保函形式</w:t>
            </w:r>
            <w:r>
              <w:rPr>
                <w:rFonts w:hint="eastAsia" w:ascii="宋体" w:hAnsi="宋体" w:eastAsia="宋体" w:cs="宋体"/>
                <w:color w:val="auto"/>
                <w:spacing w:val="13"/>
                <w:kern w:val="0"/>
                <w:sz w:val="21"/>
                <w:szCs w:val="21"/>
                <w:highlight w:val="none"/>
              </w:rPr>
              <w:t>：保费应一函一付，通过企业基本账户支付。投标人须在投标截止时间前在开标现场递交工程保函纸质原件、基本账户证明、保费支付的银行回单（以上资料均需加盖投标人公章）等保函相关资料。</w:t>
            </w:r>
          </w:p>
          <w:p w14:paraId="3A7B93E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递交方式：开标现场递交；</w:t>
            </w:r>
            <w:r>
              <w:rPr>
                <w:rFonts w:hint="eastAsia" w:ascii="宋体" w:hAnsi="宋体" w:eastAsia="宋体" w:cs="宋体"/>
                <w:color w:val="auto"/>
                <w:spacing w:val="13"/>
                <w:kern w:val="0"/>
                <w:sz w:val="21"/>
                <w:szCs w:val="21"/>
                <w:highlight w:val="none"/>
              </w:rPr>
              <w:t xml:space="preserve"> </w:t>
            </w:r>
          </w:p>
          <w:p w14:paraId="0BA9290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66E6B72">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递交时间及地点：详见招标公告或招标文件；</w:t>
            </w:r>
            <w:r>
              <w:rPr>
                <w:rFonts w:hint="eastAsia" w:ascii="宋体" w:hAnsi="宋体" w:eastAsia="宋体" w:cs="宋体"/>
                <w:color w:val="auto"/>
                <w:spacing w:val="13"/>
                <w:kern w:val="0"/>
                <w:sz w:val="21"/>
                <w:szCs w:val="21"/>
                <w:highlight w:val="none"/>
              </w:rPr>
              <w:t xml:space="preserve"> </w:t>
            </w:r>
          </w:p>
          <w:p w14:paraId="1D1CCA6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w:t>
            </w:r>
            <w:r>
              <w:rPr>
                <w:rFonts w:hint="eastAsia" w:ascii="宋体" w:hAnsi="宋体" w:eastAsia="宋体" w:cs="宋体"/>
                <w:color w:val="auto"/>
                <w:spacing w:val="13"/>
                <w:kern w:val="0"/>
                <w:sz w:val="21"/>
                <w:szCs w:val="21"/>
                <w:highlight w:val="none"/>
                <w:u w:val="single"/>
                <w:lang w:eastAsia="zh-CN"/>
              </w:rPr>
              <w:t>临海市金道工程咨询有限公司</w:t>
            </w:r>
            <w:r>
              <w:rPr>
                <w:rFonts w:hint="eastAsia" w:ascii="宋体" w:hAnsi="宋体" w:eastAsia="宋体" w:cs="宋体"/>
                <w:color w:val="auto"/>
                <w:spacing w:val="13"/>
                <w:kern w:val="0"/>
                <w:sz w:val="21"/>
                <w:szCs w:val="21"/>
                <w:highlight w:val="none"/>
              </w:rPr>
              <w:t xml:space="preserve">  （代理机构）； </w:t>
            </w:r>
          </w:p>
          <w:p w14:paraId="7ED82D3F">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接收人联系方式：</w:t>
            </w:r>
            <w:r>
              <w:rPr>
                <w:rFonts w:hint="eastAsia" w:ascii="宋体" w:hAnsi="宋体" w:eastAsia="宋体" w:cs="宋体"/>
                <w:color w:val="auto"/>
                <w:spacing w:val="13"/>
                <w:kern w:val="0"/>
                <w:sz w:val="21"/>
                <w:szCs w:val="21"/>
                <w:highlight w:val="none"/>
                <w:u w:val="single"/>
                <w:lang w:val="en-US" w:eastAsia="zh-CN"/>
              </w:rPr>
              <w:t>15606550587</w:t>
            </w:r>
            <w:r>
              <w:rPr>
                <w:rFonts w:hint="eastAsia" w:ascii="宋体" w:hAnsi="宋体" w:eastAsia="宋体" w:cs="宋体"/>
                <w:color w:val="auto"/>
                <w:spacing w:val="13"/>
                <w:kern w:val="0"/>
                <w:sz w:val="21"/>
                <w:szCs w:val="21"/>
                <w:highlight w:val="none"/>
              </w:rPr>
              <w:t xml:space="preserve">  （代理机构联系方式）； </w:t>
            </w:r>
          </w:p>
          <w:p w14:paraId="5E335266">
            <w:pPr>
              <w:snapToGrid w:val="0"/>
              <w:textAlignment w:val="baseline"/>
              <w:rPr>
                <w:rFonts w:ascii="宋体" w:hAnsi="宋体" w:eastAsia="宋体" w:cs="宋体"/>
                <w:color w:val="auto"/>
                <w:spacing w:val="13"/>
                <w:kern w:val="0"/>
                <w:sz w:val="21"/>
                <w:szCs w:val="21"/>
                <w:highlight w:val="none"/>
              </w:rPr>
            </w:pPr>
          </w:p>
          <w:p w14:paraId="1CA3F80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3、若招标文件允许联合体投标且投标人以联合体身份投标的，由联合体牵头人提交工程投标保证金。</w:t>
            </w:r>
          </w:p>
          <w:p w14:paraId="1633C44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4、投标人投标保证金未满足上述要求的，按无效标处理。</w:t>
            </w:r>
          </w:p>
          <w:p w14:paraId="75374E42">
            <w:pPr>
              <w:snapToGrid w:val="0"/>
              <w:textAlignment w:val="baseline"/>
              <w:rPr>
                <w:rFonts w:ascii="宋体" w:hAnsi="宋体" w:eastAsia="宋体" w:cs="宋体"/>
                <w:color w:val="auto"/>
                <w:spacing w:val="13"/>
                <w:kern w:val="0"/>
                <w:sz w:val="21"/>
                <w:szCs w:val="21"/>
                <w:highlight w:val="none"/>
              </w:rPr>
            </w:pPr>
          </w:p>
          <w:p w14:paraId="5086F26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咨询电话：</w:t>
            </w:r>
          </w:p>
          <w:p w14:paraId="0E912F5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招天下公司技术服务电话：0576-85407095。</w:t>
            </w:r>
          </w:p>
          <w:p w14:paraId="1F123430">
            <w:pPr>
              <w:rPr>
                <w:rFonts w:ascii="黑体" w:hAnsi="宋体" w:eastAsia="黑体"/>
                <w:b/>
                <w:color w:val="auto"/>
                <w:sz w:val="24"/>
                <w:szCs w:val="24"/>
                <w:highlight w:val="none"/>
              </w:rPr>
            </w:pPr>
            <w:r>
              <w:rPr>
                <w:rFonts w:hint="eastAsia" w:ascii="宋体" w:hAnsi="宋体" w:eastAsia="宋体" w:cs="宋体"/>
                <w:color w:val="auto"/>
                <w:spacing w:val="13"/>
                <w:kern w:val="0"/>
                <w:sz w:val="21"/>
                <w:szCs w:val="21"/>
                <w:highlight w:val="none"/>
              </w:rPr>
              <w:t>平台财务咨询电话：0576-85407100。</w:t>
            </w:r>
          </w:p>
        </w:tc>
      </w:tr>
      <w:tr w14:paraId="214E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1ECDD083">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169DEC58">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7777F211">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1FDE928C">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7D5D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F792E6C">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7BA102BE">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743A1C57">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3CEECCF8">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0CE63651">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4858210B">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6F0B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3C3F781">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64F2E2B5">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4973CF44">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741E6883">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274ED895">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开启解密通道后60分钟内解密。未满足上述条件的投标人，其投标文件作无效标处理。</w:t>
            </w:r>
          </w:p>
        </w:tc>
      </w:tr>
      <w:tr w14:paraId="7501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CFB5221">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20E481E7">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14E1568E">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1267D824">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（工程纸质保函除外）</w:t>
            </w:r>
          </w:p>
        </w:tc>
      </w:tr>
      <w:tr w14:paraId="0032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49F33F06">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23E3E049">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6DCCB17">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128A62ED">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74E675DD">
            <w:pPr>
              <w:rPr>
                <w:rFonts w:ascii="宋体" w:hAnsi="宋体" w:eastAsia="宋体"/>
                <w:color w:val="auto"/>
                <w:sz w:val="21"/>
                <w:highlight w:val="none"/>
              </w:rPr>
            </w:pPr>
            <w:r>
              <w:rPr>
                <w:rFonts w:hint="eastAsia" w:ascii="宋体" w:hAnsi="宋体" w:eastAsia="宋体"/>
                <w:color w:val="auto"/>
                <w:sz w:val="21"/>
                <w:highlight w:val="none"/>
              </w:rPr>
              <w:t>开标地点：</w:t>
            </w:r>
            <w:r>
              <w:rPr>
                <w:rFonts w:ascii="Arial" w:hAnsi="Arial" w:eastAsia="宋体" w:cs="Arial"/>
                <w:color w:val="auto"/>
                <w:sz w:val="21"/>
                <w:szCs w:val="21"/>
                <w:highlight w:val="none"/>
                <w:shd w:val="clear" w:color="auto" w:fill="FFFFFF"/>
              </w:rPr>
              <w:t>临海市限额以下公共资源交易区域平台</w:t>
            </w:r>
            <w:r>
              <w:rPr>
                <w:rFonts w:hint="eastAsia" w:ascii="Arial" w:hAnsi="Arial" w:eastAsia="宋体" w:cs="Arial"/>
                <w:color w:val="auto"/>
                <w:sz w:val="21"/>
                <w:szCs w:val="21"/>
                <w:highlight w:val="none"/>
                <w:shd w:val="clear" w:color="auto" w:fill="FFFFFF"/>
                <w:lang w:val="en-US" w:eastAsia="zh-CN"/>
              </w:rPr>
              <w:t>东部</w:t>
            </w:r>
            <w:r>
              <w:rPr>
                <w:rFonts w:ascii="Arial" w:hAnsi="Arial" w:eastAsia="宋体" w:cs="Arial"/>
                <w:color w:val="auto"/>
                <w:sz w:val="21"/>
                <w:szCs w:val="21"/>
                <w:highlight w:val="none"/>
                <w:shd w:val="clear" w:color="auto" w:fill="FFFFFF"/>
              </w:rPr>
              <w:t>开标室</w:t>
            </w:r>
            <w:r>
              <w:rPr>
                <w:rFonts w:hint="eastAsia" w:ascii="Arial" w:hAnsi="Arial" w:eastAsia="宋体" w:cs="Arial"/>
                <w:color w:val="auto"/>
                <w:sz w:val="21"/>
                <w:szCs w:val="21"/>
                <w:highlight w:val="none"/>
                <w:shd w:val="clear" w:color="auto" w:fill="FFFFFF"/>
                <w:lang w:eastAsia="zh-CN"/>
              </w:rPr>
              <w:t>（</w:t>
            </w:r>
            <w:r>
              <w:rPr>
                <w:rFonts w:hint="eastAsia" w:ascii="Arial" w:hAnsi="Arial" w:eastAsia="宋体" w:cs="Arial"/>
                <w:color w:val="auto"/>
                <w:sz w:val="21"/>
                <w:szCs w:val="21"/>
                <w:highlight w:val="none"/>
                <w:shd w:val="clear" w:color="auto" w:fill="FFFFFF"/>
                <w:lang w:val="en-US" w:eastAsia="zh-CN"/>
              </w:rPr>
              <w:t>2</w:t>
            </w:r>
            <w:r>
              <w:rPr>
                <w:rFonts w:hint="eastAsia" w:ascii="Arial" w:hAnsi="Arial" w:eastAsia="宋体" w:cs="Arial"/>
                <w:color w:val="auto"/>
                <w:sz w:val="21"/>
                <w:szCs w:val="21"/>
                <w:highlight w:val="none"/>
                <w:shd w:val="clear" w:color="auto" w:fill="FFFFFF"/>
                <w:lang w:eastAsia="zh-CN"/>
              </w:rPr>
              <w:t>）</w:t>
            </w:r>
            <w:r>
              <w:rPr>
                <w:rFonts w:ascii="Arial" w:hAnsi="Arial" w:eastAsia="宋体" w:cs="Arial"/>
                <w:color w:val="auto"/>
                <w:sz w:val="21"/>
                <w:szCs w:val="21"/>
                <w:highlight w:val="none"/>
                <w:shd w:val="clear" w:color="auto" w:fill="FFFFFF"/>
              </w:rPr>
              <w:t>（</w:t>
            </w:r>
            <w:r>
              <w:rPr>
                <w:rFonts w:hint="eastAsia" w:ascii="Arial" w:hAnsi="Arial" w:eastAsia="宋体" w:cs="Arial"/>
                <w:color w:val="auto"/>
                <w:sz w:val="21"/>
                <w:szCs w:val="21"/>
                <w:highlight w:val="none"/>
                <w:shd w:val="clear" w:color="auto" w:fill="FFFFFF"/>
                <w:lang w:eastAsia="zh-CN"/>
              </w:rPr>
              <w:t>临海市住房和城乡建设局东部分局6楼</w:t>
            </w:r>
            <w:r>
              <w:rPr>
                <w:rFonts w:ascii="Arial" w:hAnsi="Arial" w:eastAsia="宋体" w:cs="Arial"/>
                <w:color w:val="auto"/>
                <w:sz w:val="21"/>
                <w:szCs w:val="21"/>
                <w:highlight w:val="none"/>
                <w:shd w:val="clear" w:color="auto" w:fill="FFFFFF"/>
              </w:rPr>
              <w:t>）</w:t>
            </w:r>
          </w:p>
        </w:tc>
      </w:tr>
      <w:tr w14:paraId="5443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82" w:type="dxa"/>
            <w:vAlign w:val="center"/>
          </w:tcPr>
          <w:p w14:paraId="34CF275B">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13F6E68">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6DF4E5C1">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BCBF305">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30B6D61F">
            <w:pPr>
              <w:rPr>
                <w:rFonts w:ascii="宋体" w:hAnsi="宋体" w:eastAsia="宋体"/>
                <w:color w:val="auto"/>
                <w:sz w:val="21"/>
                <w:highlight w:val="none"/>
              </w:rPr>
            </w:pPr>
            <w:r>
              <w:rPr>
                <w:rFonts w:hint="eastAsia" w:ascii="宋体" w:hAnsi="宋体" w:eastAsia="宋体"/>
                <w:color w:val="auto"/>
                <w:sz w:val="21"/>
                <w:highlight w:val="none"/>
                <w:u w:val="single"/>
              </w:rPr>
              <w:t>20</w:t>
            </w:r>
            <w:r>
              <w:rPr>
                <w:rFonts w:hint="eastAsia" w:ascii="宋体" w:hAnsi="宋体" w:eastAsia="宋体"/>
                <w:color w:val="auto"/>
                <w:sz w:val="21"/>
                <w:highlight w:val="none"/>
                <w:u w:val="single"/>
                <w:lang w:val="en-US" w:eastAsia="zh-CN"/>
              </w:rPr>
              <w:t>26</w:t>
            </w:r>
            <w:r>
              <w:rPr>
                <w:rFonts w:hint="eastAsia" w:ascii="宋体" w:hAnsi="宋体" w:eastAsia="宋体"/>
                <w:color w:val="auto"/>
                <w:sz w:val="21"/>
                <w:highlight w:val="none"/>
                <w:u w:val="single"/>
              </w:rPr>
              <w:t>年</w:t>
            </w:r>
            <w:r>
              <w:rPr>
                <w:rFonts w:hint="eastAsia" w:ascii="宋体" w:hAnsi="宋体" w:eastAsia="宋体"/>
                <w:color w:val="auto"/>
                <w:sz w:val="21"/>
                <w:highlight w:val="none"/>
                <w:u w:val="single"/>
                <w:lang w:val="en-US" w:eastAsia="zh-CN"/>
              </w:rPr>
              <w:t>3</w:t>
            </w:r>
            <w:r>
              <w:rPr>
                <w:rFonts w:hint="eastAsia" w:ascii="宋体" w:hAnsi="宋体" w:eastAsia="宋体"/>
                <w:color w:val="auto"/>
                <w:sz w:val="21"/>
                <w:highlight w:val="none"/>
                <w:u w:val="single"/>
              </w:rPr>
              <w:t>月</w:t>
            </w:r>
            <w:r>
              <w:rPr>
                <w:rFonts w:hint="eastAsia" w:ascii="宋体" w:hAnsi="宋体" w:eastAsia="宋体"/>
                <w:color w:val="auto"/>
                <w:sz w:val="21"/>
                <w:highlight w:val="none"/>
                <w:u w:val="single"/>
                <w:lang w:val="en-US" w:eastAsia="zh-CN"/>
              </w:rPr>
              <w:t>24</w:t>
            </w:r>
            <w:r>
              <w:rPr>
                <w:rFonts w:hint="eastAsia" w:ascii="宋体" w:hAnsi="宋体" w:eastAsia="宋体"/>
                <w:color w:val="auto"/>
                <w:sz w:val="21"/>
                <w:highlight w:val="none"/>
                <w:u w:val="single"/>
              </w:rPr>
              <w:t>日</w:t>
            </w:r>
            <w:r>
              <w:rPr>
                <w:rFonts w:hint="eastAsia" w:ascii="宋体" w:hAnsi="宋体" w:eastAsia="宋体"/>
                <w:color w:val="auto"/>
                <w:sz w:val="21"/>
                <w:highlight w:val="none"/>
                <w:u w:val="single"/>
                <w:lang w:val="en-US" w:eastAsia="zh-CN"/>
              </w:rPr>
              <w:t>14</w:t>
            </w:r>
            <w:r>
              <w:rPr>
                <w:rFonts w:hint="eastAsia" w:ascii="宋体" w:hAnsi="宋体" w:eastAsia="宋体"/>
                <w:color w:val="auto"/>
                <w:sz w:val="21"/>
                <w:highlight w:val="none"/>
                <w:u w:val="single"/>
              </w:rPr>
              <w:t>时</w:t>
            </w:r>
            <w:r>
              <w:rPr>
                <w:rFonts w:hint="eastAsia" w:ascii="宋体" w:hAnsi="宋体" w:eastAsia="宋体"/>
                <w:color w:val="auto"/>
                <w:sz w:val="21"/>
                <w:highlight w:val="none"/>
                <w:u w:val="single"/>
                <w:lang w:val="en-US" w:eastAsia="zh-CN"/>
              </w:rPr>
              <w:t>30</w:t>
            </w:r>
            <w:r>
              <w:rPr>
                <w:rFonts w:hint="eastAsia" w:ascii="宋体" w:hAnsi="宋体" w:eastAsia="宋体"/>
                <w:color w:val="auto"/>
                <w:sz w:val="21"/>
                <w:highlight w:val="none"/>
                <w:u w:val="single"/>
              </w:rPr>
              <w:t>分</w:t>
            </w:r>
            <w:r>
              <w:rPr>
                <w:rFonts w:hint="eastAsia" w:ascii="宋体" w:hAnsi="宋体" w:eastAsia="宋体"/>
                <w:color w:val="auto"/>
                <w:sz w:val="21"/>
                <w:highlight w:val="none"/>
              </w:rPr>
              <w:t>；</w:t>
            </w:r>
          </w:p>
        </w:tc>
      </w:tr>
      <w:tr w14:paraId="0F07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F45E468">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0AE30BD3">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3A8A5D6E">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30723E2F">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70B9838D">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747E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82" w:type="dxa"/>
            <w:vAlign w:val="center"/>
          </w:tcPr>
          <w:p w14:paraId="7BFF90B1">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0815775B">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08A4E2DC">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769F12C1">
            <w:pPr>
              <w:rPr>
                <w:rFonts w:ascii="宋体" w:hAnsi="宋体" w:eastAsia="宋体"/>
                <w:color w:val="auto"/>
                <w:sz w:val="21"/>
                <w:highlight w:val="none"/>
              </w:rPr>
            </w:pPr>
            <w:r>
              <w:rPr>
                <w:rFonts w:hint="eastAsia" w:ascii="宋体" w:hAnsi="宋体" w:eastAsia="宋体"/>
                <w:color w:val="auto"/>
                <w:sz w:val="21"/>
                <w:szCs w:val="22"/>
                <w:highlight w:val="none"/>
              </w:rPr>
              <w:t>临海市限额以下公共资源交易工程建设项目(房建市政项目评标办法)</w:t>
            </w:r>
          </w:p>
        </w:tc>
      </w:tr>
      <w:tr w14:paraId="35ED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544B83CC">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2A3B7089">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6D7EFE97">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758FA4A7">
            <w:pPr>
              <w:jc w:val="left"/>
              <w:rPr>
                <w:color w:val="auto"/>
                <w:highlight w:val="none"/>
              </w:rPr>
            </w:pPr>
            <w:r>
              <w:rPr>
                <w:rFonts w:hint="eastAsia" w:ascii="宋体" w:hAnsi="宋体" w:eastAsia="宋体"/>
                <w:color w:val="auto"/>
                <w:sz w:val="21"/>
                <w:szCs w:val="22"/>
                <w:highlight w:val="none"/>
              </w:rPr>
              <w:t>履约担保金额为中标价的2%。</w:t>
            </w:r>
          </w:p>
        </w:tc>
      </w:tr>
      <w:tr w14:paraId="29E55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44E5511E">
            <w:pPr>
              <w:pStyle w:val="13"/>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06AC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0A7717E1">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3606D73F">
            <w:pPr>
              <w:pStyle w:val="10"/>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2FEE7E49">
            <w:pPr>
              <w:pStyle w:val="10"/>
              <w:rPr>
                <w:rFonts w:cs="宋体"/>
                <w:color w:val="auto"/>
                <w:kern w:val="0"/>
                <w:szCs w:val="21"/>
                <w:highlight w:val="none"/>
              </w:rPr>
            </w:pPr>
            <w:r>
              <w:rPr>
                <w:rFonts w:hint="eastAsia" w:cs="宋体"/>
                <w:color w:val="auto"/>
                <w:kern w:val="0"/>
                <w:szCs w:val="21"/>
                <w:highlight w:val="none"/>
              </w:rPr>
              <w:t>开户名：临海市产权交易所有限公司</w:t>
            </w:r>
          </w:p>
          <w:p w14:paraId="781B19BF">
            <w:pPr>
              <w:pStyle w:val="10"/>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CDEED32">
            <w:pPr>
              <w:pStyle w:val="10"/>
              <w:rPr>
                <w:rFonts w:cs="宋体"/>
                <w:color w:val="auto"/>
                <w:kern w:val="0"/>
                <w:szCs w:val="21"/>
                <w:highlight w:val="none"/>
              </w:rPr>
            </w:pPr>
            <w:r>
              <w:rPr>
                <w:rFonts w:hint="eastAsia" w:cs="宋体"/>
                <w:color w:val="auto"/>
                <w:kern w:val="0"/>
                <w:szCs w:val="21"/>
                <w:highlight w:val="none"/>
              </w:rPr>
              <w:t>平台使用费账号：201000105503123000003</w:t>
            </w:r>
          </w:p>
          <w:p w14:paraId="29A4713D">
            <w:pPr>
              <w:pStyle w:val="10"/>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53E09042">
            <w:pPr>
              <w:pStyle w:val="10"/>
              <w:rPr>
                <w:rFonts w:cs="宋体"/>
                <w:color w:val="auto"/>
                <w:szCs w:val="21"/>
                <w:highlight w:val="none"/>
              </w:rPr>
            </w:pPr>
            <w:r>
              <w:rPr>
                <w:rFonts w:hint="eastAsia" w:cs="宋体"/>
                <w:color w:val="auto"/>
                <w:kern w:val="0"/>
                <w:szCs w:val="21"/>
                <w:highlight w:val="none"/>
              </w:rPr>
              <w:t>注意：请提前缴纳相关费用，以防影响正常投标。</w:t>
            </w:r>
          </w:p>
        </w:tc>
      </w:tr>
      <w:tr w14:paraId="24248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043ADE86">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31AC8D06">
            <w:pPr>
              <w:pStyle w:val="10"/>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16FF00ED">
            <w:pPr>
              <w:pStyle w:val="10"/>
              <w:rPr>
                <w:rFonts w:cs="宋体"/>
                <w:color w:val="auto"/>
                <w:kern w:val="0"/>
                <w:szCs w:val="21"/>
                <w:highlight w:val="none"/>
              </w:rPr>
            </w:pPr>
            <w:r>
              <w:rPr>
                <w:rFonts w:hint="eastAsia" w:cs="宋体"/>
                <w:color w:val="auto"/>
                <w:kern w:val="0"/>
                <w:szCs w:val="21"/>
                <w:highlight w:val="none"/>
              </w:rPr>
              <w:t>开户名：临海市产权交易所有限公司</w:t>
            </w:r>
          </w:p>
          <w:p w14:paraId="41C9960F">
            <w:pPr>
              <w:pStyle w:val="10"/>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0EDA0E48">
            <w:pPr>
              <w:pStyle w:val="10"/>
              <w:rPr>
                <w:rFonts w:cs="宋体"/>
                <w:color w:val="auto"/>
                <w:kern w:val="0"/>
                <w:szCs w:val="21"/>
                <w:highlight w:val="none"/>
              </w:rPr>
            </w:pPr>
            <w:r>
              <w:rPr>
                <w:rFonts w:hint="eastAsia" w:cs="宋体"/>
                <w:color w:val="auto"/>
                <w:kern w:val="0"/>
                <w:szCs w:val="21"/>
                <w:highlight w:val="none"/>
              </w:rPr>
              <w:t>中标服务费账号：201000105503123000004</w:t>
            </w:r>
          </w:p>
          <w:p w14:paraId="55411A1E">
            <w:pPr>
              <w:pStyle w:val="10"/>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5338F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D8D03B">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2ADA5BBE">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661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4E43C723">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2D5A7387">
            <w:pPr>
              <w:pStyle w:val="2"/>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42E4C886">
            <w:pPr>
              <w:pStyle w:val="2"/>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4C573D1">
            <w:pPr>
              <w:pStyle w:val="2"/>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269028F1">
            <w:pPr>
              <w:pStyle w:val="2"/>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软件技术支持电话：15267291759（同微信）。</w:t>
            </w:r>
          </w:p>
          <w:p w14:paraId="3ABA5F9D">
            <w:pPr>
              <w:pStyle w:val="10"/>
              <w:ind w:firstLine="210" w:firstLineChars="100"/>
              <w:jc w:val="both"/>
              <w:rPr>
                <w:rFonts w:hint="eastAsia" w:cs="宋体"/>
                <w:color w:val="auto"/>
                <w:kern w:val="0"/>
                <w:szCs w:val="21"/>
                <w:highlight w:val="none"/>
                <w:lang w:eastAsia="zh-CN"/>
              </w:rPr>
            </w:pPr>
            <w:r>
              <w:rPr>
                <w:rFonts w:hint="eastAsia" w:ascii="Calibri" w:hAnsi="宋体"/>
                <w:color w:val="auto"/>
                <w:sz w:val="21"/>
                <w:szCs w:val="21"/>
                <w:highlight w:val="none"/>
                <w:lang w:val="en-US" w:eastAsia="zh-CN"/>
              </w:rPr>
              <w:t>3、</w:t>
            </w:r>
            <w:r>
              <w:rPr>
                <w:rFonts w:hint="eastAsia" w:cs="宋体"/>
                <w:color w:val="auto"/>
                <w:kern w:val="0"/>
                <w:szCs w:val="21"/>
                <w:highlight w:val="none"/>
                <w:lang w:eastAsia="zh-CN"/>
              </w:rPr>
              <w:t>招标监管机构：临海市建设工程招标投标事务中心</w:t>
            </w:r>
          </w:p>
          <w:p w14:paraId="513F4D62">
            <w:pPr>
              <w:pStyle w:val="2"/>
              <w:spacing w:line="260" w:lineRule="exact"/>
              <w:ind w:firstLine="273" w:firstLineChars="130"/>
              <w:rPr>
                <w:rFonts w:hint="eastAsia" w:ascii="Calibri" w:hAnsi="宋体"/>
                <w:color w:val="auto"/>
                <w:sz w:val="21"/>
                <w:szCs w:val="21"/>
                <w:highlight w:val="none"/>
              </w:rPr>
            </w:pPr>
            <w:r>
              <w:rPr>
                <w:rFonts w:hint="eastAsia" w:ascii="宋体" w:hAnsi="宋体" w:eastAsia="宋体" w:cs="宋体"/>
                <w:color w:val="auto"/>
                <w:kern w:val="0"/>
                <w:sz w:val="21"/>
                <w:szCs w:val="21"/>
                <w:highlight w:val="none"/>
                <w:lang w:val="en-US" w:eastAsia="zh-CN" w:bidi="ar-SA"/>
              </w:rPr>
              <w:t>联系电话：0576-85280256</w:t>
            </w:r>
          </w:p>
        </w:tc>
      </w:tr>
    </w:tbl>
    <w:p w14:paraId="1D8B6D7A">
      <w:pPr>
        <w:jc w:val="center"/>
        <w:rPr>
          <w:rFonts w:ascii="宋体" w:hAnsi="宋体"/>
          <w:color w:val="auto"/>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3C707BDE">
      <w:pPr>
        <w:keepNext/>
        <w:keepLines/>
        <w:spacing w:before="120" w:after="120"/>
        <w:jc w:val="center"/>
        <w:outlineLvl w:val="0"/>
        <w:rPr>
          <w:rFonts w:ascii="黑体" w:hAnsi="黑体" w:eastAsia="黑体"/>
          <w:b/>
          <w:color w:val="auto"/>
          <w:kern w:val="44"/>
          <w:sz w:val="30"/>
          <w:highlight w:val="none"/>
        </w:rPr>
      </w:pPr>
      <w:bookmarkStart w:id="8" w:name="_Toc10147"/>
      <w:bookmarkStart w:id="9" w:name="_Toc500208463"/>
      <w:bookmarkStart w:id="10" w:name="_Toc9614"/>
      <w:bookmarkStart w:id="11" w:name="_Toc500209412"/>
      <w:bookmarkStart w:id="12" w:name="_Toc26109"/>
      <w:r>
        <w:rPr>
          <w:rFonts w:hint="eastAsia" w:ascii="黑体" w:hAnsi="黑体" w:eastAsia="黑体"/>
          <w:b/>
          <w:color w:val="auto"/>
          <w:kern w:val="44"/>
          <w:sz w:val="30"/>
          <w:highlight w:val="none"/>
        </w:rPr>
        <w:t>第一章  投标须知</w:t>
      </w:r>
      <w:bookmarkEnd w:id="8"/>
      <w:bookmarkEnd w:id="9"/>
      <w:bookmarkEnd w:id="10"/>
      <w:bookmarkEnd w:id="11"/>
      <w:bookmarkEnd w:id="12"/>
    </w:p>
    <w:p w14:paraId="46CC462A">
      <w:pPr>
        <w:spacing w:before="360" w:afterLines="50" w:line="320" w:lineRule="exact"/>
        <w:ind w:left="839"/>
        <w:jc w:val="left"/>
        <w:outlineLvl w:val="1"/>
        <w:rPr>
          <w:rFonts w:ascii="Arial" w:hAnsi="Arial" w:eastAsia="黑体" w:cs="Arial"/>
          <w:b/>
          <w:color w:val="auto"/>
          <w:szCs w:val="24"/>
          <w:highlight w:val="none"/>
        </w:rPr>
      </w:pPr>
      <w:bookmarkStart w:id="13" w:name="_Toc500208464"/>
      <w:bookmarkStart w:id="14" w:name="_Toc32149"/>
      <w:bookmarkStart w:id="15" w:name="_Toc4837"/>
      <w:bookmarkStart w:id="16" w:name="_Toc500209413"/>
      <w:r>
        <w:rPr>
          <w:rFonts w:hint="eastAsia" w:ascii="Arial" w:hAnsi="Arial" w:eastAsia="黑体" w:cs="Arial"/>
          <w:b/>
          <w:color w:val="auto"/>
          <w:szCs w:val="24"/>
          <w:highlight w:val="none"/>
        </w:rPr>
        <w:t xml:space="preserve">                 第一节  总  则</w:t>
      </w:r>
      <w:bookmarkEnd w:id="13"/>
      <w:bookmarkEnd w:id="14"/>
      <w:bookmarkEnd w:id="15"/>
      <w:bookmarkEnd w:id="16"/>
    </w:p>
    <w:p w14:paraId="4815D270">
      <w:pPr>
        <w:keepNext/>
        <w:keepLines/>
        <w:numPr>
          <w:ilvl w:val="0"/>
          <w:numId w:val="3"/>
        </w:numPr>
        <w:spacing w:before="360" w:line="288" w:lineRule="auto"/>
        <w:jc w:val="left"/>
        <w:outlineLvl w:val="2"/>
        <w:rPr>
          <w:rFonts w:ascii="黑体" w:hAnsi="宋体" w:eastAsia="黑体"/>
          <w:b/>
          <w:color w:val="auto"/>
          <w:sz w:val="21"/>
          <w:highlight w:val="none"/>
        </w:rPr>
      </w:pPr>
      <w:bookmarkStart w:id="17" w:name="_Toc169487776"/>
      <w:bookmarkStart w:id="18" w:name="_Toc155342528"/>
      <w:bookmarkStart w:id="19" w:name="_Toc500208465"/>
      <w:r>
        <w:rPr>
          <w:rFonts w:hint="eastAsia" w:ascii="黑体" w:hAnsi="宋体" w:eastAsia="黑体"/>
          <w:b/>
          <w:color w:val="auto"/>
          <w:sz w:val="21"/>
          <w:highlight w:val="none"/>
        </w:rPr>
        <w:t>工程说明</w:t>
      </w:r>
      <w:bookmarkEnd w:id="17"/>
      <w:bookmarkEnd w:id="18"/>
    </w:p>
    <w:p w14:paraId="6A5E6B0D">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7AC256D6">
      <w:pPr>
        <w:keepNext/>
        <w:keepLines/>
        <w:numPr>
          <w:ilvl w:val="0"/>
          <w:numId w:val="3"/>
        </w:numPr>
        <w:spacing w:before="360" w:line="288" w:lineRule="auto"/>
        <w:jc w:val="left"/>
        <w:outlineLvl w:val="2"/>
        <w:rPr>
          <w:rFonts w:ascii="黑体" w:hAnsi="宋体" w:eastAsia="黑体"/>
          <w:b/>
          <w:color w:val="auto"/>
          <w:sz w:val="21"/>
          <w:highlight w:val="none"/>
        </w:rPr>
      </w:pPr>
      <w:bookmarkStart w:id="20" w:name="_Toc169487777"/>
      <w:bookmarkStart w:id="21" w:name="_Toc155342529"/>
      <w:r>
        <w:rPr>
          <w:rFonts w:hint="eastAsia" w:ascii="黑体" w:hAnsi="宋体" w:eastAsia="黑体"/>
          <w:b/>
          <w:color w:val="auto"/>
          <w:sz w:val="21"/>
          <w:highlight w:val="none"/>
        </w:rPr>
        <w:t>招标范围</w:t>
      </w:r>
      <w:bookmarkEnd w:id="19"/>
      <w:bookmarkEnd w:id="20"/>
      <w:bookmarkEnd w:id="21"/>
    </w:p>
    <w:p w14:paraId="30D3B9CE">
      <w:pPr>
        <w:pStyle w:val="10"/>
        <w:numPr>
          <w:ilvl w:val="1"/>
          <w:numId w:val="3"/>
        </w:numPr>
        <w:ind w:firstLine="420" w:firstLineChars="200"/>
        <w:rPr>
          <w:color w:val="auto"/>
          <w:highlight w:val="none"/>
        </w:rPr>
      </w:pPr>
      <w:bookmarkStart w:id="22" w:name="_Toc500208466"/>
      <w:r>
        <w:rPr>
          <w:rFonts w:hint="eastAsia"/>
          <w:color w:val="auto"/>
          <w:highlight w:val="none"/>
        </w:rPr>
        <w:t>本招标工程项目的招标方式详见本须知前附表第8项。</w:t>
      </w:r>
    </w:p>
    <w:p w14:paraId="2FE02CD9">
      <w:pPr>
        <w:pStyle w:val="10"/>
        <w:numPr>
          <w:ilvl w:val="1"/>
          <w:numId w:val="3"/>
        </w:numPr>
        <w:ind w:firstLine="420" w:firstLineChars="200"/>
        <w:rPr>
          <w:color w:val="auto"/>
          <w:highlight w:val="none"/>
        </w:rPr>
      </w:pPr>
      <w:r>
        <w:rPr>
          <w:rFonts w:hint="eastAsia"/>
          <w:color w:val="auto"/>
          <w:highlight w:val="none"/>
        </w:rPr>
        <w:t>本招标工程项目的招标范围详见本须知前附表第9项。</w:t>
      </w:r>
    </w:p>
    <w:p w14:paraId="45D3B814">
      <w:pPr>
        <w:keepNext/>
        <w:keepLines/>
        <w:numPr>
          <w:ilvl w:val="0"/>
          <w:numId w:val="3"/>
        </w:numPr>
        <w:spacing w:before="360" w:line="288" w:lineRule="auto"/>
        <w:jc w:val="left"/>
        <w:outlineLvl w:val="2"/>
        <w:rPr>
          <w:rFonts w:ascii="黑体" w:hAnsi="宋体" w:eastAsia="黑体"/>
          <w:b/>
          <w:color w:val="auto"/>
          <w:sz w:val="21"/>
          <w:highlight w:val="none"/>
        </w:rPr>
      </w:pPr>
      <w:bookmarkStart w:id="23" w:name="_Toc155342530"/>
      <w:bookmarkStart w:id="24" w:name="_Toc169487778"/>
      <w:r>
        <w:rPr>
          <w:rFonts w:hint="eastAsia" w:ascii="黑体" w:hAnsi="宋体" w:eastAsia="黑体"/>
          <w:b/>
          <w:color w:val="auto"/>
          <w:sz w:val="21"/>
          <w:highlight w:val="none"/>
        </w:rPr>
        <w:t>资金来源</w:t>
      </w:r>
      <w:bookmarkEnd w:id="22"/>
      <w:bookmarkEnd w:id="23"/>
      <w:bookmarkEnd w:id="24"/>
    </w:p>
    <w:p w14:paraId="361F13B3">
      <w:pPr>
        <w:pStyle w:val="10"/>
        <w:numPr>
          <w:ilvl w:val="1"/>
          <w:numId w:val="3"/>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20B5EA7B">
      <w:pPr>
        <w:keepNext/>
        <w:keepLines/>
        <w:numPr>
          <w:ilvl w:val="0"/>
          <w:numId w:val="3"/>
        </w:numPr>
        <w:spacing w:before="360" w:line="288" w:lineRule="auto"/>
        <w:jc w:val="left"/>
        <w:outlineLvl w:val="2"/>
        <w:rPr>
          <w:rFonts w:ascii="黑体" w:hAnsi="宋体" w:eastAsia="黑体"/>
          <w:b/>
          <w:color w:val="auto"/>
          <w:sz w:val="21"/>
          <w:szCs w:val="22"/>
          <w:highlight w:val="none"/>
        </w:rPr>
      </w:pPr>
      <w:bookmarkStart w:id="25" w:name="_Toc155342532"/>
      <w:bookmarkStart w:id="26" w:name="_Toc169487780"/>
      <w:r>
        <w:rPr>
          <w:rFonts w:hint="eastAsia" w:ascii="黑体" w:hAnsi="宋体" w:eastAsia="黑体"/>
          <w:b/>
          <w:color w:val="auto"/>
          <w:sz w:val="21"/>
          <w:szCs w:val="22"/>
          <w:highlight w:val="none"/>
        </w:rPr>
        <w:t>投标人资格</w:t>
      </w:r>
    </w:p>
    <w:p w14:paraId="3BE1B84A">
      <w:pPr>
        <w:pStyle w:val="10"/>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5B2A8CD1">
      <w:pPr>
        <w:pStyle w:val="10"/>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1CD8D4F7">
      <w:pPr>
        <w:pStyle w:val="10"/>
        <w:ind w:firstLine="420" w:firstLineChars="200"/>
        <w:rPr>
          <w:rFonts w:hint="eastAsia"/>
          <w:color w:val="auto"/>
          <w:szCs w:val="22"/>
          <w:highlight w:val="none"/>
        </w:rPr>
      </w:pPr>
      <w:r>
        <w:rPr>
          <w:rFonts w:hint="eastAsia"/>
          <w:color w:val="auto"/>
          <w:szCs w:val="22"/>
          <w:highlight w:val="none"/>
        </w:rPr>
        <w:t>4.3对项目负责人“有在建合同工程”的认定标准：</w:t>
      </w:r>
    </w:p>
    <w:p w14:paraId="282D2880">
      <w:pPr>
        <w:pStyle w:val="10"/>
        <w:ind w:firstLine="630" w:firstLineChars="300"/>
        <w:rPr>
          <w:rFonts w:hint="eastAsia"/>
          <w:color w:val="auto"/>
          <w:szCs w:val="22"/>
          <w:highlight w:val="none"/>
        </w:rPr>
      </w:pPr>
      <w:r>
        <w:rPr>
          <w:rFonts w:hint="eastAsia"/>
          <w:color w:val="auto"/>
          <w:szCs w:val="22"/>
          <w:highlight w:val="none"/>
        </w:rPr>
        <w:t>（1）拟派项目负责人以注册建造师身份承接工程建设项目的。</w:t>
      </w:r>
    </w:p>
    <w:p w14:paraId="7E28A8C8">
      <w:pPr>
        <w:pStyle w:val="10"/>
        <w:ind w:firstLine="630" w:firstLineChars="300"/>
        <w:rPr>
          <w:rFonts w:hint="eastAsia"/>
          <w:color w:val="auto"/>
          <w:szCs w:val="22"/>
          <w:highlight w:val="none"/>
        </w:rPr>
      </w:pPr>
      <w:r>
        <w:rPr>
          <w:rFonts w:hint="eastAsia"/>
          <w:color w:val="auto"/>
          <w:szCs w:val="22"/>
          <w:highlight w:val="none"/>
        </w:rPr>
        <w:t>（2）拟派项目负责人在投标截止时间尚有在中华人民共和国境内其他在建合同工程建设项目中担任项目负责人的情形为“有在建合同工程”。</w:t>
      </w:r>
    </w:p>
    <w:p w14:paraId="60ECD88A">
      <w:pPr>
        <w:pStyle w:val="10"/>
        <w:ind w:firstLine="630" w:firstLineChars="300"/>
        <w:rPr>
          <w:rFonts w:hint="eastAsia"/>
          <w:color w:val="auto"/>
          <w:szCs w:val="22"/>
          <w:highlight w:val="none"/>
        </w:rPr>
      </w:pPr>
      <w:r>
        <w:rPr>
          <w:rFonts w:hint="eastAsia"/>
          <w:color w:val="auto"/>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604A6317">
      <w:pPr>
        <w:pStyle w:val="10"/>
        <w:ind w:firstLine="630" w:firstLineChars="300"/>
        <w:rPr>
          <w:rFonts w:hint="eastAsia"/>
          <w:color w:val="auto"/>
          <w:szCs w:val="22"/>
          <w:highlight w:val="none"/>
        </w:rPr>
      </w:pPr>
      <w:r>
        <w:rPr>
          <w:rFonts w:hint="eastAsia"/>
          <w:color w:val="auto"/>
          <w:szCs w:val="22"/>
          <w:highlight w:val="none"/>
        </w:rPr>
        <w:t>以下情形视为“有在建合同工程”：</w:t>
      </w:r>
    </w:p>
    <w:p w14:paraId="07638D0F">
      <w:pPr>
        <w:pStyle w:val="10"/>
        <w:ind w:firstLine="630" w:firstLineChars="300"/>
        <w:rPr>
          <w:rFonts w:hint="eastAsia"/>
          <w:color w:val="auto"/>
          <w:szCs w:val="22"/>
          <w:highlight w:val="none"/>
        </w:rPr>
      </w:pPr>
      <w:r>
        <w:rPr>
          <w:rFonts w:hint="eastAsia"/>
          <w:color w:val="auto"/>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71B4268B">
      <w:pPr>
        <w:pStyle w:val="10"/>
        <w:ind w:firstLine="630" w:firstLineChars="300"/>
        <w:rPr>
          <w:rFonts w:hint="eastAsia"/>
          <w:color w:val="auto"/>
          <w:szCs w:val="22"/>
          <w:highlight w:val="none"/>
        </w:rPr>
      </w:pPr>
      <w:r>
        <w:rPr>
          <w:rFonts w:hint="eastAsia"/>
          <w:color w:val="auto"/>
          <w:szCs w:val="22"/>
          <w:highlight w:val="none"/>
        </w:rPr>
        <w:t>发生下列情形之一的除外：</w:t>
      </w:r>
    </w:p>
    <w:p w14:paraId="37CB895B">
      <w:pPr>
        <w:pStyle w:val="10"/>
        <w:ind w:firstLine="630" w:firstLineChars="300"/>
        <w:rPr>
          <w:rFonts w:hint="eastAsia"/>
          <w:color w:val="auto"/>
          <w:szCs w:val="22"/>
          <w:highlight w:val="none"/>
        </w:rPr>
      </w:pPr>
      <w:r>
        <w:rPr>
          <w:rFonts w:hint="eastAsia"/>
          <w:color w:val="auto"/>
          <w:szCs w:val="22"/>
          <w:highlight w:val="none"/>
        </w:rPr>
        <w:t>a.原承接的项目与本工程属于同一工程相邻分段发包或分期施工的；</w:t>
      </w:r>
    </w:p>
    <w:p w14:paraId="07F7392C">
      <w:pPr>
        <w:pStyle w:val="10"/>
        <w:ind w:firstLine="630" w:firstLineChars="300"/>
        <w:rPr>
          <w:rFonts w:hint="eastAsia"/>
          <w:color w:val="auto"/>
          <w:szCs w:val="22"/>
          <w:highlight w:val="none"/>
        </w:rPr>
      </w:pPr>
      <w:r>
        <w:rPr>
          <w:rFonts w:hint="eastAsia"/>
          <w:color w:val="auto"/>
          <w:szCs w:val="22"/>
          <w:highlight w:val="none"/>
        </w:rPr>
        <w:t>b.因非承包方原因致使工程项目停工超过120天（含），经原建设单位同意的；</w:t>
      </w:r>
    </w:p>
    <w:p w14:paraId="7823C10F">
      <w:pPr>
        <w:pStyle w:val="10"/>
        <w:ind w:firstLine="630" w:firstLineChars="300"/>
        <w:rPr>
          <w:rFonts w:hint="eastAsia"/>
          <w:color w:val="auto"/>
          <w:szCs w:val="22"/>
          <w:highlight w:val="none"/>
        </w:rPr>
      </w:pPr>
      <w:r>
        <w:rPr>
          <w:rFonts w:hint="eastAsia"/>
          <w:color w:val="auto"/>
          <w:szCs w:val="22"/>
          <w:highlight w:val="none"/>
        </w:rPr>
        <w:t>c.合同约定的工程已完工，承包方向建设单位提交竣工报告时间已超过120天（含），经原建设单位同意的。</w:t>
      </w:r>
    </w:p>
    <w:p w14:paraId="6B62C15B">
      <w:pPr>
        <w:pStyle w:val="10"/>
        <w:ind w:firstLine="630" w:firstLineChars="300"/>
        <w:rPr>
          <w:rFonts w:hint="eastAsia"/>
          <w:color w:val="auto"/>
          <w:szCs w:val="22"/>
          <w:highlight w:val="none"/>
        </w:rPr>
      </w:pPr>
      <w:r>
        <w:rPr>
          <w:rFonts w:hint="eastAsia"/>
          <w:color w:val="auto"/>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3F8545B2">
      <w:pPr>
        <w:pStyle w:val="10"/>
        <w:ind w:firstLine="630" w:firstLineChars="300"/>
        <w:rPr>
          <w:rFonts w:hint="eastAsia"/>
          <w:color w:val="auto"/>
          <w:szCs w:val="22"/>
          <w:highlight w:val="none"/>
        </w:rPr>
      </w:pPr>
      <w:r>
        <w:rPr>
          <w:rFonts w:hint="eastAsia"/>
          <w:color w:val="auto"/>
          <w:szCs w:val="22"/>
          <w:highlight w:val="none"/>
        </w:rPr>
        <w:t>若是年度招标项目则以具体项目的承接作为是否已承接该项目的判断依据。</w:t>
      </w:r>
    </w:p>
    <w:p w14:paraId="32552565">
      <w:pPr>
        <w:pStyle w:val="10"/>
        <w:ind w:firstLine="630" w:firstLineChars="300"/>
        <w:rPr>
          <w:b/>
          <w:bCs/>
          <w:color w:val="auto"/>
          <w:szCs w:val="22"/>
          <w:highlight w:val="none"/>
        </w:rPr>
      </w:pPr>
      <w:r>
        <w:rPr>
          <w:rFonts w:hint="eastAsia"/>
          <w:color w:val="auto"/>
          <w:szCs w:val="22"/>
          <w:highlight w:val="none"/>
        </w:rPr>
        <w:t>（</w:t>
      </w:r>
      <w:r>
        <w:rPr>
          <w:rFonts w:hint="eastAsia"/>
          <w:color w:val="auto"/>
          <w:szCs w:val="22"/>
          <w:highlight w:val="none"/>
          <w:lang w:val="en-US" w:eastAsia="zh-CN"/>
        </w:rPr>
        <w:t>4</w:t>
      </w:r>
      <w:r>
        <w:rPr>
          <w:rFonts w:hint="eastAsia"/>
          <w:color w:val="auto"/>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p>
    <w:p w14:paraId="57E8C1F3">
      <w:pPr>
        <w:pStyle w:val="10"/>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w:t>
      </w:r>
    </w:p>
    <w:p w14:paraId="54C6158B">
      <w:pPr>
        <w:pStyle w:val="10"/>
        <w:ind w:firstLine="420" w:firstLineChars="200"/>
        <w:rPr>
          <w:color w:val="auto"/>
          <w:szCs w:val="22"/>
          <w:highlight w:val="none"/>
        </w:rPr>
      </w:pPr>
      <w:r>
        <w:rPr>
          <w:rFonts w:hint="eastAsia"/>
          <w:color w:val="auto"/>
          <w:szCs w:val="22"/>
          <w:highlight w:val="none"/>
        </w:rPr>
        <w:t>4.4投标人有以下情形之一的，不得参加本项目投标：</w:t>
      </w:r>
    </w:p>
    <w:p w14:paraId="7EF466D4">
      <w:pPr>
        <w:pStyle w:val="10"/>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19D0E164">
      <w:pPr>
        <w:pStyle w:val="10"/>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6F81D32A">
      <w:pPr>
        <w:pStyle w:val="10"/>
        <w:ind w:firstLine="315" w:firstLineChars="150"/>
        <w:rPr>
          <w:color w:val="auto"/>
          <w:szCs w:val="22"/>
          <w:highlight w:val="none"/>
        </w:rPr>
      </w:pPr>
      <w:r>
        <w:rPr>
          <w:rFonts w:hint="eastAsia"/>
          <w:color w:val="auto"/>
          <w:szCs w:val="22"/>
          <w:highlight w:val="none"/>
        </w:rPr>
        <w:t>（3）为本工程的监理人；</w:t>
      </w:r>
    </w:p>
    <w:p w14:paraId="34BF6299">
      <w:pPr>
        <w:pStyle w:val="10"/>
        <w:ind w:firstLine="315" w:firstLineChars="150"/>
        <w:rPr>
          <w:color w:val="auto"/>
          <w:szCs w:val="22"/>
          <w:highlight w:val="none"/>
        </w:rPr>
      </w:pPr>
      <w:r>
        <w:rPr>
          <w:rFonts w:hint="eastAsia"/>
          <w:color w:val="auto"/>
          <w:szCs w:val="22"/>
          <w:highlight w:val="none"/>
        </w:rPr>
        <w:t xml:space="preserve">（4）为本工程的代建人； </w:t>
      </w:r>
    </w:p>
    <w:p w14:paraId="73CD52F2">
      <w:pPr>
        <w:pStyle w:val="10"/>
        <w:ind w:firstLine="315" w:firstLineChars="150"/>
        <w:rPr>
          <w:color w:val="auto"/>
          <w:szCs w:val="22"/>
          <w:highlight w:val="none"/>
        </w:rPr>
      </w:pPr>
      <w:r>
        <w:rPr>
          <w:rFonts w:hint="eastAsia"/>
          <w:color w:val="auto"/>
          <w:szCs w:val="22"/>
          <w:highlight w:val="none"/>
        </w:rPr>
        <w:t xml:space="preserve">（5）为本工程提供招标代理服务的； </w:t>
      </w:r>
    </w:p>
    <w:p w14:paraId="4CD0B33F">
      <w:pPr>
        <w:pStyle w:val="10"/>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44FBB97B">
      <w:pPr>
        <w:pStyle w:val="10"/>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37A683B2">
      <w:pPr>
        <w:pStyle w:val="10"/>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64697F49">
      <w:pPr>
        <w:pStyle w:val="10"/>
        <w:ind w:firstLine="315" w:firstLineChars="150"/>
        <w:rPr>
          <w:color w:val="auto"/>
          <w:szCs w:val="22"/>
          <w:highlight w:val="none"/>
        </w:rPr>
      </w:pPr>
      <w:r>
        <w:rPr>
          <w:rFonts w:hint="eastAsia"/>
          <w:color w:val="auto"/>
          <w:szCs w:val="22"/>
          <w:highlight w:val="none"/>
        </w:rPr>
        <w:t xml:space="preserve">（9）被责令停业的； </w:t>
      </w:r>
    </w:p>
    <w:p w14:paraId="7BAD81DF">
      <w:pPr>
        <w:pStyle w:val="10"/>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41F5BAAB">
      <w:pPr>
        <w:pStyle w:val="10"/>
        <w:ind w:firstLine="315" w:firstLineChars="150"/>
        <w:rPr>
          <w:color w:val="auto"/>
          <w:szCs w:val="22"/>
          <w:highlight w:val="none"/>
        </w:rPr>
      </w:pPr>
      <w:r>
        <w:rPr>
          <w:rFonts w:hint="eastAsia"/>
          <w:color w:val="auto"/>
          <w:szCs w:val="22"/>
          <w:highlight w:val="none"/>
        </w:rPr>
        <w:t>（11）安全生产许可证超出有效期或处于暂扣时限内的；</w:t>
      </w:r>
    </w:p>
    <w:p w14:paraId="08A9DEE2">
      <w:pPr>
        <w:pStyle w:val="10"/>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2948FFC">
      <w:pPr>
        <w:pStyle w:val="10"/>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3661D951">
      <w:pPr>
        <w:pStyle w:val="10"/>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1BFE9C27">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5"/>
      <w:bookmarkEnd w:id="26"/>
    </w:p>
    <w:p w14:paraId="36906A97">
      <w:pPr>
        <w:pStyle w:val="10"/>
        <w:numPr>
          <w:ilvl w:val="1"/>
          <w:numId w:val="3"/>
        </w:numPr>
        <w:ind w:firstLine="420" w:firstLineChars="200"/>
        <w:rPr>
          <w:color w:val="auto"/>
          <w:highlight w:val="none"/>
        </w:rPr>
      </w:pPr>
      <w:r>
        <w:rPr>
          <w:rFonts w:hint="eastAsia"/>
          <w:color w:val="auto"/>
          <w:highlight w:val="none"/>
        </w:rPr>
        <w:t>投标人应自行承担其参加投标活动自身发生的费用。</w:t>
      </w:r>
    </w:p>
    <w:p w14:paraId="17C43881">
      <w:pPr>
        <w:keepNext/>
        <w:keepLines/>
        <w:numPr>
          <w:ilvl w:val="0"/>
          <w:numId w:val="3"/>
        </w:numPr>
        <w:spacing w:before="360" w:line="288" w:lineRule="auto"/>
        <w:jc w:val="left"/>
        <w:outlineLvl w:val="2"/>
        <w:rPr>
          <w:rFonts w:ascii="黑体" w:hAnsi="宋体" w:eastAsia="黑体"/>
          <w:b/>
          <w:color w:val="auto"/>
          <w:sz w:val="21"/>
          <w:highlight w:val="none"/>
        </w:rPr>
      </w:pPr>
      <w:bookmarkStart w:id="27" w:name="_Toc169487781"/>
      <w:bookmarkStart w:id="28" w:name="_Toc155342533"/>
      <w:r>
        <w:rPr>
          <w:rFonts w:hint="eastAsia" w:ascii="黑体" w:hAnsi="宋体" w:eastAsia="黑体"/>
          <w:b/>
          <w:color w:val="auto"/>
          <w:sz w:val="21"/>
          <w:highlight w:val="none"/>
        </w:rPr>
        <w:t>现场条件</w:t>
      </w:r>
      <w:bookmarkEnd w:id="27"/>
      <w:bookmarkEnd w:id="28"/>
    </w:p>
    <w:p w14:paraId="76B617EE">
      <w:pPr>
        <w:pStyle w:val="10"/>
        <w:numPr>
          <w:ilvl w:val="1"/>
          <w:numId w:val="3"/>
        </w:numPr>
        <w:ind w:firstLine="420" w:firstLineChars="200"/>
        <w:rPr>
          <w:color w:val="auto"/>
          <w:highlight w:val="none"/>
        </w:rPr>
      </w:pPr>
      <w:r>
        <w:rPr>
          <w:rFonts w:hint="eastAsia"/>
          <w:color w:val="auto"/>
          <w:highlight w:val="none"/>
        </w:rPr>
        <w:t>施工现场“三通一平”已经完成。</w:t>
      </w:r>
    </w:p>
    <w:p w14:paraId="7814239F">
      <w:pPr>
        <w:keepNext/>
        <w:keepLines/>
        <w:numPr>
          <w:ilvl w:val="0"/>
          <w:numId w:val="3"/>
        </w:numPr>
        <w:spacing w:before="360" w:line="288" w:lineRule="auto"/>
        <w:jc w:val="left"/>
        <w:outlineLvl w:val="2"/>
        <w:rPr>
          <w:rFonts w:ascii="黑体" w:hAnsi="宋体" w:eastAsia="黑体"/>
          <w:b/>
          <w:color w:val="auto"/>
          <w:sz w:val="21"/>
          <w:highlight w:val="none"/>
        </w:rPr>
      </w:pPr>
      <w:bookmarkStart w:id="29" w:name="_Toc155342534"/>
      <w:bookmarkStart w:id="30" w:name="_Toc169487782"/>
      <w:r>
        <w:rPr>
          <w:rFonts w:hint="eastAsia" w:ascii="黑体" w:hAnsi="宋体" w:eastAsia="黑体"/>
          <w:b/>
          <w:color w:val="auto"/>
          <w:sz w:val="21"/>
          <w:highlight w:val="none"/>
        </w:rPr>
        <w:t>踏勘现场</w:t>
      </w:r>
      <w:bookmarkEnd w:id="29"/>
      <w:bookmarkEnd w:id="30"/>
    </w:p>
    <w:p w14:paraId="3CF23C52">
      <w:pPr>
        <w:pStyle w:val="10"/>
        <w:numPr>
          <w:ilvl w:val="1"/>
          <w:numId w:val="3"/>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6AE5A6D8">
      <w:pPr>
        <w:pStyle w:val="10"/>
        <w:numPr>
          <w:ilvl w:val="1"/>
          <w:numId w:val="3"/>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5A5DA37E">
      <w:pPr>
        <w:pStyle w:val="10"/>
        <w:numPr>
          <w:ilvl w:val="1"/>
          <w:numId w:val="3"/>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1CC5E913">
      <w:pPr>
        <w:spacing w:before="360" w:afterLines="50" w:line="320" w:lineRule="exact"/>
        <w:ind w:left="2159" w:hanging="1320"/>
        <w:jc w:val="center"/>
        <w:outlineLvl w:val="1"/>
        <w:rPr>
          <w:rFonts w:ascii="Arial" w:hAnsi="Arial" w:eastAsia="黑体" w:cs="Arial"/>
          <w:b/>
          <w:color w:val="auto"/>
          <w:szCs w:val="24"/>
          <w:highlight w:val="none"/>
        </w:rPr>
      </w:pPr>
      <w:bookmarkStart w:id="31" w:name="_Toc500208467"/>
      <w:bookmarkStart w:id="32" w:name="_Toc24275"/>
      <w:bookmarkStart w:id="33" w:name="_Toc500209414"/>
      <w:bookmarkStart w:id="34" w:name="_Toc20890"/>
      <w:r>
        <w:rPr>
          <w:rFonts w:hint="eastAsia" w:ascii="Arial" w:hAnsi="Arial" w:eastAsia="黑体" w:cs="Arial"/>
          <w:b/>
          <w:color w:val="auto"/>
          <w:szCs w:val="24"/>
          <w:highlight w:val="none"/>
        </w:rPr>
        <w:t>第二节  招标文件</w:t>
      </w:r>
      <w:bookmarkEnd w:id="31"/>
      <w:bookmarkEnd w:id="32"/>
      <w:bookmarkEnd w:id="33"/>
      <w:bookmarkEnd w:id="34"/>
    </w:p>
    <w:p w14:paraId="15806D7E">
      <w:pPr>
        <w:keepNext/>
        <w:keepLines/>
        <w:numPr>
          <w:ilvl w:val="0"/>
          <w:numId w:val="3"/>
        </w:numPr>
        <w:spacing w:before="360" w:line="288" w:lineRule="auto"/>
        <w:jc w:val="left"/>
        <w:outlineLvl w:val="2"/>
        <w:rPr>
          <w:rFonts w:ascii="黑体" w:hAnsi="宋体" w:eastAsia="黑体"/>
          <w:b/>
          <w:color w:val="auto"/>
          <w:sz w:val="21"/>
          <w:highlight w:val="none"/>
        </w:rPr>
      </w:pPr>
      <w:bookmarkStart w:id="35" w:name="_Toc155342536"/>
      <w:bookmarkStart w:id="36" w:name="_Toc500208468"/>
      <w:bookmarkStart w:id="37" w:name="_Toc169487784"/>
      <w:r>
        <w:rPr>
          <w:rFonts w:hint="eastAsia" w:ascii="黑体" w:hAnsi="宋体" w:eastAsia="黑体"/>
          <w:b/>
          <w:color w:val="auto"/>
          <w:sz w:val="21"/>
          <w:highlight w:val="none"/>
        </w:rPr>
        <w:t>招标文件的组成</w:t>
      </w:r>
      <w:bookmarkEnd w:id="35"/>
      <w:bookmarkEnd w:id="36"/>
      <w:bookmarkEnd w:id="37"/>
    </w:p>
    <w:p w14:paraId="1878FFC1">
      <w:pPr>
        <w:pStyle w:val="10"/>
        <w:numPr>
          <w:ilvl w:val="1"/>
          <w:numId w:val="3"/>
        </w:numPr>
        <w:ind w:firstLine="420" w:firstLineChars="200"/>
        <w:rPr>
          <w:color w:val="auto"/>
          <w:highlight w:val="none"/>
        </w:rPr>
      </w:pPr>
      <w:r>
        <w:rPr>
          <w:rFonts w:hint="eastAsia"/>
          <w:color w:val="auto"/>
          <w:highlight w:val="none"/>
        </w:rPr>
        <w:t>招标文件包括下列内容：</w:t>
      </w:r>
    </w:p>
    <w:p w14:paraId="6489E592">
      <w:pPr>
        <w:pStyle w:val="10"/>
        <w:ind w:firstLine="420" w:firstLineChars="200"/>
        <w:rPr>
          <w:color w:val="auto"/>
          <w:highlight w:val="none"/>
        </w:rPr>
      </w:pPr>
      <w:r>
        <w:rPr>
          <w:rFonts w:hint="eastAsia"/>
          <w:color w:val="auto"/>
          <w:highlight w:val="none"/>
        </w:rPr>
        <w:t>第一章 投标须知及投标须知前附表；</w:t>
      </w:r>
    </w:p>
    <w:p w14:paraId="237DAC32">
      <w:pPr>
        <w:pStyle w:val="10"/>
        <w:ind w:firstLine="420" w:firstLineChars="200"/>
        <w:rPr>
          <w:color w:val="auto"/>
          <w:highlight w:val="none"/>
        </w:rPr>
      </w:pPr>
      <w:r>
        <w:rPr>
          <w:rFonts w:hint="eastAsia"/>
          <w:color w:val="auto"/>
          <w:highlight w:val="none"/>
        </w:rPr>
        <w:t>第二章 合同条款；</w:t>
      </w:r>
    </w:p>
    <w:p w14:paraId="1551E9E8">
      <w:pPr>
        <w:pStyle w:val="10"/>
        <w:ind w:firstLine="420" w:firstLineChars="200"/>
        <w:rPr>
          <w:color w:val="auto"/>
          <w:highlight w:val="none"/>
        </w:rPr>
      </w:pPr>
      <w:r>
        <w:rPr>
          <w:rFonts w:hint="eastAsia"/>
          <w:color w:val="auto"/>
          <w:highlight w:val="none"/>
        </w:rPr>
        <w:t>第三章 评标办法；</w:t>
      </w:r>
    </w:p>
    <w:p w14:paraId="7403F4A7">
      <w:pPr>
        <w:pStyle w:val="10"/>
        <w:ind w:firstLine="422" w:firstLineChars="200"/>
        <w:rPr>
          <w:b/>
          <w:color w:val="auto"/>
          <w:highlight w:val="none"/>
        </w:rPr>
      </w:pPr>
      <w:r>
        <w:rPr>
          <w:rFonts w:hint="eastAsia"/>
          <w:b/>
          <w:color w:val="auto"/>
          <w:highlight w:val="none"/>
        </w:rPr>
        <w:t>第四章 投标文件格式；</w:t>
      </w:r>
    </w:p>
    <w:p w14:paraId="40A81D49">
      <w:pPr>
        <w:pStyle w:val="10"/>
        <w:ind w:firstLine="422" w:firstLineChars="200"/>
        <w:rPr>
          <w:b/>
          <w:color w:val="auto"/>
          <w:highlight w:val="none"/>
        </w:rPr>
      </w:pPr>
      <w:r>
        <w:rPr>
          <w:rFonts w:hint="eastAsia"/>
          <w:b/>
          <w:color w:val="auto"/>
          <w:highlight w:val="none"/>
        </w:rPr>
        <w:t>其他附件材料：</w:t>
      </w:r>
    </w:p>
    <w:p w14:paraId="1892CE48">
      <w:pPr>
        <w:pStyle w:val="10"/>
        <w:ind w:firstLine="422" w:firstLineChars="200"/>
        <w:rPr>
          <w:b/>
          <w:color w:val="auto"/>
          <w:highlight w:val="none"/>
        </w:rPr>
      </w:pPr>
      <w:r>
        <w:rPr>
          <w:rFonts w:hint="eastAsia"/>
          <w:b/>
          <w:color w:val="auto"/>
          <w:highlight w:val="none"/>
        </w:rPr>
        <w:t>（1）施工图预算书（以下简称招标人预算书）；</w:t>
      </w:r>
    </w:p>
    <w:p w14:paraId="61DC7538">
      <w:pPr>
        <w:pStyle w:val="10"/>
        <w:ind w:firstLine="422" w:firstLineChars="200"/>
        <w:rPr>
          <w:b/>
          <w:color w:val="auto"/>
          <w:highlight w:val="none"/>
        </w:rPr>
      </w:pPr>
      <w:r>
        <w:rPr>
          <w:rFonts w:hint="eastAsia"/>
          <w:b/>
          <w:color w:val="auto"/>
          <w:highlight w:val="none"/>
        </w:rPr>
        <w:t>（2）施工图纸。</w:t>
      </w:r>
    </w:p>
    <w:p w14:paraId="24345718">
      <w:pPr>
        <w:pStyle w:val="10"/>
        <w:numPr>
          <w:ilvl w:val="1"/>
          <w:numId w:val="3"/>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7064E06B">
      <w:pPr>
        <w:pStyle w:val="10"/>
        <w:numPr>
          <w:ilvl w:val="1"/>
          <w:numId w:val="3"/>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42081AE9">
      <w:pPr>
        <w:keepNext/>
        <w:keepLines/>
        <w:numPr>
          <w:ilvl w:val="0"/>
          <w:numId w:val="3"/>
        </w:numPr>
        <w:spacing w:before="360" w:line="288" w:lineRule="auto"/>
        <w:jc w:val="left"/>
        <w:outlineLvl w:val="2"/>
        <w:rPr>
          <w:rFonts w:ascii="黑体" w:hAnsi="宋体" w:eastAsia="黑体"/>
          <w:b/>
          <w:color w:val="auto"/>
          <w:sz w:val="21"/>
          <w:highlight w:val="none"/>
        </w:rPr>
      </w:pPr>
      <w:bookmarkStart w:id="38" w:name="_Toc500208469"/>
      <w:bookmarkStart w:id="39" w:name="_Toc155342537"/>
      <w:bookmarkStart w:id="40" w:name="_Toc169487785"/>
      <w:r>
        <w:rPr>
          <w:rFonts w:hint="eastAsia" w:ascii="黑体" w:hAnsi="宋体" w:eastAsia="黑体"/>
          <w:b/>
          <w:color w:val="auto"/>
          <w:sz w:val="21"/>
          <w:highlight w:val="none"/>
        </w:rPr>
        <w:t>招标文件的</w:t>
      </w:r>
      <w:bookmarkEnd w:id="38"/>
      <w:r>
        <w:rPr>
          <w:rFonts w:hint="eastAsia" w:ascii="黑体" w:hAnsi="宋体" w:eastAsia="黑体"/>
          <w:b/>
          <w:color w:val="auto"/>
          <w:sz w:val="21"/>
          <w:highlight w:val="none"/>
        </w:rPr>
        <w:t>澄清</w:t>
      </w:r>
      <w:bookmarkEnd w:id="39"/>
      <w:bookmarkEnd w:id="40"/>
    </w:p>
    <w:p w14:paraId="7FACC4C3">
      <w:pPr>
        <w:pStyle w:val="10"/>
        <w:numPr>
          <w:ilvl w:val="1"/>
          <w:numId w:val="3"/>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742E108">
      <w:pPr>
        <w:keepNext/>
        <w:keepLines/>
        <w:numPr>
          <w:ilvl w:val="0"/>
          <w:numId w:val="3"/>
        </w:numPr>
        <w:spacing w:before="360" w:line="288" w:lineRule="auto"/>
        <w:jc w:val="left"/>
        <w:outlineLvl w:val="2"/>
        <w:rPr>
          <w:rFonts w:ascii="黑体" w:hAnsi="宋体" w:eastAsia="黑体"/>
          <w:b/>
          <w:color w:val="auto"/>
          <w:sz w:val="21"/>
          <w:highlight w:val="none"/>
        </w:rPr>
      </w:pPr>
      <w:bookmarkStart w:id="41" w:name="_Toc500208470"/>
      <w:bookmarkStart w:id="42" w:name="_Toc155342538"/>
      <w:bookmarkStart w:id="43" w:name="_Toc169487786"/>
      <w:r>
        <w:rPr>
          <w:rFonts w:hint="eastAsia" w:ascii="黑体" w:hAnsi="宋体" w:eastAsia="黑体"/>
          <w:b/>
          <w:color w:val="auto"/>
          <w:sz w:val="21"/>
          <w:highlight w:val="none"/>
        </w:rPr>
        <w:t>招标文件的修改</w:t>
      </w:r>
      <w:bookmarkEnd w:id="41"/>
      <w:bookmarkEnd w:id="42"/>
      <w:bookmarkEnd w:id="43"/>
    </w:p>
    <w:p w14:paraId="28DCE30A">
      <w:pPr>
        <w:pStyle w:val="10"/>
        <w:numPr>
          <w:ilvl w:val="1"/>
          <w:numId w:val="3"/>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0CE3E71E">
      <w:pPr>
        <w:pStyle w:val="10"/>
        <w:spacing w:line="360" w:lineRule="exact"/>
        <w:ind w:left="425"/>
        <w:rPr>
          <w:color w:val="auto"/>
          <w:highlight w:val="none"/>
        </w:rPr>
      </w:pPr>
      <w:r>
        <w:rPr>
          <w:rFonts w:hint="eastAsia"/>
          <w:color w:val="auto"/>
          <w:highlight w:val="none"/>
        </w:rPr>
        <w:t>10.2在在投标截止日期前，招标人可能以补充通知的方式修改招标文件。</w:t>
      </w:r>
    </w:p>
    <w:p w14:paraId="002A2C4D">
      <w:pPr>
        <w:pStyle w:val="10"/>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406198B3">
      <w:pPr>
        <w:pStyle w:val="10"/>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56BF5FC9">
      <w:pPr>
        <w:keepNext/>
        <w:keepLines/>
        <w:numPr>
          <w:ilvl w:val="0"/>
          <w:numId w:val="3"/>
        </w:numPr>
        <w:spacing w:before="360" w:line="288" w:lineRule="auto"/>
        <w:jc w:val="left"/>
        <w:outlineLvl w:val="2"/>
        <w:rPr>
          <w:rFonts w:ascii="黑体" w:hAnsi="宋体" w:eastAsia="黑体"/>
          <w:b/>
          <w:color w:val="auto"/>
          <w:sz w:val="21"/>
          <w:highlight w:val="none"/>
        </w:rPr>
      </w:pPr>
      <w:bookmarkStart w:id="44" w:name="_Toc155342539"/>
      <w:bookmarkStart w:id="45" w:name="_Toc169487787"/>
      <w:r>
        <w:rPr>
          <w:rFonts w:hint="eastAsia" w:ascii="黑体" w:hAnsi="宋体" w:eastAsia="黑体"/>
          <w:b/>
          <w:color w:val="auto"/>
          <w:sz w:val="21"/>
          <w:highlight w:val="none"/>
        </w:rPr>
        <w:t>招标文件的备案</w:t>
      </w:r>
      <w:bookmarkEnd w:id="44"/>
      <w:bookmarkEnd w:id="45"/>
    </w:p>
    <w:p w14:paraId="34DC3445">
      <w:pPr>
        <w:pStyle w:val="10"/>
        <w:numPr>
          <w:ilvl w:val="1"/>
          <w:numId w:val="3"/>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6DD0D1F2">
      <w:pPr>
        <w:keepNext/>
        <w:keepLines/>
        <w:numPr>
          <w:ilvl w:val="0"/>
          <w:numId w:val="3"/>
        </w:numPr>
        <w:spacing w:before="360" w:line="288" w:lineRule="auto"/>
        <w:jc w:val="left"/>
        <w:outlineLvl w:val="2"/>
        <w:rPr>
          <w:rFonts w:ascii="黑体" w:hAnsi="宋体" w:eastAsia="黑体"/>
          <w:b/>
          <w:color w:val="auto"/>
          <w:sz w:val="21"/>
          <w:highlight w:val="none"/>
        </w:rPr>
      </w:pPr>
      <w:bookmarkStart w:id="46" w:name="_Toc155342540"/>
      <w:bookmarkStart w:id="47" w:name="_Toc169487788"/>
      <w:r>
        <w:rPr>
          <w:rFonts w:hint="eastAsia" w:ascii="黑体" w:hAnsi="宋体" w:eastAsia="黑体"/>
          <w:b/>
          <w:color w:val="auto"/>
          <w:sz w:val="21"/>
          <w:highlight w:val="none"/>
        </w:rPr>
        <w:t>招标文件的解释权</w:t>
      </w:r>
      <w:bookmarkEnd w:id="46"/>
      <w:bookmarkEnd w:id="47"/>
    </w:p>
    <w:p w14:paraId="158DCA44">
      <w:pPr>
        <w:pStyle w:val="10"/>
        <w:numPr>
          <w:ilvl w:val="1"/>
          <w:numId w:val="3"/>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06F30084">
      <w:pPr>
        <w:spacing w:before="360" w:afterLines="50" w:line="320" w:lineRule="exact"/>
        <w:ind w:left="2159" w:hanging="1320"/>
        <w:jc w:val="center"/>
        <w:outlineLvl w:val="1"/>
        <w:rPr>
          <w:rFonts w:ascii="Arial" w:hAnsi="Arial" w:eastAsia="黑体" w:cs="Arial"/>
          <w:b/>
          <w:color w:val="auto"/>
          <w:szCs w:val="24"/>
          <w:highlight w:val="none"/>
        </w:rPr>
      </w:pPr>
      <w:bookmarkStart w:id="48" w:name="_Toc7036"/>
      <w:bookmarkStart w:id="49" w:name="_Toc500209416"/>
      <w:bookmarkStart w:id="50" w:name="_Toc500208475"/>
      <w:bookmarkStart w:id="51" w:name="_Toc20604"/>
      <w:r>
        <w:rPr>
          <w:rFonts w:hint="eastAsia" w:ascii="Arial" w:hAnsi="Arial" w:eastAsia="黑体" w:cs="Arial"/>
          <w:b/>
          <w:color w:val="auto"/>
          <w:szCs w:val="24"/>
          <w:highlight w:val="none"/>
        </w:rPr>
        <w:t>第三节  投标文件的编制</w:t>
      </w:r>
      <w:bookmarkEnd w:id="48"/>
      <w:bookmarkEnd w:id="49"/>
      <w:bookmarkEnd w:id="50"/>
      <w:bookmarkEnd w:id="51"/>
    </w:p>
    <w:p w14:paraId="1E276434">
      <w:pPr>
        <w:keepNext/>
        <w:keepLines/>
        <w:numPr>
          <w:ilvl w:val="0"/>
          <w:numId w:val="3"/>
        </w:numPr>
        <w:spacing w:before="360" w:line="288" w:lineRule="auto"/>
        <w:jc w:val="left"/>
        <w:outlineLvl w:val="2"/>
        <w:rPr>
          <w:rFonts w:ascii="黑体" w:hAnsi="宋体" w:eastAsia="黑体"/>
          <w:b/>
          <w:color w:val="auto"/>
          <w:sz w:val="21"/>
          <w:highlight w:val="none"/>
        </w:rPr>
      </w:pPr>
      <w:bookmarkStart w:id="52" w:name="_Toc69095786"/>
      <w:bookmarkStart w:id="53" w:name="_Toc169487790"/>
      <w:bookmarkStart w:id="54" w:name="_Toc155342542"/>
      <w:bookmarkStart w:id="55" w:name="_Toc500208476"/>
      <w:bookmarkStart w:id="56" w:name="_Toc500208477"/>
      <w:r>
        <w:rPr>
          <w:rFonts w:hint="eastAsia" w:ascii="黑体" w:hAnsi="宋体" w:eastAsia="黑体"/>
          <w:b/>
          <w:color w:val="auto"/>
          <w:sz w:val="21"/>
          <w:highlight w:val="none"/>
        </w:rPr>
        <w:t>投标文件的组成</w:t>
      </w:r>
      <w:bookmarkEnd w:id="52"/>
      <w:bookmarkEnd w:id="53"/>
      <w:bookmarkEnd w:id="54"/>
      <w:bookmarkEnd w:id="55"/>
    </w:p>
    <w:p w14:paraId="3789B8A3">
      <w:pPr>
        <w:pStyle w:val="10"/>
        <w:numPr>
          <w:ilvl w:val="1"/>
          <w:numId w:val="3"/>
        </w:numPr>
        <w:ind w:firstLine="420" w:firstLineChars="200"/>
        <w:rPr>
          <w:color w:val="auto"/>
          <w:highlight w:val="none"/>
        </w:rPr>
      </w:pPr>
      <w:r>
        <w:rPr>
          <w:rFonts w:hint="eastAsia"/>
          <w:color w:val="auto"/>
          <w:highlight w:val="none"/>
        </w:rPr>
        <w:t>本招标工程项目的投标文件组成详见本须知前附表第14项。</w:t>
      </w:r>
    </w:p>
    <w:p w14:paraId="6037F76D">
      <w:pPr>
        <w:keepNext/>
        <w:keepLines/>
        <w:numPr>
          <w:ilvl w:val="0"/>
          <w:numId w:val="3"/>
        </w:numPr>
        <w:spacing w:before="360" w:line="288" w:lineRule="auto"/>
        <w:jc w:val="left"/>
        <w:outlineLvl w:val="2"/>
        <w:rPr>
          <w:rFonts w:ascii="黑体" w:hAnsi="宋体" w:eastAsia="黑体"/>
          <w:b/>
          <w:color w:val="auto"/>
          <w:sz w:val="21"/>
          <w:highlight w:val="none"/>
        </w:rPr>
      </w:pPr>
      <w:bookmarkStart w:id="57" w:name="_Toc155342544"/>
      <w:bookmarkStart w:id="58" w:name="_Toc169487791"/>
      <w:r>
        <w:rPr>
          <w:rFonts w:hint="eastAsia" w:ascii="黑体" w:hAnsi="宋体" w:eastAsia="黑体"/>
          <w:b/>
          <w:color w:val="auto"/>
          <w:sz w:val="21"/>
          <w:highlight w:val="none"/>
        </w:rPr>
        <w:t>投标文件的格式</w:t>
      </w:r>
      <w:bookmarkEnd w:id="57"/>
      <w:bookmarkEnd w:id="58"/>
    </w:p>
    <w:p w14:paraId="32100D91">
      <w:pPr>
        <w:pStyle w:val="10"/>
        <w:numPr>
          <w:ilvl w:val="1"/>
          <w:numId w:val="3"/>
        </w:numPr>
        <w:ind w:firstLine="420" w:firstLineChars="200"/>
        <w:rPr>
          <w:color w:val="auto"/>
          <w:highlight w:val="none"/>
        </w:rPr>
      </w:pPr>
      <w:r>
        <w:rPr>
          <w:rFonts w:hint="eastAsia"/>
          <w:color w:val="auto"/>
          <w:highlight w:val="none"/>
        </w:rPr>
        <w:t>本招标工程项目的投标文件格式要求详见本须知前附表第15项。</w:t>
      </w:r>
    </w:p>
    <w:p w14:paraId="3728AA0C">
      <w:pPr>
        <w:keepNext/>
        <w:keepLines/>
        <w:numPr>
          <w:ilvl w:val="0"/>
          <w:numId w:val="3"/>
        </w:numPr>
        <w:spacing w:before="360" w:line="288" w:lineRule="auto"/>
        <w:jc w:val="left"/>
        <w:outlineLvl w:val="2"/>
        <w:rPr>
          <w:rFonts w:ascii="黑体" w:hAnsi="宋体" w:eastAsia="黑体"/>
          <w:b/>
          <w:color w:val="auto"/>
          <w:sz w:val="21"/>
          <w:highlight w:val="none"/>
        </w:rPr>
      </w:pPr>
      <w:bookmarkStart w:id="59" w:name="_Toc155342545"/>
      <w:bookmarkStart w:id="60" w:name="_Toc169487792"/>
      <w:r>
        <w:rPr>
          <w:rFonts w:hint="eastAsia" w:ascii="黑体" w:hAnsi="宋体" w:eastAsia="黑体"/>
          <w:b/>
          <w:color w:val="auto"/>
          <w:sz w:val="21"/>
          <w:highlight w:val="none"/>
        </w:rPr>
        <w:t>投标报价组成</w:t>
      </w:r>
      <w:bookmarkEnd w:id="59"/>
      <w:bookmarkEnd w:id="60"/>
    </w:p>
    <w:p w14:paraId="1756F897">
      <w:pPr>
        <w:pStyle w:val="10"/>
        <w:numPr>
          <w:ilvl w:val="1"/>
          <w:numId w:val="3"/>
        </w:numPr>
        <w:ind w:left="0" w:firstLine="420" w:firstLineChars="200"/>
        <w:rPr>
          <w:color w:val="auto"/>
          <w:highlight w:val="none"/>
        </w:rPr>
      </w:pPr>
      <w:r>
        <w:rPr>
          <w:rFonts w:hint="eastAsia"/>
          <w:color w:val="auto"/>
          <w:highlight w:val="none"/>
        </w:rPr>
        <w:t>报价方式：本工程项目报价方式详见本须知前附表第16项。</w:t>
      </w:r>
      <w:bookmarkStart w:id="61" w:name="_Toc500208474"/>
    </w:p>
    <w:p w14:paraId="609C37B6">
      <w:pPr>
        <w:pStyle w:val="10"/>
        <w:snapToGrid w:val="0"/>
        <w:spacing w:line="360" w:lineRule="auto"/>
        <w:ind w:firstLine="420" w:firstLineChars="200"/>
        <w:rPr>
          <w:color w:val="auto"/>
          <w:highlight w:val="none"/>
        </w:rPr>
      </w:pPr>
      <w:r>
        <w:rPr>
          <w:rFonts w:hint="eastAsia"/>
          <w:color w:val="auto"/>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31C48971">
      <w:pPr>
        <w:keepNext/>
        <w:keepLines/>
        <w:numPr>
          <w:ilvl w:val="0"/>
          <w:numId w:val="3"/>
        </w:numPr>
        <w:spacing w:before="360" w:line="288" w:lineRule="auto"/>
        <w:jc w:val="left"/>
        <w:outlineLvl w:val="2"/>
        <w:rPr>
          <w:rFonts w:ascii="黑体" w:hAnsi="宋体" w:eastAsia="黑体"/>
          <w:b/>
          <w:color w:val="auto"/>
          <w:sz w:val="21"/>
          <w:highlight w:val="none"/>
        </w:rPr>
      </w:pPr>
      <w:bookmarkStart w:id="62" w:name="_Toc169487793"/>
      <w:bookmarkStart w:id="63" w:name="_Toc155342546"/>
      <w:r>
        <w:rPr>
          <w:rFonts w:hint="eastAsia" w:ascii="黑体" w:hAnsi="宋体" w:eastAsia="黑体"/>
          <w:b/>
          <w:color w:val="auto"/>
          <w:sz w:val="21"/>
          <w:highlight w:val="none"/>
        </w:rPr>
        <w:t>投标报价要求</w:t>
      </w:r>
      <w:bookmarkEnd w:id="62"/>
      <w:bookmarkEnd w:id="63"/>
    </w:p>
    <w:p w14:paraId="3944BB54">
      <w:pPr>
        <w:pStyle w:val="10"/>
        <w:numPr>
          <w:ilvl w:val="1"/>
          <w:numId w:val="3"/>
        </w:numPr>
        <w:ind w:firstLine="420" w:firstLineChars="200"/>
        <w:rPr>
          <w:color w:val="auto"/>
          <w:highlight w:val="none"/>
        </w:rPr>
      </w:pPr>
      <w:r>
        <w:rPr>
          <w:rFonts w:hint="eastAsia" w:ascii="宋体" w:hAnsi="宋体" w:eastAsia="宋体" w:cs="Times New Roman"/>
          <w:kern w:val="2"/>
          <w:sz w:val="21"/>
          <w:lang w:val="en-US" w:eastAsia="zh-CN" w:bidi="ar-SA"/>
        </w:rPr>
        <w:t>招标人预算书按照《浙江省建设工程计价规则》(2018版) 、《浙江省房屋建筑与装饰工程预算定额》(2018版)、《浙江省通用安装工程预算定额》(2018版)、《浙江省建设工程施工费用定额》(2018版) 、《浙江省建设工程施工机械台班费用定额》(2018版)等；相</w:t>
      </w:r>
      <w:r>
        <w:rPr>
          <w:rFonts w:hint="eastAsia"/>
          <w:lang w:val="en-US" w:eastAsia="zh-CN"/>
        </w:rPr>
        <w:t>关的设计标准、规范、图集；省、市建设行政主管部门有关工程量清单计算规范补充规定及有关工程造价文件、补充定额和定额解释等</w:t>
      </w:r>
      <w:r>
        <w:rPr>
          <w:rFonts w:hint="eastAsia"/>
          <w:highlight w:val="none"/>
        </w:rPr>
        <w:t>计算工程造价</w:t>
      </w:r>
      <w:r>
        <w:rPr>
          <w:rFonts w:hint="eastAsia" w:ascii="宋体" w:hAnsi="宋体" w:eastAsia="宋体"/>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3162F852">
      <w:pPr>
        <w:pStyle w:val="10"/>
        <w:numPr>
          <w:ilvl w:val="1"/>
          <w:numId w:val="3"/>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5998CFC6">
      <w:pPr>
        <w:pStyle w:val="10"/>
        <w:numPr>
          <w:ilvl w:val="1"/>
          <w:numId w:val="3"/>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5718EFB">
      <w:pPr>
        <w:keepNext/>
        <w:keepLines/>
        <w:numPr>
          <w:ilvl w:val="0"/>
          <w:numId w:val="3"/>
        </w:numPr>
        <w:spacing w:before="360" w:line="288" w:lineRule="auto"/>
        <w:jc w:val="left"/>
        <w:outlineLvl w:val="2"/>
        <w:rPr>
          <w:rFonts w:ascii="黑体" w:hAnsi="宋体" w:eastAsia="黑体"/>
          <w:b/>
          <w:color w:val="auto"/>
          <w:sz w:val="21"/>
          <w:highlight w:val="none"/>
        </w:rPr>
      </w:pPr>
      <w:bookmarkStart w:id="64" w:name="_Toc169487794"/>
      <w:bookmarkStart w:id="65" w:name="_Toc155342547"/>
      <w:r>
        <w:rPr>
          <w:rFonts w:hint="eastAsia" w:ascii="黑体" w:hAnsi="宋体" w:eastAsia="黑体"/>
          <w:b/>
          <w:color w:val="auto"/>
          <w:sz w:val="21"/>
          <w:highlight w:val="none"/>
        </w:rPr>
        <w:t>投标</w:t>
      </w:r>
      <w:bookmarkEnd w:id="56"/>
      <w:r>
        <w:rPr>
          <w:rFonts w:hint="eastAsia" w:ascii="黑体" w:hAnsi="宋体" w:eastAsia="黑体"/>
          <w:b/>
          <w:color w:val="auto"/>
          <w:sz w:val="21"/>
          <w:highlight w:val="none"/>
        </w:rPr>
        <w:t>担保</w:t>
      </w:r>
      <w:bookmarkEnd w:id="64"/>
      <w:bookmarkEnd w:id="65"/>
    </w:p>
    <w:p w14:paraId="5BB6DD50">
      <w:pPr>
        <w:pStyle w:val="10"/>
        <w:numPr>
          <w:ilvl w:val="1"/>
          <w:numId w:val="3"/>
        </w:numPr>
        <w:ind w:firstLine="420" w:firstLineChars="200"/>
        <w:rPr>
          <w:color w:val="auto"/>
          <w:highlight w:val="none"/>
        </w:rPr>
      </w:pPr>
      <w:r>
        <w:rPr>
          <w:rFonts w:hint="eastAsia"/>
          <w:color w:val="auto"/>
          <w:highlight w:val="none"/>
        </w:rPr>
        <w:t>投标人在递交投标文件的同时，应按投标人须知前附表规定递交担保。</w:t>
      </w:r>
    </w:p>
    <w:p w14:paraId="596F4540">
      <w:pPr>
        <w:pStyle w:val="10"/>
        <w:numPr>
          <w:ilvl w:val="1"/>
          <w:numId w:val="3"/>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6322B766">
      <w:pPr>
        <w:pStyle w:val="10"/>
        <w:numPr>
          <w:ilvl w:val="1"/>
          <w:numId w:val="3"/>
        </w:numPr>
        <w:ind w:firstLine="420" w:firstLineChars="200"/>
        <w:rPr>
          <w:color w:val="auto"/>
          <w:highlight w:val="none"/>
        </w:rPr>
      </w:pPr>
      <w:r>
        <w:rPr>
          <w:rFonts w:hint="eastAsia"/>
          <w:color w:val="auto"/>
          <w:highlight w:val="none"/>
        </w:rPr>
        <w:t>投标担保按以下方式退还：</w:t>
      </w:r>
    </w:p>
    <w:p w14:paraId="00009BDD">
      <w:pPr>
        <w:pStyle w:val="10"/>
        <w:ind w:firstLine="420" w:firstLineChars="200"/>
        <w:rPr>
          <w:color w:val="auto"/>
          <w:highlight w:val="none"/>
        </w:rPr>
      </w:pPr>
      <w:r>
        <w:rPr>
          <w:rFonts w:hint="eastAsia"/>
          <w:color w:val="auto"/>
          <w:highlight w:val="none"/>
        </w:rPr>
        <w:t>（1）未中标人投标保证金在中标公告发布后可退回；</w:t>
      </w:r>
    </w:p>
    <w:p w14:paraId="77629DDD">
      <w:pPr>
        <w:pStyle w:val="10"/>
        <w:ind w:firstLine="420" w:firstLineChars="200"/>
        <w:rPr>
          <w:color w:val="auto"/>
          <w:highlight w:val="none"/>
        </w:rPr>
      </w:pPr>
      <w:r>
        <w:rPr>
          <w:rFonts w:hint="eastAsia"/>
          <w:color w:val="auto"/>
          <w:highlight w:val="none"/>
        </w:rPr>
        <w:t>（2）中标人的投标保证金在缴纳履约保证金和签订合同后退回。</w:t>
      </w:r>
    </w:p>
    <w:p w14:paraId="0F2BFB2B">
      <w:pPr>
        <w:pStyle w:val="10"/>
        <w:numPr>
          <w:ilvl w:val="1"/>
          <w:numId w:val="3"/>
        </w:numPr>
        <w:ind w:firstLine="420" w:firstLineChars="200"/>
        <w:rPr>
          <w:color w:val="auto"/>
          <w:highlight w:val="none"/>
        </w:rPr>
      </w:pPr>
      <w:r>
        <w:rPr>
          <w:rFonts w:hint="eastAsia"/>
          <w:color w:val="auto"/>
          <w:highlight w:val="none"/>
        </w:rPr>
        <w:t>如投标人有下列情况，投标担保将被没收：</w:t>
      </w:r>
    </w:p>
    <w:p w14:paraId="10F8AE62">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77FBEC22">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18A769B4">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4B2D5D7D">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3503818D">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144F6381">
      <w:pPr>
        <w:keepNext/>
        <w:keepLines/>
        <w:numPr>
          <w:ilvl w:val="0"/>
          <w:numId w:val="3"/>
        </w:numPr>
        <w:spacing w:before="360" w:line="288" w:lineRule="auto"/>
        <w:jc w:val="left"/>
        <w:outlineLvl w:val="2"/>
        <w:rPr>
          <w:rFonts w:ascii="黑体" w:hAnsi="宋体" w:eastAsia="黑体"/>
          <w:b/>
          <w:color w:val="auto"/>
          <w:sz w:val="21"/>
          <w:highlight w:val="none"/>
        </w:rPr>
      </w:pPr>
      <w:bookmarkStart w:id="66" w:name="_Toc169487795"/>
      <w:bookmarkStart w:id="67" w:name="_Toc155342548"/>
      <w:bookmarkStart w:id="68" w:name="_Toc500208478"/>
      <w:r>
        <w:rPr>
          <w:rFonts w:hint="eastAsia" w:ascii="黑体" w:hAnsi="宋体" w:eastAsia="黑体"/>
          <w:b/>
          <w:color w:val="auto"/>
          <w:sz w:val="21"/>
          <w:highlight w:val="none"/>
        </w:rPr>
        <w:t>投标有效期</w:t>
      </w:r>
      <w:bookmarkEnd w:id="66"/>
      <w:bookmarkEnd w:id="67"/>
    </w:p>
    <w:p w14:paraId="558020F9">
      <w:pPr>
        <w:pStyle w:val="10"/>
        <w:numPr>
          <w:ilvl w:val="1"/>
          <w:numId w:val="3"/>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56A72F4E">
      <w:pPr>
        <w:pStyle w:val="10"/>
        <w:numPr>
          <w:ilvl w:val="1"/>
          <w:numId w:val="3"/>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62973204">
      <w:pPr>
        <w:keepNext/>
        <w:keepLines/>
        <w:numPr>
          <w:ilvl w:val="0"/>
          <w:numId w:val="3"/>
        </w:numPr>
        <w:spacing w:before="360" w:line="288" w:lineRule="auto"/>
        <w:jc w:val="left"/>
        <w:outlineLvl w:val="2"/>
        <w:rPr>
          <w:rFonts w:ascii="黑体" w:hAnsi="宋体" w:eastAsia="黑体"/>
          <w:b/>
          <w:color w:val="auto"/>
          <w:sz w:val="21"/>
          <w:highlight w:val="none"/>
        </w:rPr>
      </w:pPr>
      <w:bookmarkStart w:id="69" w:name="_Toc169487796"/>
      <w:bookmarkStart w:id="70" w:name="_Toc155342549"/>
      <w:bookmarkStart w:id="71" w:name="_Toc500208479"/>
      <w:r>
        <w:rPr>
          <w:rFonts w:hint="eastAsia" w:ascii="黑体" w:hAnsi="宋体" w:eastAsia="黑体"/>
          <w:b/>
          <w:color w:val="auto"/>
          <w:sz w:val="21"/>
          <w:highlight w:val="none"/>
        </w:rPr>
        <w:t>投标文件的份数和签署</w:t>
      </w:r>
      <w:bookmarkEnd w:id="69"/>
      <w:bookmarkEnd w:id="70"/>
      <w:bookmarkEnd w:id="71"/>
    </w:p>
    <w:p w14:paraId="2FB11FED">
      <w:pPr>
        <w:pStyle w:val="10"/>
        <w:numPr>
          <w:ilvl w:val="1"/>
          <w:numId w:val="3"/>
        </w:numPr>
        <w:ind w:firstLine="420" w:firstLineChars="200"/>
        <w:rPr>
          <w:color w:val="auto"/>
          <w:highlight w:val="none"/>
        </w:rPr>
      </w:pPr>
      <w:r>
        <w:rPr>
          <w:rFonts w:hint="eastAsia"/>
          <w:color w:val="auto"/>
          <w:highlight w:val="none"/>
        </w:rPr>
        <w:t>投标人按本须知前附表第20项规定的份数递交投标文件。</w:t>
      </w:r>
    </w:p>
    <w:p w14:paraId="06BC5ECD">
      <w:pPr>
        <w:pStyle w:val="10"/>
        <w:numPr>
          <w:ilvl w:val="1"/>
          <w:numId w:val="3"/>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投标文件以电子投标文件为准（若由于网络或停电等原因无法打开投标人的电子投标文件时，经市公管办(根据实际定)、市产权交易公司、行政监管机构认定后项目延期评审）。</w:t>
      </w:r>
    </w:p>
    <w:p w14:paraId="0D9A9EE9">
      <w:pPr>
        <w:spacing w:before="360" w:afterLines="50" w:line="320" w:lineRule="exact"/>
        <w:ind w:left="2159" w:hanging="1320"/>
        <w:jc w:val="center"/>
        <w:outlineLvl w:val="1"/>
        <w:rPr>
          <w:rFonts w:ascii="Arial" w:hAnsi="Arial" w:eastAsia="黑体" w:cs="Arial"/>
          <w:b/>
          <w:color w:val="auto"/>
          <w:szCs w:val="24"/>
          <w:highlight w:val="none"/>
        </w:rPr>
      </w:pPr>
      <w:bookmarkStart w:id="72" w:name="_Toc500208480"/>
      <w:bookmarkStart w:id="73" w:name="_Toc500209417"/>
      <w:bookmarkStart w:id="74" w:name="_Toc21898"/>
      <w:bookmarkStart w:id="75" w:name="_Toc21258"/>
      <w:r>
        <w:rPr>
          <w:rFonts w:hint="eastAsia" w:ascii="Arial" w:hAnsi="Arial" w:eastAsia="黑体" w:cs="Arial"/>
          <w:b/>
          <w:color w:val="auto"/>
          <w:szCs w:val="24"/>
          <w:highlight w:val="none"/>
        </w:rPr>
        <w:t>第四节  投标文件的递交</w:t>
      </w:r>
      <w:bookmarkEnd w:id="72"/>
      <w:bookmarkEnd w:id="73"/>
      <w:bookmarkEnd w:id="74"/>
      <w:bookmarkEnd w:id="75"/>
    </w:p>
    <w:p w14:paraId="3C08759D">
      <w:pPr>
        <w:keepNext/>
        <w:keepLines/>
        <w:numPr>
          <w:ilvl w:val="0"/>
          <w:numId w:val="3"/>
        </w:numPr>
        <w:spacing w:before="360" w:line="288" w:lineRule="auto"/>
        <w:jc w:val="left"/>
        <w:outlineLvl w:val="2"/>
        <w:rPr>
          <w:rFonts w:ascii="黑体" w:hAnsi="宋体" w:eastAsia="黑体"/>
          <w:b/>
          <w:color w:val="auto"/>
          <w:sz w:val="21"/>
          <w:highlight w:val="none"/>
        </w:rPr>
      </w:pPr>
      <w:bookmarkStart w:id="76" w:name="_Toc155342552"/>
      <w:bookmarkStart w:id="77" w:name="_Toc169487799"/>
      <w:bookmarkStart w:id="78" w:name="_Toc500208482"/>
      <w:r>
        <w:rPr>
          <w:rFonts w:hint="eastAsia" w:ascii="黑体" w:hAnsi="宋体" w:eastAsia="黑体"/>
          <w:b/>
          <w:color w:val="auto"/>
          <w:sz w:val="21"/>
          <w:highlight w:val="none"/>
        </w:rPr>
        <w:t>投标文件的递交</w:t>
      </w:r>
      <w:bookmarkEnd w:id="76"/>
      <w:bookmarkEnd w:id="77"/>
    </w:p>
    <w:p w14:paraId="507ECBBE">
      <w:pPr>
        <w:pStyle w:val="10"/>
        <w:numPr>
          <w:ilvl w:val="1"/>
          <w:numId w:val="3"/>
        </w:numPr>
        <w:ind w:firstLine="420" w:firstLineChars="200"/>
        <w:rPr>
          <w:color w:val="auto"/>
          <w:highlight w:val="none"/>
        </w:rPr>
      </w:pPr>
      <w:r>
        <w:rPr>
          <w:rStyle w:val="27"/>
          <w:rFonts w:hint="eastAsia"/>
          <w:color w:val="auto"/>
          <w:szCs w:val="21"/>
          <w:highlight w:val="none"/>
        </w:rPr>
        <w:t>投标人应按招标文件规定要求上传电子投标文件，未在投标截止时间前完成上传的电子投标文件均作无效处理。</w:t>
      </w:r>
    </w:p>
    <w:p w14:paraId="47E5DA2D">
      <w:pPr>
        <w:keepNext/>
        <w:keepLines/>
        <w:numPr>
          <w:ilvl w:val="0"/>
          <w:numId w:val="3"/>
        </w:numPr>
        <w:spacing w:before="360" w:line="288" w:lineRule="auto"/>
        <w:jc w:val="left"/>
        <w:outlineLvl w:val="2"/>
        <w:rPr>
          <w:rFonts w:ascii="黑体" w:hAnsi="宋体" w:eastAsia="黑体"/>
          <w:b/>
          <w:color w:val="auto"/>
          <w:sz w:val="21"/>
          <w:highlight w:val="none"/>
        </w:rPr>
      </w:pPr>
      <w:bookmarkStart w:id="79" w:name="_Toc155342553"/>
      <w:bookmarkStart w:id="80" w:name="_Toc169487800"/>
      <w:r>
        <w:rPr>
          <w:rFonts w:hint="eastAsia" w:ascii="黑体" w:hAnsi="宋体" w:eastAsia="黑体"/>
          <w:b/>
          <w:color w:val="auto"/>
          <w:sz w:val="21"/>
          <w:highlight w:val="none"/>
        </w:rPr>
        <w:t>投标截止期</w:t>
      </w:r>
      <w:bookmarkEnd w:id="78"/>
      <w:bookmarkEnd w:id="79"/>
      <w:bookmarkEnd w:id="80"/>
    </w:p>
    <w:p w14:paraId="466DB8A4">
      <w:pPr>
        <w:pStyle w:val="10"/>
        <w:numPr>
          <w:ilvl w:val="1"/>
          <w:numId w:val="3"/>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72CBD3DA">
      <w:pPr>
        <w:pStyle w:val="10"/>
        <w:numPr>
          <w:ilvl w:val="1"/>
          <w:numId w:val="3"/>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23D1E2CD">
      <w:pPr>
        <w:pStyle w:val="10"/>
        <w:numPr>
          <w:ilvl w:val="1"/>
          <w:numId w:val="3"/>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4754FE05">
      <w:pPr>
        <w:spacing w:before="360" w:afterLines="50" w:line="320" w:lineRule="exact"/>
        <w:ind w:left="2159" w:hanging="1320"/>
        <w:jc w:val="center"/>
        <w:outlineLvl w:val="1"/>
        <w:rPr>
          <w:rFonts w:ascii="Arial" w:hAnsi="Arial" w:eastAsia="黑体" w:cs="Arial"/>
          <w:b/>
          <w:color w:val="auto"/>
          <w:szCs w:val="24"/>
          <w:highlight w:val="none"/>
        </w:rPr>
      </w:pPr>
      <w:bookmarkStart w:id="81" w:name="_Toc15794"/>
      <w:bookmarkStart w:id="82" w:name="_Toc500209418"/>
      <w:bookmarkStart w:id="83" w:name="_Toc9012"/>
      <w:bookmarkStart w:id="84" w:name="_Toc500208484"/>
      <w:r>
        <w:rPr>
          <w:rFonts w:hint="eastAsia" w:ascii="Arial" w:hAnsi="Arial" w:eastAsia="黑体" w:cs="Arial"/>
          <w:b/>
          <w:color w:val="auto"/>
          <w:szCs w:val="24"/>
          <w:highlight w:val="none"/>
        </w:rPr>
        <w:t>第五节  开   标</w:t>
      </w:r>
      <w:bookmarkEnd w:id="81"/>
      <w:bookmarkEnd w:id="82"/>
      <w:bookmarkEnd w:id="83"/>
      <w:bookmarkEnd w:id="84"/>
    </w:p>
    <w:p w14:paraId="3DC3B1DC">
      <w:pPr>
        <w:keepNext/>
        <w:keepLines/>
        <w:numPr>
          <w:ilvl w:val="0"/>
          <w:numId w:val="3"/>
        </w:numPr>
        <w:spacing w:before="360" w:line="288" w:lineRule="auto"/>
        <w:jc w:val="left"/>
        <w:outlineLvl w:val="2"/>
        <w:rPr>
          <w:rFonts w:ascii="黑体" w:hAnsi="宋体" w:eastAsia="黑体"/>
          <w:b/>
          <w:color w:val="auto"/>
          <w:sz w:val="21"/>
          <w:highlight w:val="none"/>
        </w:rPr>
      </w:pPr>
      <w:bookmarkStart w:id="85" w:name="_Toc500208485"/>
      <w:bookmarkStart w:id="86" w:name="_Toc155342556"/>
      <w:bookmarkStart w:id="87" w:name="_Toc169487803"/>
      <w:r>
        <w:rPr>
          <w:rFonts w:hint="eastAsia" w:ascii="黑体" w:hAnsi="宋体" w:eastAsia="黑体"/>
          <w:b/>
          <w:color w:val="auto"/>
          <w:sz w:val="21"/>
          <w:highlight w:val="none"/>
        </w:rPr>
        <w:t>开标</w:t>
      </w:r>
      <w:bookmarkEnd w:id="85"/>
      <w:bookmarkEnd w:id="86"/>
      <w:bookmarkEnd w:id="87"/>
    </w:p>
    <w:p w14:paraId="7E665712">
      <w:pPr>
        <w:pStyle w:val="10"/>
        <w:numPr>
          <w:ilvl w:val="1"/>
          <w:numId w:val="3"/>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62C57081">
      <w:pPr>
        <w:pStyle w:val="10"/>
        <w:numPr>
          <w:ilvl w:val="1"/>
          <w:numId w:val="3"/>
        </w:numPr>
        <w:ind w:firstLine="420" w:firstLineChars="200"/>
        <w:rPr>
          <w:color w:val="auto"/>
          <w:highlight w:val="none"/>
        </w:rPr>
      </w:pPr>
      <w:r>
        <w:rPr>
          <w:rFonts w:hint="eastAsia"/>
          <w:color w:val="auto"/>
          <w:highlight w:val="none"/>
        </w:rPr>
        <w:t>开标会议由招标人组织并主持。</w:t>
      </w:r>
    </w:p>
    <w:p w14:paraId="39530648">
      <w:pPr>
        <w:pStyle w:val="10"/>
        <w:numPr>
          <w:ilvl w:val="1"/>
          <w:numId w:val="3"/>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439E94BE">
      <w:pPr>
        <w:keepNext/>
        <w:keepLines/>
        <w:numPr>
          <w:ilvl w:val="0"/>
          <w:numId w:val="3"/>
        </w:numPr>
        <w:spacing w:before="360" w:line="288" w:lineRule="auto"/>
        <w:jc w:val="left"/>
        <w:outlineLvl w:val="2"/>
        <w:rPr>
          <w:rFonts w:ascii="黑体" w:hAnsi="宋体" w:eastAsia="黑体"/>
          <w:b/>
          <w:color w:val="auto"/>
          <w:sz w:val="21"/>
          <w:highlight w:val="none"/>
        </w:rPr>
      </w:pPr>
      <w:bookmarkStart w:id="88" w:name="_Toc169487804"/>
      <w:bookmarkStart w:id="89" w:name="_Toc155342557"/>
      <w:r>
        <w:rPr>
          <w:rFonts w:hint="eastAsia" w:ascii="黑体" w:hAnsi="宋体" w:eastAsia="黑体"/>
          <w:b/>
          <w:color w:val="auto"/>
          <w:sz w:val="21"/>
          <w:highlight w:val="none"/>
        </w:rPr>
        <w:t>投标文件公布</w:t>
      </w:r>
      <w:bookmarkEnd w:id="88"/>
      <w:bookmarkEnd w:id="89"/>
    </w:p>
    <w:p w14:paraId="6573182F">
      <w:pPr>
        <w:pStyle w:val="10"/>
        <w:numPr>
          <w:ilvl w:val="1"/>
          <w:numId w:val="3"/>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543F30E0">
      <w:pPr>
        <w:spacing w:before="360" w:afterLines="50" w:line="320" w:lineRule="exact"/>
        <w:ind w:left="2159" w:hanging="1320"/>
        <w:jc w:val="center"/>
        <w:outlineLvl w:val="1"/>
        <w:rPr>
          <w:rFonts w:ascii="Arial" w:hAnsi="Arial" w:eastAsia="黑体" w:cs="Arial"/>
          <w:b/>
          <w:color w:val="auto"/>
          <w:szCs w:val="24"/>
          <w:highlight w:val="none"/>
        </w:rPr>
      </w:pPr>
      <w:bookmarkStart w:id="90" w:name="_Toc15849"/>
      <w:bookmarkStart w:id="91" w:name="_Toc31728"/>
      <w:bookmarkStart w:id="92" w:name="_Toc500209419"/>
      <w:bookmarkStart w:id="93" w:name="_Toc500208488"/>
      <w:bookmarkStart w:id="94" w:name="_Toc500208495"/>
      <w:bookmarkStart w:id="95" w:name="_Toc500209420"/>
      <w:r>
        <w:rPr>
          <w:rFonts w:hint="eastAsia" w:ascii="Arial" w:hAnsi="Arial" w:eastAsia="黑体" w:cs="Arial"/>
          <w:b/>
          <w:color w:val="auto"/>
          <w:szCs w:val="24"/>
          <w:highlight w:val="none"/>
        </w:rPr>
        <w:t>第六节  评   标</w:t>
      </w:r>
      <w:bookmarkEnd w:id="90"/>
      <w:bookmarkEnd w:id="91"/>
      <w:bookmarkEnd w:id="92"/>
      <w:bookmarkEnd w:id="93"/>
    </w:p>
    <w:p w14:paraId="09D978B9">
      <w:pPr>
        <w:keepNext/>
        <w:keepLines/>
        <w:numPr>
          <w:ilvl w:val="0"/>
          <w:numId w:val="3"/>
        </w:numPr>
        <w:spacing w:before="360" w:line="288" w:lineRule="auto"/>
        <w:jc w:val="left"/>
        <w:outlineLvl w:val="2"/>
        <w:rPr>
          <w:rFonts w:ascii="黑体" w:hAnsi="宋体" w:eastAsia="黑体"/>
          <w:b/>
          <w:color w:val="auto"/>
          <w:sz w:val="21"/>
          <w:highlight w:val="none"/>
        </w:rPr>
      </w:pPr>
      <w:bookmarkStart w:id="96" w:name="_Toc155342559"/>
      <w:bookmarkStart w:id="97" w:name="_Toc169487806"/>
      <w:bookmarkStart w:id="98" w:name="_Toc500208489"/>
      <w:r>
        <w:rPr>
          <w:rFonts w:hint="eastAsia" w:ascii="黑体" w:hAnsi="宋体" w:eastAsia="黑体"/>
          <w:b/>
          <w:color w:val="auto"/>
          <w:sz w:val="21"/>
          <w:highlight w:val="none"/>
        </w:rPr>
        <w:t>评标会议</w:t>
      </w:r>
      <w:bookmarkEnd w:id="96"/>
      <w:bookmarkEnd w:id="97"/>
      <w:bookmarkEnd w:id="98"/>
    </w:p>
    <w:p w14:paraId="64453CA0">
      <w:pPr>
        <w:pStyle w:val="10"/>
        <w:numPr>
          <w:ilvl w:val="1"/>
          <w:numId w:val="3"/>
        </w:numPr>
        <w:ind w:firstLine="420" w:firstLineChars="200"/>
        <w:rPr>
          <w:color w:val="auto"/>
          <w:highlight w:val="none"/>
        </w:rPr>
      </w:pPr>
      <w:r>
        <w:rPr>
          <w:color w:val="auto"/>
          <w:highlight w:val="none"/>
        </w:rPr>
        <w:t>评标委员会由招标人依法组建，负责评标活动。</w:t>
      </w:r>
    </w:p>
    <w:p w14:paraId="42E0B90E">
      <w:pPr>
        <w:pStyle w:val="10"/>
        <w:numPr>
          <w:ilvl w:val="1"/>
          <w:numId w:val="3"/>
        </w:numPr>
        <w:ind w:firstLine="420" w:firstLineChars="200"/>
        <w:rPr>
          <w:color w:val="auto"/>
          <w:highlight w:val="none"/>
        </w:rPr>
      </w:pPr>
      <w:r>
        <w:rPr>
          <w:color w:val="auto"/>
          <w:highlight w:val="none"/>
        </w:rPr>
        <w:t>开标结束后，开始评标，评标采用保密方式进行。</w:t>
      </w:r>
    </w:p>
    <w:p w14:paraId="39657EEB">
      <w:pPr>
        <w:pStyle w:val="10"/>
        <w:numPr>
          <w:ilvl w:val="1"/>
          <w:numId w:val="3"/>
        </w:numPr>
        <w:ind w:firstLine="420" w:firstLineChars="200"/>
        <w:rPr>
          <w:color w:val="auto"/>
          <w:highlight w:val="none"/>
        </w:rPr>
      </w:pPr>
      <w:r>
        <w:rPr>
          <w:rFonts w:hint="eastAsia"/>
          <w:color w:val="auto"/>
          <w:highlight w:val="none"/>
        </w:rPr>
        <w:t>评标委员会在评标前须签订《临海市建设工程公正评标承诺书》。</w:t>
      </w:r>
    </w:p>
    <w:p w14:paraId="239FB9D4">
      <w:pPr>
        <w:keepNext/>
        <w:keepLines/>
        <w:numPr>
          <w:ilvl w:val="0"/>
          <w:numId w:val="3"/>
        </w:numPr>
        <w:spacing w:before="360" w:line="288" w:lineRule="auto"/>
        <w:jc w:val="left"/>
        <w:outlineLvl w:val="2"/>
        <w:rPr>
          <w:rFonts w:ascii="黑体" w:hAnsi="宋体" w:eastAsia="黑体"/>
          <w:b/>
          <w:color w:val="auto"/>
          <w:sz w:val="21"/>
          <w:highlight w:val="none"/>
        </w:rPr>
      </w:pPr>
      <w:bookmarkStart w:id="99" w:name="_Toc155342560"/>
      <w:bookmarkStart w:id="100" w:name="_Toc169487807"/>
      <w:r>
        <w:rPr>
          <w:rFonts w:hint="eastAsia" w:ascii="黑体" w:hAnsi="宋体" w:eastAsia="黑体"/>
          <w:b/>
          <w:color w:val="auto"/>
          <w:sz w:val="21"/>
          <w:highlight w:val="none"/>
        </w:rPr>
        <w:t>评标过程的保密</w:t>
      </w:r>
      <w:bookmarkEnd w:id="99"/>
      <w:bookmarkEnd w:id="100"/>
    </w:p>
    <w:p w14:paraId="078014EB">
      <w:pPr>
        <w:pStyle w:val="10"/>
        <w:numPr>
          <w:ilvl w:val="1"/>
          <w:numId w:val="3"/>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7A38892B">
      <w:pPr>
        <w:pStyle w:val="10"/>
        <w:numPr>
          <w:ilvl w:val="1"/>
          <w:numId w:val="3"/>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7F40495F">
      <w:pPr>
        <w:pStyle w:val="10"/>
        <w:numPr>
          <w:ilvl w:val="1"/>
          <w:numId w:val="3"/>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1AF98175">
      <w:pPr>
        <w:keepNext/>
        <w:keepLines/>
        <w:numPr>
          <w:ilvl w:val="0"/>
          <w:numId w:val="3"/>
        </w:numPr>
        <w:spacing w:before="360" w:line="288" w:lineRule="auto"/>
        <w:jc w:val="left"/>
        <w:outlineLvl w:val="2"/>
        <w:rPr>
          <w:rFonts w:ascii="黑体" w:hAnsi="宋体" w:eastAsia="黑体"/>
          <w:b/>
          <w:color w:val="auto"/>
          <w:sz w:val="21"/>
          <w:highlight w:val="none"/>
        </w:rPr>
      </w:pPr>
      <w:bookmarkStart w:id="101" w:name="_Toc155342561"/>
      <w:bookmarkStart w:id="102" w:name="_Toc169487808"/>
      <w:r>
        <w:rPr>
          <w:rFonts w:hint="eastAsia" w:ascii="黑体" w:hAnsi="宋体" w:eastAsia="黑体"/>
          <w:b/>
          <w:color w:val="auto"/>
          <w:sz w:val="21"/>
          <w:highlight w:val="none"/>
        </w:rPr>
        <w:t>投标文件符合性鉴定</w:t>
      </w:r>
      <w:bookmarkEnd w:id="101"/>
      <w:bookmarkEnd w:id="102"/>
    </w:p>
    <w:p w14:paraId="6F16FF62">
      <w:pPr>
        <w:pStyle w:val="10"/>
        <w:numPr>
          <w:ilvl w:val="1"/>
          <w:numId w:val="3"/>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6D3DADB6">
      <w:pPr>
        <w:pStyle w:val="10"/>
        <w:numPr>
          <w:ilvl w:val="1"/>
          <w:numId w:val="3"/>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0D1C9762">
      <w:pPr>
        <w:keepNext/>
        <w:keepLines/>
        <w:numPr>
          <w:ilvl w:val="0"/>
          <w:numId w:val="3"/>
        </w:numPr>
        <w:spacing w:before="360" w:line="288" w:lineRule="auto"/>
        <w:jc w:val="left"/>
        <w:outlineLvl w:val="2"/>
        <w:rPr>
          <w:rFonts w:ascii="黑体" w:hAnsi="宋体" w:eastAsia="黑体"/>
          <w:b/>
          <w:color w:val="auto"/>
          <w:sz w:val="21"/>
          <w:highlight w:val="none"/>
        </w:rPr>
      </w:pPr>
      <w:bookmarkStart w:id="103" w:name="_Toc169487809"/>
      <w:bookmarkStart w:id="104" w:name="_Toc155342562"/>
      <w:r>
        <w:rPr>
          <w:rFonts w:hint="eastAsia" w:ascii="黑体" w:hAnsi="宋体" w:eastAsia="黑体"/>
          <w:b/>
          <w:color w:val="auto"/>
          <w:sz w:val="21"/>
          <w:highlight w:val="none"/>
        </w:rPr>
        <w:t>投标文件的澄清</w:t>
      </w:r>
      <w:bookmarkEnd w:id="103"/>
      <w:bookmarkEnd w:id="104"/>
    </w:p>
    <w:p w14:paraId="095674A8">
      <w:pPr>
        <w:pStyle w:val="10"/>
        <w:numPr>
          <w:ilvl w:val="1"/>
          <w:numId w:val="3"/>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11220CE3">
      <w:pPr>
        <w:pStyle w:val="10"/>
        <w:numPr>
          <w:ilvl w:val="1"/>
          <w:numId w:val="3"/>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5F6FFA3B">
      <w:pPr>
        <w:keepNext/>
        <w:keepLines/>
        <w:numPr>
          <w:ilvl w:val="0"/>
          <w:numId w:val="3"/>
        </w:numPr>
        <w:spacing w:before="360" w:line="288" w:lineRule="auto"/>
        <w:jc w:val="left"/>
        <w:outlineLvl w:val="2"/>
        <w:rPr>
          <w:rFonts w:ascii="黑体" w:hAnsi="宋体" w:eastAsia="黑体"/>
          <w:b/>
          <w:color w:val="auto"/>
          <w:sz w:val="21"/>
          <w:highlight w:val="none"/>
        </w:rPr>
      </w:pPr>
      <w:bookmarkStart w:id="105" w:name="_Toc155342563"/>
      <w:bookmarkStart w:id="106" w:name="_Toc169487810"/>
      <w:r>
        <w:rPr>
          <w:rFonts w:hint="eastAsia" w:ascii="黑体" w:hAnsi="宋体" w:eastAsia="黑体"/>
          <w:b/>
          <w:color w:val="auto"/>
          <w:sz w:val="21"/>
          <w:highlight w:val="none"/>
        </w:rPr>
        <w:t>投标文件的评审</w:t>
      </w:r>
      <w:bookmarkEnd w:id="105"/>
      <w:bookmarkEnd w:id="106"/>
    </w:p>
    <w:p w14:paraId="6A080C02">
      <w:pPr>
        <w:pStyle w:val="10"/>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8D218F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0022B8D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00FAD38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599F376B">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21B52BE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1777007E">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7F50B627">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0653CF5C">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54984FF5">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1A199E9E">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5B394076">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2474A59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4AD2D28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7CE146CE">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467EEB7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（1）投标承诺的总报价、工期、质量、投标资格等不符合招标文件前附表要求的；</w:t>
      </w:r>
    </w:p>
    <w:p w14:paraId="292910ED">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（2）招标文件报价要求中规定作无效标的；</w:t>
      </w:r>
    </w:p>
    <w:p w14:paraId="63BB384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（3）违反招标文件其他实质性条款规定的。</w:t>
      </w:r>
    </w:p>
    <w:p w14:paraId="18A3E99D">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2ABCE9D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（1）经商务标修正后，属招标文件报价要求或商务标的修正中规定作无效标处理的；</w:t>
      </w:r>
    </w:p>
    <w:p w14:paraId="5115EE30">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（2）招标文件中其他内容明确规定作无效标的。</w:t>
      </w:r>
    </w:p>
    <w:p w14:paraId="7B62A346">
      <w:pPr>
        <w:pStyle w:val="10"/>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44891F25">
      <w:pPr>
        <w:keepNext/>
        <w:keepLines/>
        <w:numPr>
          <w:ilvl w:val="0"/>
          <w:numId w:val="3"/>
        </w:numPr>
        <w:spacing w:before="360" w:line="288" w:lineRule="auto"/>
        <w:jc w:val="left"/>
        <w:outlineLvl w:val="2"/>
        <w:rPr>
          <w:rFonts w:ascii="黑体" w:hAnsi="宋体" w:eastAsia="黑体"/>
          <w:b/>
          <w:color w:val="auto"/>
          <w:sz w:val="21"/>
          <w:highlight w:val="none"/>
        </w:rPr>
      </w:pPr>
      <w:bookmarkStart w:id="107" w:name="_Toc169487811"/>
      <w:bookmarkStart w:id="108" w:name="_Toc155342564"/>
      <w:r>
        <w:rPr>
          <w:rFonts w:hint="eastAsia" w:ascii="黑体" w:hAnsi="宋体" w:eastAsia="黑体"/>
          <w:b/>
          <w:color w:val="auto"/>
          <w:sz w:val="21"/>
          <w:highlight w:val="none"/>
        </w:rPr>
        <w:t>商务标的修正</w:t>
      </w:r>
      <w:bookmarkEnd w:id="107"/>
      <w:bookmarkEnd w:id="108"/>
    </w:p>
    <w:p w14:paraId="0F634411">
      <w:pPr>
        <w:pStyle w:val="10"/>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5573764A">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4B3E94C0">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7390063">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02B9D5A1">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3A88F36E">
      <w:pPr>
        <w:keepNext/>
        <w:keepLines/>
        <w:numPr>
          <w:ilvl w:val="0"/>
          <w:numId w:val="3"/>
        </w:numPr>
        <w:spacing w:before="360" w:line="288" w:lineRule="auto"/>
        <w:jc w:val="left"/>
        <w:outlineLvl w:val="2"/>
        <w:rPr>
          <w:rFonts w:ascii="黑体" w:hAnsi="宋体" w:eastAsia="黑体"/>
          <w:b/>
          <w:color w:val="auto"/>
          <w:sz w:val="21"/>
          <w:highlight w:val="none"/>
        </w:rPr>
      </w:pPr>
      <w:bookmarkStart w:id="109" w:name="_Toc155342565"/>
      <w:bookmarkStart w:id="110" w:name="_Toc169487812"/>
      <w:r>
        <w:rPr>
          <w:rFonts w:hint="eastAsia" w:ascii="黑体" w:hAnsi="宋体" w:eastAsia="黑体"/>
          <w:b/>
          <w:color w:val="auto"/>
          <w:sz w:val="21"/>
          <w:highlight w:val="none"/>
        </w:rPr>
        <w:t>评标办法</w:t>
      </w:r>
      <w:bookmarkEnd w:id="109"/>
      <w:bookmarkEnd w:id="110"/>
    </w:p>
    <w:p w14:paraId="1EDBB3F8">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0A5A1114">
      <w:pPr>
        <w:spacing w:before="360" w:afterLines="50" w:line="320" w:lineRule="exact"/>
        <w:ind w:left="2159" w:hanging="1320"/>
        <w:jc w:val="center"/>
        <w:outlineLvl w:val="1"/>
        <w:rPr>
          <w:rFonts w:ascii="Arial" w:hAnsi="Arial" w:eastAsia="黑体" w:cs="Arial"/>
          <w:b/>
          <w:color w:val="auto"/>
          <w:szCs w:val="24"/>
          <w:highlight w:val="none"/>
        </w:rPr>
      </w:pPr>
      <w:bookmarkStart w:id="111" w:name="_Toc15646"/>
      <w:bookmarkStart w:id="112" w:name="_Toc1799"/>
      <w:r>
        <w:rPr>
          <w:rFonts w:hint="eastAsia" w:ascii="Arial" w:hAnsi="Arial" w:eastAsia="黑体" w:cs="Arial"/>
          <w:b/>
          <w:color w:val="auto"/>
          <w:szCs w:val="24"/>
          <w:highlight w:val="none"/>
        </w:rPr>
        <w:t>第七节  授予合同</w:t>
      </w:r>
      <w:bookmarkEnd w:id="94"/>
      <w:bookmarkEnd w:id="95"/>
      <w:bookmarkEnd w:id="111"/>
      <w:bookmarkEnd w:id="112"/>
    </w:p>
    <w:p w14:paraId="03FE95C5">
      <w:pPr>
        <w:keepNext/>
        <w:keepLines/>
        <w:numPr>
          <w:ilvl w:val="0"/>
          <w:numId w:val="3"/>
        </w:numPr>
        <w:spacing w:before="360" w:line="288" w:lineRule="auto"/>
        <w:jc w:val="left"/>
        <w:outlineLvl w:val="2"/>
        <w:rPr>
          <w:rFonts w:ascii="黑体" w:hAnsi="宋体" w:eastAsia="黑体"/>
          <w:b/>
          <w:color w:val="auto"/>
          <w:sz w:val="21"/>
          <w:highlight w:val="none"/>
        </w:rPr>
      </w:pPr>
      <w:bookmarkStart w:id="113" w:name="_Toc169487814"/>
      <w:bookmarkStart w:id="114" w:name="_Toc155342567"/>
      <w:bookmarkStart w:id="115" w:name="_Toc500208496"/>
      <w:r>
        <w:rPr>
          <w:rFonts w:hint="eastAsia" w:ascii="黑体" w:hAnsi="宋体" w:eastAsia="黑体"/>
          <w:b/>
          <w:color w:val="auto"/>
          <w:sz w:val="21"/>
          <w:highlight w:val="none"/>
        </w:rPr>
        <w:t>中标候选人公示</w:t>
      </w:r>
      <w:bookmarkEnd w:id="113"/>
      <w:bookmarkEnd w:id="114"/>
    </w:p>
    <w:p w14:paraId="76E235C4">
      <w:pPr>
        <w:pStyle w:val="10"/>
        <w:numPr>
          <w:ilvl w:val="1"/>
          <w:numId w:val="3"/>
        </w:numPr>
        <w:ind w:firstLine="420" w:firstLineChars="200"/>
        <w:rPr>
          <w:color w:val="auto"/>
          <w:highlight w:val="none"/>
        </w:rPr>
      </w:pPr>
      <w:bookmarkStart w:id="116" w:name="_Toc169487815"/>
      <w:bookmarkStart w:id="117" w:name="_Toc155342568"/>
      <w:r>
        <w:rPr>
          <w:rFonts w:hint="eastAsia"/>
          <w:color w:val="auto"/>
          <w:highlight w:val="none"/>
        </w:rPr>
        <w:t>招标人应当将评标委员会推荐的中标候选人在交易场所（发布招标公告的媒体上）进行公示，公示期不得少于1个工作日。</w:t>
      </w:r>
    </w:p>
    <w:p w14:paraId="09F6C0D4">
      <w:pPr>
        <w:pStyle w:val="10"/>
        <w:numPr>
          <w:ilvl w:val="1"/>
          <w:numId w:val="3"/>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F1B0253">
      <w:pPr>
        <w:pStyle w:val="10"/>
        <w:numPr>
          <w:ilvl w:val="1"/>
          <w:numId w:val="3"/>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54906286">
      <w:pPr>
        <w:pStyle w:val="10"/>
        <w:numPr>
          <w:ilvl w:val="1"/>
          <w:numId w:val="3"/>
        </w:numPr>
        <w:ind w:firstLine="420" w:firstLineChars="200"/>
        <w:rPr>
          <w:color w:val="auto"/>
          <w:highlight w:val="none"/>
        </w:rPr>
      </w:pPr>
      <w:r>
        <w:rPr>
          <w:rFonts w:hint="eastAsia"/>
          <w:color w:val="auto"/>
          <w:highlight w:val="none"/>
        </w:rPr>
        <w:t>中标候选人有以下情形之一的，其资格无效：</w:t>
      </w:r>
    </w:p>
    <w:p w14:paraId="1DA2E388">
      <w:pPr>
        <w:numPr>
          <w:ilvl w:val="0"/>
          <w:numId w:val="4"/>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1DF3AFA4">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356F0F80">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79BE591D">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52D1846C">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2A8B57C7">
      <w:pPr>
        <w:keepNext/>
        <w:keepLines/>
        <w:numPr>
          <w:ilvl w:val="0"/>
          <w:numId w:val="3"/>
        </w:numPr>
        <w:spacing w:before="360" w:line="288" w:lineRule="auto"/>
        <w:jc w:val="left"/>
        <w:outlineLvl w:val="2"/>
        <w:rPr>
          <w:rFonts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中标通知书</w:t>
      </w:r>
      <w:bookmarkEnd w:id="118"/>
    </w:p>
    <w:p w14:paraId="199EAB44">
      <w:pPr>
        <w:pStyle w:val="10"/>
        <w:numPr>
          <w:ilvl w:val="1"/>
          <w:numId w:val="3"/>
        </w:numPr>
        <w:ind w:firstLine="420" w:firstLineChars="200"/>
        <w:rPr>
          <w:b/>
          <w:color w:val="auto"/>
          <w:highlight w:val="none"/>
        </w:rPr>
      </w:pPr>
      <w:bookmarkStart w:id="120" w:name="_Toc155342569"/>
      <w:bookmarkStart w:id="121" w:name="_Toc169487817"/>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7C199276">
      <w:pPr>
        <w:pStyle w:val="10"/>
        <w:numPr>
          <w:ilvl w:val="1"/>
          <w:numId w:val="3"/>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676B9715">
      <w:pPr>
        <w:pStyle w:val="10"/>
        <w:numPr>
          <w:ilvl w:val="1"/>
          <w:numId w:val="3"/>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330DA2ED">
      <w:pPr>
        <w:pStyle w:val="10"/>
        <w:numPr>
          <w:ilvl w:val="1"/>
          <w:numId w:val="3"/>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535A93BD">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3EF58CF6">
      <w:pPr>
        <w:pStyle w:val="10"/>
        <w:numPr>
          <w:ilvl w:val="1"/>
          <w:numId w:val="3"/>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6F031143">
      <w:pPr>
        <w:pStyle w:val="10"/>
        <w:numPr>
          <w:ilvl w:val="1"/>
          <w:numId w:val="3"/>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2412AD9A">
      <w:pPr>
        <w:pStyle w:val="10"/>
        <w:numPr>
          <w:ilvl w:val="1"/>
          <w:numId w:val="3"/>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p w14:paraId="7AB35A91">
      <w:pPr>
        <w:pStyle w:val="10"/>
        <w:numPr>
          <w:ilvl w:val="1"/>
          <w:numId w:val="3"/>
        </w:numPr>
        <w:ind w:firstLine="420" w:firstLineChars="200"/>
        <w:rPr>
          <w:color w:val="auto"/>
          <w:highlight w:val="none"/>
        </w:rPr>
      </w:pP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bookmarkEnd w:id="119"/>
    </w:p>
    <w:bookmarkEnd w:id="3"/>
    <w:bookmarkEnd w:id="4"/>
    <w:bookmarkEnd w:id="5"/>
    <w:bookmarkEnd w:id="6"/>
    <w:p w14:paraId="030FB37E">
      <w:pPr>
        <w:pStyle w:val="3"/>
        <w:spacing w:line="288" w:lineRule="auto"/>
        <w:ind w:left="300"/>
        <w:rPr>
          <w:rFonts w:ascii="宋体" w:eastAsia="宋体"/>
          <w:b w:val="0"/>
          <w:bCs/>
          <w:color w:val="auto"/>
          <w:sz w:val="44"/>
          <w:highlight w:val="none"/>
        </w:rPr>
      </w:pPr>
      <w:bookmarkStart w:id="122" w:name="_Toc386121568"/>
      <w:bookmarkStart w:id="123" w:name="_Toc386121757"/>
      <w:bookmarkStart w:id="124" w:name="_Toc511741120"/>
      <w:bookmarkStart w:id="125" w:name="_Toc169487823"/>
    </w:p>
    <w:p w14:paraId="04F04442">
      <w:pPr>
        <w:rPr>
          <w:rFonts w:ascii="宋体" w:eastAsia="宋体"/>
          <w:bCs/>
          <w:color w:val="auto"/>
          <w:sz w:val="44"/>
          <w:highlight w:val="none"/>
        </w:rPr>
      </w:pPr>
    </w:p>
    <w:p w14:paraId="6F8CE88B">
      <w:pPr>
        <w:rPr>
          <w:rFonts w:ascii="宋体" w:eastAsia="宋体"/>
          <w:bCs/>
          <w:color w:val="auto"/>
          <w:sz w:val="44"/>
          <w:highlight w:val="none"/>
        </w:rPr>
      </w:pPr>
    </w:p>
    <w:p w14:paraId="1B67D551">
      <w:pPr>
        <w:pStyle w:val="22"/>
        <w:rPr>
          <w:color w:val="auto"/>
          <w:highlight w:val="none"/>
        </w:rPr>
      </w:pPr>
    </w:p>
    <w:p w14:paraId="57EC6ED8">
      <w:pPr>
        <w:pStyle w:val="9"/>
        <w:jc w:val="both"/>
        <w:outlineLvl w:val="0"/>
        <w:rPr>
          <w:rFonts w:hint="eastAsia" w:ascii="黑体" w:hAnsi="黑体" w:eastAsia="黑体"/>
          <w:b/>
          <w:color w:val="auto"/>
          <w:sz w:val="32"/>
          <w:szCs w:val="32"/>
          <w:highlight w:val="none"/>
        </w:rPr>
      </w:pPr>
      <w:bookmarkStart w:id="126" w:name="_Toc20217"/>
      <w:bookmarkStart w:id="127" w:name="_Toc484683196"/>
      <w:bookmarkStart w:id="128" w:name="_Toc561"/>
    </w:p>
    <w:p w14:paraId="0D3E7572">
      <w:pPr>
        <w:pStyle w:val="9"/>
        <w:outlineLvl w:val="0"/>
        <w:rPr>
          <w:b/>
          <w:color w:val="auto"/>
          <w:highlight w:val="none"/>
        </w:rPr>
      </w:pPr>
      <w:r>
        <w:rPr>
          <w:rFonts w:hint="eastAsia" w:ascii="黑体" w:hAnsi="黑体" w:eastAsia="黑体"/>
          <w:b/>
          <w:color w:val="auto"/>
          <w:sz w:val="32"/>
          <w:szCs w:val="32"/>
          <w:highlight w:val="none"/>
        </w:rPr>
        <w:t>第二章  评标办法</w:t>
      </w:r>
      <w:bookmarkEnd w:id="126"/>
      <w:bookmarkEnd w:id="127"/>
    </w:p>
    <w:p w14:paraId="26CD6D0A">
      <w:pPr>
        <w:spacing w:line="720" w:lineRule="exact"/>
        <w:jc w:val="center"/>
        <w:rPr>
          <w:rFonts w:ascii="方正小标宋简体" w:hAnsi="方正小标宋简体" w:eastAsia="方正小标宋简体" w:cs="方正小标宋简体"/>
          <w:color w:val="auto"/>
          <w:sz w:val="38"/>
          <w:szCs w:val="38"/>
          <w:highlight w:val="none"/>
        </w:rPr>
      </w:pPr>
      <w:r>
        <w:rPr>
          <w:rFonts w:hint="eastAsia" w:ascii="方正小标宋简体" w:hAnsi="方正小标宋简体" w:eastAsia="方正小标宋简体" w:cs="方正小标宋简体"/>
          <w:color w:val="auto"/>
          <w:sz w:val="38"/>
          <w:szCs w:val="38"/>
          <w:highlight w:val="none"/>
        </w:rPr>
        <w:t>临海市限额以下公共资源交易工程建设项目</w:t>
      </w:r>
    </w:p>
    <w:p w14:paraId="29A7290E">
      <w:pPr>
        <w:spacing w:line="720" w:lineRule="exact"/>
        <w:jc w:val="center"/>
        <w:rPr>
          <w:rFonts w:eastAsia="黑体"/>
          <w:color w:val="auto"/>
          <w:kern w:val="0"/>
          <w:szCs w:val="32"/>
          <w:highlight w:val="none"/>
        </w:rPr>
      </w:pPr>
      <w:r>
        <w:rPr>
          <w:rFonts w:ascii="方正小标宋简体" w:hAnsi="方正小标宋简体" w:eastAsia="方正小标宋简体" w:cs="方正小标宋简体"/>
          <w:color w:val="auto"/>
          <w:sz w:val="38"/>
          <w:szCs w:val="38"/>
          <w:highlight w:val="none"/>
        </w:rPr>
        <w:t>房建市政项目</w:t>
      </w:r>
      <w:r>
        <w:rPr>
          <w:rFonts w:hint="eastAsia" w:ascii="方正小标宋简体" w:hAnsi="方正小标宋简体" w:eastAsia="方正小标宋简体" w:cs="方正小标宋简体"/>
          <w:color w:val="auto"/>
          <w:sz w:val="38"/>
          <w:szCs w:val="38"/>
          <w:highlight w:val="none"/>
        </w:rPr>
        <w:t>评标办法</w:t>
      </w:r>
    </w:p>
    <w:p w14:paraId="173F5B3A">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评标顺序</w:t>
      </w:r>
    </w:p>
    <w:p w14:paraId="35C73135">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（一）商务标评审</w:t>
      </w:r>
    </w:p>
    <w:p w14:paraId="4A1BABEB">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（二）资信标评审</w:t>
      </w:r>
    </w:p>
    <w:p w14:paraId="42A06788">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(三)确定中标候选人</w:t>
      </w:r>
    </w:p>
    <w:p w14:paraId="592C64CD">
      <w:pPr>
        <w:snapToGrid w:val="0"/>
        <w:spacing w:line="360" w:lineRule="auto"/>
        <w:ind w:firstLine="422" w:firstLineChars="200"/>
        <w:outlineLvl w:val="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一、商务标评审（100分）</w:t>
      </w:r>
    </w:p>
    <w:p w14:paraId="3F647499">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2118A927">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最高投标限价乘以调整系数作为评标标底价，即评标标底价＝最高投标限价×调整系数。（以元为单位，保留整数，小数点后第1位四舍五入）</w:t>
      </w:r>
    </w:p>
    <w:p w14:paraId="16F240E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3C47B34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006458B2">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2A5C3B50">
      <w:pPr>
        <w:snapToGrid w:val="0"/>
        <w:spacing w:line="360"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二、资信标评审</w:t>
      </w:r>
    </w:p>
    <w:p w14:paraId="7A3F5EE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0B59315">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7483CCBA">
      <w:pPr>
        <w:snapToGrid w:val="0"/>
        <w:spacing w:line="360" w:lineRule="auto"/>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b/>
          <w:bCs/>
          <w:color w:val="auto"/>
          <w:sz w:val="21"/>
          <w:szCs w:val="21"/>
          <w:highlight w:val="none"/>
        </w:rPr>
        <w:t>中标候选人的确定</w:t>
      </w:r>
    </w:p>
    <w:p w14:paraId="2006EB70">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30A57FC8">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529D5AC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14:paraId="7BC68920">
      <w:pPr>
        <w:spacing w:line="288" w:lineRule="auto"/>
        <w:ind w:firstLine="525" w:firstLineChars="250"/>
        <w:rPr>
          <w:rFonts w:ascii="宋体" w:hAnsi="宋体" w:eastAsia="宋体"/>
          <w:color w:val="auto"/>
          <w:sz w:val="21"/>
          <w:highlight w:val="none"/>
        </w:rPr>
      </w:pPr>
    </w:p>
    <w:p w14:paraId="30F72DE9">
      <w:pPr>
        <w:pStyle w:val="3"/>
        <w:spacing w:line="288" w:lineRule="auto"/>
        <w:jc w:val="both"/>
        <w:rPr>
          <w:rFonts w:hAnsi="黑体"/>
          <w:color w:val="auto"/>
          <w:sz w:val="30"/>
          <w:szCs w:val="22"/>
          <w:highlight w:val="none"/>
        </w:rPr>
      </w:pPr>
    </w:p>
    <w:p w14:paraId="452DD19E">
      <w:pPr>
        <w:rPr>
          <w:rFonts w:hAnsi="黑体"/>
          <w:color w:val="auto"/>
          <w:sz w:val="30"/>
          <w:szCs w:val="22"/>
          <w:highlight w:val="none"/>
        </w:rPr>
      </w:pPr>
    </w:p>
    <w:p w14:paraId="4EB8A7FA">
      <w:pPr>
        <w:pStyle w:val="22"/>
        <w:rPr>
          <w:color w:val="auto"/>
          <w:highlight w:val="none"/>
        </w:rPr>
      </w:pPr>
    </w:p>
    <w:p w14:paraId="76C074F4">
      <w:pPr>
        <w:pStyle w:val="3"/>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15BB305">
      <w:pPr>
        <w:pStyle w:val="31"/>
        <w:spacing w:line="288" w:lineRule="auto"/>
        <w:rPr>
          <w:rFonts w:ascii="宋体" w:hAnsi="宋体" w:eastAsia="宋体" w:cs="宋体"/>
          <w:color w:val="auto"/>
          <w:sz w:val="24"/>
          <w:szCs w:val="24"/>
          <w:highlight w:val="none"/>
        </w:rPr>
      </w:pPr>
    </w:p>
    <w:p w14:paraId="27850BDB">
      <w:pPr>
        <w:pStyle w:val="31"/>
        <w:spacing w:line="288"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合同文本采用</w:t>
      </w:r>
      <w:r>
        <w:rPr>
          <w:rFonts w:hint="eastAsia" w:ascii="宋体" w:hAnsi="宋体" w:eastAsia="宋体" w:cs="宋体"/>
          <w:b/>
          <w:bCs/>
          <w:color w:val="auto"/>
          <w:sz w:val="21"/>
          <w:szCs w:val="21"/>
          <w:highlight w:val="none"/>
        </w:rPr>
        <w:t>《建设工程施工合同（GF—2017—0201）专用条款台州示范文本（定额计价）》（台建〔2020〕120号）</w:t>
      </w:r>
      <w:r>
        <w:rPr>
          <w:rFonts w:hint="eastAsia" w:ascii="宋体" w:hAnsi="宋体" w:eastAsia="宋体" w:cs="宋体"/>
          <w:color w:val="auto"/>
          <w:sz w:val="21"/>
          <w:szCs w:val="21"/>
          <w:highlight w:val="none"/>
        </w:rPr>
        <w:t>。</w:t>
      </w:r>
    </w:p>
    <w:p w14:paraId="0E5CD398">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合同通用条款采用《台州市建设工程施工合同（示范文本）》的通用条款。</w:t>
      </w:r>
    </w:p>
    <w:p w14:paraId="1214B605">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合同专用条款中的主要条款将由招标人(发包人)与中标人(承包人)根据各具体工程的投标文件签订。</w:t>
      </w:r>
    </w:p>
    <w:p w14:paraId="4CA7B48D">
      <w:pPr>
        <w:pStyle w:val="13"/>
        <w:ind w:left="1920"/>
        <w:rPr>
          <w:color w:val="auto"/>
          <w:highlight w:val="none"/>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0D15B3E">
      <w:pPr>
        <w:pStyle w:val="5"/>
        <w:numPr>
          <w:ilvl w:val="0"/>
          <w:numId w:val="0"/>
        </w:numPr>
        <w:spacing w:line="400" w:lineRule="exact"/>
        <w:ind w:left="574"/>
        <w:jc w:val="center"/>
        <w:rPr>
          <w:rFonts w:ascii="宋体" w:eastAsia="宋体" w:cs="宋体"/>
          <w:color w:val="auto"/>
          <w:sz w:val="32"/>
          <w:szCs w:val="32"/>
          <w:highlight w:val="none"/>
        </w:rPr>
      </w:pPr>
      <w:bookmarkStart w:id="129" w:name="_Toc511741122"/>
      <w:bookmarkStart w:id="130" w:name="_Toc267580969"/>
      <w:bookmarkStart w:id="131" w:name="_Toc239477934"/>
      <w:r>
        <w:rPr>
          <w:rFonts w:hint="eastAsia" w:ascii="宋体" w:eastAsia="宋体" w:cs="宋体"/>
          <w:color w:val="auto"/>
          <w:sz w:val="32"/>
          <w:szCs w:val="32"/>
          <w:highlight w:val="none"/>
        </w:rPr>
        <w:t>第一部分  合同协议书</w:t>
      </w:r>
    </w:p>
    <w:p w14:paraId="2892D565">
      <w:pPr>
        <w:spacing w:line="400" w:lineRule="exact"/>
        <w:rPr>
          <w:rFonts w:ascii="宋体" w:hAnsi="宋体" w:eastAsia="宋体" w:cs="宋体"/>
          <w:color w:val="auto"/>
          <w:sz w:val="21"/>
          <w:szCs w:val="21"/>
          <w:highlight w:val="none"/>
        </w:rPr>
      </w:pPr>
    </w:p>
    <w:p w14:paraId="6DA9987C">
      <w:pPr>
        <w:spacing w:line="36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val="en-US" w:eastAsia="zh-CN"/>
        </w:rPr>
        <w:t>临海市上盘镇新塘岸村村民委员会</w:t>
      </w:r>
    </w:p>
    <w:p w14:paraId="12A30EE7">
      <w:pPr>
        <w:spacing w:line="360" w:lineRule="exact"/>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058AAA22">
      <w:pPr>
        <w:spacing w:line="360" w:lineRule="exact"/>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临海市上盘镇新塘岸村村民活动中心（二期）</w:t>
      </w:r>
      <w:r>
        <w:rPr>
          <w:rFonts w:hint="eastAsia" w:ascii="宋体" w:hAnsi="宋体" w:eastAsia="宋体" w:cs="宋体"/>
          <w:color w:val="auto"/>
          <w:sz w:val="21"/>
          <w:szCs w:val="21"/>
          <w:highlight w:val="none"/>
        </w:rPr>
        <w:t>工程施工及有关事项协商一致，共同达成如下协议：</w:t>
      </w:r>
    </w:p>
    <w:p w14:paraId="3CEBA9C3">
      <w:pPr>
        <w:pStyle w:val="7"/>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一、工程概况</w:t>
      </w:r>
    </w:p>
    <w:p w14:paraId="5BF3E069">
      <w:pPr>
        <w:spacing w:line="360" w:lineRule="exact"/>
        <w:ind w:firstLine="404" w:firstLineChars="196"/>
        <w:rPr>
          <w:rFonts w:hint="eastAsia" w:ascii="宋体" w:hAnsi="宋体" w:eastAsia="宋体" w:cs="宋体"/>
          <w:b/>
          <w:bCs/>
          <w:color w:val="auto"/>
          <w:sz w:val="21"/>
          <w:szCs w:val="21"/>
          <w:highlight w:val="none"/>
          <w:u w:val="single"/>
          <w:lang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lang w:eastAsia="zh-CN"/>
        </w:rPr>
        <w:t>临海市上盘镇新塘岸村村民活动中心（二期）</w:t>
      </w:r>
    </w:p>
    <w:p w14:paraId="16D3F3B8">
      <w:pPr>
        <w:spacing w:line="360" w:lineRule="exact"/>
        <w:ind w:firstLine="404" w:firstLine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2．工程地点：</w:t>
      </w:r>
      <w:r>
        <w:rPr>
          <w:rFonts w:hint="eastAsia" w:ascii="宋体" w:hAnsi="宋体" w:eastAsia="宋体" w:cs="宋体"/>
          <w:b/>
          <w:bCs/>
          <w:color w:val="auto"/>
          <w:sz w:val="21"/>
          <w:szCs w:val="21"/>
          <w:highlight w:val="none"/>
          <w:u w:val="single"/>
          <w:lang w:eastAsia="zh-CN"/>
        </w:rPr>
        <w:t>临海市上盘镇新塘岸村</w:t>
      </w:r>
    </w:p>
    <w:p w14:paraId="5EF1255C">
      <w:pPr>
        <w:spacing w:line="360" w:lineRule="exact"/>
        <w:ind w:firstLine="404" w:firstLineChars="196"/>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3．工程立项批准文号：</w:t>
      </w:r>
      <w:r>
        <w:rPr>
          <w:rFonts w:hint="eastAsia" w:ascii="宋体" w:hAnsi="宋体" w:eastAsia="宋体" w:cs="宋体"/>
          <w:bCs/>
          <w:color w:val="auto"/>
          <w:sz w:val="21"/>
          <w:szCs w:val="21"/>
          <w:highlight w:val="none"/>
          <w:u w:val="single"/>
          <w:lang w:val="en-US" w:eastAsia="zh-CN"/>
        </w:rPr>
        <w:t>临财农【2025】3号</w:t>
      </w:r>
    </w:p>
    <w:p w14:paraId="20B817ED">
      <w:pPr>
        <w:spacing w:line="360" w:lineRule="exact"/>
        <w:ind w:firstLine="404" w:firstLine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4．资金来源：</w:t>
      </w:r>
      <w:r>
        <w:rPr>
          <w:rFonts w:hint="eastAsia" w:ascii="宋体" w:hAnsi="宋体" w:eastAsia="宋体" w:cs="宋体"/>
          <w:bCs/>
          <w:color w:val="auto"/>
          <w:sz w:val="21"/>
          <w:szCs w:val="21"/>
          <w:highlight w:val="none"/>
          <w:u w:val="single"/>
          <w:lang w:eastAsia="zh-CN"/>
        </w:rPr>
        <w:t>财政拨款及村自筹</w:t>
      </w:r>
    </w:p>
    <w:p w14:paraId="323F87DA">
      <w:pPr>
        <w:spacing w:line="360" w:lineRule="exact"/>
        <w:ind w:firstLine="404" w:firstLineChars="196"/>
        <w:rPr>
          <w:rFonts w:hint="eastAsia" w:ascii="宋体" w:hAnsi="宋体" w:eastAsia="宋体"/>
          <w:color w:val="auto"/>
          <w:sz w:val="21"/>
          <w:highlight w:val="none"/>
          <w:lang w:eastAsia="zh-CN"/>
        </w:rPr>
      </w:pPr>
      <w:r>
        <w:rPr>
          <w:rFonts w:hint="eastAsia" w:ascii="宋体" w:hAnsi="宋体" w:eastAsia="宋体" w:cs="宋体"/>
          <w:bCs/>
          <w:color w:val="auto"/>
          <w:sz w:val="21"/>
          <w:szCs w:val="21"/>
          <w:highlight w:val="none"/>
        </w:rPr>
        <w:t>5．工程内容：</w:t>
      </w:r>
      <w:r>
        <w:rPr>
          <w:rFonts w:hint="eastAsia" w:ascii="宋体" w:hAnsi="宋体" w:eastAsia="宋体" w:cs="宋体"/>
          <w:bCs/>
          <w:color w:val="auto"/>
          <w:sz w:val="21"/>
          <w:szCs w:val="21"/>
          <w:highlight w:val="none"/>
          <w:u w:val="single"/>
          <w:lang w:eastAsia="zh-CN"/>
        </w:rPr>
        <w:t>图纸范围内的建筑安装工程。</w:t>
      </w:r>
    </w:p>
    <w:p w14:paraId="761680CE">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3BB754F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6DCAF1E8">
      <w:pPr>
        <w:spacing w:line="36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发包人提供的图纸范围内的</w:t>
      </w:r>
      <w:r>
        <w:rPr>
          <w:rFonts w:hint="eastAsia" w:ascii="宋体" w:hAnsi="宋体" w:eastAsia="宋体" w:cs="宋体"/>
          <w:b/>
          <w:bCs/>
          <w:color w:val="auto"/>
          <w:sz w:val="21"/>
          <w:szCs w:val="21"/>
          <w:highlight w:val="none"/>
          <w:u w:val="single"/>
          <w:lang w:eastAsia="zh-CN"/>
        </w:rPr>
        <w:t>临海市上盘镇新塘岸村村民活动中心（二期）</w:t>
      </w:r>
      <w:r>
        <w:rPr>
          <w:rFonts w:hint="eastAsia" w:ascii="宋体" w:hAnsi="宋体" w:eastAsia="宋体" w:cs="宋体"/>
          <w:color w:val="auto"/>
          <w:sz w:val="21"/>
          <w:szCs w:val="21"/>
          <w:highlight w:val="none"/>
          <w:u w:val="single"/>
        </w:rPr>
        <w:t xml:space="preserve"> ，具体内容以发包人提供的预算为准。</w:t>
      </w:r>
    </w:p>
    <w:p w14:paraId="6F4A944F">
      <w:pPr>
        <w:pStyle w:val="7"/>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二、合同工期</w:t>
      </w:r>
    </w:p>
    <w:p w14:paraId="54A21CC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14:paraId="5C0A5C44">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14:paraId="5AD10890">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7332D645">
      <w:pPr>
        <w:pStyle w:val="7"/>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三、质量标准</w:t>
      </w:r>
    </w:p>
    <w:p w14:paraId="09BAE418">
      <w:pPr>
        <w:spacing w:line="360" w:lineRule="exact"/>
        <w:ind w:firstLine="45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000D4D2F">
      <w:pPr>
        <w:pStyle w:val="7"/>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四、签约合同价与合同价格形式</w:t>
      </w:r>
    </w:p>
    <w:p w14:paraId="590D825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707DA41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E124AD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14:paraId="1C9F697E">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3．发包人向承包人支付工程价款及其他应当支付的款项均须汇入承包人合同协议书中的银行账户（先开票后付款）。</w:t>
      </w:r>
    </w:p>
    <w:p w14:paraId="4F7C948D">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hint="eastAsia"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14:paraId="25F5239C">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（1）一般计税方法。</w:t>
      </w:r>
    </w:p>
    <w:p w14:paraId="264EA856">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shd w:val="clear" w:color="auto" w:fill="FFFFFF"/>
        </w:rPr>
        <w:t>简易计税方法。</w:t>
      </w:r>
    </w:p>
    <w:p w14:paraId="635E47AE">
      <w:pPr>
        <w:pStyle w:val="7"/>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五、项目经理</w:t>
      </w:r>
    </w:p>
    <w:p w14:paraId="24101CA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7DF7909">
      <w:pPr>
        <w:pStyle w:val="7"/>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六、合同文件构成</w:t>
      </w:r>
    </w:p>
    <w:p w14:paraId="2BD39DE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7682F5B7">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58C488BF">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14:paraId="0533E620">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7ECB06DD">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3786BF05">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7C7834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419EE221">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1CCD5F0E">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2FAD27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6261B6B4">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4ABD07AC">
      <w:pPr>
        <w:pStyle w:val="7"/>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七、创优目标</w:t>
      </w:r>
    </w:p>
    <w:p w14:paraId="1DDD64A8">
      <w:pPr>
        <w:pStyle w:val="7"/>
        <w:keepNext w:val="0"/>
        <w:keepLines w:val="0"/>
        <w:spacing w:line="360" w:lineRule="exact"/>
        <w:ind w:firstLine="412" w:firstLineChars="200"/>
        <w:rPr>
          <w:rFonts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本工程</w:t>
      </w:r>
      <w:r>
        <w:rPr>
          <w:rFonts w:hint="eastAsia" w:ascii="宋体" w:hAnsi="宋体" w:eastAsia="宋体" w:cs="宋体"/>
          <w:b w:val="0"/>
          <w:bCs w:val="0"/>
          <w:color w:val="auto"/>
          <w:sz w:val="21"/>
          <w:szCs w:val="21"/>
          <w:highlight w:val="none"/>
          <w:u w:val="single"/>
        </w:rPr>
        <w:t>无创优质工程目标</w:t>
      </w:r>
      <w:r>
        <w:rPr>
          <w:rFonts w:hint="eastAsia" w:ascii="宋体" w:hAnsi="宋体" w:eastAsia="宋体" w:cs="宋体"/>
          <w:b w:val="0"/>
          <w:bCs w:val="0"/>
          <w:color w:val="auto"/>
          <w:sz w:val="21"/>
          <w:szCs w:val="21"/>
          <w:highlight w:val="none"/>
        </w:rPr>
        <w:t>。</w:t>
      </w:r>
    </w:p>
    <w:p w14:paraId="1439A8D8">
      <w:pPr>
        <w:pStyle w:val="7"/>
        <w:keepNext w:val="0"/>
        <w:keepLines w:val="0"/>
        <w:spacing w:line="360" w:lineRule="exact"/>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八、承诺</w:t>
      </w:r>
    </w:p>
    <w:p w14:paraId="41BAF39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38B67FC5">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54BA93B7">
      <w:pPr>
        <w:tabs>
          <w:tab w:val="left" w:pos="0"/>
        </w:tabs>
        <w:spacing w:line="36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14:paraId="4175449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4．发包人和承包人通过招投标形式签订合同的，双方理解并承诺不再就同一工程另行签订与合同实质性内容相背离的协议。</w:t>
      </w:r>
    </w:p>
    <w:p w14:paraId="5C46F0FE">
      <w:pPr>
        <w:spacing w:line="360" w:lineRule="exac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九、词语含义</w:t>
      </w:r>
    </w:p>
    <w:p w14:paraId="515578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2840AD7A">
      <w:pPr>
        <w:pStyle w:val="7"/>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十、签订时间</w:t>
      </w:r>
    </w:p>
    <w:p w14:paraId="47563B7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211E48DA">
      <w:pPr>
        <w:pStyle w:val="7"/>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十一、签订地点</w:t>
      </w:r>
    </w:p>
    <w:p w14:paraId="06CE8E3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3B6739B7">
      <w:pPr>
        <w:pStyle w:val="7"/>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十二、补充协议</w:t>
      </w:r>
    </w:p>
    <w:p w14:paraId="17EA3B10">
      <w:pPr>
        <w:spacing w:line="36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41867645">
      <w:pPr>
        <w:pStyle w:val="7"/>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十三、合同生效</w:t>
      </w:r>
    </w:p>
    <w:p w14:paraId="41A92E6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双方法定代表人或委托代理人签字并加盖公章后 </w:t>
      </w:r>
      <w:r>
        <w:rPr>
          <w:rFonts w:hint="eastAsia" w:ascii="宋体" w:hAnsi="宋体" w:eastAsia="宋体" w:cs="宋体"/>
          <w:bCs/>
          <w:color w:val="auto"/>
          <w:sz w:val="21"/>
          <w:szCs w:val="21"/>
          <w:highlight w:val="none"/>
        </w:rPr>
        <w:t>生效。</w:t>
      </w:r>
    </w:p>
    <w:p w14:paraId="3D9512B7">
      <w:pPr>
        <w:pStyle w:val="7"/>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十四、合同份数</w:t>
      </w:r>
    </w:p>
    <w:p w14:paraId="7DCD58A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份，招标代理机构执</w:t>
      </w:r>
      <w:r>
        <w:rPr>
          <w:rFonts w:hint="eastAsia" w:ascii="宋体" w:hAnsi="宋体" w:eastAsia="宋体" w:cs="宋体"/>
          <w:bCs/>
          <w:color w:val="auto"/>
          <w:sz w:val="21"/>
          <w:szCs w:val="21"/>
          <w:highlight w:val="none"/>
          <w:u w:val="single"/>
        </w:rPr>
        <w:t xml:space="preserve"> 贰 </w:t>
      </w:r>
      <w:r>
        <w:rPr>
          <w:rFonts w:hint="eastAsia" w:ascii="宋体" w:hAnsi="宋体" w:eastAsia="宋体" w:cs="宋体"/>
          <w:bCs/>
          <w:color w:val="auto"/>
          <w:sz w:val="21"/>
          <w:szCs w:val="21"/>
          <w:highlight w:val="none"/>
        </w:rPr>
        <w:t>份。</w:t>
      </w:r>
    </w:p>
    <w:p w14:paraId="060348CB">
      <w:pPr>
        <w:spacing w:line="360" w:lineRule="exact"/>
        <w:ind w:firstLine="412" w:firstLineChars="200"/>
        <w:rPr>
          <w:rFonts w:ascii="宋体" w:hAnsi="宋体" w:eastAsia="宋体" w:cs="宋体"/>
          <w:bCs/>
          <w:color w:val="auto"/>
          <w:sz w:val="21"/>
          <w:szCs w:val="21"/>
          <w:highlight w:val="none"/>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78DB5B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795" w:hRule="atLeast"/>
        </w:trPr>
        <w:tc>
          <w:tcPr>
            <w:tcW w:w="4440" w:type="dxa"/>
          </w:tcPr>
          <w:p w14:paraId="05C4FB4C">
            <w:pPr>
              <w:spacing w:line="360" w:lineRule="exact"/>
              <w:ind w:firstLine="412" w:firstLineChars="200"/>
              <w:rPr>
                <w:rFonts w:ascii="宋体" w:hAnsi="宋体" w:eastAsia="宋体" w:cs="宋体"/>
                <w:bCs/>
                <w:color w:val="auto"/>
                <w:sz w:val="21"/>
                <w:szCs w:val="21"/>
                <w:highlight w:val="none"/>
              </w:rPr>
            </w:pPr>
          </w:p>
          <w:p w14:paraId="5AD44A2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发包人：（公章或合同专用章）</w:t>
            </w:r>
          </w:p>
          <w:p w14:paraId="1F8EB8B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03122DB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05D3DF1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072B2C8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77EAB3A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7A46387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54A5CEA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6894046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p w14:paraId="0EE6BE5B">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c>
          <w:tcPr>
            <w:tcW w:w="4620" w:type="dxa"/>
          </w:tcPr>
          <w:p w14:paraId="551F3F9B">
            <w:pPr>
              <w:spacing w:line="360" w:lineRule="exact"/>
              <w:ind w:firstLine="412" w:firstLineChars="200"/>
              <w:rPr>
                <w:rFonts w:ascii="宋体" w:hAnsi="宋体" w:eastAsia="宋体" w:cs="宋体"/>
                <w:bCs/>
                <w:color w:val="auto"/>
                <w:sz w:val="21"/>
                <w:szCs w:val="21"/>
                <w:highlight w:val="none"/>
              </w:rPr>
            </w:pPr>
          </w:p>
          <w:p w14:paraId="6E5C20E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承包人：（公章或合同专用章）</w:t>
            </w:r>
          </w:p>
          <w:p w14:paraId="615F3EA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7DA769B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16FC93C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4A2D008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54C81D4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5645CB3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3746F87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49B135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　　　　</w:t>
            </w:r>
          </w:p>
          <w:p w14:paraId="78C298E1">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r>
    </w:tbl>
    <w:p w14:paraId="134EFF28">
      <w:pPr>
        <w:pStyle w:val="5"/>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Cs w:val="21"/>
          <w:highlight w:val="none"/>
        </w:rPr>
        <w:br w:type="page"/>
      </w:r>
      <w:r>
        <w:rPr>
          <w:rFonts w:hint="eastAsia" w:ascii="宋体" w:eastAsia="宋体" w:cs="宋体"/>
          <w:color w:val="auto"/>
          <w:sz w:val="32"/>
          <w:szCs w:val="32"/>
          <w:highlight w:val="none"/>
        </w:rPr>
        <w:t>第二部分 通用条款（略）</w:t>
      </w:r>
    </w:p>
    <w:p w14:paraId="7969DBC4">
      <w:pPr>
        <w:rPr>
          <w:rFonts w:ascii="宋体" w:hAnsi="宋体" w:eastAsia="宋体" w:cs="宋体"/>
          <w:b/>
          <w:color w:val="auto"/>
          <w:sz w:val="28"/>
          <w:szCs w:val="28"/>
          <w:highlight w:val="none"/>
        </w:rPr>
      </w:pPr>
    </w:p>
    <w:p w14:paraId="73FA4231">
      <w:pPr>
        <w:rPr>
          <w:rFonts w:ascii="宋体" w:hAnsi="宋体" w:eastAsia="宋体" w:cs="宋体"/>
          <w:b/>
          <w:color w:val="auto"/>
          <w:sz w:val="21"/>
          <w:szCs w:val="21"/>
          <w:highlight w:val="none"/>
        </w:rPr>
      </w:pPr>
    </w:p>
    <w:p w14:paraId="4FABFE47">
      <w:pPr>
        <w:rPr>
          <w:rFonts w:ascii="宋体" w:hAnsi="宋体" w:eastAsia="宋体" w:cs="宋体"/>
          <w:b/>
          <w:color w:val="auto"/>
          <w:sz w:val="21"/>
          <w:szCs w:val="21"/>
          <w:highlight w:val="none"/>
        </w:rPr>
      </w:pPr>
    </w:p>
    <w:p w14:paraId="07C63803">
      <w:pPr>
        <w:rPr>
          <w:rFonts w:ascii="宋体" w:hAnsi="宋体" w:eastAsia="宋体" w:cs="宋体"/>
          <w:b/>
          <w:color w:val="auto"/>
          <w:sz w:val="21"/>
          <w:szCs w:val="21"/>
          <w:highlight w:val="none"/>
        </w:rPr>
      </w:pPr>
    </w:p>
    <w:p w14:paraId="7C6626BB">
      <w:pPr>
        <w:rPr>
          <w:rFonts w:ascii="宋体" w:hAnsi="宋体" w:eastAsia="宋体" w:cs="宋体"/>
          <w:b/>
          <w:color w:val="auto"/>
          <w:sz w:val="21"/>
          <w:szCs w:val="21"/>
          <w:highlight w:val="none"/>
        </w:rPr>
      </w:pPr>
    </w:p>
    <w:p w14:paraId="62A02A31">
      <w:pPr>
        <w:rPr>
          <w:rFonts w:ascii="宋体" w:hAnsi="宋体" w:eastAsia="宋体" w:cs="宋体"/>
          <w:b/>
          <w:color w:val="auto"/>
          <w:sz w:val="21"/>
          <w:szCs w:val="21"/>
          <w:highlight w:val="none"/>
        </w:rPr>
      </w:pPr>
    </w:p>
    <w:p w14:paraId="459DA755">
      <w:pPr>
        <w:rPr>
          <w:rFonts w:ascii="宋体" w:hAnsi="宋体" w:eastAsia="宋体" w:cs="宋体"/>
          <w:b/>
          <w:color w:val="auto"/>
          <w:sz w:val="21"/>
          <w:szCs w:val="21"/>
          <w:highlight w:val="none"/>
        </w:rPr>
      </w:pPr>
    </w:p>
    <w:p w14:paraId="4D7C8B7C">
      <w:pPr>
        <w:rPr>
          <w:rFonts w:ascii="宋体" w:hAnsi="宋体" w:eastAsia="宋体" w:cs="宋体"/>
          <w:b/>
          <w:color w:val="auto"/>
          <w:sz w:val="21"/>
          <w:szCs w:val="21"/>
          <w:highlight w:val="none"/>
        </w:rPr>
      </w:pPr>
    </w:p>
    <w:p w14:paraId="5B46581B">
      <w:pPr>
        <w:rPr>
          <w:rFonts w:ascii="宋体" w:hAnsi="宋体" w:eastAsia="宋体" w:cs="宋体"/>
          <w:b/>
          <w:color w:val="auto"/>
          <w:sz w:val="21"/>
          <w:szCs w:val="21"/>
          <w:highlight w:val="none"/>
        </w:rPr>
      </w:pPr>
    </w:p>
    <w:p w14:paraId="0BD7C1F4">
      <w:pPr>
        <w:rPr>
          <w:rFonts w:ascii="宋体" w:hAnsi="宋体" w:eastAsia="宋体" w:cs="宋体"/>
          <w:b/>
          <w:color w:val="auto"/>
          <w:sz w:val="21"/>
          <w:szCs w:val="21"/>
          <w:highlight w:val="none"/>
        </w:rPr>
      </w:pPr>
    </w:p>
    <w:p w14:paraId="4431194C">
      <w:pPr>
        <w:rPr>
          <w:rFonts w:ascii="宋体" w:hAnsi="宋体" w:eastAsia="宋体" w:cs="宋体"/>
          <w:b/>
          <w:color w:val="auto"/>
          <w:sz w:val="21"/>
          <w:szCs w:val="21"/>
          <w:highlight w:val="none"/>
        </w:rPr>
      </w:pPr>
    </w:p>
    <w:p w14:paraId="07CC3043">
      <w:pPr>
        <w:rPr>
          <w:rFonts w:ascii="宋体" w:hAnsi="宋体" w:eastAsia="宋体" w:cs="宋体"/>
          <w:b/>
          <w:color w:val="auto"/>
          <w:sz w:val="21"/>
          <w:szCs w:val="21"/>
          <w:highlight w:val="none"/>
        </w:rPr>
      </w:pPr>
    </w:p>
    <w:p w14:paraId="2D5CC43C">
      <w:pPr>
        <w:rPr>
          <w:rFonts w:ascii="宋体" w:hAnsi="宋体" w:eastAsia="宋体" w:cs="宋体"/>
          <w:b/>
          <w:color w:val="auto"/>
          <w:sz w:val="21"/>
          <w:szCs w:val="21"/>
          <w:highlight w:val="none"/>
        </w:rPr>
      </w:pPr>
    </w:p>
    <w:p w14:paraId="46146E50">
      <w:pPr>
        <w:rPr>
          <w:rFonts w:ascii="宋体" w:hAnsi="宋体" w:eastAsia="宋体" w:cs="宋体"/>
          <w:b/>
          <w:color w:val="auto"/>
          <w:sz w:val="21"/>
          <w:szCs w:val="21"/>
          <w:highlight w:val="none"/>
        </w:rPr>
      </w:pPr>
    </w:p>
    <w:p w14:paraId="217082B2">
      <w:pPr>
        <w:rPr>
          <w:rFonts w:ascii="宋体" w:hAnsi="宋体" w:eastAsia="宋体" w:cs="宋体"/>
          <w:b/>
          <w:color w:val="auto"/>
          <w:sz w:val="21"/>
          <w:szCs w:val="21"/>
          <w:highlight w:val="none"/>
        </w:rPr>
      </w:pPr>
    </w:p>
    <w:p w14:paraId="7585778F">
      <w:pPr>
        <w:rPr>
          <w:rFonts w:ascii="宋体" w:hAnsi="宋体" w:eastAsia="宋体" w:cs="宋体"/>
          <w:b/>
          <w:color w:val="auto"/>
          <w:sz w:val="21"/>
          <w:szCs w:val="21"/>
          <w:highlight w:val="none"/>
        </w:rPr>
      </w:pPr>
    </w:p>
    <w:p w14:paraId="57560F53">
      <w:pPr>
        <w:rPr>
          <w:rFonts w:ascii="宋体" w:hAnsi="宋体" w:eastAsia="宋体" w:cs="宋体"/>
          <w:b/>
          <w:color w:val="auto"/>
          <w:sz w:val="21"/>
          <w:szCs w:val="21"/>
          <w:highlight w:val="none"/>
        </w:rPr>
      </w:pPr>
    </w:p>
    <w:p w14:paraId="6AE7C3BC">
      <w:pPr>
        <w:rPr>
          <w:rFonts w:ascii="宋体" w:hAnsi="宋体" w:eastAsia="宋体" w:cs="宋体"/>
          <w:b/>
          <w:color w:val="auto"/>
          <w:sz w:val="21"/>
          <w:szCs w:val="21"/>
          <w:highlight w:val="none"/>
        </w:rPr>
      </w:pPr>
    </w:p>
    <w:p w14:paraId="189BE5ED">
      <w:pPr>
        <w:rPr>
          <w:rFonts w:ascii="宋体" w:hAnsi="宋体" w:eastAsia="宋体" w:cs="宋体"/>
          <w:b/>
          <w:color w:val="auto"/>
          <w:sz w:val="21"/>
          <w:szCs w:val="21"/>
          <w:highlight w:val="none"/>
        </w:rPr>
      </w:pPr>
    </w:p>
    <w:p w14:paraId="35705124">
      <w:pPr>
        <w:widowControl/>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br w:type="page"/>
      </w:r>
    </w:p>
    <w:p w14:paraId="4F374A70">
      <w:pPr>
        <w:pStyle w:val="5"/>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 w:val="32"/>
          <w:szCs w:val="32"/>
          <w:highlight w:val="none"/>
        </w:rPr>
        <w:t>第三部分  专用合同条款</w:t>
      </w:r>
    </w:p>
    <w:p w14:paraId="7CF6354A">
      <w:pPr>
        <w:spacing w:line="400" w:lineRule="exact"/>
        <w:rPr>
          <w:rFonts w:ascii="宋体" w:hAnsi="宋体" w:eastAsia="宋体" w:cs="宋体"/>
          <w:color w:val="auto"/>
          <w:sz w:val="21"/>
          <w:szCs w:val="21"/>
          <w:highlight w:val="none"/>
        </w:rPr>
      </w:pPr>
    </w:p>
    <w:p w14:paraId="77BF43B3">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1．一般约定</w:t>
      </w:r>
    </w:p>
    <w:p w14:paraId="368C31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11262AA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542E376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008DA8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1.1.2合同当事人及其他相关方</w:t>
      </w:r>
    </w:p>
    <w:p w14:paraId="0D3FCD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317A4A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2CE223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1943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F20E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453B4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29CC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1.1.2.5设计人：</w:t>
      </w:r>
    </w:p>
    <w:p w14:paraId="4ED2A8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DA047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FD195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AF65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3084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4909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1.1.3工程和设备</w:t>
      </w:r>
    </w:p>
    <w:p w14:paraId="29C4C93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1.1.3.7作为施工现场组成部分的其他场所包括：</w:t>
      </w:r>
      <w:r>
        <w:rPr>
          <w:rFonts w:hint="eastAsia" w:ascii="宋体" w:hAnsi="宋体" w:eastAsia="宋体" w:cs="宋体"/>
          <w:color w:val="auto"/>
          <w:kern w:val="0"/>
          <w:sz w:val="21"/>
          <w:szCs w:val="21"/>
          <w:highlight w:val="none"/>
          <w:u w:val="single"/>
        </w:rPr>
        <w:t xml:space="preserve">                                        </w:t>
      </w:r>
    </w:p>
    <w:p w14:paraId="5603F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1.1.3.9永久占地包括：</w:t>
      </w:r>
      <w:r>
        <w:rPr>
          <w:rFonts w:hint="eastAsia" w:ascii="宋体" w:hAnsi="宋体" w:eastAsia="宋体" w:cs="宋体"/>
          <w:color w:val="auto"/>
          <w:kern w:val="0"/>
          <w:sz w:val="21"/>
          <w:szCs w:val="21"/>
          <w:highlight w:val="none"/>
          <w:u w:val="single"/>
        </w:rPr>
        <w:t xml:space="preserve">                                                             </w:t>
      </w:r>
    </w:p>
    <w:p w14:paraId="5C20B8A1">
      <w:pPr>
        <w:spacing w:line="400" w:lineRule="exact"/>
        <w:ind w:firstLine="412" w:firstLineChars="200"/>
        <w:rPr>
          <w:rFonts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1.1.3.10临时占地包括：</w:t>
      </w:r>
      <w:r>
        <w:rPr>
          <w:rFonts w:hint="eastAsia" w:ascii="宋体" w:hAnsi="宋体" w:eastAsia="宋体" w:cs="宋体"/>
          <w:color w:val="auto"/>
          <w:kern w:val="0"/>
          <w:sz w:val="21"/>
          <w:szCs w:val="21"/>
          <w:highlight w:val="none"/>
          <w:u w:val="single"/>
          <w:shd w:val="clear" w:color="auto" w:fill="auto"/>
        </w:rPr>
        <w:t xml:space="preserve">                                                            </w:t>
      </w:r>
    </w:p>
    <w:p w14:paraId="2857579E">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1.3 法律</w:t>
      </w:r>
    </w:p>
    <w:p w14:paraId="01781659">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适用于合同的其他规范性文件：</w:t>
      </w:r>
      <w:r>
        <w:rPr>
          <w:rFonts w:hint="eastAsia" w:ascii="宋体" w:hAnsi="宋体" w:eastAsia="宋体" w:cs="宋体"/>
          <w:color w:val="auto"/>
          <w:sz w:val="21"/>
          <w:szCs w:val="21"/>
          <w:highlight w:val="none"/>
          <w:u w:val="single"/>
          <w:shd w:val="clear" w:color="auto" w:fill="auto"/>
          <w:lang w:val="en-US" w:eastAsia="zh-CN"/>
        </w:rPr>
        <w:t>工程所在地现行的有关工程造价方面规定文件等</w:t>
      </w:r>
      <w:r>
        <w:rPr>
          <w:rFonts w:hint="eastAsia" w:ascii="宋体" w:hAnsi="宋体" w:eastAsia="宋体" w:cs="宋体"/>
          <w:color w:val="auto"/>
          <w:sz w:val="21"/>
          <w:szCs w:val="21"/>
          <w:highlight w:val="none"/>
          <w:u w:val="single"/>
          <w:shd w:val="clear" w:color="auto" w:fill="auto"/>
          <w:lang w:eastAsia="zh-CN"/>
        </w:rPr>
        <w:t>。</w:t>
      </w:r>
    </w:p>
    <w:p w14:paraId="25246551">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1.4 标准和规范</w:t>
      </w:r>
    </w:p>
    <w:p w14:paraId="661EA1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rPr>
        <w:t>1.4.1适用于工程的标准规范包括：</w:t>
      </w:r>
      <w:r>
        <w:rPr>
          <w:rFonts w:hint="eastAsia" w:ascii="宋体" w:hAnsi="宋体" w:eastAsia="宋体" w:cs="宋体"/>
          <w:color w:val="auto"/>
          <w:sz w:val="21"/>
          <w:szCs w:val="21"/>
          <w:highlight w:val="none"/>
          <w:u w:val="single"/>
          <w:shd w:val="clear" w:color="auto" w:fill="auto"/>
        </w:rPr>
        <w:t>现行的国家、省、市施工验收规范、质量评定标准及有关规定。合同工期内</w:t>
      </w:r>
      <w:r>
        <w:rPr>
          <w:rFonts w:hint="eastAsia" w:ascii="宋体" w:hAnsi="宋体" w:eastAsia="宋体" w:cs="宋体"/>
          <w:color w:val="auto"/>
          <w:sz w:val="21"/>
          <w:szCs w:val="21"/>
          <w:highlight w:val="none"/>
          <w:u w:val="single"/>
        </w:rPr>
        <w:t>的标准、规范，招标文件中的技术要求等</w:t>
      </w:r>
      <w:r>
        <w:rPr>
          <w:rFonts w:hint="eastAsia" w:ascii="宋体" w:hAnsi="宋体" w:eastAsia="宋体" w:cs="宋体"/>
          <w:color w:val="auto"/>
          <w:sz w:val="21"/>
          <w:szCs w:val="21"/>
          <w:highlight w:val="none"/>
        </w:rPr>
        <w:t>。</w:t>
      </w:r>
    </w:p>
    <w:p w14:paraId="575A4C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1.4.2发包人提供国外标准、规范的名称：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3F1D80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1B6ED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0AAD48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6F0D20">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（国家没有相应标准、规范且不使用国外标准、规范时，按发包人和承包人商定的方案施工）</w:t>
      </w:r>
      <w:r>
        <w:rPr>
          <w:rFonts w:hint="eastAsia" w:ascii="宋体" w:hAnsi="宋体" w:eastAsia="宋体" w:cs="宋体"/>
          <w:color w:val="auto"/>
          <w:sz w:val="21"/>
          <w:szCs w:val="21"/>
          <w:highlight w:val="none"/>
        </w:rPr>
        <w:t>。</w:t>
      </w:r>
    </w:p>
    <w:p w14:paraId="7BCAC6E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7ED3A7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按合同通用条款。</w:t>
      </w:r>
    </w:p>
    <w:p w14:paraId="599F0CD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49759D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1.6.1图纸的提供</w:t>
      </w:r>
    </w:p>
    <w:p w14:paraId="1A96E0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开工日期14天前</w:t>
      </w:r>
      <w:r>
        <w:rPr>
          <w:rFonts w:hint="eastAsia" w:ascii="宋体" w:hAnsi="宋体" w:eastAsia="宋体" w:cs="宋体"/>
          <w:color w:val="auto"/>
          <w:sz w:val="21"/>
          <w:szCs w:val="21"/>
          <w:highlight w:val="none"/>
        </w:rPr>
        <w:t>；</w:t>
      </w:r>
    </w:p>
    <w:p w14:paraId="18C1BC1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纸质施工图叁套并附目录清单及与其一致的电子版施工图。</w:t>
      </w:r>
    </w:p>
    <w:p w14:paraId="6E4783A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须载明施工图纸名称、工程号、版本、出图日期、目录、已有的变更联系单编号等</w:t>
      </w:r>
      <w:r>
        <w:rPr>
          <w:rFonts w:hint="eastAsia" w:ascii="宋体" w:hAnsi="宋体" w:eastAsia="宋体" w:cs="宋体"/>
          <w:color w:val="auto"/>
          <w:sz w:val="21"/>
          <w:szCs w:val="21"/>
          <w:highlight w:val="none"/>
        </w:rPr>
        <w:t>。</w:t>
      </w:r>
    </w:p>
    <w:p w14:paraId="010248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1.6.4承包人文件</w:t>
      </w:r>
    </w:p>
    <w:p w14:paraId="2114BA4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资金月使用计划，施工组织设计、专项施工方案、工程总进度计划、工程月进度计划表等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highlight w:val="none"/>
        </w:rPr>
        <w:t>；</w:t>
      </w:r>
    </w:p>
    <w:p w14:paraId="1B7685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highlight w:val="none"/>
        </w:rPr>
        <w:t>；</w:t>
      </w:r>
    </w:p>
    <w:p w14:paraId="3353E4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2019D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       纸质及电子版本      </w:t>
      </w:r>
      <w:r>
        <w:rPr>
          <w:rFonts w:hint="eastAsia" w:ascii="宋体" w:hAnsi="宋体" w:eastAsia="宋体" w:cs="宋体"/>
          <w:color w:val="auto"/>
          <w:sz w:val="21"/>
          <w:szCs w:val="21"/>
          <w:highlight w:val="none"/>
        </w:rPr>
        <w:t>；</w:t>
      </w:r>
    </w:p>
    <w:p w14:paraId="364CC5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3AEF7A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1.6.5现场图纸准备</w:t>
      </w:r>
    </w:p>
    <w:p w14:paraId="379E30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auto"/>
          <w:sz w:val="21"/>
          <w:szCs w:val="21"/>
          <w:highlight w:val="none"/>
        </w:rPr>
        <w:t>。</w:t>
      </w:r>
    </w:p>
    <w:p w14:paraId="580061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305359B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12ADBC5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1.7.2发包人接收文件的地点：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652591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57A70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72576CB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A533E5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E587D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67B993B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A89D02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AC2746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3A29E53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发包人、承包人、监理人的文件接收地址、接收人（含联系电话）发生变动的，应提前3天通知各方。</w:t>
      </w:r>
    </w:p>
    <w:p w14:paraId="6DB33E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5FCF203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1.10.1出入现场的权利</w:t>
      </w:r>
    </w:p>
    <w:p w14:paraId="5859E33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B3A63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1.10.3场内交通</w:t>
      </w:r>
    </w:p>
    <w:p w14:paraId="077AC7C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pacing w:val="6"/>
          <w:kern w:val="0"/>
          <w:sz w:val="21"/>
          <w:szCs w:val="21"/>
          <w:highlight w:val="none"/>
          <w:u w:val="single"/>
        </w:rPr>
        <w:t>以现场实际施工条件为准</w:t>
      </w:r>
      <w:r>
        <w:rPr>
          <w:rFonts w:hint="eastAsia" w:ascii="宋体" w:hAnsi="宋体" w:eastAsia="宋体" w:cs="宋体"/>
          <w:color w:val="auto"/>
          <w:spacing w:val="6"/>
          <w:sz w:val="21"/>
          <w:szCs w:val="21"/>
          <w:highlight w:val="none"/>
          <w:u w:val="single"/>
        </w:rPr>
        <w:t>。</w:t>
      </w:r>
    </w:p>
    <w:p w14:paraId="6A4097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202E1C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1030AAC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运输超大件或超重件所需的道路和桥梁临时加固改造费用和其他有关费用</w:t>
      </w:r>
      <w:r>
        <w:rPr>
          <w:rFonts w:hint="eastAsia" w:ascii="宋体" w:hAnsi="宋体" w:eastAsia="宋体" w:cs="宋体"/>
          <w:color w:val="auto"/>
          <w:sz w:val="21"/>
          <w:szCs w:val="21"/>
          <w:highlight w:val="none"/>
          <w:u w:val="single"/>
        </w:rPr>
        <w:t>由承包人在报价中综合考虑并承担相关费用。</w:t>
      </w:r>
    </w:p>
    <w:p w14:paraId="6ADC24C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0FCB73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CCB081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DA0FC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1.11.2关于承包人为实施工程所编制文件的著作权的归属：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01DF9DE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75E03A3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包含在签约合同价内  </w:t>
      </w:r>
      <w:r>
        <w:rPr>
          <w:rFonts w:hint="eastAsia" w:ascii="宋体" w:hAnsi="宋体" w:eastAsia="宋体" w:cs="宋体"/>
          <w:color w:val="auto"/>
          <w:kern w:val="0"/>
          <w:sz w:val="21"/>
          <w:szCs w:val="21"/>
          <w:highlight w:val="none"/>
        </w:rPr>
        <w:t>。</w:t>
      </w:r>
    </w:p>
    <w:p w14:paraId="6E4790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 工程量清单错误的修正：</w:t>
      </w:r>
      <w:r>
        <w:rPr>
          <w:rFonts w:hint="eastAsia" w:ascii="宋体" w:hAnsi="宋体" w:eastAsia="宋体" w:cs="宋体"/>
          <w:color w:val="auto"/>
          <w:sz w:val="21"/>
          <w:szCs w:val="21"/>
          <w:highlight w:val="none"/>
          <w:u w:val="single"/>
        </w:rPr>
        <w:t>本工程按定额计价不涉及工程量清单相关规则。</w:t>
      </w:r>
    </w:p>
    <w:p w14:paraId="4EB2099E">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2．发包人</w:t>
      </w:r>
    </w:p>
    <w:p w14:paraId="17E41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04ED57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0BC5B4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F2EC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F19F9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AE3117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FF46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A5DF7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FB2398">
      <w:pPr>
        <w:spacing w:line="400" w:lineRule="exact"/>
        <w:ind w:firstLine="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highlight w:val="none"/>
        </w:rPr>
        <w:t>。</w:t>
      </w:r>
    </w:p>
    <w:p w14:paraId="138A320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5EC9FFC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2.4.1提供施工现场</w:t>
      </w:r>
    </w:p>
    <w:p w14:paraId="3AEB5F7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开工日期7天前  </w:t>
      </w:r>
      <w:r>
        <w:rPr>
          <w:rFonts w:hint="eastAsia" w:ascii="宋体" w:hAnsi="宋体" w:eastAsia="宋体" w:cs="宋体"/>
          <w:color w:val="auto"/>
          <w:sz w:val="21"/>
          <w:szCs w:val="21"/>
          <w:highlight w:val="none"/>
        </w:rPr>
        <w:t>。</w:t>
      </w:r>
    </w:p>
    <w:p w14:paraId="4FC079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2.4.2提供施工条件</w:t>
      </w:r>
    </w:p>
    <w:p w14:paraId="2073591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highlight w:val="none"/>
        </w:rPr>
        <w:t>。</w:t>
      </w:r>
    </w:p>
    <w:p w14:paraId="3915D7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156BA19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E1E4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DD45B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DAA1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2.6 支付合同价款</w:t>
      </w:r>
    </w:p>
    <w:p w14:paraId="598CA5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发包人应按合同约定向承包人及时支付合同价款。</w:t>
      </w:r>
    </w:p>
    <w:p w14:paraId="769424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2.7 组织竣工验收</w:t>
      </w:r>
    </w:p>
    <w:p w14:paraId="6FB04D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发包人应按合同约定及时组织竣工验收。</w:t>
      </w:r>
    </w:p>
    <w:p w14:paraId="14E11E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承包人完成合同范围内工程内容，发包人应根据施工图纸、现行施工验收规范和质量验收标准及时组织工程质量验收。</w:t>
      </w:r>
    </w:p>
    <w:p w14:paraId="3346660A">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3．承包人</w:t>
      </w:r>
    </w:p>
    <w:p w14:paraId="7AD0B3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2342CE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highlight w:val="none"/>
        </w:rPr>
        <w:t>。</w:t>
      </w:r>
    </w:p>
    <w:p w14:paraId="2379FE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满足发包人需求份数    </w:t>
      </w:r>
      <w:r>
        <w:rPr>
          <w:rFonts w:hint="eastAsia" w:ascii="宋体" w:hAnsi="宋体" w:eastAsia="宋体" w:cs="宋体"/>
          <w:color w:val="auto"/>
          <w:sz w:val="21"/>
          <w:szCs w:val="21"/>
          <w:highlight w:val="none"/>
        </w:rPr>
        <w:t>。</w:t>
      </w:r>
    </w:p>
    <w:p w14:paraId="69DF7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7DE2226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工程竣工验收合格后7天内</w:t>
      </w:r>
      <w:r>
        <w:rPr>
          <w:rFonts w:hint="eastAsia" w:ascii="宋体" w:hAnsi="宋体" w:eastAsia="宋体" w:cs="宋体"/>
          <w:color w:val="auto"/>
          <w:sz w:val="21"/>
          <w:szCs w:val="21"/>
          <w:highlight w:val="none"/>
        </w:rPr>
        <w:t>。</w:t>
      </w:r>
    </w:p>
    <w:p w14:paraId="73533F5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纸质及相关电子数据   </w:t>
      </w:r>
      <w:r>
        <w:rPr>
          <w:rFonts w:hint="eastAsia" w:ascii="宋体" w:hAnsi="宋体" w:eastAsia="宋体" w:cs="宋体"/>
          <w:color w:val="auto"/>
          <w:sz w:val="21"/>
          <w:szCs w:val="21"/>
          <w:highlight w:val="none"/>
        </w:rPr>
        <w:t>。</w:t>
      </w:r>
    </w:p>
    <w:p w14:paraId="5223142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（10）承包人应履行的其他义务：</w:t>
      </w:r>
    </w:p>
    <w:p w14:paraId="0A3C349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a.向发包人、监理人提供施工现场办公室各1间免费使用。</w:t>
      </w:r>
    </w:p>
    <w:p w14:paraId="40DBCAE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b.在施工中必须严格按照规范操作，对不按规范要求施工或未采取防护措施，造成的损失由承包人承担。</w:t>
      </w:r>
    </w:p>
    <w:p w14:paraId="4A1B852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c.本项目施工安全由承包人负总责。</w:t>
      </w:r>
    </w:p>
    <w:p w14:paraId="578513E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d.按当地有关部门要求，</w:t>
      </w:r>
      <w:r>
        <w:rPr>
          <w:rFonts w:hint="eastAsia" w:ascii="宋体" w:hAnsi="宋体" w:eastAsia="宋体" w:cs="宋体"/>
          <w:color w:val="auto"/>
          <w:kern w:val="0"/>
          <w:sz w:val="21"/>
          <w:szCs w:val="21"/>
          <w:highlight w:val="none"/>
          <w:u w:val="single"/>
        </w:rPr>
        <w:t>由承包人办理有关施工场地交通、环卫和施工噪音排放等手续。</w:t>
      </w:r>
    </w:p>
    <w:p w14:paraId="1131F97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e、承包人必须按台州市、临海市有关规定进行施工现场围护（全封闭围挡）及文明施工管理。</w:t>
      </w:r>
    </w:p>
    <w:p w14:paraId="1AD7754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f. 其他：</w:t>
      </w:r>
    </w:p>
    <w:p w14:paraId="0A5F090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65AB6C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3DF5573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③对发包人的现场监督工作予以充分的配合与协助。承包人服从发包人、监理公司的管理，做好交叉施工事宜及其他与本工程施工相关的工作。</w:t>
      </w:r>
    </w:p>
    <w:p w14:paraId="2A6443D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5BAD60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7234B2A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3A26FC0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⑦要加强工程施工车辆的管理，施工车辆不得无故堵塞道路交通，不得沿途抛洒丢弃。</w:t>
      </w:r>
    </w:p>
    <w:p w14:paraId="3FBF22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2FB8114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2F4C224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378172C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53A2AD1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4326114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5AD8582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20676B1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591510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⑯由承包人的质量安全职能部门每月对本工程施工现场的质量、安全文明、进度等进行全面督查，并将督查结果向发包人汇报。</w:t>
      </w:r>
    </w:p>
    <w:p w14:paraId="3E9EE49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5B893BF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⑱工程质量保修期间，承包人须设立电子邮箱，发包人的通知指令发送至承包人设立的电子邮箱，即视为承包人已收到发包人的相关通知。</w:t>
      </w:r>
    </w:p>
    <w:p w14:paraId="76796B4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⑲已竣工工程未交付之前，承包人按协议条款约定负责已完工程的保护工作，保护期间发生损坏，责任方自费予以修复至符合验收条件。</w:t>
      </w:r>
    </w:p>
    <w:p w14:paraId="1CC3647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⑳承包人应做好安全文明施工，确保施工现场封闭施工和安全隔离工作，相关费用含在合同价款中，不再另外计取。承包人在加固过程中应确保车辆通行，如有必要须封道的应提前通知发包人。</w:t>
      </w:r>
    </w:p>
    <w:p w14:paraId="3F589533">
      <w:pPr>
        <w:numPr>
          <w:ilvl w:val="0"/>
          <w:numId w:val="5"/>
        </w:numPr>
        <w:spacing w:line="40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承包人诚实信用的承诺：</w:t>
      </w:r>
      <w:r>
        <w:rPr>
          <w:rFonts w:hint="eastAsia" w:ascii="宋体" w:hAnsi="宋体" w:eastAsia="宋体" w:cs="宋体"/>
          <w:color w:val="auto"/>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highlight w:val="none"/>
        </w:rPr>
        <w:t>。</w:t>
      </w:r>
    </w:p>
    <w:p w14:paraId="4BBC1AEF">
      <w:pPr>
        <w:pStyle w:val="2"/>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54C90DFC">
      <w:pPr>
        <w:spacing w:line="400" w:lineRule="exac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（13）承包人使用新技术、工法、工艺的承诺：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6B108B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4CE6B9A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3.2.1</w:t>
      </w:r>
      <w:r>
        <w:rPr>
          <w:rFonts w:hint="eastAsia" w:ascii="宋体" w:hAnsi="宋体" w:eastAsia="宋体" w:cs="宋体"/>
          <w:color w:val="auto"/>
          <w:sz w:val="21"/>
          <w:szCs w:val="21"/>
          <w:highlight w:val="none"/>
        </w:rPr>
        <w:t>项目经理：</w:t>
      </w:r>
    </w:p>
    <w:p w14:paraId="32572E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6A26F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F869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6CF14D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5E54B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7F5D5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DC50B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33B8F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39E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BCD0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375770E">
      <w:pPr>
        <w:spacing w:line="400" w:lineRule="exact"/>
        <w:ind w:firstLine="436" w:firstLineChars="200"/>
        <w:rPr>
          <w:rFonts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月到岗须不少于24天。月到岗达不到约定天数，每不足一天扣1000元作为违约金，</w:t>
      </w:r>
      <w:r>
        <w:rPr>
          <w:rFonts w:hint="eastAsia" w:ascii="宋体" w:hAnsi="宋体" w:eastAsia="宋体" w:cs="宋体"/>
          <w:color w:val="auto"/>
          <w:sz w:val="21"/>
          <w:szCs w:val="21"/>
          <w:highlight w:val="none"/>
          <w:u w:val="single"/>
        </w:rPr>
        <w:t>在当期工程款支付时扣除</w:t>
      </w:r>
      <w:r>
        <w:rPr>
          <w:rFonts w:hint="eastAsia" w:ascii="宋体" w:hAnsi="宋体" w:eastAsia="宋体" w:cs="宋体"/>
          <w:color w:val="auto"/>
          <w:kern w:val="0"/>
          <w:sz w:val="21"/>
          <w:szCs w:val="21"/>
          <w:highlight w:val="none"/>
        </w:rPr>
        <w:t>。</w:t>
      </w:r>
    </w:p>
    <w:p w14:paraId="44C13B7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DE4D8A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遇有工程检查、验收或参观等活动时，无特殊原因不得离开施工现场 </w:t>
      </w:r>
      <w:r>
        <w:rPr>
          <w:rFonts w:hint="eastAsia" w:ascii="宋体" w:hAnsi="宋体" w:eastAsia="宋体" w:cs="宋体"/>
          <w:color w:val="auto"/>
          <w:sz w:val="21"/>
          <w:szCs w:val="21"/>
          <w:highlight w:val="none"/>
        </w:rPr>
        <w:t>。</w:t>
      </w:r>
    </w:p>
    <w:p w14:paraId="39484F19">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3.2.3承包人擅自更换项目经理的违约责任：</w:t>
      </w:r>
      <w:r>
        <w:rPr>
          <w:rFonts w:hint="eastAsia" w:ascii="宋体" w:hAnsi="宋体" w:eastAsia="宋体" w:cs="宋体"/>
          <w:color w:val="auto"/>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highlight w:val="none"/>
        </w:rPr>
        <w:t>。</w:t>
      </w:r>
    </w:p>
    <w:p w14:paraId="1669B0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3.2.4承包人无正当理由拒绝更换项目经理的违约责任：</w:t>
      </w:r>
      <w:r>
        <w:rPr>
          <w:rFonts w:hint="eastAsia" w:ascii="宋体" w:hAnsi="宋体" w:eastAsia="宋体" w:cs="宋体"/>
          <w:color w:val="auto"/>
          <w:sz w:val="21"/>
          <w:szCs w:val="21"/>
          <w:highlight w:val="none"/>
          <w:u w:val="single"/>
        </w:rPr>
        <w:t>发包人可通知承包人解除合同，所有履约担保金不予返还。</w:t>
      </w:r>
    </w:p>
    <w:p w14:paraId="262B7F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41E583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3.3.1承包人提交项目管理机构及施工现场管理人员安排报告的期限：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接到开工通知（或确定开工日期）后7天内 </w:t>
      </w:r>
      <w:r>
        <w:rPr>
          <w:rFonts w:hint="eastAsia" w:ascii="宋体" w:hAnsi="宋体" w:eastAsia="宋体" w:cs="宋体"/>
          <w:color w:val="auto"/>
          <w:sz w:val="21"/>
          <w:szCs w:val="21"/>
          <w:highlight w:val="none"/>
        </w:rPr>
        <w:t>。</w:t>
      </w:r>
    </w:p>
    <w:p w14:paraId="4F21D0E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3.3.3承包人无正当理由拒绝撤换主要施工管理人员的违约责任：</w:t>
      </w:r>
      <w:r>
        <w:rPr>
          <w:rFonts w:hint="eastAsia" w:ascii="宋体" w:hAnsi="宋体" w:eastAsia="宋体" w:cs="宋体"/>
          <w:color w:val="auto"/>
          <w:sz w:val="21"/>
          <w:szCs w:val="21"/>
          <w:highlight w:val="none"/>
          <w:u w:val="single"/>
        </w:rPr>
        <w:t>发包人可通知承包人全部解除合同，所有履约担保金不予返还，同时赔偿发包人损失。</w:t>
      </w:r>
    </w:p>
    <w:p w14:paraId="290CBC9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3.3.4承包人主要施工管理人员离开施工现场的批准要求：</w:t>
      </w:r>
      <w:r>
        <w:rPr>
          <w:rFonts w:hint="eastAsia" w:ascii="宋体" w:hAnsi="宋体" w:eastAsia="宋体" w:cs="宋体"/>
          <w:color w:val="auto"/>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highlight w:val="none"/>
        </w:rPr>
        <w:t>。</w:t>
      </w:r>
    </w:p>
    <w:p w14:paraId="5DF314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9A75A0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highlight w:val="none"/>
        </w:rPr>
        <w:t>。</w:t>
      </w:r>
    </w:p>
    <w:p w14:paraId="757BA0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 分包</w:t>
      </w:r>
    </w:p>
    <w:p w14:paraId="0A305D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3.5.1分包的一般约定</w:t>
      </w:r>
    </w:p>
    <w:p w14:paraId="492A262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工程主体结构、关键性工作   </w:t>
      </w:r>
      <w:r>
        <w:rPr>
          <w:rFonts w:hint="eastAsia" w:ascii="宋体" w:hAnsi="宋体" w:eastAsia="宋体" w:cs="宋体"/>
          <w:color w:val="auto"/>
          <w:sz w:val="21"/>
          <w:szCs w:val="21"/>
          <w:highlight w:val="none"/>
        </w:rPr>
        <w:t>。</w:t>
      </w:r>
    </w:p>
    <w:p w14:paraId="195157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893BD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3.5.2分包的确定</w:t>
      </w:r>
    </w:p>
    <w:p w14:paraId="1E1B2B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B4FAA5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F1FC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3.5.4分包合同价款</w:t>
      </w:r>
    </w:p>
    <w:p w14:paraId="2468458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FD0C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17BB4D5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按合同通用条款执行</w:t>
      </w:r>
      <w:r>
        <w:rPr>
          <w:rFonts w:hint="eastAsia" w:ascii="宋体" w:hAnsi="宋体" w:eastAsia="宋体" w:cs="宋体"/>
          <w:color w:val="auto"/>
          <w:kern w:val="0"/>
          <w:sz w:val="21"/>
          <w:szCs w:val="21"/>
          <w:highlight w:val="none"/>
        </w:rPr>
        <w:t>。</w:t>
      </w:r>
    </w:p>
    <w:p w14:paraId="104F54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0744A0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提供履约担保</w:t>
      </w:r>
      <w:r>
        <w:rPr>
          <w:rFonts w:hint="eastAsia" w:ascii="宋体" w:hAnsi="宋体" w:eastAsia="宋体" w:cs="宋体"/>
          <w:color w:val="auto"/>
          <w:sz w:val="21"/>
          <w:szCs w:val="21"/>
          <w:highlight w:val="none"/>
        </w:rPr>
        <w:t>。</w:t>
      </w:r>
    </w:p>
    <w:p w14:paraId="32B21B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w:t>
      </w:r>
      <w:r>
        <w:rPr>
          <w:rFonts w:hint="eastAsia" w:ascii="宋体" w:hAnsi="宋体" w:eastAsia="宋体" w:cs="宋体"/>
          <w:color w:val="auto"/>
          <w:sz w:val="21"/>
          <w:szCs w:val="21"/>
          <w:highlight w:val="none"/>
          <w:u w:val="single"/>
        </w:rPr>
        <w:t>按招标文件规定执行，履约担保金额为中标合同金额的2%。签订工程合同时提供履约保函，保函形式为工程保函（银行保函、保险机构保证保险保单和融资担保公司保函 ）</w:t>
      </w:r>
    </w:p>
    <w:p w14:paraId="4DC64E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发包人在工程竣工验收后10天内，向承包人全额返还；承包人应保证履约担保在工程竣工验收前持续有效。</w:t>
      </w:r>
    </w:p>
    <w:p w14:paraId="7EC1A8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非承包人原因导致的工期延长，承包人继续提供履约担保所增加的费用由发包人承担。</w:t>
      </w:r>
    </w:p>
    <w:p w14:paraId="13C22DE9">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4．监理人</w:t>
      </w:r>
    </w:p>
    <w:p w14:paraId="6E7787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监理人的一般规定</w:t>
      </w:r>
    </w:p>
    <w:p w14:paraId="3F812A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按本工程监理合同约定内容</w:t>
      </w:r>
      <w:r>
        <w:rPr>
          <w:rFonts w:hint="eastAsia" w:ascii="宋体" w:hAnsi="宋体" w:eastAsia="宋体" w:cs="宋体"/>
          <w:color w:val="auto"/>
          <w:sz w:val="21"/>
          <w:szCs w:val="21"/>
          <w:highlight w:val="none"/>
        </w:rPr>
        <w:t>。</w:t>
      </w:r>
    </w:p>
    <w:p w14:paraId="22BF55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auto"/>
          <w:sz w:val="21"/>
          <w:szCs w:val="21"/>
          <w:highlight w:val="none"/>
        </w:rPr>
        <w:t>〕。</w:t>
      </w:r>
    </w:p>
    <w:p w14:paraId="01E574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由承包人免费提供办公室1间使用。</w:t>
      </w:r>
    </w:p>
    <w:p w14:paraId="2814F8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0CECD2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7D999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606E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27ED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59DD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C0BC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37E244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C89DF4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2DADD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（1）监理人授权超出合同约定，承包人有权提出异议，如监理人对于承包人合理的异议不予接受，则承包人可要求发包人就该事项作出处理决定；</w:t>
      </w:r>
    </w:p>
    <w:p w14:paraId="54DCAF9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（2）对于监理人更换其委派的监理人员，监理人在征得发包人同意后应当提前48小时书面通知承包人；</w:t>
      </w:r>
    </w:p>
    <w:p w14:paraId="3B90841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（3）监理人对其监理人员的任何授权，承包人均有权要求监理人提供书面的授权文件，否则，承包人有权拒绝接受监理人员的指示。</w:t>
      </w:r>
    </w:p>
    <w:p w14:paraId="440E9A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2E599A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0E59279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984742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5DA45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E5BC54">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5．工程质量</w:t>
      </w:r>
    </w:p>
    <w:p w14:paraId="470007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4D1F69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5.1.1特殊质量标准和要求：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EDD34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关于工程质量奖项的约定：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B333D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7546A7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按合同通用条款执行。</w:t>
      </w:r>
    </w:p>
    <w:p w14:paraId="6FBEFC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75D28E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小时，由此导致工期延误的，工期予以顺延。</w:t>
      </w:r>
    </w:p>
    <w:p w14:paraId="19A0FB0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重要节点的隐蔽工程验收过程、验收部位除办理纸质验收记录，承包人还应保留验收部位、验收过程、验收人员相片、影像等资料。</w:t>
      </w:r>
    </w:p>
    <w:p w14:paraId="2376EBAD">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6．安全文明施工与环境保护</w:t>
      </w:r>
    </w:p>
    <w:p w14:paraId="1CA4D3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 安全文明施工</w:t>
      </w:r>
    </w:p>
    <w:p w14:paraId="66BEEB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6.1.1项目安全生产的达标目标及相应事项的约定：</w:t>
      </w:r>
      <w:r>
        <w:rPr>
          <w:rFonts w:hint="eastAsia" w:ascii="宋体" w:hAnsi="宋体" w:eastAsia="宋体" w:cs="宋体"/>
          <w:color w:val="auto"/>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highlight w:val="none"/>
        </w:rPr>
        <w:t>。</w:t>
      </w:r>
    </w:p>
    <w:p w14:paraId="182B6B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6.1.4关于治安保卫的特别约定：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232A52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37B37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6.1.5文明施工</w:t>
      </w:r>
    </w:p>
    <w:p w14:paraId="094479E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按省、市发有关文明施工管理规定执行</w:t>
      </w:r>
      <w:r>
        <w:rPr>
          <w:rFonts w:hint="eastAsia" w:ascii="宋体" w:hAnsi="宋体" w:eastAsia="宋体" w:cs="宋体"/>
          <w:color w:val="auto"/>
          <w:sz w:val="21"/>
          <w:szCs w:val="21"/>
          <w:highlight w:val="none"/>
        </w:rPr>
        <w:t>。</w:t>
      </w:r>
    </w:p>
    <w:p w14:paraId="27B65E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6.1.6关于安全文明施工费支付比例和支付期限的约定：</w:t>
      </w:r>
      <w:r>
        <w:rPr>
          <w:rFonts w:hint="eastAsia" w:ascii="宋体" w:hAnsi="宋体" w:eastAsia="宋体" w:cs="宋体"/>
          <w:color w:val="auto"/>
          <w:sz w:val="21"/>
          <w:szCs w:val="21"/>
          <w:highlight w:val="none"/>
          <w:u w:val="single"/>
        </w:rPr>
        <w:t>安全文明施工费预付费用包含在工程预付款内，支付比例为安全文明施工费总额的100% ；安全文明施工费的使用按通用条款执行。</w:t>
      </w:r>
    </w:p>
    <w:p w14:paraId="5DBF61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p>
    <w:p w14:paraId="5694B7B8">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7．工期和进度</w:t>
      </w:r>
    </w:p>
    <w:p w14:paraId="08F13C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6C2112A1">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7.1.1合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对特殊工艺施工、危险性较大分部分项工程施工，应按规定办理审批手续和按当地建设行政主管部门要求组织专家论证。</w:t>
      </w:r>
    </w:p>
    <w:p w14:paraId="2993CB5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14:paraId="21A75A81">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highlight w:val="none"/>
        </w:rPr>
        <w:t>；</w:t>
      </w:r>
    </w:p>
    <w:p w14:paraId="292FEF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收到相应文件后7天内</w:t>
      </w:r>
      <w:r>
        <w:rPr>
          <w:rFonts w:hint="eastAsia" w:ascii="宋体" w:hAnsi="宋体" w:eastAsia="宋体" w:cs="宋体"/>
          <w:color w:val="auto"/>
          <w:sz w:val="21"/>
          <w:szCs w:val="21"/>
          <w:highlight w:val="none"/>
        </w:rPr>
        <w:t>。</w:t>
      </w:r>
    </w:p>
    <w:p w14:paraId="794C71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施工进度计划</w:t>
      </w:r>
    </w:p>
    <w:p w14:paraId="288328E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7.2.2施工进度计划的修订</w:t>
      </w:r>
    </w:p>
    <w:p w14:paraId="202629C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506AF7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25F4F9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7.3.1开工准备</w:t>
      </w:r>
    </w:p>
    <w:p w14:paraId="580CC95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接到开工通知（或确定开工日期）后7天内</w:t>
      </w:r>
      <w:r>
        <w:rPr>
          <w:rFonts w:hint="eastAsia" w:ascii="宋体" w:hAnsi="宋体" w:eastAsia="宋体" w:cs="宋体"/>
          <w:color w:val="auto"/>
          <w:sz w:val="21"/>
          <w:szCs w:val="21"/>
          <w:highlight w:val="none"/>
        </w:rPr>
        <w:t>。</w:t>
      </w:r>
    </w:p>
    <w:p w14:paraId="4F3423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开工前7天</w:t>
      </w:r>
      <w:r>
        <w:rPr>
          <w:rFonts w:hint="eastAsia" w:ascii="宋体" w:hAnsi="宋体" w:eastAsia="宋体" w:cs="宋体"/>
          <w:color w:val="auto"/>
          <w:sz w:val="21"/>
          <w:szCs w:val="21"/>
          <w:highlight w:val="none"/>
        </w:rPr>
        <w:t>。</w:t>
      </w:r>
    </w:p>
    <w:p w14:paraId="12340A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w:t>
      </w:r>
    </w:p>
    <w:p w14:paraId="1D4F4B4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156AEC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发包人（或监理人）在计划开工日期前7天向承包人发出开工通知，工期自开工通知中载明的开工日期起算。</w:t>
      </w:r>
    </w:p>
    <w:p w14:paraId="140E1E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6C56312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01393F6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663B7AD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 工期延误</w:t>
      </w:r>
    </w:p>
    <w:p w14:paraId="330ADB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7.5.1因发包人原因导致工期延误</w:t>
      </w:r>
    </w:p>
    <w:p w14:paraId="56E7B5B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7325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7.5.2因承包人原因导致工期延误</w:t>
      </w:r>
    </w:p>
    <w:p w14:paraId="4770C55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u w:val="single"/>
        </w:rPr>
        <w:t>每天200元</w:t>
      </w:r>
      <w:r>
        <w:rPr>
          <w:rFonts w:hint="eastAsia" w:ascii="宋体" w:hAnsi="宋体" w:eastAsia="宋体" w:cs="宋体"/>
          <w:color w:val="auto"/>
          <w:sz w:val="21"/>
          <w:szCs w:val="21"/>
          <w:highlight w:val="none"/>
        </w:rPr>
        <w:t>。</w:t>
      </w:r>
    </w:p>
    <w:p w14:paraId="1D53FE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履约保证金额度，对发包人造成损失超过违约金的，除承担违约金外同时赔偿发包人损失</w:t>
      </w:r>
      <w:r>
        <w:rPr>
          <w:rFonts w:hint="eastAsia" w:ascii="宋体" w:hAnsi="宋体" w:eastAsia="宋体" w:cs="宋体"/>
          <w:color w:val="auto"/>
          <w:sz w:val="21"/>
          <w:szCs w:val="21"/>
          <w:highlight w:val="none"/>
        </w:rPr>
        <w:t>。</w:t>
      </w:r>
    </w:p>
    <w:p w14:paraId="567021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7.6 不利物质条件</w:t>
      </w:r>
    </w:p>
    <w:p w14:paraId="2C6B8C6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p>
    <w:p w14:paraId="6EB7683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每天连续停水、停电超过8小时以上。</w:t>
      </w:r>
    </w:p>
    <w:p w14:paraId="28BDA28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因政府行政命令（因承包人原因的除外）。</w:t>
      </w:r>
    </w:p>
    <w:p w14:paraId="477E06A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非因双方原因而无法控制的爆炸、火灾等事件。</w:t>
      </w:r>
    </w:p>
    <w:p w14:paraId="74EC971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施工场地周围地下管线保护，地下障碍物和污染物排除，邻近建筑物、构筑物的保护要求。</w:t>
      </w:r>
    </w:p>
    <w:p w14:paraId="42FA63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地质勘探资料未涉及的地下管道、暗沟、岩层等。</w:t>
      </w:r>
    </w:p>
    <w:p w14:paraId="22F3D0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0AE34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7.7 异常恶劣的气候条件</w:t>
      </w:r>
    </w:p>
    <w:p w14:paraId="63DA007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5D19A0F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8-10级（含10级）持续24小时的大风（台风）</w:t>
      </w:r>
      <w:r>
        <w:rPr>
          <w:rFonts w:hint="eastAsia" w:ascii="宋体" w:hAnsi="宋体" w:eastAsia="宋体" w:cs="宋体"/>
          <w:color w:val="auto"/>
          <w:sz w:val="21"/>
          <w:szCs w:val="21"/>
          <w:highlight w:val="none"/>
        </w:rPr>
        <w:t>；</w:t>
      </w:r>
    </w:p>
    <w:p w14:paraId="1EB9DFB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24小时内持续降雨且降水量为200mm以上</w:t>
      </w:r>
      <w:r>
        <w:rPr>
          <w:rFonts w:hint="eastAsia" w:ascii="宋体" w:hAnsi="宋体" w:eastAsia="宋体" w:cs="宋体"/>
          <w:color w:val="auto"/>
          <w:sz w:val="21"/>
          <w:szCs w:val="21"/>
          <w:highlight w:val="none"/>
        </w:rPr>
        <w:t>；</w:t>
      </w:r>
    </w:p>
    <w:p w14:paraId="451113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40摄氏度及以上且持续2天以上的高温天气</w:t>
      </w:r>
      <w:r>
        <w:rPr>
          <w:rFonts w:hint="eastAsia" w:ascii="宋体" w:hAnsi="宋体" w:eastAsia="宋体" w:cs="宋体"/>
          <w:color w:val="auto"/>
          <w:sz w:val="21"/>
          <w:szCs w:val="21"/>
          <w:highlight w:val="none"/>
        </w:rPr>
        <w:t>。</w:t>
      </w:r>
    </w:p>
    <w:p w14:paraId="419D39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260EF7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5652C0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A2D9278">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8．材料与设备</w:t>
      </w:r>
    </w:p>
    <w:p w14:paraId="1A2D75D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8.1 发包人供应材料与工程设备</w:t>
      </w:r>
    </w:p>
    <w:p w14:paraId="15FDA5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本工程中</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材料由发包人提供。</w:t>
      </w:r>
    </w:p>
    <w:p w14:paraId="6A3872A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材料费用（除税价款）在每期应付工程款（或竣工结算）的税前工程造价中扣回。（适用一般计税方法）</w:t>
      </w:r>
    </w:p>
    <w:p w14:paraId="2AB65D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8.2 承包人采购材料与工程设备</w:t>
      </w:r>
    </w:p>
    <w:p w14:paraId="353A8B7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（1）材料品牌、规格和使用要求：按招标文件（相应）技术标准和要求执行。</w:t>
      </w:r>
    </w:p>
    <w:p w14:paraId="3BCBB1D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（2）本工程已确定承包价的建筑材料均由承包人自行询价、采购、运输和保管。散装水泥及新型墙体材料的使用须符合相关规定，否则相关押金由承包人承担。</w:t>
      </w:r>
    </w:p>
    <w:p w14:paraId="2504228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（3）本工程要求使用材料要求：商品混凝土。</w:t>
      </w:r>
    </w:p>
    <w:p w14:paraId="3C0CCA1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（4）所有材料必须有质保书或合格证，符合施工图纸和规范要求，且品牌、产地需报发包人备案，否则，因此产生的后果均由承包人负责。</w:t>
      </w:r>
    </w:p>
    <w:p w14:paraId="60D3895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凡是招标文件注明规格、型号或相当于的厂家（品牌、产地）的材料，承包人必须按照招标文件要求采购和施工，优先使用相当于的厂家（品牌、产地），如需调整，必须经得发包人认可，否则由此引起的后果由承包人承担。</w:t>
      </w:r>
    </w:p>
    <w:p w14:paraId="5865CCC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（6）所有设备、材料和预制构件等均需有产品合格证和质保书、试验（试车）报告等必要资料，符合国家规定的技术标准和设计图纸要求的标准，并且须经发包人及监理单位验收合格后方可使用。</w:t>
      </w:r>
    </w:p>
    <w:p w14:paraId="04132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（7）根据工程需要，发包人有权对承包人投标时确认的品牌进行更换，更换后的材料价格由发包人签证进行结算。</w:t>
      </w:r>
    </w:p>
    <w:p w14:paraId="1BA16F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（8）合同中原暂定价材料或由工程变更产生的无价材料（按有关规定可不组织招标采购的）由承包人采购时，应由发包人签证确定价格后采购，发包人收到承包人价格确定申请后，7日内审批完毕。</w:t>
      </w:r>
    </w:p>
    <w:p w14:paraId="014AB8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 材料与工程设备的保管与使用</w:t>
      </w:r>
    </w:p>
    <w:p w14:paraId="4FE3EE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8.4.1发包人供应的材料设备的保管费用的承担：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D5B894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2FFAAEC9">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8.6.1样品的报送与封存</w:t>
      </w:r>
    </w:p>
    <w:p w14:paraId="1254D03C">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  （如有要封存样品，明确具体样品名称）  </w:t>
      </w:r>
      <w:r>
        <w:rPr>
          <w:rFonts w:hint="eastAsia" w:ascii="宋体" w:hAnsi="宋体" w:eastAsia="宋体" w:cs="宋体"/>
          <w:color w:val="auto"/>
          <w:sz w:val="21"/>
          <w:szCs w:val="21"/>
          <w:highlight w:val="none"/>
        </w:rPr>
        <w:t>。</w:t>
      </w:r>
    </w:p>
    <w:p w14:paraId="1924D3A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2A7C6C4F">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8.8.1承包人提供的施工设备和临时设施</w:t>
      </w:r>
    </w:p>
    <w:p w14:paraId="7AC76C30">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3A6E32B9">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9．试验与检验</w:t>
      </w:r>
    </w:p>
    <w:p w14:paraId="53143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 试验设备与试验人员</w:t>
      </w:r>
    </w:p>
    <w:p w14:paraId="19478F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9.1.2试验设备</w:t>
      </w:r>
    </w:p>
    <w:p w14:paraId="2AD69A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4DA932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29927C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701364A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 材料、工程设备和工程的试验和检验</w:t>
      </w:r>
    </w:p>
    <w:p w14:paraId="140452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9.3.4材料、设备和工程的试验和检验的费用：</w:t>
      </w:r>
    </w:p>
    <w:p w14:paraId="27F323B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6AA995B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02A16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59A8FE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8CDBE4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9.4 现场工艺试验</w:t>
      </w:r>
    </w:p>
    <w:p w14:paraId="072202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8BFAE14">
      <w:pPr>
        <w:pStyle w:val="7"/>
        <w:keepNext w:val="0"/>
        <w:keepLines w:val="0"/>
        <w:numPr>
          <w:ilvl w:val="0"/>
          <w:numId w:val="6"/>
        </w:numPr>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变更</w:t>
      </w:r>
    </w:p>
    <w:p w14:paraId="60EE4C1A">
      <w:pPr>
        <w:spacing w:line="400" w:lineRule="exact"/>
        <w:ind w:firstLine="412" w:firstLineChars="200"/>
        <w:rPr>
          <w:color w:val="auto"/>
          <w:highlight w:val="none"/>
        </w:rPr>
      </w:pPr>
      <w:r>
        <w:rPr>
          <w:rFonts w:hint="eastAsia" w:ascii="宋体" w:hAnsi="宋体" w:eastAsia="宋体" w:cs="宋体"/>
          <w:color w:val="auto"/>
          <w:sz w:val="21"/>
          <w:szCs w:val="21"/>
          <w:highlight w:val="none"/>
          <w:u w:val="single"/>
        </w:rPr>
        <w:t>工程变更按照临海市人民政府办公室印发的《关于进一步完善政府投资项目管理的若干意见》（临政办发〔2018〕167号）办理。</w:t>
      </w:r>
    </w:p>
    <w:p w14:paraId="058D06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10.1 变更的范围</w:t>
      </w:r>
    </w:p>
    <w:p w14:paraId="782A42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按合同通用条款。工程变更引起工程量的减少或增加，承包人不得因此拒绝施工。</w:t>
      </w:r>
    </w:p>
    <w:p w14:paraId="13EF65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2E9025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10.4.1变更估价原则</w:t>
      </w:r>
    </w:p>
    <w:p w14:paraId="6B4AD8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变更项目的计价口径同合同约定计价方法，按约定的工程预算定额计价，预算定额中无合适定额子目的由发包人签证确定。</w:t>
      </w:r>
    </w:p>
    <w:p w14:paraId="598E2D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10.4.2变更估价程序</w:t>
      </w:r>
    </w:p>
    <w:p w14:paraId="5EE5D30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承包人收到发包人、监理人、设计单位的变更指示后14天内向发包人提交变更估价申请。</w:t>
      </w:r>
    </w:p>
    <w:p w14:paraId="225F610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承包人提出工程变更、专项施工方案等变更应同时提交变更估价申请。</w:t>
      </w:r>
    </w:p>
    <w:p w14:paraId="32A6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承包人提交的变更估价申请，发包人和监理人应予以签收，并在14天内审批完毕。</w:t>
      </w:r>
    </w:p>
    <w:p w14:paraId="5B2405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10.5 承包人的合理化建议</w:t>
      </w:r>
    </w:p>
    <w:p w14:paraId="0F9E69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0B8D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72857F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0EED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 暂估价</w:t>
      </w:r>
    </w:p>
    <w:p w14:paraId="02C879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暂估价材料和工程设备的明细详见附件11：</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CFF95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10.7.1依法必须招标的暂估价项目</w:t>
      </w:r>
    </w:p>
    <w:p w14:paraId="5CA4828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539BA1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10.7.2不属于依法必须招标的暂估价项目：</w:t>
      </w:r>
      <w:r>
        <w:rPr>
          <w:rFonts w:hint="eastAsia" w:ascii="宋体" w:hAnsi="宋体" w:eastAsia="宋体" w:cs="宋体"/>
          <w:color w:val="auto"/>
          <w:sz w:val="21"/>
          <w:szCs w:val="21"/>
          <w:highlight w:val="none"/>
          <w:u w:val="single"/>
        </w:rPr>
        <w:t>按合同通用条款。</w:t>
      </w:r>
    </w:p>
    <w:p w14:paraId="49B8A7E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4FE4EB1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C96F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4E00BBC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39D04D1B">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11．价格调整</w:t>
      </w:r>
    </w:p>
    <w:p w14:paraId="5521C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63DCEB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人工、材料结算价格按以下方法调整。本条约定的调整时间均为在施工工期范围内。人工（含机上人工）调整的差价部分只计取税金及民工工伤保险费。</w:t>
      </w:r>
    </w:p>
    <w:p w14:paraId="5F9B45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14:paraId="627001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1252E0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第2种方式：本工程的人工、材料结算单价，按施工期内的信息价《台州造价（正刊）》（工程所在地）的平均值计算。</w:t>
      </w:r>
    </w:p>
    <w:p w14:paraId="104866F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15504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 法律变化引起的调整 ：</w:t>
      </w:r>
      <w:r>
        <w:rPr>
          <w:rFonts w:hint="eastAsia" w:ascii="宋体" w:hAnsi="宋体" w:eastAsia="宋体" w:cs="宋体"/>
          <w:color w:val="auto"/>
          <w:sz w:val="21"/>
          <w:szCs w:val="21"/>
          <w:highlight w:val="none"/>
          <w:u w:val="single"/>
        </w:rPr>
        <w:t xml:space="preserve"> 按省级或行业建设主管部门或其授权的工程造价管理机构发布的规定执行。</w:t>
      </w:r>
    </w:p>
    <w:p w14:paraId="754442F4">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12．合同价格、计量与支付</w:t>
      </w:r>
    </w:p>
    <w:p w14:paraId="4A924C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14:paraId="21E057B3">
      <w:pPr>
        <w:pStyle w:val="14"/>
        <w:adjustRightInd w:val="0"/>
        <w:spacing w:line="400" w:lineRule="exact"/>
        <w:ind w:firstLine="412" w:firstLineChars="200"/>
        <w:rPr>
          <w:rFonts w:hAnsi="宋体" w:eastAsia="宋体" w:cs="宋体"/>
          <w:color w:val="auto"/>
          <w:kern w:val="0"/>
          <w:sz w:val="21"/>
          <w:szCs w:val="21"/>
          <w:highlight w:val="none"/>
        </w:rPr>
      </w:pPr>
      <w:r>
        <w:rPr>
          <w:rFonts w:hint="eastAsia" w:hAnsi="宋体" w:eastAsia="宋体" w:cs="宋体"/>
          <w:color w:val="auto"/>
          <w:kern w:val="0"/>
          <w:sz w:val="21"/>
          <w:szCs w:val="21"/>
          <w:highlight w:val="none"/>
        </w:rPr>
        <w:t>本合同价款采用第</w:t>
      </w:r>
      <w:r>
        <w:rPr>
          <w:rFonts w:hint="eastAsia" w:hAnsi="宋体" w:eastAsia="宋体" w:cs="宋体"/>
          <w:color w:val="auto"/>
          <w:kern w:val="0"/>
          <w:sz w:val="21"/>
          <w:szCs w:val="21"/>
          <w:highlight w:val="none"/>
          <w:u w:val="single"/>
        </w:rPr>
        <w:t xml:space="preserve">  3  </w:t>
      </w:r>
      <w:r>
        <w:rPr>
          <w:rFonts w:hint="eastAsia" w:hAnsi="宋体" w:eastAsia="宋体" w:cs="宋体"/>
          <w:color w:val="auto"/>
          <w:kern w:val="0"/>
          <w:sz w:val="21"/>
          <w:szCs w:val="21"/>
          <w:highlight w:val="none"/>
        </w:rPr>
        <w:t>种方式</w:t>
      </w:r>
      <w:r>
        <w:rPr>
          <w:rFonts w:hint="eastAsia" w:hAnsi="宋体" w:eastAsia="宋体" w:cs="宋体"/>
          <w:color w:val="auto"/>
          <w:sz w:val="21"/>
          <w:szCs w:val="21"/>
          <w:highlight w:val="none"/>
          <w:u w:val="single"/>
        </w:rPr>
        <w:t>其他价格形式合同</w:t>
      </w:r>
      <w:r>
        <w:rPr>
          <w:rFonts w:hint="eastAsia" w:hAnsi="宋体" w:eastAsia="宋体" w:cs="宋体"/>
          <w:color w:val="auto"/>
          <w:kern w:val="0"/>
          <w:sz w:val="21"/>
          <w:szCs w:val="21"/>
          <w:highlight w:val="none"/>
        </w:rPr>
        <w:t>确定。</w:t>
      </w:r>
    </w:p>
    <w:p w14:paraId="73DC9E7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6288AB6">
      <w:pPr>
        <w:tabs>
          <w:tab w:val="left" w:pos="0"/>
        </w:tabs>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EB0D1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34826D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2281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BFC372">
      <w:pPr>
        <w:tabs>
          <w:tab w:val="left" w:pos="0"/>
        </w:tabs>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w:t>
      </w:r>
      <w:r>
        <w:rPr>
          <w:rFonts w:hint="eastAsia" w:ascii="宋体" w:hAnsi="宋体" w:eastAsia="宋体" w:cs="宋体"/>
          <w:color w:val="auto"/>
          <w:kern w:val="0"/>
          <w:sz w:val="21"/>
          <w:szCs w:val="21"/>
          <w:highlight w:val="none"/>
          <w:u w:val="single"/>
        </w:rPr>
        <w:t>工程造价按工程预算定额计价乘以结算率（1-下浮率）确定。</w:t>
      </w:r>
    </w:p>
    <w:p w14:paraId="49D6E8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合同约定的风险范围：</w:t>
      </w:r>
    </w:p>
    <w:p w14:paraId="5F56124E">
      <w:pPr>
        <w:pStyle w:val="14"/>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本工程结算价的计算方式按以下第（1）约定工程造价计算规则，结合投标工程结算率和市场价格波动调整办法计算工程造价。除风险范围以外约定调整外，以下内容按承包人的投标承诺不作调整：</w:t>
      </w:r>
    </w:p>
    <w:p w14:paraId="3B439884">
      <w:pPr>
        <w:pStyle w:val="14"/>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（1）</w:t>
      </w:r>
      <w:r>
        <w:rPr>
          <w:rFonts w:hint="eastAsia" w:hAnsi="宋体" w:eastAsia="宋体" w:cs="宋体"/>
          <w:color w:val="auto"/>
          <w:kern w:val="0"/>
          <w:sz w:val="21"/>
          <w:szCs w:val="21"/>
          <w:highlight w:val="none"/>
          <w:u w:val="single"/>
          <w:shd w:val="clear" w:color="auto" w:fill="auto"/>
          <w:lang w:eastAsia="zh-CN"/>
        </w:rPr>
        <w:t>《浙江省建设工程计价规则》（2018版）、《浙江省房屋建筑与装饰工程预算定额》（2018版）、《通用浙江省安装工程预算定额》（2018版）、《浙江省建设工程施工机械台班费用定额》（2018版）、相关补充定额及省、市行业主管部门发布的计价文件规定，计算工程造价。</w:t>
      </w:r>
    </w:p>
    <w:p w14:paraId="609A66EA">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（2）工程结算率：           ；</w:t>
      </w:r>
    </w:p>
    <w:p w14:paraId="5B237885">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（3）施工组织措施项目内容及对应费率：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w:t>
      </w:r>
    </w:p>
    <w:p w14:paraId="29E27CF9">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（4）规费费率：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税金税率：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xml:space="preserve"> ；</w:t>
      </w:r>
    </w:p>
    <w:p w14:paraId="5D7FF934">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（5）企业管理费、利润、施工组织措施费、规费的计算基数为人工及机械台班费，基数中单价按人工、机械台班的定额单价计算；</w:t>
      </w:r>
    </w:p>
    <w:p w14:paraId="4733B7DB">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（6）签证确定的某个施工内容的施工价（或工料机完全价）仅计算税金及工伤保险费，不纳入工程下浮率（或结算率计算）。</w:t>
      </w:r>
    </w:p>
    <w:p w14:paraId="4CECDA89">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无承包价（暂定价）或工程变更新增的单项材料、设备、专业分包工程由发包人签证或招标确定的价格，不纳入工程下浮率（或结算率）计算；</w:t>
      </w:r>
    </w:p>
    <w:p w14:paraId="66CF5563">
      <w:pPr>
        <w:pStyle w:val="14"/>
        <w:widowControl/>
        <w:numPr>
          <w:ilvl w:val="0"/>
          <w:numId w:val="7"/>
        </w:numPr>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计日工综合单价（工数经发包人签证，综合单价按技术工</w:t>
      </w:r>
      <w:r>
        <w:rPr>
          <w:rFonts w:hint="eastAsia" w:hAnsi="宋体" w:eastAsia="宋体" w:cs="宋体"/>
          <w:color w:val="auto"/>
          <w:kern w:val="0"/>
          <w:sz w:val="21"/>
          <w:szCs w:val="21"/>
          <w:highlight w:val="none"/>
          <w:u w:val="single"/>
          <w:lang w:val="en-US" w:eastAsia="zh-CN"/>
        </w:rPr>
        <w:t>260</w:t>
      </w:r>
      <w:r>
        <w:rPr>
          <w:rFonts w:hint="eastAsia" w:hAnsi="宋体" w:eastAsia="宋体" w:cs="宋体"/>
          <w:color w:val="auto"/>
          <w:kern w:val="0"/>
          <w:sz w:val="21"/>
          <w:szCs w:val="21"/>
          <w:highlight w:val="none"/>
          <w:u w:val="single"/>
        </w:rPr>
        <w:t>元/工日、普工</w:t>
      </w:r>
      <w:r>
        <w:rPr>
          <w:rFonts w:hint="eastAsia" w:hAnsi="宋体" w:eastAsia="宋体" w:cs="宋体"/>
          <w:color w:val="auto"/>
          <w:kern w:val="0"/>
          <w:sz w:val="21"/>
          <w:szCs w:val="21"/>
          <w:highlight w:val="none"/>
          <w:u w:val="single"/>
          <w:lang w:val="en-US" w:eastAsia="zh-CN"/>
        </w:rPr>
        <w:t>180</w:t>
      </w:r>
      <w:r>
        <w:rPr>
          <w:rFonts w:hint="eastAsia" w:hAnsi="宋体" w:eastAsia="宋体" w:cs="宋体"/>
          <w:color w:val="auto"/>
          <w:kern w:val="0"/>
          <w:sz w:val="21"/>
          <w:szCs w:val="21"/>
          <w:highlight w:val="none"/>
          <w:u w:val="single"/>
        </w:rPr>
        <w:t>元/工日计取）；该项费用仅另计算税金。</w:t>
      </w:r>
    </w:p>
    <w:p w14:paraId="7F3FD030">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（8）其他可能发生的费用：</w:t>
      </w:r>
    </w:p>
    <w:p w14:paraId="3388ADA3">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61001936">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b.实际施工中可能发生街道管理费、干扰费、环保费、占道押金等其它管理费；</w:t>
      </w:r>
    </w:p>
    <w:p w14:paraId="0A66BA24">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lang w:val="en-US" w:eastAsia="zh-CN"/>
        </w:rPr>
        <w:t>c.</w:t>
      </w:r>
      <w:r>
        <w:rPr>
          <w:rFonts w:hint="eastAsia" w:hAnsi="宋体" w:eastAsia="宋体" w:cs="宋体"/>
          <w:color w:val="auto"/>
          <w:kern w:val="0"/>
          <w:sz w:val="21"/>
          <w:szCs w:val="21"/>
          <w:highlight w:val="none"/>
          <w:u w:val="single"/>
        </w:rPr>
        <w:t>混凝土采用商品混凝土，运距7km以内；</w:t>
      </w:r>
    </w:p>
    <w:p w14:paraId="706CC97E">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d.其他参照预算书。</w:t>
      </w:r>
    </w:p>
    <w:p w14:paraId="00DC86C0">
      <w:pPr>
        <w:pStyle w:val="13"/>
        <w:ind w:left="0" w:leftChars="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3F2701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43985F0D">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rPr>
        <w:t>（1）</w:t>
      </w:r>
      <w:r>
        <w:rPr>
          <w:rFonts w:hint="eastAsia" w:ascii="宋体" w:hAnsi="宋体" w:eastAsia="宋体" w:cs="宋体"/>
          <w:color w:val="auto"/>
          <w:sz w:val="21"/>
          <w:szCs w:val="21"/>
          <w:highlight w:val="none"/>
          <w:u w:val="single"/>
        </w:rPr>
        <w:t>工程量按照专用合同条款12.3.1条规定，由承包人计量，发包人或其委托的相关中介机构审核。</w:t>
      </w:r>
    </w:p>
    <w:p w14:paraId="3B2B0EA6">
      <w:pPr>
        <w:autoSpaceDE w:val="0"/>
        <w:autoSpaceDN w:val="0"/>
        <w:spacing w:line="400" w:lineRule="exact"/>
        <w:ind w:firstLine="412" w:firstLineChars="200"/>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rPr>
        <w:t>（2）</w:t>
      </w: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本专用合同条款第11.1款约定调整。</w:t>
      </w:r>
    </w:p>
    <w:p w14:paraId="7929F688">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（3）未在投标价中包含的专项施工方案的施工及论证费用，根据施工现场实际按照合同约定方法确定费用或签证。</w:t>
      </w:r>
    </w:p>
    <w:p w14:paraId="6A4D06EA">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（4）政策性调整及各级建设行政主管部门发布的计价依据调整按规定调整。</w:t>
      </w:r>
    </w:p>
    <w:p w14:paraId="0BDBCA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p w14:paraId="73A380B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12.2.1预付款的支付</w:t>
      </w:r>
    </w:p>
    <w:p w14:paraId="692C28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sz w:val="21"/>
          <w:szCs w:val="21"/>
          <w:highlight w:val="none"/>
          <w:u w:val="single"/>
        </w:rPr>
        <w:t>签约合同价的10%，金额（    ）元，包含专用条款6.1.6条所列的安全文明施工费</w:t>
      </w:r>
      <w:r>
        <w:rPr>
          <w:rFonts w:hint="eastAsia" w:ascii="宋体" w:hAnsi="宋体" w:eastAsia="宋体" w:cs="宋体"/>
          <w:color w:val="auto"/>
          <w:sz w:val="21"/>
          <w:szCs w:val="21"/>
          <w:highlight w:val="none"/>
          <w:u w:val="single"/>
        </w:rPr>
        <w:t>。</w:t>
      </w:r>
    </w:p>
    <w:p w14:paraId="138A72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sz w:val="21"/>
          <w:szCs w:val="21"/>
          <w:highlight w:val="none"/>
          <w:u w:val="single"/>
        </w:rPr>
        <w:t>按投标时承诺的人员、机械设备进场开工后7天内</w:t>
      </w:r>
      <w:r>
        <w:rPr>
          <w:rFonts w:hint="eastAsia" w:ascii="宋体" w:hAnsi="宋体" w:eastAsia="宋体" w:cs="宋体"/>
          <w:color w:val="auto"/>
          <w:sz w:val="21"/>
          <w:szCs w:val="21"/>
          <w:highlight w:val="none"/>
          <w:u w:val="single"/>
        </w:rPr>
        <w:t>。</w:t>
      </w:r>
    </w:p>
    <w:p w14:paraId="6404C11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sz w:val="21"/>
          <w:szCs w:val="21"/>
          <w:highlight w:val="none"/>
          <w:u w:val="single"/>
        </w:rPr>
        <w:t>扣回。作为工程款，抵扣每期应付进度款</w:t>
      </w:r>
      <w:r>
        <w:rPr>
          <w:rFonts w:hint="eastAsia" w:ascii="宋体" w:hAnsi="宋体" w:eastAsia="宋体" w:cs="宋体"/>
          <w:color w:val="auto"/>
          <w:sz w:val="21"/>
          <w:szCs w:val="21"/>
          <w:highlight w:val="none"/>
        </w:rPr>
        <w:t>。</w:t>
      </w:r>
    </w:p>
    <w:p w14:paraId="3C45A5B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12.2.2预付款担保</w:t>
      </w:r>
    </w:p>
    <w:p w14:paraId="2565C8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348C8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152064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604E33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12.3.1计量原则</w:t>
      </w:r>
    </w:p>
    <w:p w14:paraId="1023EB4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工程量计算按照实际完成施工图纸范围内和经发包人同意增加的施工内容按实计算，工程量计算规则按照</w:t>
      </w:r>
      <w:r>
        <w:rPr>
          <w:rFonts w:hint="eastAsia" w:ascii="宋体" w:hAnsi="宋体" w:eastAsia="宋体" w:cs="宋体"/>
          <w:color w:val="auto"/>
          <w:sz w:val="21"/>
          <w:szCs w:val="21"/>
          <w:highlight w:val="none"/>
          <w:u w:val="single"/>
          <w:lang w:eastAsia="zh-CN"/>
        </w:rPr>
        <w:t>《浙江省建设工程计价规则》（2018版）、《浙江省房屋建筑与装饰工程预算定额》（2018版）、《通用浙江省安装工程预算定额》（2018版）、《浙江省建设工程施工机械台班费用定额》（2018版）</w:t>
      </w:r>
      <w:r>
        <w:rPr>
          <w:rFonts w:hint="eastAsia" w:ascii="宋体" w:hAnsi="宋体" w:eastAsia="宋体" w:cs="宋体"/>
          <w:color w:val="auto"/>
          <w:sz w:val="21"/>
          <w:szCs w:val="21"/>
          <w:highlight w:val="none"/>
          <w:u w:val="single"/>
        </w:rPr>
        <w:t>、相关补充定额及省、市行业主管部门发布的计价文件；发包人提供的工程量计算规则计量。</w:t>
      </w:r>
    </w:p>
    <w:p w14:paraId="127D147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12.3.2计量周期：</w:t>
      </w:r>
    </w:p>
    <w:p w14:paraId="74E197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按月计量。</w:t>
      </w:r>
    </w:p>
    <w:p w14:paraId="02A93C6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12.3.3单价合同的计量</w:t>
      </w:r>
    </w:p>
    <w:p w14:paraId="69BE1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按合同通用条款执行。</w:t>
      </w:r>
    </w:p>
    <w:p w14:paraId="240C5F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（4）但确认的工程量和单价仅作为本期工程款支付的依据。</w:t>
      </w:r>
    </w:p>
    <w:p w14:paraId="4BA04FF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12.3.4总价合同的计量</w:t>
      </w:r>
    </w:p>
    <w:p w14:paraId="3D625D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0A7360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B33C99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12.3.6其他价格形式合同的计量</w:t>
      </w:r>
    </w:p>
    <w:p w14:paraId="7F0D4BA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2F579C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3465A81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12.4.1付款周期</w:t>
      </w:r>
    </w:p>
    <w:p w14:paraId="440E6F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sz w:val="21"/>
          <w:szCs w:val="21"/>
          <w:highlight w:val="none"/>
          <w:u w:val="single"/>
        </w:rPr>
        <w:t>本工程按月支付工程进度款，承包人必须每月25日前将当月实际完成的各部位的已完工程量报告送交工程师</w:t>
      </w:r>
      <w:r>
        <w:rPr>
          <w:rFonts w:hint="eastAsia" w:ascii="宋体" w:hAnsi="宋体" w:eastAsia="宋体" w:cs="宋体"/>
          <w:color w:val="auto"/>
          <w:sz w:val="21"/>
          <w:szCs w:val="21"/>
          <w:highlight w:val="none"/>
          <w:u w:val="single"/>
        </w:rPr>
        <w:t>。</w:t>
      </w:r>
    </w:p>
    <w:p w14:paraId="49DA45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12.4.2进度付款申请单的编制</w:t>
      </w:r>
    </w:p>
    <w:p w14:paraId="5FB70FF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sz w:val="21"/>
          <w:szCs w:val="21"/>
          <w:highlight w:val="none"/>
          <w:u w:val="single"/>
        </w:rPr>
        <w:t>发包人向承包人支付当期按12.1、12.3款计量工程量价款的</w:t>
      </w:r>
      <w:r>
        <w:rPr>
          <w:rFonts w:ascii="宋体" w:hAnsi="宋体" w:eastAsia="宋体" w:cs="宋体"/>
          <w:sz w:val="21"/>
          <w:szCs w:val="21"/>
          <w:highlight w:val="none"/>
          <w:u w:val="single"/>
        </w:rPr>
        <w:t>75</w:t>
      </w:r>
      <w:r>
        <w:rPr>
          <w:rFonts w:hint="eastAsia" w:ascii="宋体" w:hAnsi="宋体" w:eastAsia="宋体" w:cs="宋体"/>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4FF53B40">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sz w:val="21"/>
          <w:szCs w:val="21"/>
          <w:highlight w:val="none"/>
          <w:u w:val="single"/>
        </w:rPr>
        <w:t>合同范围内的施工内容施工完成，参建各方（建设、监理、施工、勘察、设计单位等）对工程验收并签署工程质量合格文件后，支付至进度款审核汇总的合同价格的</w:t>
      </w:r>
      <w:r>
        <w:rPr>
          <w:rFonts w:hint="eastAsia" w:ascii="宋体" w:hAnsi="宋体" w:eastAsia="宋体" w:cs="宋体"/>
          <w:sz w:val="21"/>
          <w:szCs w:val="21"/>
          <w:highlight w:val="none"/>
          <w:u w:val="single"/>
          <w:lang w:val="en-US" w:eastAsia="zh-CN"/>
        </w:rPr>
        <w:t>85</w:t>
      </w:r>
      <w:r>
        <w:rPr>
          <w:rFonts w:hint="eastAsia" w:ascii="宋体" w:hAnsi="宋体" w:eastAsia="宋体" w:cs="宋体"/>
          <w:sz w:val="21"/>
          <w:szCs w:val="21"/>
          <w:highlight w:val="none"/>
          <w:u w:val="single"/>
        </w:rPr>
        <w:t>%。</w:t>
      </w:r>
    </w:p>
    <w:p w14:paraId="635147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其余按合同通用条款</w:t>
      </w:r>
      <w:r>
        <w:rPr>
          <w:rFonts w:hint="eastAsia" w:ascii="宋体" w:hAnsi="宋体" w:eastAsia="宋体" w:cs="宋体"/>
          <w:color w:val="auto"/>
          <w:sz w:val="21"/>
          <w:szCs w:val="21"/>
          <w:highlight w:val="none"/>
        </w:rPr>
        <w:t>。</w:t>
      </w:r>
    </w:p>
    <w:p w14:paraId="6C0BB02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12.4.3进度付款申请单的提交</w:t>
      </w:r>
    </w:p>
    <w:p w14:paraId="261D04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C2705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114C89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C22BC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12.4.4进度款审核和支付</w:t>
      </w:r>
    </w:p>
    <w:p w14:paraId="0D02815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CBACA4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659F838F">
      <w:pPr>
        <w:spacing w:line="400" w:lineRule="exact"/>
        <w:ind w:firstLine="412" w:firstLineChars="200"/>
        <w:jc w:val="lef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在发包人确认计量结果后14天内完成支付。</w:t>
      </w:r>
    </w:p>
    <w:p w14:paraId="54B18B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支付应付工程进度款的利息，利率按同期全国银行间同业拆借中心公布的贷款市场报价利率，时间为从约定应付之日起至支付之日止计算利息。</w:t>
      </w:r>
    </w:p>
    <w:p w14:paraId="435189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819318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12.4.6支付分解表的编制</w:t>
      </w:r>
    </w:p>
    <w:p w14:paraId="0CFB16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526185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0C15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12.5 支付帐户</w:t>
      </w:r>
    </w:p>
    <w:p w14:paraId="5B614DB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发包人应将合同价款支至合同协议书中约定的承包人帐户：</w:t>
      </w:r>
      <w:r>
        <w:rPr>
          <w:rFonts w:hint="eastAsia" w:ascii="宋体" w:hAnsi="宋体" w:eastAsia="宋体"/>
          <w:color w:val="auto"/>
          <w:sz w:val="21"/>
          <w:highlight w:val="none"/>
          <w:u w:val="single"/>
        </w:rPr>
        <w:t>开户行：              帐号：                       。</w:t>
      </w:r>
      <w:r>
        <w:rPr>
          <w:rFonts w:hint="eastAsia" w:ascii="宋体" w:hAnsi="宋体" w:eastAsia="宋体"/>
          <w:color w:val="auto"/>
          <w:sz w:val="21"/>
          <w:highlight w:val="none"/>
        </w:rPr>
        <w:t>承包人收取款项时应开具增值税发票。</w:t>
      </w:r>
    </w:p>
    <w:p w14:paraId="279449C2">
      <w:pPr>
        <w:spacing w:line="40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农民工工资专用账户建立及管理按《关于实行建设务工人员实名制信息化管理与建立农民工工资专业账户的通知》临建规[2017]137号文件规定执行。依据文件规定发包人将当期应付工程进度款的（</w:t>
      </w:r>
      <w:r>
        <w:rPr>
          <w:rFonts w:hint="eastAsia" w:ascii="宋体" w:hAnsi="宋体" w:eastAsia="宋体" w:cs="宋体"/>
          <w:b/>
          <w:bCs/>
          <w:color w:val="auto"/>
          <w:sz w:val="21"/>
          <w:szCs w:val="21"/>
          <w:highlight w:val="none"/>
          <w:lang w:val="en-US" w:eastAsia="zh-CN"/>
        </w:rPr>
        <w:t>20</w:t>
      </w:r>
      <w:r>
        <w:rPr>
          <w:rFonts w:hint="eastAsia" w:ascii="宋体" w:hAnsi="宋体" w:eastAsia="宋体" w:cs="宋体"/>
          <w:b/>
          <w:bCs/>
          <w:color w:val="auto"/>
          <w:sz w:val="21"/>
          <w:szCs w:val="21"/>
          <w:highlight w:val="none"/>
        </w:rPr>
        <w:t>）%拨付到承包人的农民工工资专用账户: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；其余合同价款支付至合同协议书中约定的承包人帐户。</w:t>
      </w:r>
    </w:p>
    <w:p w14:paraId="7E4875AF">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13．验收和工程试车</w:t>
      </w:r>
    </w:p>
    <w:p w14:paraId="12273F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4824C37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1D8B32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14:paraId="5C03DC3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工程验收过程、验收部位除办理纸质验收记录，还应留置验收部位、验收过程、主要验收人员相片、影像等资料。</w:t>
      </w:r>
    </w:p>
    <w:p w14:paraId="45FBDF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 竣工验收</w:t>
      </w:r>
    </w:p>
    <w:p w14:paraId="666DC2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13.2.2竣工验收程序</w:t>
      </w:r>
    </w:p>
    <w:p w14:paraId="4ADD99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按合同通用条款。</w:t>
      </w:r>
    </w:p>
    <w:p w14:paraId="38AD6CB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承包人须配合发包人进行工程竣工验收。</w:t>
      </w:r>
    </w:p>
    <w:p w14:paraId="349A862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不计违约金。</w:t>
      </w:r>
    </w:p>
    <w:p w14:paraId="28BDBB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highlight w:val="none"/>
        </w:rPr>
        <w:t>。</w:t>
      </w:r>
    </w:p>
    <w:p w14:paraId="58F96B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13.2.3竣工日期</w:t>
      </w:r>
    </w:p>
    <w:p w14:paraId="498D19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（1）承包人完成合同范围内的全部工程以及有关工作，工程经验收合格的，以承包人提交验收申请报告之日为计算合同工期终止日。</w:t>
      </w:r>
    </w:p>
    <w:p w14:paraId="76AFEB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（2）其余按合同通用条款。</w:t>
      </w:r>
    </w:p>
    <w:p w14:paraId="1397A7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p w14:paraId="22906D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283BF06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4EA11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按每天200元计取 </w:t>
      </w:r>
      <w:r>
        <w:rPr>
          <w:rFonts w:hint="eastAsia" w:ascii="宋体" w:hAnsi="宋体" w:eastAsia="宋体" w:cs="宋体"/>
          <w:color w:val="auto"/>
          <w:sz w:val="21"/>
          <w:szCs w:val="21"/>
          <w:highlight w:val="none"/>
        </w:rPr>
        <w:t>。</w:t>
      </w:r>
    </w:p>
    <w:p w14:paraId="7C754C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p w14:paraId="5620EB9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13.3.1试车程序</w:t>
      </w:r>
    </w:p>
    <w:p w14:paraId="76C4FEC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kern w:val="0"/>
          <w:sz w:val="21"/>
          <w:szCs w:val="21"/>
          <w:highlight w:val="none"/>
          <w:u w:val="single"/>
        </w:rPr>
        <w:t xml:space="preserve">     按规定执行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w:t>
      </w:r>
    </w:p>
    <w:p w14:paraId="2F549AC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05CE011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16BDA85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13.3.3投料试车</w:t>
      </w:r>
    </w:p>
    <w:p w14:paraId="1C9908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0F29E8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29E7292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13.6.1竣工退场</w:t>
      </w:r>
    </w:p>
    <w:p w14:paraId="1881D8A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颁发工程接收证书后7天内</w:t>
      </w:r>
      <w:r>
        <w:rPr>
          <w:rFonts w:hint="eastAsia" w:ascii="宋体" w:hAnsi="宋体" w:eastAsia="宋体" w:cs="宋体"/>
          <w:color w:val="auto"/>
          <w:kern w:val="0"/>
          <w:sz w:val="21"/>
          <w:szCs w:val="21"/>
          <w:highlight w:val="none"/>
        </w:rPr>
        <w:t>。</w:t>
      </w:r>
    </w:p>
    <w:p w14:paraId="4D2C2F9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13.6.2地表还原</w:t>
      </w:r>
    </w:p>
    <w:p w14:paraId="11712B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9572BC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本工程场地恢复的要求：</w:t>
      </w:r>
    </w:p>
    <w:p w14:paraId="4A054790">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（1）清理完成施工现场垃圾，临建的拆除与场地复原；</w:t>
      </w:r>
    </w:p>
    <w:p w14:paraId="147926E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（2）施工后废弃材料、设备清理撤离；</w:t>
      </w:r>
    </w:p>
    <w:p w14:paraId="749448C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（3）承包人造成的施工现场周边施工堆积物及场地清理。</w:t>
      </w:r>
    </w:p>
    <w:p w14:paraId="497E175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（4）其它要求：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9CB72FE">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14．竣工结算</w:t>
      </w:r>
    </w:p>
    <w:p w14:paraId="1AEB54B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44E6C3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1.承包人提交竣工结算申请的期限：</w:t>
      </w:r>
    </w:p>
    <w:p w14:paraId="541D2BF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highlight w:val="none"/>
          <w:u w:val="single"/>
        </w:rPr>
        <w:t>28天</w:t>
      </w:r>
      <w:r>
        <w:rPr>
          <w:rFonts w:hint="eastAsia" w:ascii="宋体" w:hAnsi="宋体" w:eastAsia="宋体" w:cs="宋体"/>
          <w:color w:val="auto"/>
          <w:sz w:val="21"/>
          <w:szCs w:val="21"/>
          <w:highlight w:val="none"/>
          <w:u w:val="single"/>
        </w:rPr>
        <w:t>内，向发包人或监理人、发包人委托的中介机构提交最终工程结算申请，并提交完整的工程结算资料一套。</w:t>
      </w:r>
    </w:p>
    <w:p w14:paraId="6FEFE85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1FD7CF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2.竣工结算申请单应包括的内容：</w:t>
      </w:r>
      <w:r>
        <w:rPr>
          <w:rFonts w:hint="eastAsia" w:ascii="宋体" w:hAnsi="宋体" w:eastAsia="宋体" w:cs="宋体"/>
          <w:color w:val="auto"/>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746126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0DA1CF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（1）发包人结算审核时间：</w:t>
      </w:r>
    </w:p>
    <w:p w14:paraId="15F141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发包人收到承包人递交的最终工程结算报告及结算资料后，在180天内审核完毕，并签发最终工程结算证书。</w:t>
      </w:r>
    </w:p>
    <w:p w14:paraId="4E4535D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16C2E42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9C59EA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825117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F57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18C4C50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14.4.1最终结清申请单</w:t>
      </w:r>
    </w:p>
    <w:p w14:paraId="6E3402F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2份  </w:t>
      </w:r>
      <w:r>
        <w:rPr>
          <w:rFonts w:hint="eastAsia" w:ascii="宋体" w:hAnsi="宋体" w:eastAsia="宋体" w:cs="宋体"/>
          <w:color w:val="auto"/>
          <w:sz w:val="21"/>
          <w:szCs w:val="21"/>
          <w:highlight w:val="none"/>
        </w:rPr>
        <w:t>。</w:t>
      </w:r>
    </w:p>
    <w:p w14:paraId="24E64D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缺陷责任期终止后7天内 </w:t>
      </w:r>
      <w:r>
        <w:rPr>
          <w:rFonts w:hint="eastAsia" w:ascii="宋体" w:hAnsi="宋体" w:eastAsia="宋体" w:cs="宋体"/>
          <w:color w:val="auto"/>
          <w:sz w:val="21"/>
          <w:szCs w:val="21"/>
          <w:highlight w:val="none"/>
        </w:rPr>
        <w:t xml:space="preserve">。 </w:t>
      </w:r>
    </w:p>
    <w:p w14:paraId="16CC2F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14.4.2最终结清证书和支付</w:t>
      </w:r>
    </w:p>
    <w:p w14:paraId="49E41D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215ACA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14:paraId="08E0C598">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15．缺陷责任期与保修</w:t>
      </w:r>
    </w:p>
    <w:p w14:paraId="1874CB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15.2 缺陷责任期</w:t>
      </w:r>
    </w:p>
    <w:p w14:paraId="323F81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缺陷责任期</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u w:val="single"/>
        </w:rPr>
        <w:t>个月，其余按通用条款执行</w:t>
      </w:r>
      <w:r>
        <w:rPr>
          <w:rFonts w:hint="eastAsia" w:ascii="宋体" w:hAnsi="宋体" w:eastAsia="宋体" w:cs="宋体"/>
          <w:color w:val="auto"/>
          <w:sz w:val="21"/>
          <w:szCs w:val="21"/>
          <w:highlight w:val="none"/>
        </w:rPr>
        <w:t>。</w:t>
      </w:r>
    </w:p>
    <w:p w14:paraId="6EBB54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4DFEB6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留置质量保证金 </w:t>
      </w:r>
      <w:r>
        <w:rPr>
          <w:rFonts w:hint="eastAsia" w:ascii="宋体" w:hAnsi="宋体" w:eastAsia="宋体" w:cs="宋体"/>
          <w:color w:val="auto"/>
          <w:sz w:val="21"/>
          <w:szCs w:val="21"/>
          <w:highlight w:val="none"/>
        </w:rPr>
        <w:t>。</w:t>
      </w:r>
    </w:p>
    <w:p w14:paraId="361CB2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15.3.1承包人提供质量保证金的方式</w:t>
      </w:r>
    </w:p>
    <w:p w14:paraId="70ADB71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w:t>
      </w:r>
    </w:p>
    <w:p w14:paraId="65587A7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w:t>
      </w:r>
      <w:r>
        <w:rPr>
          <w:rFonts w:hint="eastAsia" w:ascii="宋体" w:hAnsi="宋体" w:eastAsia="宋体" w:cs="宋体"/>
          <w:color w:val="auto"/>
          <w:sz w:val="21"/>
          <w:szCs w:val="21"/>
          <w:highlight w:val="none"/>
        </w:rPr>
        <w:t xml:space="preserve">保函形式为银行保函、保险机构保证保险保单或融资担保公司保函中任选一种，金额为1.5%的工程结算价款； </w:t>
      </w:r>
    </w:p>
    <w:p w14:paraId="2D43A00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1.5%</w:t>
      </w:r>
      <w:r>
        <w:rPr>
          <w:rFonts w:hint="eastAsia" w:ascii="宋体" w:hAnsi="宋体" w:eastAsia="宋体" w:cs="宋体"/>
          <w:color w:val="auto"/>
          <w:kern w:val="0"/>
          <w:sz w:val="21"/>
          <w:szCs w:val="21"/>
          <w:highlight w:val="none"/>
        </w:rPr>
        <w:t>的工程结算价款；</w:t>
      </w:r>
    </w:p>
    <w:p w14:paraId="4B4A145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D30F0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 </w:t>
      </w:r>
    </w:p>
    <w:p w14:paraId="3365F4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43DC53C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1C3018EF">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5C4996A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u w:val="single"/>
        </w:rPr>
        <w:t xml:space="preserve"> 发包人支付完成最后工程结算付款前，承包人提供质量保证金保函 </w:t>
      </w:r>
      <w:r>
        <w:rPr>
          <w:rFonts w:hint="eastAsia" w:ascii="宋体" w:hAnsi="宋体" w:eastAsia="宋体" w:cs="宋体"/>
          <w:color w:val="auto"/>
          <w:kern w:val="0"/>
          <w:sz w:val="21"/>
          <w:szCs w:val="21"/>
          <w:highlight w:val="none"/>
        </w:rPr>
        <w:t>。</w:t>
      </w:r>
    </w:p>
    <w:p w14:paraId="7CA4784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关于质量保证金的补充约定：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w:t>
      </w:r>
    </w:p>
    <w:p w14:paraId="67F2BA2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15.3.3质量保证金的退还</w:t>
      </w:r>
    </w:p>
    <w:p w14:paraId="03C553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质量保证金按以下第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方式退回：</w:t>
      </w:r>
    </w:p>
    <w:p w14:paraId="1FB87D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（1）缺陷责任期终止后，发包人退还剩余的质量保证金。</w:t>
      </w:r>
    </w:p>
    <w:p w14:paraId="74B73CFB">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（2）建筑工程：工程竣工验收合格后满1年返还质量保证金的30%，满2年返还全部预留的质量保证金。</w:t>
      </w:r>
    </w:p>
    <w:p w14:paraId="09643004">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（3）市政工程：工程竣工验收合格后满2年返还全部质量保证金。</w:t>
      </w:r>
    </w:p>
    <w:p w14:paraId="3059546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（4）其它：</w:t>
      </w:r>
      <w:r>
        <w:rPr>
          <w:rFonts w:hint="eastAsia" w:ascii="宋体" w:hAnsi="宋体" w:eastAsia="宋体" w:cs="宋体"/>
          <w:color w:val="auto"/>
          <w:sz w:val="21"/>
          <w:szCs w:val="21"/>
          <w:highlight w:val="none"/>
          <w:u w:val="single"/>
        </w:rPr>
        <w:t>缺陷责任期终止后</w:t>
      </w:r>
      <w:r>
        <w:rPr>
          <w:rFonts w:hint="eastAsia" w:ascii="宋体" w:hAnsi="宋体" w:eastAsia="宋体" w:cs="宋体"/>
          <w:color w:val="auto"/>
          <w:sz w:val="21"/>
          <w:szCs w:val="21"/>
          <w:highlight w:val="none"/>
          <w:u w:val="single"/>
          <w:lang w:eastAsia="zh-CN"/>
        </w:rPr>
        <w:t>，质量保证金保函自动失效。</w:t>
      </w:r>
    </w:p>
    <w:p w14:paraId="4BAF86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 保修</w:t>
      </w:r>
    </w:p>
    <w:p w14:paraId="2105777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15.4.1保修责任</w:t>
      </w:r>
    </w:p>
    <w:p w14:paraId="360EA10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按本合同附件3《工程质量保修书》 </w:t>
      </w:r>
      <w:r>
        <w:rPr>
          <w:rFonts w:hint="eastAsia" w:ascii="宋体" w:hAnsi="宋体" w:eastAsia="宋体" w:cs="宋体"/>
          <w:color w:val="auto"/>
          <w:kern w:val="0"/>
          <w:sz w:val="21"/>
          <w:szCs w:val="21"/>
          <w:highlight w:val="none"/>
        </w:rPr>
        <w:t>。</w:t>
      </w:r>
    </w:p>
    <w:p w14:paraId="5173E5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15.4.3修复通知</w:t>
      </w:r>
    </w:p>
    <w:p w14:paraId="4820E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64F2296E">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16．违约</w:t>
      </w:r>
    </w:p>
    <w:p w14:paraId="6D1B32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17E8CD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4B0C683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7B1F80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16.1.2发包人违约的责任</w:t>
      </w:r>
    </w:p>
    <w:p w14:paraId="212CB8B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53617B7A">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赔偿承包人相关损失；属于专用合同条款7.3.2条约定情形的，按该条款约定处理；</w:t>
      </w:r>
    </w:p>
    <w:p w14:paraId="1C42C3F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支付违约金，违约金为应付合同价款的利息；造成工期延误的顺延工期，并承担承包人的相应损失费用；</w:t>
      </w:r>
    </w:p>
    <w:p w14:paraId="7BF9674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p>
    <w:p w14:paraId="199A191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33E7709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6BBA96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2E9F687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03D49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16.1.3因发包人违约解除合同</w:t>
      </w:r>
    </w:p>
    <w:p w14:paraId="6E43266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28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1D012F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0A0F7A4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16.2.1承包人违约的情形</w:t>
      </w:r>
    </w:p>
    <w:p w14:paraId="19B1F38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p>
    <w:p w14:paraId="7FBA99A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机械设备、施工项目班子未按投标承诺及时到位；</w:t>
      </w:r>
    </w:p>
    <w:p w14:paraId="4EF94C4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3F4473C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）承包人允许其他人挂靠经营、私自转包</w:t>
      </w:r>
      <w:r>
        <w:rPr>
          <w:rFonts w:hint="eastAsia" w:ascii="宋体" w:hAnsi="宋体" w:eastAsia="宋体" w:cs="宋体"/>
          <w:color w:val="auto"/>
          <w:kern w:val="0"/>
          <w:sz w:val="21"/>
          <w:szCs w:val="21"/>
          <w:highlight w:val="none"/>
        </w:rPr>
        <w:t>；</w:t>
      </w:r>
    </w:p>
    <w:p w14:paraId="13D629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u w:val="single"/>
        </w:rPr>
        <w:t>）承包人未达到投标时所承诺的诚信与技术标准。</w:t>
      </w:r>
    </w:p>
    <w:p w14:paraId="3FAA503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7C8CBCF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14:paraId="1374F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机械设备未按投标承诺到位，每项扣除履约担保金2%；</w:t>
      </w:r>
    </w:p>
    <w:p w14:paraId="15F1E5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现场安全文明施工不符合投标书承诺，扣减相应安全文明施工费用；</w:t>
      </w:r>
      <w:r>
        <w:rPr>
          <w:rFonts w:hint="eastAsia" w:ascii="宋体" w:hAnsi="宋体" w:eastAsia="宋体" w:cs="宋体"/>
          <w:color w:val="auto"/>
          <w:kern w:val="0"/>
          <w:sz w:val="21"/>
          <w:szCs w:val="21"/>
          <w:highlight w:val="none"/>
          <w:u w:val="single"/>
        </w:rPr>
        <w:t>承包人原因造成现场管理混乱、</w:t>
      </w:r>
      <w:r>
        <w:rPr>
          <w:rFonts w:hint="eastAsia" w:ascii="宋体" w:hAnsi="宋体" w:eastAsia="宋体" w:cs="宋体"/>
          <w:color w:val="auto"/>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1AC9EF4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发现承包人允许其他人挂靠经营、私自转包，所有履约担保归发包人，同时赔偿发包人损失，并责令退出工地。</w:t>
      </w:r>
    </w:p>
    <w:p w14:paraId="775F595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u w:val="single"/>
        </w:rPr>
        <w:t>未达到投标所承诺的诚信、技术标准及创优、创标化工程目标，按每一项扣减履约担保金的10%。</w:t>
      </w:r>
    </w:p>
    <w:p w14:paraId="293FFB7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47B3ED5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u w:val="single"/>
        </w:rPr>
        <w:t>承包人无法继续履行、明确表示不履行或实质上已停止履行合同，发包人可通知承包人全部解除合同，所有履约担保不予退还，同时赔偿发包人损失。</w:t>
      </w:r>
    </w:p>
    <w:p w14:paraId="2AC4506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16.2.3因承包人违约解除合同</w:t>
      </w:r>
    </w:p>
    <w:p w14:paraId="3D0F6628">
      <w:pPr>
        <w:autoSpaceDE w:val="0"/>
        <w:autoSpaceDN w:val="0"/>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E157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highlight w:val="none"/>
        </w:rPr>
        <w:t>。</w:t>
      </w:r>
    </w:p>
    <w:p w14:paraId="4218C2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16.2.4因承包人违约解除合同后的处理</w:t>
      </w:r>
    </w:p>
    <w:p w14:paraId="1C38E2B1">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17．不可抗力</w:t>
      </w:r>
    </w:p>
    <w:p w14:paraId="08CA7B8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4202768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kern w:val="0"/>
          <w:sz w:val="21"/>
          <w:szCs w:val="21"/>
          <w:highlight w:val="none"/>
          <w:u w:val="single"/>
        </w:rPr>
        <w:t xml:space="preserve"> 10级（不含10级）以上台风、10年一遇洪水、暴风雪、干旱，罢工、政府禁令</w:t>
      </w:r>
      <w:r>
        <w:rPr>
          <w:rFonts w:hint="eastAsia" w:ascii="宋体" w:hAnsi="宋体" w:eastAsia="宋体" w:cs="宋体"/>
          <w:color w:val="auto"/>
          <w:kern w:val="0"/>
          <w:sz w:val="21"/>
          <w:szCs w:val="21"/>
          <w:highlight w:val="none"/>
        </w:rPr>
        <w:t>。</w:t>
      </w:r>
    </w:p>
    <w:p w14:paraId="1E8FC49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不可抗力的通知</w:t>
      </w:r>
    </w:p>
    <w:p w14:paraId="0248702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62E2EF0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17.3 不可抗力后果的承担</w:t>
      </w:r>
      <w:r>
        <w:rPr>
          <w:rFonts w:hint="eastAsia" w:ascii="宋体" w:hAnsi="宋体" w:eastAsia="宋体" w:cs="宋体"/>
          <w:color w:val="auto"/>
          <w:kern w:val="0"/>
          <w:sz w:val="21"/>
          <w:szCs w:val="21"/>
          <w:highlight w:val="none"/>
          <w:u w:val="single"/>
        </w:rPr>
        <w:t>：按通用条款。</w:t>
      </w:r>
    </w:p>
    <w:p w14:paraId="4C9747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011D00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天内完成款项的支付。</w:t>
      </w:r>
    </w:p>
    <w:p w14:paraId="1C6848A9">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18．保险</w:t>
      </w:r>
    </w:p>
    <w:p w14:paraId="18C720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411564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727FD79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48CA77B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highlight w:val="none"/>
        </w:rPr>
        <w:t>。</w:t>
      </w:r>
    </w:p>
    <w:p w14:paraId="51060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08954A7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201D02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79553DC9">
      <w:pPr>
        <w:pStyle w:val="7"/>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20．争议解决</w:t>
      </w:r>
    </w:p>
    <w:p w14:paraId="6BFEFB6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14:paraId="51A17E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2E51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20.3.1争议评审小组的确定</w:t>
      </w:r>
    </w:p>
    <w:p w14:paraId="5BECAB6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提交争议评审时再选定 </w:t>
      </w:r>
      <w:r>
        <w:rPr>
          <w:rFonts w:hint="eastAsia" w:ascii="宋体" w:hAnsi="宋体" w:eastAsia="宋体" w:cs="宋体"/>
          <w:color w:val="auto"/>
          <w:sz w:val="21"/>
          <w:szCs w:val="21"/>
          <w:highlight w:val="none"/>
        </w:rPr>
        <w:t>。</w:t>
      </w:r>
    </w:p>
    <w:p w14:paraId="7D60A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A179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8C3F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3E9AF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20.3.2争议评审小组的决定</w:t>
      </w:r>
    </w:p>
    <w:p w14:paraId="5E58A84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按通用条款。</w:t>
      </w:r>
    </w:p>
    <w:p w14:paraId="0BEAF6D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20.3.3争议评审小组决定的效力：</w:t>
      </w:r>
      <w:r>
        <w:rPr>
          <w:rFonts w:hint="eastAsia" w:ascii="宋体" w:hAnsi="宋体" w:eastAsia="宋体" w:cs="宋体"/>
          <w:color w:val="auto"/>
          <w:sz w:val="21"/>
          <w:szCs w:val="21"/>
          <w:highlight w:val="none"/>
          <w:u w:val="single"/>
        </w:rPr>
        <w:t>按通用条款执行。</w:t>
      </w:r>
    </w:p>
    <w:p w14:paraId="352290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20.4 仲裁或诉讼</w:t>
      </w:r>
    </w:p>
    <w:p w14:paraId="753608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71C5F2E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rPr>
        <w:t>仲裁委员会申请仲裁；</w:t>
      </w:r>
    </w:p>
    <w:p w14:paraId="3BDFF9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p>
    <w:p w14:paraId="36F33ADF">
      <w:pPr>
        <w:spacing w:line="400" w:lineRule="exact"/>
        <w:ind w:firstLine="412" w:firstLineChars="200"/>
        <w:rPr>
          <w:rFonts w:hint="eastAsia" w:ascii="宋体" w:hAnsi="宋体" w:eastAsia="宋体" w:cs="宋体"/>
          <w:color w:val="auto"/>
          <w:sz w:val="21"/>
          <w:szCs w:val="21"/>
          <w:highlight w:val="none"/>
        </w:rPr>
      </w:pPr>
    </w:p>
    <w:p w14:paraId="6542CE1D">
      <w:pPr>
        <w:spacing w:line="400" w:lineRule="exact"/>
        <w:ind w:firstLine="412" w:firstLineChars="200"/>
        <w:rPr>
          <w:rFonts w:hint="eastAsia" w:ascii="宋体" w:hAnsi="宋体" w:eastAsia="宋体" w:cs="宋体"/>
          <w:color w:val="auto"/>
          <w:sz w:val="21"/>
          <w:szCs w:val="21"/>
          <w:highlight w:val="none"/>
        </w:rPr>
      </w:pPr>
    </w:p>
    <w:p w14:paraId="7FEC77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468E895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7A34C1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8CDCC2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                     委托代理人（签字）：</w:t>
      </w:r>
    </w:p>
    <w:p w14:paraId="633CE1BD">
      <w:pPr>
        <w:spacing w:line="400" w:lineRule="exact"/>
        <w:rPr>
          <w:rFonts w:hint="eastAsia" w:ascii="宋体" w:hAnsi="宋体" w:eastAsia="宋体" w:cs="宋体"/>
          <w:color w:val="auto"/>
          <w:sz w:val="21"/>
          <w:szCs w:val="21"/>
          <w:highlight w:val="none"/>
        </w:rPr>
      </w:pPr>
    </w:p>
    <w:p w14:paraId="0A46725C">
      <w:pPr>
        <w:spacing w:line="400" w:lineRule="exact"/>
        <w:rPr>
          <w:rFonts w:hint="eastAsia" w:ascii="宋体" w:hAnsi="宋体" w:eastAsia="宋体" w:cs="宋体"/>
          <w:color w:val="auto"/>
          <w:sz w:val="21"/>
          <w:szCs w:val="21"/>
          <w:highlight w:val="none"/>
        </w:rPr>
      </w:pPr>
    </w:p>
    <w:p w14:paraId="1BCD1D55">
      <w:pPr>
        <w:spacing w:line="400" w:lineRule="exact"/>
        <w:rPr>
          <w:rFonts w:hint="eastAsia" w:ascii="宋体" w:hAnsi="宋体" w:eastAsia="宋体" w:cs="宋体"/>
          <w:color w:val="auto"/>
          <w:sz w:val="21"/>
          <w:szCs w:val="21"/>
          <w:highlight w:val="none"/>
        </w:rPr>
      </w:pPr>
    </w:p>
    <w:p w14:paraId="16D8EA9C">
      <w:pPr>
        <w:spacing w:line="400" w:lineRule="exact"/>
        <w:rPr>
          <w:rFonts w:hint="eastAsia" w:ascii="宋体" w:hAnsi="宋体" w:eastAsia="宋体" w:cs="宋体"/>
          <w:color w:val="auto"/>
          <w:sz w:val="21"/>
          <w:szCs w:val="21"/>
          <w:highlight w:val="none"/>
        </w:rPr>
      </w:pPr>
    </w:p>
    <w:p w14:paraId="100122D8">
      <w:pPr>
        <w:spacing w:line="400" w:lineRule="exact"/>
        <w:rPr>
          <w:rFonts w:hint="eastAsia" w:ascii="宋体" w:hAnsi="宋体" w:eastAsia="宋体" w:cs="宋体"/>
          <w:color w:val="auto"/>
          <w:sz w:val="21"/>
          <w:szCs w:val="21"/>
          <w:highlight w:val="none"/>
        </w:rPr>
      </w:pPr>
    </w:p>
    <w:p w14:paraId="113F81E0">
      <w:pPr>
        <w:spacing w:line="400" w:lineRule="exact"/>
        <w:rPr>
          <w:rFonts w:hint="eastAsia" w:ascii="宋体" w:hAnsi="宋体" w:eastAsia="宋体" w:cs="宋体"/>
          <w:color w:val="auto"/>
          <w:sz w:val="21"/>
          <w:szCs w:val="21"/>
          <w:highlight w:val="none"/>
        </w:rPr>
      </w:pPr>
    </w:p>
    <w:p w14:paraId="5D5AE36A">
      <w:pPr>
        <w:spacing w:line="400" w:lineRule="exact"/>
        <w:rPr>
          <w:rFonts w:hint="eastAsia" w:ascii="宋体" w:hAnsi="宋体" w:eastAsia="宋体" w:cs="宋体"/>
          <w:color w:val="auto"/>
          <w:sz w:val="21"/>
          <w:szCs w:val="21"/>
          <w:highlight w:val="none"/>
        </w:rPr>
      </w:pPr>
    </w:p>
    <w:p w14:paraId="2CB67417">
      <w:pPr>
        <w:spacing w:line="400" w:lineRule="exact"/>
        <w:rPr>
          <w:rFonts w:hint="eastAsia" w:ascii="宋体" w:hAnsi="宋体" w:eastAsia="宋体" w:cs="宋体"/>
          <w:color w:val="auto"/>
          <w:sz w:val="21"/>
          <w:szCs w:val="21"/>
          <w:highlight w:val="none"/>
        </w:rPr>
      </w:pPr>
    </w:p>
    <w:p w14:paraId="4D537C95">
      <w:pPr>
        <w:spacing w:line="400" w:lineRule="exact"/>
        <w:rPr>
          <w:rFonts w:hint="eastAsia" w:ascii="宋体" w:hAnsi="宋体" w:eastAsia="宋体" w:cs="宋体"/>
          <w:color w:val="auto"/>
          <w:sz w:val="21"/>
          <w:szCs w:val="21"/>
          <w:highlight w:val="none"/>
        </w:rPr>
      </w:pPr>
    </w:p>
    <w:p w14:paraId="4177CB45">
      <w:pPr>
        <w:spacing w:line="400" w:lineRule="exact"/>
        <w:rPr>
          <w:rFonts w:hint="eastAsia" w:ascii="宋体" w:hAnsi="宋体" w:eastAsia="宋体" w:cs="宋体"/>
          <w:color w:val="auto"/>
          <w:sz w:val="21"/>
          <w:szCs w:val="21"/>
          <w:highlight w:val="none"/>
        </w:rPr>
      </w:pPr>
    </w:p>
    <w:p w14:paraId="51803EDF">
      <w:pPr>
        <w:spacing w:line="400" w:lineRule="exact"/>
        <w:rPr>
          <w:rFonts w:hint="eastAsia" w:ascii="宋体" w:hAnsi="宋体" w:eastAsia="宋体" w:cs="宋体"/>
          <w:color w:val="auto"/>
          <w:sz w:val="21"/>
          <w:szCs w:val="21"/>
          <w:highlight w:val="none"/>
        </w:rPr>
      </w:pPr>
    </w:p>
    <w:p w14:paraId="2A0EE5D4">
      <w:pPr>
        <w:spacing w:line="400" w:lineRule="exact"/>
        <w:rPr>
          <w:rFonts w:hint="eastAsia" w:ascii="宋体" w:hAnsi="宋体" w:eastAsia="宋体" w:cs="宋体"/>
          <w:color w:val="auto"/>
          <w:sz w:val="21"/>
          <w:szCs w:val="21"/>
          <w:highlight w:val="none"/>
        </w:rPr>
      </w:pPr>
    </w:p>
    <w:p w14:paraId="4CD43A25">
      <w:pPr>
        <w:spacing w:line="400" w:lineRule="exact"/>
        <w:rPr>
          <w:rFonts w:hint="eastAsia" w:ascii="宋体" w:hAnsi="宋体" w:eastAsia="宋体" w:cs="宋体"/>
          <w:color w:val="auto"/>
          <w:sz w:val="21"/>
          <w:szCs w:val="21"/>
          <w:highlight w:val="none"/>
        </w:rPr>
      </w:pPr>
    </w:p>
    <w:p w14:paraId="6FFCD3D8">
      <w:pPr>
        <w:spacing w:line="400" w:lineRule="exact"/>
        <w:rPr>
          <w:rFonts w:hint="eastAsia" w:ascii="宋体" w:hAnsi="宋体" w:eastAsia="宋体" w:cs="宋体"/>
          <w:color w:val="auto"/>
          <w:sz w:val="21"/>
          <w:szCs w:val="21"/>
          <w:highlight w:val="none"/>
        </w:rPr>
      </w:pPr>
    </w:p>
    <w:p w14:paraId="08CCDDAB">
      <w:pPr>
        <w:spacing w:line="400" w:lineRule="exact"/>
        <w:rPr>
          <w:rFonts w:hint="eastAsia" w:ascii="宋体" w:hAnsi="宋体" w:eastAsia="宋体" w:cs="宋体"/>
          <w:color w:val="auto"/>
          <w:sz w:val="21"/>
          <w:szCs w:val="21"/>
          <w:highlight w:val="none"/>
        </w:rPr>
      </w:pPr>
    </w:p>
    <w:p w14:paraId="191E46A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14:paraId="3CD1D124">
      <w:pPr>
        <w:spacing w:line="400" w:lineRule="exact"/>
        <w:rPr>
          <w:rFonts w:ascii="宋体" w:hAnsi="宋体" w:eastAsia="宋体" w:cs="宋体"/>
          <w:color w:val="auto"/>
          <w:sz w:val="21"/>
          <w:szCs w:val="21"/>
          <w:highlight w:val="none"/>
        </w:rPr>
      </w:pPr>
    </w:p>
    <w:p w14:paraId="6BE12B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468559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附件1：承包人承揽工程项目一览表（略）</w:t>
      </w:r>
    </w:p>
    <w:p w14:paraId="72721E6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30D614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附件2：发包人供应材料设备一览表（略）</w:t>
      </w:r>
    </w:p>
    <w:p w14:paraId="2BA949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344693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附件4：主要建设工程文件目录（略）</w:t>
      </w:r>
    </w:p>
    <w:p w14:paraId="4C21DDD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附件5：承包人用于本工程施工的机械设备表（略）</w:t>
      </w:r>
    </w:p>
    <w:p w14:paraId="2CE248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附件6：承包人主要施工管理人员表（略）</w:t>
      </w:r>
    </w:p>
    <w:p w14:paraId="6834AD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附件7：分包人主要施工管理人员表（略）</w:t>
      </w:r>
    </w:p>
    <w:p w14:paraId="002AA1A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附件8：履约担保格式（略）</w:t>
      </w:r>
    </w:p>
    <w:p w14:paraId="79C449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附件9：预付款担保格式（略）</w:t>
      </w:r>
    </w:p>
    <w:p w14:paraId="53A18D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附件10：支付担保格式（略）</w:t>
      </w:r>
    </w:p>
    <w:p w14:paraId="08F3D1D5">
      <w:pPr>
        <w:spacing w:line="400" w:lineRule="exact"/>
        <w:ind w:firstLine="412"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附件11：暂估价一览表（略）</w:t>
      </w:r>
    </w:p>
    <w:p w14:paraId="4499F594">
      <w:pPr>
        <w:pStyle w:val="2"/>
        <w:rPr>
          <w:rFonts w:hint="eastAsia" w:eastAsia="宋体"/>
          <w:color w:val="auto"/>
          <w:highlight w:val="none"/>
          <w:lang w:eastAsia="zh-CN"/>
        </w:rPr>
        <w:sectPr>
          <w:footerReference r:id="rId14" w:type="default"/>
          <w:headerReference r:id="rId13" w:type="even"/>
          <w:footerReference r:id="rId15" w:type="even"/>
          <w:pgSz w:w="11907" w:h="16840"/>
          <w:pgMar w:top="1247" w:right="1531" w:bottom="1247" w:left="1531" w:header="851" w:footer="1559" w:gutter="0"/>
          <w:cols w:space="720" w:num="1"/>
          <w:docGrid w:type="linesAndChars" w:linePitch="586" w:charSpace="-842"/>
        </w:sectPr>
      </w:pPr>
      <w:r>
        <w:rPr>
          <w:rFonts w:hint="eastAsia" w:ascii="宋体" w:hAnsi="宋体" w:cs="宋体"/>
          <w:color w:val="auto"/>
          <w:sz w:val="21"/>
          <w:szCs w:val="21"/>
          <w:highlight w:val="none"/>
        </w:rPr>
        <w:t xml:space="preserve">    附件12：主要设备材料备选品牌一览表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略</w:t>
      </w:r>
      <w:r>
        <w:rPr>
          <w:rFonts w:hint="eastAsia" w:ascii="宋体" w:hAnsi="宋体" w:cs="宋体"/>
          <w:color w:val="auto"/>
          <w:sz w:val="21"/>
          <w:szCs w:val="21"/>
          <w:highlight w:val="none"/>
          <w:lang w:eastAsia="zh-CN"/>
        </w:rPr>
        <w:t>）</w:t>
      </w:r>
    </w:p>
    <w:p w14:paraId="09067D8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w:t>
      </w:r>
    </w:p>
    <w:p w14:paraId="64490533">
      <w:pPr>
        <w:spacing w:line="400" w:lineRule="exact"/>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14:paraId="481707A2">
      <w:pPr>
        <w:spacing w:line="400" w:lineRule="exact"/>
        <w:rPr>
          <w:rFonts w:ascii="宋体" w:hAnsi="宋体" w:eastAsia="宋体" w:cs="宋体"/>
          <w:color w:val="auto"/>
          <w:sz w:val="21"/>
          <w:szCs w:val="21"/>
          <w:highlight w:val="none"/>
        </w:rPr>
      </w:pPr>
    </w:p>
    <w:p w14:paraId="552FB28D">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val="en-US" w:eastAsia="zh-CN"/>
        </w:rPr>
        <w:t>临海市上盘镇新塘岸村村民委员会</w:t>
      </w:r>
      <w:r>
        <w:rPr>
          <w:rFonts w:hint="eastAsia" w:ascii="宋体" w:hAnsi="宋体" w:eastAsia="宋体" w:cs="宋体"/>
          <w:color w:val="auto"/>
          <w:sz w:val="21"/>
          <w:szCs w:val="21"/>
          <w:highlight w:val="none"/>
        </w:rPr>
        <w:t xml:space="preserve"> </w:t>
      </w:r>
    </w:p>
    <w:p w14:paraId="686568BF">
      <w:pPr>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70D06A4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临海市上盘镇新塘岸村村民活动中心（二期）</w:t>
      </w:r>
      <w:r>
        <w:rPr>
          <w:rFonts w:hint="eastAsia" w:ascii="宋体" w:hAnsi="宋体" w:eastAsia="宋体" w:cs="宋体"/>
          <w:color w:val="auto"/>
          <w:sz w:val="21"/>
          <w:szCs w:val="21"/>
          <w:highlight w:val="none"/>
        </w:rPr>
        <w:t>（工程全称）签订工程质量保修书。</w:t>
      </w:r>
    </w:p>
    <w:p w14:paraId="43B5607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5D171CF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6CF1C0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承包人承包范围的所有工程</w:t>
      </w:r>
      <w:r>
        <w:rPr>
          <w:rFonts w:hint="eastAsia" w:ascii="宋体" w:hAnsi="宋体" w:eastAsia="宋体" w:cs="宋体"/>
          <w:color w:val="auto"/>
          <w:sz w:val="21"/>
          <w:szCs w:val="21"/>
          <w:highlight w:val="none"/>
        </w:rPr>
        <w:t>。</w:t>
      </w:r>
    </w:p>
    <w:p w14:paraId="2F2B58C2">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658E3C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7A9DBD8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176EC1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0E393DE1">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6C6F3E5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0059E28A">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个采暖期、供冷期；</w:t>
      </w:r>
    </w:p>
    <w:p w14:paraId="1BAEE85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4FB3B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u w:val="single"/>
        </w:rPr>
        <w:t>除1-6内容外约定质量保修期为</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年。 </w:t>
      </w:r>
    </w:p>
    <w:p w14:paraId="25844AC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26B28B4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7EC0937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14:paraId="14D4CF4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750D7B6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1．属于保修范围、内容的项目，承包人应当在接到保修通知后4小时内响应，7天内派人保修。承包人不在约定期限内派人保修的，发包人可以委托他人修理。</w:t>
      </w:r>
    </w:p>
    <w:p w14:paraId="680A197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357DA4C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4762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23DF4FF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72D23003">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578B9A4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六、双方约定的其他工程质量保修事项：</w:t>
      </w:r>
      <w:r>
        <w:rPr>
          <w:rFonts w:hint="eastAsia" w:ascii="宋体" w:hAnsi="宋体" w:eastAsia="宋体" w:cs="宋体"/>
          <w:color w:val="auto"/>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highlight w:val="none"/>
        </w:rPr>
        <w:t>。</w:t>
      </w:r>
    </w:p>
    <w:p w14:paraId="0FBB973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25F753F8">
      <w:pPr>
        <w:spacing w:line="400" w:lineRule="exact"/>
        <w:rPr>
          <w:rFonts w:ascii="宋体" w:hAnsi="宋体" w:eastAsia="宋体" w:cs="宋体"/>
          <w:color w:val="auto"/>
          <w:sz w:val="21"/>
          <w:szCs w:val="21"/>
          <w:highlight w:val="none"/>
        </w:rPr>
      </w:pPr>
    </w:p>
    <w:p w14:paraId="1D4910FB">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3C451C7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27811678">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B5CE3D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                      或委托代理人（签字）：</w:t>
      </w:r>
    </w:p>
    <w:p w14:paraId="0629E1DC">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30300BF5">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14:paraId="21AC5D19">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3D12C54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  号：                                    账  号：</w:t>
      </w:r>
    </w:p>
    <w:p w14:paraId="6244A464">
      <w:pPr>
        <w:spacing w:line="400" w:lineRule="exact"/>
        <w:rPr>
          <w:rFonts w:ascii="宋体" w:hAnsi="宋体" w:eastAsia="宋体" w:cs="宋体"/>
          <w:color w:val="auto"/>
          <w:sz w:val="21"/>
          <w:szCs w:val="21"/>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color w:val="auto"/>
          <w:sz w:val="21"/>
          <w:szCs w:val="21"/>
          <w:highlight w:val="none"/>
        </w:rPr>
        <w:t xml:space="preserve">邮政编码：                                  邮政编码： </w:t>
      </w:r>
    </w:p>
    <w:bookmarkEnd w:id="129"/>
    <w:bookmarkEnd w:id="130"/>
    <w:bookmarkEnd w:id="131"/>
    <w:p w14:paraId="381E5AC1">
      <w:pPr>
        <w:pStyle w:val="3"/>
        <w:spacing w:line="400" w:lineRule="exact"/>
        <w:rPr>
          <w:rFonts w:ascii="宋体" w:eastAsia="宋体" w:cs="宋体"/>
          <w:bCs/>
          <w:color w:val="auto"/>
          <w:sz w:val="28"/>
          <w:szCs w:val="28"/>
          <w:highlight w:val="none"/>
        </w:rPr>
      </w:pPr>
      <w:bookmarkStart w:id="132" w:name="_Toc18169"/>
      <w:bookmarkStart w:id="133" w:name="_Toc6352"/>
      <w:r>
        <w:rPr>
          <w:rFonts w:hint="eastAsia" w:ascii="宋体" w:eastAsia="宋体" w:cs="宋体"/>
          <w:color w:val="auto"/>
          <w:sz w:val="28"/>
          <w:szCs w:val="28"/>
          <w:highlight w:val="none"/>
        </w:rPr>
        <w:t>第五部分  工程建设项目廉政责任书</w:t>
      </w:r>
      <w:bookmarkEnd w:id="132"/>
      <w:bookmarkEnd w:id="133"/>
    </w:p>
    <w:p w14:paraId="7DB29561">
      <w:pPr>
        <w:pStyle w:val="9"/>
        <w:spacing w:line="400" w:lineRule="exact"/>
        <w:jc w:val="left"/>
        <w:rPr>
          <w:rFonts w:cs="宋体"/>
          <w:color w:val="auto"/>
          <w:szCs w:val="21"/>
          <w:highlight w:val="none"/>
        </w:rPr>
      </w:pPr>
    </w:p>
    <w:p w14:paraId="41327290">
      <w:pPr>
        <w:pStyle w:val="9"/>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工程项目名称：</w:t>
      </w:r>
      <w:r>
        <w:rPr>
          <w:rFonts w:hint="eastAsia" w:cs="宋体"/>
          <w:color w:val="auto"/>
          <w:szCs w:val="21"/>
          <w:highlight w:val="none"/>
          <w:u w:val="single"/>
          <w:lang w:eastAsia="zh-CN"/>
        </w:rPr>
        <w:t>临海市上盘镇新塘岸村村民活动中心（二期）</w:t>
      </w:r>
    </w:p>
    <w:p w14:paraId="0973C438">
      <w:pPr>
        <w:pStyle w:val="9"/>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工程项目地址：</w:t>
      </w:r>
      <w:r>
        <w:rPr>
          <w:rFonts w:hint="eastAsia" w:cs="宋体"/>
          <w:color w:val="auto"/>
          <w:szCs w:val="21"/>
          <w:highlight w:val="none"/>
          <w:u w:val="single"/>
          <w:lang w:eastAsia="zh-CN"/>
        </w:rPr>
        <w:t>临海市上盘镇新塘岸村</w:t>
      </w:r>
    </w:p>
    <w:p w14:paraId="3F150CEC">
      <w:pPr>
        <w:pStyle w:val="9"/>
        <w:spacing w:line="400" w:lineRule="exact"/>
        <w:ind w:firstLine="420" w:firstLineChars="200"/>
        <w:jc w:val="left"/>
        <w:rPr>
          <w:rFonts w:cs="宋体"/>
          <w:color w:val="auto"/>
          <w:szCs w:val="21"/>
          <w:highlight w:val="none"/>
        </w:rPr>
      </w:pPr>
      <w:r>
        <w:rPr>
          <w:rFonts w:hint="eastAsia" w:cs="宋体"/>
          <w:color w:val="auto"/>
          <w:szCs w:val="21"/>
          <w:highlight w:val="none"/>
        </w:rPr>
        <w:t>建设单位（甲方）：</w:t>
      </w:r>
      <w:r>
        <w:rPr>
          <w:rFonts w:hint="eastAsia" w:cs="宋体"/>
          <w:color w:val="auto"/>
          <w:szCs w:val="21"/>
          <w:highlight w:val="none"/>
          <w:u w:val="single"/>
          <w:lang w:val="en-US" w:eastAsia="zh-CN"/>
        </w:rPr>
        <w:t>临海市上盘镇新塘岸村村民委员会</w:t>
      </w:r>
    </w:p>
    <w:p w14:paraId="641CA82A">
      <w:pPr>
        <w:pStyle w:val="9"/>
        <w:spacing w:line="400" w:lineRule="exact"/>
        <w:ind w:firstLine="420" w:firstLineChars="200"/>
        <w:jc w:val="left"/>
        <w:rPr>
          <w:rFonts w:cs="宋体"/>
          <w:color w:val="auto"/>
          <w:szCs w:val="21"/>
          <w:highlight w:val="none"/>
          <w:u w:val="single"/>
        </w:rPr>
      </w:pPr>
      <w:r>
        <w:rPr>
          <w:rFonts w:hint="eastAsia" w:cs="宋体"/>
          <w:color w:val="auto"/>
          <w:szCs w:val="21"/>
          <w:highlight w:val="none"/>
        </w:rPr>
        <w:t>施工单位（乙方）：</w:t>
      </w:r>
      <w:r>
        <w:rPr>
          <w:rFonts w:hint="eastAsia" w:cs="宋体"/>
          <w:color w:val="auto"/>
          <w:szCs w:val="21"/>
          <w:highlight w:val="none"/>
          <w:u w:val="single"/>
        </w:rPr>
        <w:t xml:space="preserve">                  </w:t>
      </w:r>
    </w:p>
    <w:p w14:paraId="5700423A">
      <w:pPr>
        <w:pStyle w:val="9"/>
        <w:spacing w:line="400" w:lineRule="exact"/>
        <w:ind w:firstLine="420" w:firstLineChars="200"/>
        <w:jc w:val="left"/>
        <w:rPr>
          <w:rFonts w:cs="宋体"/>
          <w:color w:val="auto"/>
          <w:szCs w:val="21"/>
          <w:highlight w:val="none"/>
        </w:rPr>
      </w:pPr>
      <w:r>
        <w:rPr>
          <w:rFonts w:hint="eastAsia" w:cs="宋体"/>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58D99C3">
      <w:pPr>
        <w:pStyle w:val="9"/>
        <w:spacing w:line="400" w:lineRule="exact"/>
        <w:jc w:val="left"/>
        <w:rPr>
          <w:rFonts w:cs="宋体"/>
          <w:color w:val="auto"/>
          <w:szCs w:val="21"/>
          <w:highlight w:val="none"/>
        </w:rPr>
      </w:pPr>
      <w:r>
        <w:rPr>
          <w:rFonts w:hint="eastAsia" w:cs="宋体"/>
          <w:color w:val="auto"/>
          <w:szCs w:val="21"/>
          <w:highlight w:val="none"/>
        </w:rPr>
        <w:t>　　第一条 甲乙双方的责任</w:t>
      </w:r>
    </w:p>
    <w:p w14:paraId="2AFA9266">
      <w:pPr>
        <w:pStyle w:val="9"/>
        <w:spacing w:line="400" w:lineRule="exact"/>
        <w:jc w:val="left"/>
        <w:rPr>
          <w:rFonts w:cs="宋体"/>
          <w:color w:val="auto"/>
          <w:szCs w:val="21"/>
          <w:highlight w:val="none"/>
        </w:rPr>
      </w:pPr>
      <w:r>
        <w:rPr>
          <w:rFonts w:hint="eastAsia" w:cs="宋体"/>
          <w:color w:val="auto"/>
          <w:szCs w:val="21"/>
          <w:highlight w:val="none"/>
        </w:rPr>
        <w:t>　　（一）应严格遵守国家关于市场准入、项目招标投标、工程建设、施工安装和市场活动等有关法律、法规，相关政策，以及廉政建设的各项规定。</w:t>
      </w:r>
    </w:p>
    <w:p w14:paraId="3E147739">
      <w:pPr>
        <w:pStyle w:val="9"/>
        <w:spacing w:line="400" w:lineRule="exact"/>
        <w:jc w:val="left"/>
        <w:rPr>
          <w:rFonts w:cs="宋体"/>
          <w:color w:val="auto"/>
          <w:szCs w:val="21"/>
          <w:highlight w:val="none"/>
        </w:rPr>
      </w:pPr>
      <w:r>
        <w:rPr>
          <w:rFonts w:hint="eastAsia" w:cs="宋体"/>
          <w:color w:val="auto"/>
          <w:szCs w:val="21"/>
          <w:highlight w:val="none"/>
        </w:rPr>
        <w:t>　　（二）严格执行建设工程项目承发包合同文件，自觉按合同办事。</w:t>
      </w:r>
    </w:p>
    <w:p w14:paraId="5F43E92B">
      <w:pPr>
        <w:pStyle w:val="9"/>
        <w:spacing w:line="400" w:lineRule="exact"/>
        <w:jc w:val="left"/>
        <w:rPr>
          <w:rFonts w:cs="宋体"/>
          <w:color w:val="auto"/>
          <w:szCs w:val="21"/>
          <w:highlight w:val="none"/>
        </w:rPr>
      </w:pPr>
      <w:r>
        <w:rPr>
          <w:rFonts w:hint="eastAsia" w:cs="宋体"/>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213FFE4A">
      <w:pPr>
        <w:pStyle w:val="9"/>
        <w:spacing w:line="400" w:lineRule="exact"/>
        <w:jc w:val="left"/>
        <w:rPr>
          <w:rFonts w:cs="宋体"/>
          <w:color w:val="auto"/>
          <w:szCs w:val="21"/>
          <w:highlight w:val="none"/>
        </w:rPr>
      </w:pPr>
      <w:r>
        <w:rPr>
          <w:rFonts w:hint="eastAsia" w:cs="宋体"/>
          <w:color w:val="auto"/>
          <w:szCs w:val="21"/>
          <w:highlight w:val="none"/>
        </w:rPr>
        <w:t>　　（四）发现对方在业务活动中有违规、违纪、违法行为的，应及时提醒对方，情节严重的，应向其上级主管部门或纪检监察、司法等有关机关举报。</w:t>
      </w:r>
    </w:p>
    <w:p w14:paraId="5699F7C6">
      <w:pPr>
        <w:pStyle w:val="9"/>
        <w:spacing w:line="400" w:lineRule="exact"/>
        <w:jc w:val="left"/>
        <w:rPr>
          <w:rFonts w:cs="宋体"/>
          <w:color w:val="auto"/>
          <w:szCs w:val="21"/>
          <w:highlight w:val="none"/>
        </w:rPr>
      </w:pPr>
      <w:r>
        <w:rPr>
          <w:rFonts w:hint="eastAsia" w:cs="宋体"/>
          <w:color w:val="auto"/>
          <w:szCs w:val="21"/>
          <w:highlight w:val="none"/>
        </w:rPr>
        <w:t>　　第二条 甲方的责任</w:t>
      </w:r>
    </w:p>
    <w:p w14:paraId="194D76BD">
      <w:pPr>
        <w:pStyle w:val="9"/>
        <w:spacing w:line="400" w:lineRule="exact"/>
        <w:jc w:val="left"/>
        <w:rPr>
          <w:rFonts w:cs="宋体"/>
          <w:color w:val="auto"/>
          <w:szCs w:val="21"/>
          <w:highlight w:val="none"/>
        </w:rPr>
      </w:pPr>
      <w:r>
        <w:rPr>
          <w:rFonts w:hint="eastAsia" w:cs="宋体"/>
          <w:color w:val="auto"/>
          <w:szCs w:val="21"/>
          <w:highlight w:val="none"/>
        </w:rPr>
        <w:t>　　甲方的领导和从事该建设工程项目的工作人员，在工程建设的事前、事中、事后应遵守以下规定：</w:t>
      </w:r>
    </w:p>
    <w:p w14:paraId="7BAA12C0">
      <w:pPr>
        <w:pStyle w:val="9"/>
        <w:spacing w:line="400" w:lineRule="exact"/>
        <w:jc w:val="left"/>
        <w:rPr>
          <w:rFonts w:cs="宋体"/>
          <w:color w:val="auto"/>
          <w:szCs w:val="21"/>
          <w:highlight w:val="none"/>
        </w:rPr>
      </w:pPr>
      <w:r>
        <w:rPr>
          <w:rFonts w:hint="eastAsia" w:cs="宋体"/>
          <w:color w:val="auto"/>
          <w:szCs w:val="21"/>
          <w:highlight w:val="none"/>
        </w:rPr>
        <w:t>　　（一）不准向乙方和相关单位索要或接受回扣、礼金、有价证券、贵重物品和好处费、感谢费等。</w:t>
      </w:r>
    </w:p>
    <w:p w14:paraId="75FFB5C5">
      <w:pPr>
        <w:pStyle w:val="9"/>
        <w:spacing w:line="400" w:lineRule="exact"/>
        <w:jc w:val="left"/>
        <w:rPr>
          <w:rFonts w:cs="宋体"/>
          <w:color w:val="auto"/>
          <w:szCs w:val="21"/>
          <w:highlight w:val="none"/>
        </w:rPr>
      </w:pPr>
      <w:r>
        <w:rPr>
          <w:rFonts w:hint="eastAsia" w:cs="宋体"/>
          <w:color w:val="auto"/>
          <w:szCs w:val="21"/>
          <w:highlight w:val="none"/>
        </w:rPr>
        <w:t>　　（二）不准在乙方和相关单位报销任何应由甲方或个人支付的费用。</w:t>
      </w:r>
    </w:p>
    <w:p w14:paraId="620476E6">
      <w:pPr>
        <w:pStyle w:val="9"/>
        <w:spacing w:line="400" w:lineRule="exact"/>
        <w:jc w:val="left"/>
        <w:rPr>
          <w:rFonts w:cs="宋体"/>
          <w:color w:val="auto"/>
          <w:szCs w:val="21"/>
          <w:highlight w:val="none"/>
        </w:rPr>
      </w:pPr>
      <w:r>
        <w:rPr>
          <w:rFonts w:hint="eastAsia" w:cs="宋体"/>
          <w:color w:val="auto"/>
          <w:szCs w:val="21"/>
          <w:highlight w:val="none"/>
        </w:rPr>
        <w:t>　　（三）不准要求、暗示和接受乙方和相关单位为个人装修住房、婚丧嫁娶、配偶子女的工作安排以及出国（境）、旅游等提供方便。</w:t>
      </w:r>
    </w:p>
    <w:p w14:paraId="65F18DB7">
      <w:pPr>
        <w:pStyle w:val="9"/>
        <w:spacing w:line="400" w:lineRule="exact"/>
        <w:jc w:val="left"/>
        <w:rPr>
          <w:rFonts w:cs="宋体"/>
          <w:color w:val="auto"/>
          <w:szCs w:val="21"/>
          <w:highlight w:val="none"/>
        </w:rPr>
      </w:pPr>
      <w:r>
        <w:rPr>
          <w:rFonts w:hint="eastAsia" w:cs="宋体"/>
          <w:color w:val="auto"/>
          <w:szCs w:val="21"/>
          <w:highlight w:val="none"/>
        </w:rPr>
        <w:t>　　（四）不准参加有可能影响公正执行公务的乙方和相关单位的宴请和健身、娱乐等活动。</w:t>
      </w:r>
    </w:p>
    <w:p w14:paraId="14F4C766">
      <w:pPr>
        <w:pStyle w:val="9"/>
        <w:spacing w:line="400" w:lineRule="exact"/>
        <w:jc w:val="left"/>
        <w:rPr>
          <w:rFonts w:cs="宋体"/>
          <w:color w:val="auto"/>
          <w:szCs w:val="21"/>
          <w:highlight w:val="none"/>
        </w:rPr>
      </w:pPr>
      <w:r>
        <w:rPr>
          <w:rFonts w:hint="eastAsia" w:cs="宋体"/>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F662C92">
      <w:pPr>
        <w:pStyle w:val="9"/>
        <w:spacing w:line="400" w:lineRule="exact"/>
        <w:jc w:val="left"/>
        <w:rPr>
          <w:rFonts w:cs="宋体"/>
          <w:color w:val="auto"/>
          <w:szCs w:val="21"/>
          <w:highlight w:val="none"/>
        </w:rPr>
      </w:pPr>
      <w:r>
        <w:rPr>
          <w:rFonts w:hint="eastAsia" w:cs="宋体"/>
          <w:color w:val="auto"/>
          <w:szCs w:val="21"/>
          <w:highlight w:val="none"/>
        </w:rPr>
        <w:t>　　第三条 乙方的责任</w:t>
      </w:r>
    </w:p>
    <w:p w14:paraId="61D28E63">
      <w:pPr>
        <w:pStyle w:val="9"/>
        <w:spacing w:line="400" w:lineRule="exact"/>
        <w:jc w:val="left"/>
        <w:rPr>
          <w:rFonts w:cs="宋体"/>
          <w:color w:val="auto"/>
          <w:szCs w:val="21"/>
          <w:highlight w:val="none"/>
        </w:rPr>
      </w:pPr>
      <w:r>
        <w:rPr>
          <w:rFonts w:hint="eastAsia" w:cs="宋体"/>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14:paraId="29DA0692">
      <w:pPr>
        <w:pStyle w:val="9"/>
        <w:spacing w:line="400" w:lineRule="exact"/>
        <w:jc w:val="left"/>
        <w:rPr>
          <w:rFonts w:cs="宋体"/>
          <w:color w:val="auto"/>
          <w:szCs w:val="21"/>
          <w:highlight w:val="none"/>
        </w:rPr>
      </w:pPr>
      <w:r>
        <w:rPr>
          <w:rFonts w:hint="eastAsia" w:cs="宋体"/>
          <w:color w:val="auto"/>
          <w:szCs w:val="21"/>
          <w:highlight w:val="none"/>
        </w:rPr>
        <w:t>　　（一）不准以任何理由向甲方、相关单位及其工作人员索要、接受或赠送礼金、有价证券、贵重物品和回扣、好处费、感谢费等。</w:t>
      </w:r>
    </w:p>
    <w:p w14:paraId="7185B95E">
      <w:pPr>
        <w:pStyle w:val="9"/>
        <w:spacing w:line="400" w:lineRule="exact"/>
        <w:jc w:val="left"/>
        <w:rPr>
          <w:rFonts w:cs="宋体"/>
          <w:color w:val="auto"/>
          <w:szCs w:val="21"/>
          <w:highlight w:val="none"/>
        </w:rPr>
      </w:pPr>
      <w:r>
        <w:rPr>
          <w:rFonts w:hint="eastAsia" w:cs="宋体"/>
          <w:color w:val="auto"/>
          <w:szCs w:val="21"/>
          <w:highlight w:val="none"/>
        </w:rPr>
        <w:t>　　（二）不准以任何理由为甲方和相关单位报销应由对方或个人支付的费用。</w:t>
      </w:r>
    </w:p>
    <w:p w14:paraId="2AEA03B2">
      <w:pPr>
        <w:pStyle w:val="9"/>
        <w:spacing w:line="400" w:lineRule="exact"/>
        <w:jc w:val="left"/>
        <w:rPr>
          <w:rFonts w:cs="宋体"/>
          <w:color w:val="auto"/>
          <w:szCs w:val="21"/>
          <w:highlight w:val="none"/>
        </w:rPr>
      </w:pPr>
      <w:r>
        <w:rPr>
          <w:rFonts w:hint="eastAsia" w:cs="宋体"/>
          <w:color w:val="auto"/>
          <w:szCs w:val="21"/>
          <w:highlight w:val="none"/>
        </w:rPr>
        <w:t>　　（三）不准接受或暗示为甲方、相关单位或个人装修住房、婚丧嫁娶、配偶子女的工作安排以及出国（境）、旅游等提供方便。</w:t>
      </w:r>
    </w:p>
    <w:p w14:paraId="0949A296">
      <w:pPr>
        <w:pStyle w:val="9"/>
        <w:spacing w:line="400" w:lineRule="exact"/>
        <w:jc w:val="left"/>
        <w:rPr>
          <w:rFonts w:cs="宋体"/>
          <w:color w:val="auto"/>
          <w:szCs w:val="21"/>
          <w:highlight w:val="none"/>
        </w:rPr>
      </w:pPr>
      <w:r>
        <w:rPr>
          <w:rFonts w:hint="eastAsia" w:cs="宋体"/>
          <w:color w:val="auto"/>
          <w:szCs w:val="21"/>
          <w:highlight w:val="none"/>
        </w:rPr>
        <w:t>　　（四）不准以任何理由为甲方、相关单位或个人组织有可能影响公正执行公务的宴请、健身、娱乐等活动。</w:t>
      </w:r>
    </w:p>
    <w:p w14:paraId="720153D9">
      <w:pPr>
        <w:pStyle w:val="9"/>
        <w:spacing w:line="400" w:lineRule="exact"/>
        <w:jc w:val="left"/>
        <w:rPr>
          <w:rFonts w:cs="宋体"/>
          <w:color w:val="auto"/>
          <w:szCs w:val="21"/>
          <w:highlight w:val="none"/>
        </w:rPr>
      </w:pPr>
      <w:r>
        <w:rPr>
          <w:rFonts w:hint="eastAsia" w:cs="宋体"/>
          <w:color w:val="auto"/>
          <w:szCs w:val="21"/>
          <w:highlight w:val="none"/>
        </w:rPr>
        <w:t>　　第四条 违约责任</w:t>
      </w:r>
    </w:p>
    <w:p w14:paraId="18F3918C">
      <w:pPr>
        <w:pStyle w:val="9"/>
        <w:spacing w:line="400" w:lineRule="exact"/>
        <w:jc w:val="left"/>
        <w:rPr>
          <w:rFonts w:cs="宋体"/>
          <w:color w:val="auto"/>
          <w:szCs w:val="21"/>
          <w:highlight w:val="none"/>
        </w:rPr>
      </w:pPr>
      <w:r>
        <w:rPr>
          <w:rFonts w:hint="eastAsia" w:cs="宋体"/>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C971A2F">
      <w:pPr>
        <w:pStyle w:val="9"/>
        <w:spacing w:line="400" w:lineRule="exact"/>
        <w:jc w:val="left"/>
        <w:rPr>
          <w:rFonts w:cs="宋体"/>
          <w:color w:val="auto"/>
          <w:szCs w:val="21"/>
          <w:highlight w:val="none"/>
        </w:rPr>
      </w:pPr>
      <w:r>
        <w:rPr>
          <w:rFonts w:hint="eastAsia" w:cs="宋体"/>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6255FCB4">
      <w:pPr>
        <w:pStyle w:val="9"/>
        <w:spacing w:line="400" w:lineRule="exact"/>
        <w:jc w:val="left"/>
        <w:rPr>
          <w:rFonts w:cs="宋体"/>
          <w:color w:val="auto"/>
          <w:szCs w:val="21"/>
          <w:highlight w:val="none"/>
        </w:rPr>
      </w:pPr>
      <w:r>
        <w:rPr>
          <w:rFonts w:hint="eastAsia" w:cs="宋体"/>
          <w:color w:val="auto"/>
          <w:szCs w:val="21"/>
          <w:highlight w:val="none"/>
        </w:rPr>
        <w:t>　　第五条 本责任书作为工程合同的附件，与工程合同具有同等法律效力。经双方签署后立即生效。</w:t>
      </w:r>
    </w:p>
    <w:p w14:paraId="7059CDBF">
      <w:pPr>
        <w:pStyle w:val="9"/>
        <w:spacing w:line="400" w:lineRule="exact"/>
        <w:jc w:val="left"/>
        <w:rPr>
          <w:rFonts w:cs="宋体"/>
          <w:color w:val="auto"/>
          <w:szCs w:val="21"/>
          <w:highlight w:val="none"/>
        </w:rPr>
      </w:pPr>
      <w:r>
        <w:rPr>
          <w:rFonts w:hint="eastAsia" w:cs="宋体"/>
          <w:color w:val="auto"/>
          <w:szCs w:val="21"/>
          <w:highlight w:val="none"/>
        </w:rPr>
        <w:t>　　第六条 本责任书的有效期为双方签署之日起至该工程项目竣工验收合格时止。</w:t>
      </w:r>
    </w:p>
    <w:p w14:paraId="6FFF3E7B">
      <w:pPr>
        <w:pStyle w:val="9"/>
        <w:spacing w:line="400" w:lineRule="exact"/>
        <w:jc w:val="left"/>
        <w:rPr>
          <w:rFonts w:cs="宋体"/>
          <w:color w:val="auto"/>
          <w:szCs w:val="21"/>
          <w:highlight w:val="none"/>
        </w:rPr>
      </w:pPr>
      <w:r>
        <w:rPr>
          <w:rFonts w:hint="eastAsia" w:cs="宋体"/>
          <w:color w:val="auto"/>
          <w:szCs w:val="21"/>
          <w:highlight w:val="none"/>
        </w:rPr>
        <w:t>　　第七条 本责任书一式八份。</w:t>
      </w:r>
    </w:p>
    <w:p w14:paraId="6BA207D1">
      <w:pPr>
        <w:pStyle w:val="9"/>
        <w:spacing w:line="400" w:lineRule="exact"/>
        <w:jc w:val="left"/>
        <w:rPr>
          <w:rFonts w:cs="宋体"/>
          <w:color w:val="auto"/>
          <w:szCs w:val="21"/>
          <w:highlight w:val="none"/>
        </w:rPr>
      </w:pPr>
    </w:p>
    <w:p w14:paraId="366D5A52">
      <w:pPr>
        <w:pStyle w:val="9"/>
        <w:spacing w:line="400" w:lineRule="exact"/>
        <w:jc w:val="left"/>
        <w:rPr>
          <w:rFonts w:cs="宋体"/>
          <w:color w:val="auto"/>
          <w:szCs w:val="21"/>
          <w:highlight w:val="none"/>
        </w:rPr>
      </w:pPr>
    </w:p>
    <w:p w14:paraId="291C2EED">
      <w:pPr>
        <w:pStyle w:val="9"/>
        <w:spacing w:line="400" w:lineRule="exact"/>
        <w:jc w:val="left"/>
        <w:rPr>
          <w:rFonts w:cs="宋体"/>
          <w:color w:val="auto"/>
          <w:szCs w:val="21"/>
          <w:highlight w:val="none"/>
        </w:rPr>
      </w:pPr>
    </w:p>
    <w:p w14:paraId="21C26BDD">
      <w:pPr>
        <w:pStyle w:val="9"/>
        <w:spacing w:line="400" w:lineRule="exact"/>
        <w:jc w:val="left"/>
        <w:rPr>
          <w:rFonts w:cs="宋体"/>
          <w:color w:val="auto"/>
          <w:szCs w:val="21"/>
          <w:highlight w:val="none"/>
        </w:rPr>
      </w:pPr>
      <w:r>
        <w:rPr>
          <w:rFonts w:hint="eastAsia" w:cs="宋体"/>
          <w:color w:val="auto"/>
          <w:szCs w:val="21"/>
          <w:highlight w:val="none"/>
        </w:rPr>
        <w:t xml:space="preserve">甲方单位（公章）：　　　　　　                          　乙方单位（公章）： </w:t>
      </w:r>
    </w:p>
    <w:p w14:paraId="4433716A">
      <w:pPr>
        <w:pStyle w:val="9"/>
        <w:spacing w:line="400" w:lineRule="exact"/>
        <w:jc w:val="left"/>
        <w:rPr>
          <w:rFonts w:cs="宋体"/>
          <w:color w:val="auto"/>
          <w:szCs w:val="21"/>
          <w:highlight w:val="none"/>
        </w:rPr>
      </w:pPr>
      <w:r>
        <w:rPr>
          <w:rFonts w:hint="eastAsia" w:cs="宋体"/>
          <w:color w:val="auto"/>
          <w:szCs w:val="21"/>
          <w:highlight w:val="none"/>
        </w:rPr>
        <w:t>法定代表人（签字）：　　　　                              法定代表人（签字）：</w:t>
      </w:r>
    </w:p>
    <w:p w14:paraId="0424CF13">
      <w:pPr>
        <w:pStyle w:val="9"/>
        <w:spacing w:line="400" w:lineRule="exact"/>
        <w:jc w:val="left"/>
        <w:rPr>
          <w:rFonts w:cs="宋体"/>
          <w:color w:val="auto"/>
          <w:szCs w:val="21"/>
          <w:highlight w:val="none"/>
        </w:rPr>
      </w:pPr>
      <w:r>
        <w:rPr>
          <w:rFonts w:hint="eastAsia" w:cs="宋体"/>
          <w:color w:val="auto"/>
          <w:szCs w:val="21"/>
          <w:highlight w:val="none"/>
        </w:rPr>
        <w:t>或委托代理人（签字）：                                    或委托代理人（签字）：</w:t>
      </w:r>
    </w:p>
    <w:p w14:paraId="1B770394">
      <w:pPr>
        <w:pStyle w:val="9"/>
        <w:spacing w:line="400" w:lineRule="exact"/>
        <w:jc w:val="left"/>
        <w:rPr>
          <w:rFonts w:cs="宋体"/>
          <w:color w:val="auto"/>
          <w:szCs w:val="21"/>
          <w:highlight w:val="none"/>
        </w:rPr>
      </w:pPr>
      <w:r>
        <w:rPr>
          <w:rFonts w:hint="eastAsia" w:cs="宋体"/>
          <w:color w:val="auto"/>
          <w:szCs w:val="21"/>
          <w:highlight w:val="none"/>
        </w:rPr>
        <w:t>地址：　　　　　　　　　　　　　                          地址：</w:t>
      </w:r>
    </w:p>
    <w:p w14:paraId="5E39C75C">
      <w:pPr>
        <w:pStyle w:val="9"/>
        <w:spacing w:line="400" w:lineRule="exact"/>
        <w:jc w:val="left"/>
        <w:rPr>
          <w:rFonts w:cs="宋体"/>
          <w:color w:val="auto"/>
          <w:szCs w:val="21"/>
          <w:highlight w:val="none"/>
        </w:rPr>
      </w:pPr>
      <w:r>
        <w:rPr>
          <w:rFonts w:hint="eastAsia" w:cs="宋体"/>
          <w:color w:val="auto"/>
          <w:szCs w:val="21"/>
          <w:highlight w:val="none"/>
        </w:rPr>
        <w:t>电话：　　　　　　　　　　　　　                          电话：</w:t>
      </w:r>
    </w:p>
    <w:p w14:paraId="01CDB3E9">
      <w:pPr>
        <w:pStyle w:val="9"/>
        <w:spacing w:line="400" w:lineRule="exact"/>
        <w:jc w:val="left"/>
        <w:rPr>
          <w:rFonts w:cs="宋体"/>
          <w:color w:val="auto"/>
          <w:szCs w:val="21"/>
          <w:highlight w:val="none"/>
        </w:rPr>
      </w:pP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 xml:space="preserve">日　　　                                  </w:t>
      </w: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日</w:t>
      </w:r>
    </w:p>
    <w:p w14:paraId="38193A93">
      <w:pPr>
        <w:pStyle w:val="3"/>
        <w:spacing w:beforeLines="50" w:afterLines="50" w:line="400" w:lineRule="exact"/>
        <w:rPr>
          <w:color w:val="auto"/>
          <w:sz w:val="21"/>
          <w:szCs w:val="21"/>
          <w:highlight w:val="none"/>
        </w:rPr>
      </w:pPr>
    </w:p>
    <w:p w14:paraId="186610D3">
      <w:pPr>
        <w:pStyle w:val="3"/>
        <w:spacing w:beforeLines="50" w:afterLines="50"/>
        <w:rPr>
          <w:color w:val="auto"/>
          <w:highlight w:val="none"/>
        </w:rPr>
      </w:pPr>
    </w:p>
    <w:p w14:paraId="5B4A0A0F">
      <w:pPr>
        <w:rPr>
          <w:color w:val="auto"/>
          <w:highlight w:val="none"/>
        </w:rPr>
      </w:pPr>
    </w:p>
    <w:p w14:paraId="774A1DBB">
      <w:pPr>
        <w:rPr>
          <w:color w:val="auto"/>
          <w:highlight w:val="none"/>
        </w:rPr>
      </w:pPr>
    </w:p>
    <w:p w14:paraId="1A2EA5FC">
      <w:pPr>
        <w:rPr>
          <w:color w:val="auto"/>
          <w:highlight w:val="none"/>
        </w:rPr>
      </w:pPr>
    </w:p>
    <w:p w14:paraId="70A0A664">
      <w:pPr>
        <w:rPr>
          <w:color w:val="auto"/>
          <w:highlight w:val="none"/>
        </w:rPr>
      </w:pPr>
    </w:p>
    <w:p w14:paraId="1CCF3BB8">
      <w:pPr>
        <w:rPr>
          <w:color w:val="auto"/>
          <w:highlight w:val="none"/>
        </w:rPr>
      </w:pPr>
    </w:p>
    <w:p w14:paraId="7EDC6430">
      <w:pPr>
        <w:rPr>
          <w:color w:val="auto"/>
          <w:highlight w:val="none"/>
        </w:rPr>
      </w:pPr>
    </w:p>
    <w:p w14:paraId="610A5303">
      <w:pPr>
        <w:rPr>
          <w:color w:val="auto"/>
          <w:highlight w:val="none"/>
        </w:rPr>
      </w:pPr>
    </w:p>
    <w:p w14:paraId="4CDC201F">
      <w:pPr>
        <w:rPr>
          <w:color w:val="auto"/>
          <w:highlight w:val="none"/>
        </w:rPr>
      </w:pPr>
    </w:p>
    <w:p w14:paraId="557D1F55">
      <w:pPr>
        <w:rPr>
          <w:color w:val="auto"/>
          <w:highlight w:val="none"/>
        </w:rPr>
      </w:pPr>
    </w:p>
    <w:bookmarkEnd w:id="122"/>
    <w:bookmarkEnd w:id="123"/>
    <w:bookmarkEnd w:id="124"/>
    <w:bookmarkEnd w:id="125"/>
    <w:bookmarkEnd w:id="128"/>
    <w:p w14:paraId="0158FE4F">
      <w:pPr>
        <w:pStyle w:val="3"/>
        <w:spacing w:beforeLines="50" w:afterLines="50"/>
        <w:rPr>
          <w:color w:val="auto"/>
          <w:highlight w:val="none"/>
        </w:rPr>
      </w:pPr>
      <w:bookmarkStart w:id="134" w:name="_Toc21472"/>
      <w:bookmarkStart w:id="135" w:name="_Toc9900"/>
      <w:bookmarkStart w:id="136" w:name="_Toc386121758"/>
      <w:bookmarkStart w:id="137" w:name="_Toc386121569"/>
      <w:bookmarkStart w:id="138" w:name="_Toc155342575"/>
      <w:bookmarkStart w:id="139" w:name="_Toc106012814"/>
      <w:r>
        <w:rPr>
          <w:rFonts w:hint="eastAsia"/>
          <w:color w:val="auto"/>
          <w:highlight w:val="none"/>
        </w:rPr>
        <w:t>第四章 投标文件格式</w:t>
      </w:r>
      <w:bookmarkEnd w:id="134"/>
      <w:bookmarkEnd w:id="135"/>
      <w:bookmarkEnd w:id="136"/>
      <w:bookmarkEnd w:id="137"/>
    </w:p>
    <w:bookmarkEnd w:id="138"/>
    <w:bookmarkEnd w:id="139"/>
    <w:p w14:paraId="3D42C8E4">
      <w:pPr>
        <w:rPr>
          <w:color w:val="auto"/>
          <w:highlight w:val="none"/>
        </w:rPr>
      </w:pPr>
      <w:bookmarkStart w:id="140" w:name="_Toc169487825"/>
    </w:p>
    <w:p w14:paraId="27937883">
      <w:pPr>
        <w:rPr>
          <w:color w:val="auto"/>
          <w:highlight w:val="none"/>
        </w:rPr>
      </w:pPr>
    </w:p>
    <w:p w14:paraId="1C531E97">
      <w:pPr>
        <w:rPr>
          <w:color w:val="auto"/>
          <w:highlight w:val="none"/>
        </w:rPr>
      </w:pPr>
    </w:p>
    <w:p w14:paraId="1B003421">
      <w:pPr>
        <w:rPr>
          <w:color w:val="auto"/>
          <w:highlight w:val="none"/>
        </w:rPr>
      </w:pPr>
    </w:p>
    <w:p w14:paraId="6A9A2E23">
      <w:pPr>
        <w:rPr>
          <w:color w:val="auto"/>
          <w:highlight w:val="none"/>
        </w:rPr>
      </w:pPr>
    </w:p>
    <w:p w14:paraId="0A3B92A7">
      <w:pPr>
        <w:rPr>
          <w:color w:val="auto"/>
          <w:highlight w:val="none"/>
        </w:rPr>
      </w:pPr>
    </w:p>
    <w:p w14:paraId="3ED19B40">
      <w:pPr>
        <w:rPr>
          <w:color w:val="auto"/>
          <w:highlight w:val="none"/>
        </w:rPr>
      </w:pPr>
    </w:p>
    <w:p w14:paraId="1E7A98EA">
      <w:pPr>
        <w:rPr>
          <w:color w:val="auto"/>
          <w:highlight w:val="none"/>
        </w:rPr>
      </w:pPr>
    </w:p>
    <w:p w14:paraId="7E1A141E">
      <w:pPr>
        <w:rPr>
          <w:color w:val="auto"/>
          <w:highlight w:val="none"/>
        </w:rPr>
      </w:pPr>
    </w:p>
    <w:p w14:paraId="485BA82C">
      <w:pPr>
        <w:rPr>
          <w:color w:val="auto"/>
          <w:highlight w:val="none"/>
        </w:rPr>
      </w:pPr>
    </w:p>
    <w:p w14:paraId="32FAF03E">
      <w:pPr>
        <w:rPr>
          <w:color w:val="auto"/>
          <w:highlight w:val="none"/>
        </w:rPr>
      </w:pPr>
    </w:p>
    <w:p w14:paraId="344863C7">
      <w:pPr>
        <w:rPr>
          <w:color w:val="auto"/>
          <w:highlight w:val="none"/>
        </w:rPr>
      </w:pPr>
    </w:p>
    <w:p w14:paraId="5C8E9FEE">
      <w:pPr>
        <w:rPr>
          <w:color w:val="auto"/>
          <w:highlight w:val="none"/>
        </w:rPr>
      </w:pPr>
    </w:p>
    <w:p w14:paraId="6AA2EC4B">
      <w:pPr>
        <w:rPr>
          <w:color w:val="auto"/>
          <w:highlight w:val="none"/>
        </w:rPr>
      </w:pPr>
    </w:p>
    <w:p w14:paraId="6CC522B0">
      <w:pPr>
        <w:rPr>
          <w:color w:val="auto"/>
          <w:highlight w:val="none"/>
        </w:rPr>
      </w:pPr>
    </w:p>
    <w:p w14:paraId="2E269D2F">
      <w:pPr>
        <w:rPr>
          <w:color w:val="auto"/>
          <w:highlight w:val="none"/>
        </w:rPr>
      </w:pPr>
    </w:p>
    <w:p w14:paraId="7D9CA9F9">
      <w:pPr>
        <w:pStyle w:val="4"/>
        <w:numPr>
          <w:ilvl w:val="0"/>
          <w:numId w:val="0"/>
        </w:numPr>
        <w:spacing w:before="0" w:afterLines="0" w:line="360" w:lineRule="exact"/>
        <w:jc w:val="both"/>
        <w:rPr>
          <w:b w:val="0"/>
          <w:color w:val="auto"/>
          <w:sz w:val="28"/>
          <w:szCs w:val="28"/>
          <w:highlight w:val="none"/>
        </w:rPr>
      </w:pPr>
      <w:bookmarkStart w:id="141" w:name="_Toc386122456"/>
      <w:bookmarkStart w:id="142" w:name="_Toc386121759"/>
      <w:bookmarkStart w:id="143" w:name="_Toc30925"/>
      <w:bookmarkStart w:id="144" w:name="_Toc30668"/>
    </w:p>
    <w:p w14:paraId="5C72C058">
      <w:pPr>
        <w:pStyle w:val="4"/>
        <w:numPr>
          <w:ilvl w:val="0"/>
          <w:numId w:val="0"/>
        </w:numPr>
        <w:spacing w:before="0" w:afterLines="0" w:line="360" w:lineRule="exact"/>
        <w:jc w:val="both"/>
        <w:rPr>
          <w:b w:val="0"/>
          <w:color w:val="auto"/>
          <w:sz w:val="28"/>
          <w:szCs w:val="28"/>
          <w:highlight w:val="none"/>
        </w:rPr>
      </w:pPr>
    </w:p>
    <w:p w14:paraId="1C1661E1">
      <w:pPr>
        <w:pStyle w:val="4"/>
        <w:numPr>
          <w:ilvl w:val="0"/>
          <w:numId w:val="0"/>
        </w:numPr>
        <w:spacing w:before="0" w:afterLines="0" w:line="360" w:lineRule="exact"/>
        <w:jc w:val="both"/>
        <w:rPr>
          <w:b w:val="0"/>
          <w:color w:val="auto"/>
          <w:sz w:val="28"/>
          <w:szCs w:val="28"/>
          <w:highlight w:val="none"/>
        </w:rPr>
      </w:pPr>
    </w:p>
    <w:p w14:paraId="384EDC27">
      <w:pPr>
        <w:pStyle w:val="4"/>
        <w:numPr>
          <w:ilvl w:val="0"/>
          <w:numId w:val="0"/>
        </w:numPr>
        <w:spacing w:before="0" w:afterLines="0" w:line="360" w:lineRule="exact"/>
        <w:jc w:val="both"/>
        <w:rPr>
          <w:b w:val="0"/>
          <w:color w:val="auto"/>
          <w:sz w:val="28"/>
          <w:szCs w:val="28"/>
          <w:highlight w:val="none"/>
        </w:rPr>
      </w:pPr>
    </w:p>
    <w:p w14:paraId="456AC326">
      <w:pPr>
        <w:pStyle w:val="4"/>
        <w:numPr>
          <w:ilvl w:val="0"/>
          <w:numId w:val="0"/>
        </w:numPr>
        <w:spacing w:before="0" w:afterLines="0" w:line="360" w:lineRule="exact"/>
        <w:jc w:val="both"/>
        <w:rPr>
          <w:b w:val="0"/>
          <w:color w:val="auto"/>
          <w:sz w:val="28"/>
          <w:szCs w:val="28"/>
          <w:highlight w:val="none"/>
        </w:rPr>
      </w:pPr>
    </w:p>
    <w:p w14:paraId="3B84EC3E">
      <w:pPr>
        <w:pStyle w:val="4"/>
        <w:numPr>
          <w:ilvl w:val="0"/>
          <w:numId w:val="0"/>
        </w:numPr>
        <w:spacing w:before="0" w:afterLines="0" w:line="360" w:lineRule="exact"/>
        <w:jc w:val="both"/>
        <w:rPr>
          <w:b w:val="0"/>
          <w:color w:val="auto"/>
          <w:sz w:val="28"/>
          <w:szCs w:val="28"/>
          <w:highlight w:val="none"/>
        </w:rPr>
      </w:pPr>
    </w:p>
    <w:p w14:paraId="39C3544F">
      <w:pPr>
        <w:pStyle w:val="4"/>
        <w:numPr>
          <w:ilvl w:val="0"/>
          <w:numId w:val="0"/>
        </w:numPr>
        <w:spacing w:before="0" w:afterLines="0" w:line="360" w:lineRule="exact"/>
        <w:jc w:val="both"/>
        <w:rPr>
          <w:b w:val="0"/>
          <w:color w:val="auto"/>
          <w:sz w:val="28"/>
          <w:szCs w:val="28"/>
          <w:highlight w:val="none"/>
        </w:rPr>
      </w:pPr>
    </w:p>
    <w:p w14:paraId="6D6DB644">
      <w:pPr>
        <w:pStyle w:val="4"/>
        <w:numPr>
          <w:ilvl w:val="0"/>
          <w:numId w:val="0"/>
        </w:numPr>
        <w:spacing w:before="0" w:afterLines="0" w:line="360" w:lineRule="exact"/>
        <w:jc w:val="both"/>
        <w:rPr>
          <w:b w:val="0"/>
          <w:color w:val="auto"/>
          <w:sz w:val="28"/>
          <w:szCs w:val="28"/>
          <w:highlight w:val="none"/>
        </w:rPr>
      </w:pPr>
    </w:p>
    <w:p w14:paraId="1D424A9F">
      <w:pPr>
        <w:pStyle w:val="4"/>
        <w:numPr>
          <w:ilvl w:val="0"/>
          <w:numId w:val="0"/>
        </w:numPr>
        <w:spacing w:before="0" w:afterLines="0" w:line="360" w:lineRule="exact"/>
        <w:jc w:val="both"/>
        <w:rPr>
          <w:b w:val="0"/>
          <w:color w:val="auto"/>
          <w:sz w:val="28"/>
          <w:szCs w:val="28"/>
          <w:highlight w:val="none"/>
        </w:rPr>
      </w:pPr>
    </w:p>
    <w:p w14:paraId="19F7E7A6">
      <w:pPr>
        <w:pStyle w:val="4"/>
        <w:numPr>
          <w:ilvl w:val="0"/>
          <w:numId w:val="0"/>
        </w:numPr>
        <w:spacing w:before="0" w:afterLines="0" w:line="360" w:lineRule="exact"/>
        <w:jc w:val="both"/>
        <w:rPr>
          <w:b w:val="0"/>
          <w:color w:val="auto"/>
          <w:sz w:val="28"/>
          <w:szCs w:val="28"/>
          <w:highlight w:val="none"/>
        </w:rPr>
      </w:pPr>
    </w:p>
    <w:p w14:paraId="467FDBD2">
      <w:pPr>
        <w:rPr>
          <w:color w:val="auto"/>
          <w:sz w:val="28"/>
          <w:szCs w:val="28"/>
          <w:highlight w:val="none"/>
        </w:rPr>
      </w:pPr>
    </w:p>
    <w:p w14:paraId="3CD1DE39">
      <w:pPr>
        <w:pStyle w:val="22"/>
        <w:rPr>
          <w:b w:val="0"/>
          <w:color w:val="auto"/>
          <w:sz w:val="28"/>
          <w:szCs w:val="28"/>
          <w:highlight w:val="none"/>
        </w:rPr>
      </w:pPr>
    </w:p>
    <w:p w14:paraId="39EC3C50">
      <w:pPr>
        <w:rPr>
          <w:color w:val="auto"/>
          <w:highlight w:val="none"/>
        </w:rPr>
      </w:pPr>
    </w:p>
    <w:p w14:paraId="09AC0601">
      <w:pPr>
        <w:pStyle w:val="4"/>
        <w:numPr>
          <w:ilvl w:val="0"/>
          <w:numId w:val="0"/>
        </w:numPr>
        <w:spacing w:before="0" w:afterLines="0" w:line="360" w:lineRule="exact"/>
        <w:jc w:val="both"/>
        <w:rPr>
          <w:b w:val="0"/>
          <w:color w:val="auto"/>
          <w:sz w:val="28"/>
          <w:szCs w:val="28"/>
          <w:highlight w:val="none"/>
        </w:rPr>
      </w:pPr>
    </w:p>
    <w:p w14:paraId="61A4E5FF">
      <w:pPr>
        <w:pStyle w:val="4"/>
        <w:numPr>
          <w:ilvl w:val="0"/>
          <w:numId w:val="0"/>
        </w:numPr>
        <w:spacing w:before="0" w:afterLines="0" w:line="360" w:lineRule="exact"/>
        <w:jc w:val="both"/>
        <w:rPr>
          <w:b w:val="0"/>
          <w:color w:val="auto"/>
          <w:sz w:val="28"/>
          <w:szCs w:val="28"/>
          <w:highlight w:val="none"/>
        </w:rPr>
      </w:pPr>
    </w:p>
    <w:p w14:paraId="16AE2006">
      <w:pPr>
        <w:pStyle w:val="4"/>
        <w:numPr>
          <w:ilvl w:val="0"/>
          <w:numId w:val="0"/>
        </w:numPr>
        <w:spacing w:before="0" w:afterLines="0" w:line="360" w:lineRule="exact"/>
        <w:jc w:val="both"/>
        <w:rPr>
          <w:b w:val="0"/>
          <w:color w:val="auto"/>
          <w:sz w:val="28"/>
          <w:szCs w:val="28"/>
          <w:highlight w:val="none"/>
        </w:rPr>
      </w:pPr>
    </w:p>
    <w:p w14:paraId="55EA43A1">
      <w:pPr>
        <w:pStyle w:val="4"/>
        <w:numPr>
          <w:ilvl w:val="0"/>
          <w:numId w:val="0"/>
        </w:numPr>
        <w:spacing w:before="0" w:afterLines="0" w:line="360" w:lineRule="exact"/>
        <w:jc w:val="both"/>
        <w:rPr>
          <w:b w:val="0"/>
          <w:color w:val="auto"/>
          <w:sz w:val="28"/>
          <w:szCs w:val="28"/>
          <w:highlight w:val="none"/>
        </w:rPr>
      </w:pPr>
    </w:p>
    <w:p w14:paraId="05834C1C">
      <w:pPr>
        <w:pStyle w:val="4"/>
        <w:numPr>
          <w:ilvl w:val="0"/>
          <w:numId w:val="0"/>
        </w:numPr>
        <w:spacing w:before="0" w:afterLines="0" w:line="360" w:lineRule="exact"/>
        <w:jc w:val="both"/>
        <w:rPr>
          <w:b w:val="0"/>
          <w:color w:val="auto"/>
          <w:sz w:val="28"/>
          <w:szCs w:val="28"/>
          <w:highlight w:val="none"/>
        </w:rPr>
      </w:pPr>
    </w:p>
    <w:p w14:paraId="4A73AB12">
      <w:pPr>
        <w:pStyle w:val="4"/>
        <w:numPr>
          <w:ilvl w:val="0"/>
          <w:numId w:val="0"/>
        </w:numPr>
        <w:spacing w:before="0" w:afterLines="0" w:line="360" w:lineRule="exact"/>
        <w:jc w:val="both"/>
        <w:rPr>
          <w:b w:val="0"/>
          <w:color w:val="auto"/>
          <w:sz w:val="28"/>
          <w:szCs w:val="28"/>
          <w:highlight w:val="none"/>
        </w:rPr>
      </w:pPr>
      <w:r>
        <w:rPr>
          <w:rFonts w:hint="eastAsia"/>
          <w:b w:val="0"/>
          <w:color w:val="auto"/>
          <w:sz w:val="28"/>
          <w:szCs w:val="28"/>
          <w:highlight w:val="none"/>
        </w:rPr>
        <w:t>附件一：</w:t>
      </w:r>
      <w:bookmarkEnd w:id="140"/>
      <w:bookmarkEnd w:id="141"/>
      <w:bookmarkEnd w:id="142"/>
      <w:r>
        <w:rPr>
          <w:rFonts w:hint="eastAsia"/>
          <w:b w:val="0"/>
          <w:color w:val="auto"/>
          <w:sz w:val="28"/>
          <w:szCs w:val="28"/>
          <w:highlight w:val="none"/>
        </w:rPr>
        <w:t>投标函</w:t>
      </w:r>
      <w:bookmarkEnd w:id="143"/>
      <w:bookmarkEnd w:id="144"/>
    </w:p>
    <w:p w14:paraId="11E66209">
      <w:pPr>
        <w:rPr>
          <w:rFonts w:ascii="黑体" w:eastAsia="黑体"/>
          <w:color w:val="auto"/>
          <w:sz w:val="28"/>
          <w:szCs w:val="28"/>
          <w:highlight w:val="none"/>
        </w:rPr>
      </w:pPr>
    </w:p>
    <w:p w14:paraId="2E4C6B69">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临海市上盘镇新塘岸村村民活动中心（二期）</w:t>
      </w:r>
    </w:p>
    <w:p w14:paraId="6F8A2447">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5505EBDC">
      <w:pPr>
        <w:pStyle w:val="19"/>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val="en-US" w:eastAsia="zh-CN"/>
        </w:rPr>
        <w:t>临海市上盘镇新塘岸村村民委员会</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7FD3DF94">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临海市上盘镇新塘岸村村民活动中心（二期）</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2777DABB">
      <w:pPr>
        <w:ind w:left="936" w:leftChars="180" w:hanging="360" w:hangingChars="1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1、愿以总报价¥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元（保留整数），大写金额人民币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元，承包上述工程的施工、竣工和保修。</w:t>
      </w:r>
    </w:p>
    <w:p w14:paraId="724BAE34">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74C84835">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7FFD0654">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7AF06223">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1FE0CB06">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4FB52403">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2448BFD5">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31320424">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5026C4AA">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DE94E1">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2ACFEA02">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AFBE09F">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0E965DF5">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651BEC87">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57A44206">
      <w:pPr>
        <w:ind w:right="480"/>
        <w:rPr>
          <w:rFonts w:ascii="宋体" w:hAnsi="宋体" w:eastAsia="宋体"/>
          <w:color w:val="auto"/>
          <w:sz w:val="24"/>
          <w:szCs w:val="24"/>
          <w:highlight w:val="none"/>
        </w:rPr>
      </w:pPr>
    </w:p>
    <w:p w14:paraId="7EFC8E97">
      <w:pPr>
        <w:rPr>
          <w:rFonts w:ascii="宋体" w:hAnsi="宋体" w:eastAsia="宋体"/>
          <w:color w:val="auto"/>
          <w:sz w:val="24"/>
          <w:szCs w:val="24"/>
          <w:highlight w:val="none"/>
        </w:rPr>
      </w:pPr>
    </w:p>
    <w:p w14:paraId="582CD028">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5" w:name="_Hlt465761988"/>
      <w:bookmarkEnd w:id="145"/>
      <w:bookmarkStart w:id="146" w:name="_Hlk465759066"/>
      <w:bookmarkEnd w:id="146"/>
      <w:r>
        <w:rPr>
          <w:rFonts w:hint="eastAsia" w:ascii="宋体" w:hAnsi="宋体" w:eastAsia="宋体"/>
          <w:color w:val="auto"/>
          <w:sz w:val="24"/>
          <w:szCs w:val="24"/>
          <w:highlight w:val="none"/>
        </w:rPr>
        <w:t>投标人（盖章）：</w:t>
      </w:r>
    </w:p>
    <w:p w14:paraId="5F5C7842">
      <w:pPr>
        <w:jc w:val="right"/>
        <w:rPr>
          <w:rFonts w:ascii="宋体" w:hAnsi="宋体" w:eastAsia="宋体"/>
          <w:color w:val="auto"/>
          <w:sz w:val="24"/>
          <w:szCs w:val="24"/>
          <w:highlight w:val="none"/>
        </w:rPr>
      </w:pPr>
    </w:p>
    <w:p w14:paraId="137A0929">
      <w:pPr>
        <w:rPr>
          <w:color w:val="auto"/>
          <w:sz w:val="24"/>
          <w:szCs w:val="24"/>
          <w:highlight w:val="none"/>
        </w:rPr>
      </w:pPr>
    </w:p>
    <w:p w14:paraId="10A7F667">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7" w:name="_Toc106553077"/>
      <w:bookmarkStart w:id="148" w:name="_Toc106012815"/>
      <w:bookmarkStart w:id="149" w:name="_Toc144975208"/>
      <w:bookmarkStart w:id="150" w:name="_Toc169487830"/>
      <w:bookmarkStart w:id="151" w:name="_Toc155342580"/>
    </w:p>
    <w:p w14:paraId="00B3B357">
      <w:pPr>
        <w:pStyle w:val="4"/>
        <w:numPr>
          <w:ilvl w:val="0"/>
          <w:numId w:val="0"/>
        </w:numPr>
        <w:spacing w:afterLines="0" w:line="360" w:lineRule="exact"/>
        <w:jc w:val="both"/>
        <w:rPr>
          <w:b w:val="0"/>
          <w:color w:val="auto"/>
          <w:sz w:val="28"/>
          <w:szCs w:val="28"/>
          <w:highlight w:val="none"/>
        </w:rPr>
      </w:pPr>
      <w:bookmarkStart w:id="152" w:name="_Toc23377"/>
      <w:bookmarkStart w:id="153" w:name="_Toc386122457"/>
      <w:bookmarkStart w:id="154" w:name="_Toc386121760"/>
      <w:bookmarkStart w:id="155" w:name="_Toc24432"/>
    </w:p>
    <w:p w14:paraId="76F0E387">
      <w:pPr>
        <w:pStyle w:val="4"/>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highlight w:val="none"/>
        </w:rPr>
        <w:t>临海市建设工程安全生产任职资格承诺书</w:t>
      </w:r>
    </w:p>
    <w:p w14:paraId="6E7B93B2">
      <w:pPr>
        <w:rPr>
          <w:b/>
          <w:bCs/>
          <w:color w:val="auto"/>
          <w:sz w:val="21"/>
          <w:szCs w:val="21"/>
          <w:highlight w:val="none"/>
        </w:rPr>
      </w:pPr>
    </w:p>
    <w:p w14:paraId="0A2C2515">
      <w:pPr>
        <w:jc w:val="center"/>
        <w:rPr>
          <w:rFonts w:ascii="宋体" w:hAnsi="宋体" w:eastAsia="宋体"/>
          <w:color w:val="auto"/>
          <w:szCs w:val="18"/>
          <w:highlight w:val="none"/>
        </w:rPr>
      </w:pPr>
    </w:p>
    <w:p w14:paraId="6EBEE1A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临海市上盘镇新塘岸村村民活动中心（二期）</w:t>
      </w:r>
    </w:p>
    <w:p w14:paraId="60584E3B">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38F5C8F9">
      <w:pPr>
        <w:rPr>
          <w:rFonts w:ascii="宋体" w:hAnsi="宋体" w:eastAsia="宋体"/>
          <w:color w:val="auto"/>
          <w:sz w:val="28"/>
          <w:highlight w:val="none"/>
        </w:rPr>
      </w:pPr>
    </w:p>
    <w:p w14:paraId="5A528AA5">
      <w:pPr>
        <w:rPr>
          <w:rFonts w:ascii="宋体" w:hAnsi="宋体" w:eastAsia="宋体" w:cs="宋体"/>
          <w:color w:val="auto"/>
          <w:sz w:val="24"/>
          <w:szCs w:val="24"/>
          <w:highlight w:val="none"/>
        </w:rPr>
      </w:pPr>
      <w:bookmarkStart w:id="156" w:name="_Toc106012816"/>
      <w:bookmarkStart w:id="157" w:name="_Toc106553078"/>
      <w:bookmarkStart w:id="158" w:name="_Toc155342584"/>
      <w:r>
        <w:rPr>
          <w:rFonts w:hint="eastAsia" w:ascii="宋体" w:hAnsi="宋体" w:eastAsia="宋体" w:cs="宋体"/>
          <w:color w:val="auto"/>
          <w:sz w:val="24"/>
          <w:szCs w:val="24"/>
          <w:highlight w:val="none"/>
        </w:rPr>
        <w:t>本人以企业法定代表人的身份郑重承诺：</w:t>
      </w:r>
    </w:p>
    <w:p w14:paraId="5754392F">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7E4E83B">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0863432">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1D8F1558">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E5CAED5">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5B778BF2">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335144A6">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63C7834C">
      <w:pPr>
        <w:ind w:firstLine="7080" w:firstLineChars="2950"/>
        <w:rPr>
          <w:rFonts w:ascii="宋体" w:hAnsi="宋体" w:eastAsia="宋体" w:cs="宋体"/>
          <w:color w:val="auto"/>
          <w:sz w:val="24"/>
          <w:szCs w:val="24"/>
          <w:highlight w:val="none"/>
        </w:rPr>
      </w:pPr>
    </w:p>
    <w:p w14:paraId="55B66DB6">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41B9D181">
      <w:pPr>
        <w:rPr>
          <w:color w:val="auto"/>
          <w:highlight w:val="none"/>
        </w:rPr>
      </w:pPr>
    </w:p>
    <w:p w14:paraId="3FBF33E0">
      <w:pPr>
        <w:rPr>
          <w:color w:val="auto"/>
          <w:highlight w:val="none"/>
        </w:rPr>
      </w:pPr>
    </w:p>
    <w:p w14:paraId="149C96F6">
      <w:pPr>
        <w:widowControl/>
        <w:jc w:val="left"/>
        <w:rPr>
          <w:rFonts w:ascii="Arial" w:hAnsi="Arial" w:eastAsia="黑体" w:cs="Arial"/>
          <w:color w:val="auto"/>
          <w:sz w:val="28"/>
          <w:szCs w:val="28"/>
          <w:highlight w:val="none"/>
        </w:rPr>
      </w:pPr>
      <w:bookmarkStart w:id="159" w:name="_Toc386121761"/>
      <w:bookmarkStart w:id="160" w:name="_Toc386122458"/>
      <w:bookmarkStart w:id="161" w:name="_Toc30036"/>
      <w:bookmarkStart w:id="162" w:name="_Toc14753"/>
      <w:r>
        <w:rPr>
          <w:b/>
          <w:color w:val="auto"/>
          <w:sz w:val="28"/>
          <w:szCs w:val="28"/>
          <w:highlight w:val="none"/>
        </w:rPr>
        <w:br w:type="page"/>
      </w:r>
    </w:p>
    <w:p w14:paraId="195A36D6">
      <w:pPr>
        <w:pStyle w:val="4"/>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6"/>
      <w:bookmarkEnd w:id="157"/>
      <w:bookmarkEnd w:id="158"/>
      <w:bookmarkEnd w:id="159"/>
      <w:bookmarkEnd w:id="160"/>
      <w:r>
        <w:rPr>
          <w:rFonts w:hint="eastAsia"/>
          <w:b w:val="0"/>
          <w:color w:val="auto"/>
          <w:sz w:val="28"/>
          <w:szCs w:val="28"/>
          <w:highlight w:val="none"/>
        </w:rPr>
        <w:t>项目负责人简历表</w:t>
      </w:r>
      <w:bookmarkEnd w:id="161"/>
      <w:bookmarkEnd w:id="162"/>
    </w:p>
    <w:p w14:paraId="5952D947">
      <w:pPr>
        <w:rPr>
          <w:rFonts w:ascii="黑体" w:eastAsia="黑体"/>
          <w:color w:val="auto"/>
          <w:sz w:val="28"/>
          <w:szCs w:val="28"/>
          <w:highlight w:val="none"/>
        </w:rPr>
      </w:pPr>
    </w:p>
    <w:p w14:paraId="6AB7E5C2">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临海市上盘镇新塘岸村村民活动中心（二期）</w:t>
      </w:r>
    </w:p>
    <w:p w14:paraId="7B4BFE55">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453F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F183880">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1A6022BB">
            <w:pPr>
              <w:jc w:val="center"/>
              <w:rPr>
                <w:rFonts w:ascii="宋体" w:hAnsi="宋体" w:eastAsia="宋体"/>
                <w:color w:val="auto"/>
                <w:highlight w:val="none"/>
              </w:rPr>
            </w:pPr>
          </w:p>
        </w:tc>
        <w:tc>
          <w:tcPr>
            <w:tcW w:w="861" w:type="dxa"/>
            <w:vAlign w:val="center"/>
          </w:tcPr>
          <w:p w14:paraId="550ADC42">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26F994AA">
            <w:pPr>
              <w:jc w:val="center"/>
              <w:rPr>
                <w:rFonts w:ascii="宋体" w:hAnsi="宋体" w:eastAsia="宋体"/>
                <w:color w:val="auto"/>
                <w:highlight w:val="none"/>
              </w:rPr>
            </w:pPr>
          </w:p>
        </w:tc>
        <w:tc>
          <w:tcPr>
            <w:tcW w:w="913" w:type="dxa"/>
            <w:vAlign w:val="center"/>
          </w:tcPr>
          <w:p w14:paraId="6BE7809E">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27C039A9">
            <w:pPr>
              <w:jc w:val="center"/>
              <w:rPr>
                <w:rFonts w:ascii="宋体" w:hAnsi="宋体" w:eastAsia="宋体"/>
                <w:color w:val="auto"/>
                <w:highlight w:val="none"/>
              </w:rPr>
            </w:pPr>
          </w:p>
        </w:tc>
        <w:tc>
          <w:tcPr>
            <w:tcW w:w="861" w:type="dxa"/>
            <w:vAlign w:val="center"/>
          </w:tcPr>
          <w:p w14:paraId="542DBB48">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8870CDD">
            <w:pPr>
              <w:jc w:val="center"/>
              <w:rPr>
                <w:rFonts w:ascii="宋体" w:hAnsi="宋体" w:eastAsia="宋体"/>
                <w:color w:val="auto"/>
                <w:highlight w:val="none"/>
              </w:rPr>
            </w:pPr>
          </w:p>
        </w:tc>
      </w:tr>
      <w:tr w14:paraId="3E5CC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44442635">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53C53A37">
            <w:pPr>
              <w:jc w:val="center"/>
              <w:rPr>
                <w:rFonts w:ascii="宋体" w:hAnsi="宋体" w:eastAsia="宋体"/>
                <w:color w:val="auto"/>
                <w:highlight w:val="none"/>
              </w:rPr>
            </w:pPr>
          </w:p>
        </w:tc>
        <w:tc>
          <w:tcPr>
            <w:tcW w:w="1096" w:type="dxa"/>
            <w:vAlign w:val="center"/>
          </w:tcPr>
          <w:p w14:paraId="01FF5D3C">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4738FB58">
            <w:pPr>
              <w:jc w:val="center"/>
              <w:rPr>
                <w:rFonts w:ascii="宋体" w:hAnsi="宋体" w:eastAsia="宋体"/>
                <w:color w:val="auto"/>
                <w:highlight w:val="none"/>
              </w:rPr>
            </w:pPr>
          </w:p>
        </w:tc>
        <w:tc>
          <w:tcPr>
            <w:tcW w:w="861" w:type="dxa"/>
            <w:vAlign w:val="center"/>
          </w:tcPr>
          <w:p w14:paraId="28DA4D69">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18A2C2CC">
            <w:pPr>
              <w:jc w:val="center"/>
              <w:rPr>
                <w:rFonts w:ascii="宋体" w:hAnsi="宋体" w:eastAsia="宋体"/>
                <w:color w:val="auto"/>
                <w:highlight w:val="none"/>
              </w:rPr>
            </w:pPr>
          </w:p>
        </w:tc>
      </w:tr>
      <w:tr w14:paraId="5B790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3AF4F76B">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1DC7DB0F">
            <w:pPr>
              <w:jc w:val="center"/>
              <w:rPr>
                <w:rFonts w:ascii="宋体" w:hAnsi="宋体" w:eastAsia="宋体"/>
                <w:color w:val="auto"/>
                <w:highlight w:val="none"/>
              </w:rPr>
            </w:pPr>
          </w:p>
        </w:tc>
        <w:tc>
          <w:tcPr>
            <w:tcW w:w="3209" w:type="dxa"/>
            <w:gridSpan w:val="3"/>
            <w:vAlign w:val="center"/>
          </w:tcPr>
          <w:p w14:paraId="1CD51C77">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205EA72C">
            <w:pPr>
              <w:jc w:val="center"/>
              <w:rPr>
                <w:rFonts w:ascii="宋体" w:hAnsi="宋体" w:eastAsia="宋体"/>
                <w:color w:val="auto"/>
                <w:highlight w:val="none"/>
              </w:rPr>
            </w:pPr>
          </w:p>
        </w:tc>
      </w:tr>
      <w:tr w14:paraId="1FCA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40A261A1">
            <w:pPr>
              <w:jc w:val="center"/>
              <w:rPr>
                <w:rFonts w:ascii="宋体" w:hAnsi="宋体" w:eastAsia="宋体"/>
                <w:color w:val="auto"/>
                <w:highlight w:val="none"/>
              </w:rPr>
            </w:pPr>
          </w:p>
          <w:p w14:paraId="79B767E9">
            <w:pPr>
              <w:jc w:val="center"/>
              <w:rPr>
                <w:rFonts w:ascii="宋体" w:hAnsi="宋体" w:eastAsia="宋体"/>
                <w:color w:val="auto"/>
                <w:highlight w:val="none"/>
              </w:rPr>
            </w:pPr>
          </w:p>
          <w:p w14:paraId="221489A8">
            <w:pPr>
              <w:jc w:val="center"/>
              <w:rPr>
                <w:rFonts w:ascii="宋体" w:hAnsi="宋体" w:eastAsia="宋体"/>
                <w:color w:val="auto"/>
                <w:highlight w:val="none"/>
              </w:rPr>
            </w:pPr>
          </w:p>
          <w:p w14:paraId="46F84476">
            <w:pPr>
              <w:jc w:val="center"/>
              <w:rPr>
                <w:rFonts w:ascii="宋体" w:hAnsi="宋体" w:eastAsia="宋体"/>
                <w:color w:val="auto"/>
                <w:highlight w:val="none"/>
              </w:rPr>
            </w:pPr>
            <w:r>
              <w:rPr>
                <w:rFonts w:hint="eastAsia" w:ascii="宋体" w:hAnsi="宋体" w:eastAsia="宋体"/>
                <w:color w:val="auto"/>
                <w:highlight w:val="none"/>
              </w:rPr>
              <w:t>简</w:t>
            </w:r>
          </w:p>
          <w:p w14:paraId="07D38C78">
            <w:pPr>
              <w:jc w:val="center"/>
              <w:rPr>
                <w:rFonts w:ascii="宋体" w:hAnsi="宋体" w:eastAsia="宋体"/>
                <w:color w:val="auto"/>
                <w:highlight w:val="none"/>
              </w:rPr>
            </w:pPr>
          </w:p>
          <w:p w14:paraId="47B7F191">
            <w:pPr>
              <w:jc w:val="center"/>
              <w:rPr>
                <w:rFonts w:ascii="宋体" w:hAnsi="宋体" w:eastAsia="宋体"/>
                <w:color w:val="auto"/>
                <w:highlight w:val="none"/>
              </w:rPr>
            </w:pPr>
          </w:p>
          <w:p w14:paraId="3C51C397">
            <w:pPr>
              <w:rPr>
                <w:rFonts w:ascii="宋体" w:hAnsi="宋体" w:eastAsia="宋体"/>
                <w:color w:val="auto"/>
                <w:highlight w:val="none"/>
              </w:rPr>
            </w:pPr>
          </w:p>
          <w:p w14:paraId="397754C5">
            <w:pPr>
              <w:rPr>
                <w:rFonts w:ascii="宋体" w:hAnsi="宋体" w:eastAsia="宋体"/>
                <w:color w:val="auto"/>
                <w:highlight w:val="none"/>
              </w:rPr>
            </w:pPr>
          </w:p>
          <w:p w14:paraId="56F3831B">
            <w:pPr>
              <w:jc w:val="center"/>
              <w:rPr>
                <w:rFonts w:ascii="宋体" w:hAnsi="宋体" w:eastAsia="宋体"/>
                <w:color w:val="auto"/>
                <w:highlight w:val="none"/>
              </w:rPr>
            </w:pPr>
          </w:p>
          <w:p w14:paraId="63D017F4">
            <w:pPr>
              <w:jc w:val="center"/>
              <w:rPr>
                <w:rFonts w:ascii="宋体" w:hAnsi="宋体" w:eastAsia="宋体"/>
                <w:color w:val="auto"/>
                <w:highlight w:val="none"/>
              </w:rPr>
            </w:pPr>
          </w:p>
          <w:p w14:paraId="1F1D32E2">
            <w:pPr>
              <w:jc w:val="center"/>
              <w:rPr>
                <w:rFonts w:ascii="宋体" w:hAnsi="宋体" w:eastAsia="宋体"/>
                <w:color w:val="auto"/>
                <w:highlight w:val="none"/>
              </w:rPr>
            </w:pPr>
            <w:r>
              <w:rPr>
                <w:rFonts w:hint="eastAsia" w:ascii="宋体" w:hAnsi="宋体" w:eastAsia="宋体"/>
                <w:color w:val="auto"/>
                <w:highlight w:val="none"/>
              </w:rPr>
              <w:t>历</w:t>
            </w:r>
          </w:p>
          <w:p w14:paraId="47FEC7D8">
            <w:pPr>
              <w:jc w:val="center"/>
              <w:rPr>
                <w:rFonts w:ascii="宋体" w:hAnsi="宋体" w:eastAsia="宋体"/>
                <w:color w:val="auto"/>
                <w:highlight w:val="none"/>
              </w:rPr>
            </w:pPr>
          </w:p>
          <w:p w14:paraId="51ED950C">
            <w:pPr>
              <w:jc w:val="center"/>
              <w:rPr>
                <w:rFonts w:ascii="宋体" w:hAnsi="宋体" w:eastAsia="宋体"/>
                <w:color w:val="auto"/>
                <w:highlight w:val="none"/>
              </w:rPr>
            </w:pPr>
          </w:p>
          <w:p w14:paraId="56B7E5FD">
            <w:pPr>
              <w:rPr>
                <w:rFonts w:ascii="宋体" w:hAnsi="宋体" w:eastAsia="宋体"/>
                <w:color w:val="auto"/>
                <w:highlight w:val="none"/>
              </w:rPr>
            </w:pPr>
          </w:p>
        </w:tc>
        <w:tc>
          <w:tcPr>
            <w:tcW w:w="8610" w:type="dxa"/>
            <w:gridSpan w:val="8"/>
          </w:tcPr>
          <w:p w14:paraId="6F6EC122">
            <w:pPr>
              <w:rPr>
                <w:rFonts w:ascii="宋体" w:hAnsi="宋体" w:eastAsia="宋体"/>
                <w:color w:val="auto"/>
                <w:highlight w:val="none"/>
              </w:rPr>
            </w:pPr>
          </w:p>
        </w:tc>
      </w:tr>
    </w:tbl>
    <w:p w14:paraId="33ECE808">
      <w:pPr>
        <w:rPr>
          <w:rFonts w:ascii="宋体" w:hAnsi="宋体" w:eastAsia="宋体"/>
          <w:color w:val="auto"/>
          <w:highlight w:val="none"/>
        </w:rPr>
      </w:pPr>
    </w:p>
    <w:p w14:paraId="1920A972">
      <w:pPr>
        <w:rPr>
          <w:rFonts w:ascii="宋体" w:hAnsi="宋体" w:eastAsia="宋体"/>
          <w:color w:val="auto"/>
          <w:sz w:val="24"/>
          <w:szCs w:val="24"/>
          <w:highlight w:val="none"/>
        </w:rPr>
      </w:pPr>
      <w:bookmarkStart w:id="163" w:name="_Toc106553079"/>
      <w:bookmarkStart w:id="164" w:name="_Toc106012817"/>
      <w:bookmarkStart w:id="165" w:name="_Toc155342585"/>
      <w:r>
        <w:rPr>
          <w:rFonts w:hint="eastAsia" w:ascii="宋体" w:hAnsi="宋体" w:eastAsia="宋体"/>
          <w:color w:val="auto"/>
          <w:sz w:val="24"/>
          <w:szCs w:val="24"/>
          <w:highlight w:val="none"/>
        </w:rPr>
        <w:t>法定代表人（签字或盖章）：                            投标人（盖章）：</w:t>
      </w:r>
    </w:p>
    <w:p w14:paraId="23373DBD">
      <w:pPr>
        <w:jc w:val="right"/>
        <w:rPr>
          <w:rFonts w:ascii="宋体" w:hAnsi="宋体" w:eastAsia="宋体"/>
          <w:color w:val="auto"/>
          <w:sz w:val="24"/>
          <w:szCs w:val="24"/>
          <w:highlight w:val="none"/>
        </w:rPr>
      </w:pPr>
    </w:p>
    <w:p w14:paraId="2D880980">
      <w:pPr>
        <w:ind w:firstLine="6360" w:firstLineChars="2650"/>
        <w:rPr>
          <w:rFonts w:ascii="宋体" w:hAnsi="宋体" w:eastAsia="宋体"/>
          <w:color w:val="auto"/>
          <w:sz w:val="24"/>
          <w:szCs w:val="24"/>
          <w:highlight w:val="none"/>
        </w:rPr>
      </w:pPr>
    </w:p>
    <w:p w14:paraId="24C61F22">
      <w:pPr>
        <w:ind w:firstLine="6360" w:firstLineChars="2650"/>
        <w:rPr>
          <w:color w:val="auto"/>
          <w:highlight w:val="none"/>
        </w:rPr>
      </w:pPr>
      <w:r>
        <w:rPr>
          <w:rFonts w:hint="eastAsia" w:ascii="宋体" w:hAnsi="宋体" w:eastAsia="宋体"/>
          <w:color w:val="auto"/>
          <w:sz w:val="24"/>
          <w:szCs w:val="24"/>
          <w:highlight w:val="none"/>
        </w:rPr>
        <w:t>日期：   年   月   日</w:t>
      </w:r>
    </w:p>
    <w:p w14:paraId="4DA0B245">
      <w:pPr>
        <w:pStyle w:val="4"/>
        <w:numPr>
          <w:ilvl w:val="0"/>
          <w:numId w:val="0"/>
        </w:numPr>
        <w:spacing w:before="0" w:afterLines="0" w:line="240" w:lineRule="auto"/>
        <w:jc w:val="both"/>
        <w:rPr>
          <w:b w:val="0"/>
          <w:color w:val="auto"/>
          <w:sz w:val="28"/>
          <w:szCs w:val="28"/>
          <w:highlight w:val="none"/>
        </w:rPr>
      </w:pPr>
      <w:bookmarkStart w:id="166" w:name="_Toc386121762"/>
      <w:bookmarkStart w:id="167" w:name="_Toc386122459"/>
      <w:bookmarkStart w:id="168" w:name="_Toc581"/>
      <w:bookmarkStart w:id="169" w:name="_Toc20785"/>
    </w:p>
    <w:p w14:paraId="3B3B0A20">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3"/>
      <w:bookmarkEnd w:id="164"/>
      <w:bookmarkEnd w:id="165"/>
      <w:bookmarkEnd w:id="166"/>
      <w:bookmarkEnd w:id="167"/>
      <w:r>
        <w:rPr>
          <w:rFonts w:hint="eastAsia"/>
          <w:b w:val="0"/>
          <w:color w:val="auto"/>
          <w:sz w:val="28"/>
          <w:szCs w:val="28"/>
          <w:highlight w:val="none"/>
        </w:rPr>
        <w:t>技术负责人简历表</w:t>
      </w:r>
      <w:bookmarkEnd w:id="168"/>
      <w:bookmarkEnd w:id="169"/>
    </w:p>
    <w:p w14:paraId="50B78975">
      <w:pPr>
        <w:rPr>
          <w:rFonts w:ascii="黑体" w:eastAsia="黑体"/>
          <w:color w:val="auto"/>
          <w:sz w:val="28"/>
          <w:szCs w:val="28"/>
          <w:highlight w:val="none"/>
        </w:rPr>
      </w:pPr>
    </w:p>
    <w:p w14:paraId="0169540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临海市上盘镇新塘岸村村民活动中心（二期）</w:t>
      </w:r>
    </w:p>
    <w:p w14:paraId="4308A2ED">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018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7651B2B">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0342FC1C">
            <w:pPr>
              <w:jc w:val="center"/>
              <w:rPr>
                <w:rFonts w:ascii="宋体" w:hAnsi="宋体" w:eastAsia="宋体"/>
                <w:color w:val="auto"/>
                <w:highlight w:val="none"/>
              </w:rPr>
            </w:pPr>
          </w:p>
        </w:tc>
        <w:tc>
          <w:tcPr>
            <w:tcW w:w="861" w:type="dxa"/>
            <w:vAlign w:val="center"/>
          </w:tcPr>
          <w:p w14:paraId="47E27107">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36C26A3D">
            <w:pPr>
              <w:jc w:val="center"/>
              <w:rPr>
                <w:rFonts w:ascii="宋体" w:hAnsi="宋体" w:eastAsia="宋体"/>
                <w:color w:val="auto"/>
                <w:highlight w:val="none"/>
              </w:rPr>
            </w:pPr>
          </w:p>
        </w:tc>
        <w:tc>
          <w:tcPr>
            <w:tcW w:w="913" w:type="dxa"/>
            <w:vAlign w:val="center"/>
          </w:tcPr>
          <w:p w14:paraId="4E65D3FB">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0B1168B9">
            <w:pPr>
              <w:jc w:val="center"/>
              <w:rPr>
                <w:rFonts w:ascii="宋体" w:hAnsi="宋体" w:eastAsia="宋体"/>
                <w:color w:val="auto"/>
                <w:highlight w:val="none"/>
              </w:rPr>
            </w:pPr>
          </w:p>
        </w:tc>
        <w:tc>
          <w:tcPr>
            <w:tcW w:w="861" w:type="dxa"/>
            <w:vAlign w:val="center"/>
          </w:tcPr>
          <w:p w14:paraId="3F171346">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85E0A47">
            <w:pPr>
              <w:jc w:val="center"/>
              <w:rPr>
                <w:rFonts w:ascii="宋体" w:hAnsi="宋体" w:eastAsia="宋体"/>
                <w:color w:val="auto"/>
                <w:highlight w:val="none"/>
              </w:rPr>
            </w:pPr>
          </w:p>
        </w:tc>
      </w:tr>
      <w:tr w14:paraId="0837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EEBA7B3">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2C24FE5D">
            <w:pPr>
              <w:jc w:val="center"/>
              <w:rPr>
                <w:rFonts w:ascii="宋体" w:hAnsi="宋体" w:eastAsia="宋体"/>
                <w:color w:val="auto"/>
                <w:highlight w:val="none"/>
              </w:rPr>
            </w:pPr>
          </w:p>
        </w:tc>
        <w:tc>
          <w:tcPr>
            <w:tcW w:w="1957" w:type="dxa"/>
            <w:gridSpan w:val="2"/>
            <w:vAlign w:val="center"/>
          </w:tcPr>
          <w:p w14:paraId="3872823C">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5530274F">
            <w:pPr>
              <w:jc w:val="center"/>
              <w:rPr>
                <w:rFonts w:ascii="宋体" w:hAnsi="宋体" w:eastAsia="宋体"/>
                <w:color w:val="auto"/>
                <w:highlight w:val="none"/>
              </w:rPr>
            </w:pPr>
          </w:p>
        </w:tc>
        <w:tc>
          <w:tcPr>
            <w:tcW w:w="861" w:type="dxa"/>
            <w:vAlign w:val="center"/>
          </w:tcPr>
          <w:p w14:paraId="53DE8E71">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6A106927">
            <w:pPr>
              <w:jc w:val="center"/>
              <w:rPr>
                <w:rFonts w:ascii="宋体" w:hAnsi="宋体" w:eastAsia="宋体"/>
                <w:color w:val="auto"/>
                <w:highlight w:val="none"/>
              </w:rPr>
            </w:pPr>
          </w:p>
        </w:tc>
      </w:tr>
      <w:tr w14:paraId="09DB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2971976C">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57D3BD60">
            <w:pPr>
              <w:jc w:val="center"/>
              <w:rPr>
                <w:rFonts w:ascii="宋体" w:hAnsi="宋体" w:eastAsia="宋体"/>
                <w:color w:val="auto"/>
                <w:highlight w:val="none"/>
              </w:rPr>
            </w:pPr>
          </w:p>
        </w:tc>
        <w:tc>
          <w:tcPr>
            <w:tcW w:w="3209" w:type="dxa"/>
            <w:gridSpan w:val="3"/>
            <w:vAlign w:val="center"/>
          </w:tcPr>
          <w:p w14:paraId="1B9D9963">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6EE1A361">
            <w:pPr>
              <w:jc w:val="center"/>
              <w:rPr>
                <w:rFonts w:ascii="宋体" w:hAnsi="宋体" w:eastAsia="宋体"/>
                <w:color w:val="auto"/>
                <w:highlight w:val="none"/>
              </w:rPr>
            </w:pPr>
          </w:p>
        </w:tc>
      </w:tr>
      <w:tr w14:paraId="1F8B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020F7595">
            <w:pPr>
              <w:jc w:val="center"/>
              <w:rPr>
                <w:rFonts w:ascii="宋体" w:hAnsi="宋体" w:eastAsia="宋体"/>
                <w:color w:val="auto"/>
                <w:highlight w:val="none"/>
              </w:rPr>
            </w:pPr>
          </w:p>
          <w:p w14:paraId="7436D8A6">
            <w:pPr>
              <w:jc w:val="center"/>
              <w:rPr>
                <w:rFonts w:ascii="宋体" w:hAnsi="宋体" w:eastAsia="宋体"/>
                <w:color w:val="auto"/>
                <w:highlight w:val="none"/>
              </w:rPr>
            </w:pPr>
          </w:p>
          <w:p w14:paraId="01B27FB5">
            <w:pPr>
              <w:jc w:val="center"/>
              <w:rPr>
                <w:rFonts w:ascii="宋体" w:hAnsi="宋体" w:eastAsia="宋体"/>
                <w:color w:val="auto"/>
                <w:highlight w:val="none"/>
              </w:rPr>
            </w:pPr>
          </w:p>
          <w:p w14:paraId="60B407D2">
            <w:pPr>
              <w:jc w:val="center"/>
              <w:rPr>
                <w:rFonts w:ascii="宋体" w:hAnsi="宋体" w:eastAsia="宋体"/>
                <w:color w:val="auto"/>
                <w:highlight w:val="none"/>
              </w:rPr>
            </w:pPr>
            <w:r>
              <w:rPr>
                <w:rFonts w:hint="eastAsia" w:ascii="宋体" w:hAnsi="宋体" w:eastAsia="宋体"/>
                <w:color w:val="auto"/>
                <w:highlight w:val="none"/>
              </w:rPr>
              <w:t>简</w:t>
            </w:r>
          </w:p>
          <w:p w14:paraId="60185AF3">
            <w:pPr>
              <w:jc w:val="center"/>
              <w:rPr>
                <w:rFonts w:ascii="宋体" w:hAnsi="宋体" w:eastAsia="宋体"/>
                <w:color w:val="auto"/>
                <w:highlight w:val="none"/>
              </w:rPr>
            </w:pPr>
          </w:p>
          <w:p w14:paraId="0AB93FEC">
            <w:pPr>
              <w:jc w:val="center"/>
              <w:rPr>
                <w:rFonts w:ascii="宋体" w:hAnsi="宋体" w:eastAsia="宋体"/>
                <w:color w:val="auto"/>
                <w:highlight w:val="none"/>
              </w:rPr>
            </w:pPr>
          </w:p>
          <w:p w14:paraId="78BD944D">
            <w:pPr>
              <w:rPr>
                <w:rFonts w:ascii="宋体" w:hAnsi="宋体" w:eastAsia="宋体"/>
                <w:color w:val="auto"/>
                <w:highlight w:val="none"/>
              </w:rPr>
            </w:pPr>
          </w:p>
          <w:p w14:paraId="66AC971E">
            <w:pPr>
              <w:rPr>
                <w:rFonts w:ascii="宋体" w:hAnsi="宋体" w:eastAsia="宋体"/>
                <w:color w:val="auto"/>
                <w:highlight w:val="none"/>
              </w:rPr>
            </w:pPr>
          </w:p>
          <w:p w14:paraId="5961EAC0">
            <w:pPr>
              <w:jc w:val="center"/>
              <w:rPr>
                <w:rFonts w:ascii="宋体" w:hAnsi="宋体" w:eastAsia="宋体"/>
                <w:color w:val="auto"/>
                <w:highlight w:val="none"/>
              </w:rPr>
            </w:pPr>
          </w:p>
          <w:p w14:paraId="06DDD4FB">
            <w:pPr>
              <w:jc w:val="center"/>
              <w:rPr>
                <w:rFonts w:ascii="宋体" w:hAnsi="宋体" w:eastAsia="宋体"/>
                <w:color w:val="auto"/>
                <w:highlight w:val="none"/>
              </w:rPr>
            </w:pPr>
          </w:p>
          <w:p w14:paraId="48CFCAA8">
            <w:pPr>
              <w:jc w:val="center"/>
              <w:rPr>
                <w:rFonts w:ascii="宋体" w:hAnsi="宋体" w:eastAsia="宋体"/>
                <w:color w:val="auto"/>
                <w:highlight w:val="none"/>
              </w:rPr>
            </w:pPr>
            <w:r>
              <w:rPr>
                <w:rFonts w:hint="eastAsia" w:ascii="宋体" w:hAnsi="宋体" w:eastAsia="宋体"/>
                <w:color w:val="auto"/>
                <w:highlight w:val="none"/>
              </w:rPr>
              <w:t>历</w:t>
            </w:r>
          </w:p>
          <w:p w14:paraId="1E992417">
            <w:pPr>
              <w:jc w:val="center"/>
              <w:rPr>
                <w:rFonts w:ascii="宋体" w:hAnsi="宋体" w:eastAsia="宋体"/>
                <w:color w:val="auto"/>
                <w:highlight w:val="none"/>
              </w:rPr>
            </w:pPr>
          </w:p>
          <w:p w14:paraId="53542406">
            <w:pPr>
              <w:jc w:val="center"/>
              <w:rPr>
                <w:rFonts w:ascii="宋体" w:hAnsi="宋体" w:eastAsia="宋体"/>
                <w:color w:val="auto"/>
                <w:highlight w:val="none"/>
              </w:rPr>
            </w:pPr>
          </w:p>
          <w:p w14:paraId="215B11B4">
            <w:pPr>
              <w:rPr>
                <w:rFonts w:ascii="宋体" w:hAnsi="宋体" w:eastAsia="宋体"/>
                <w:color w:val="auto"/>
                <w:highlight w:val="none"/>
              </w:rPr>
            </w:pPr>
          </w:p>
        </w:tc>
        <w:tc>
          <w:tcPr>
            <w:tcW w:w="8610" w:type="dxa"/>
            <w:gridSpan w:val="7"/>
          </w:tcPr>
          <w:p w14:paraId="070BE5C6">
            <w:pPr>
              <w:rPr>
                <w:rFonts w:ascii="宋体" w:hAnsi="宋体" w:eastAsia="宋体"/>
                <w:color w:val="auto"/>
                <w:highlight w:val="none"/>
              </w:rPr>
            </w:pPr>
          </w:p>
        </w:tc>
      </w:tr>
    </w:tbl>
    <w:p w14:paraId="038A319F">
      <w:pPr>
        <w:rPr>
          <w:rFonts w:ascii="宋体" w:hAnsi="宋体" w:eastAsia="宋体"/>
          <w:color w:val="auto"/>
          <w:highlight w:val="none"/>
        </w:rPr>
      </w:pPr>
    </w:p>
    <w:p w14:paraId="57128D09">
      <w:pPr>
        <w:rPr>
          <w:rFonts w:ascii="宋体" w:hAnsi="宋体" w:eastAsia="宋体"/>
          <w:color w:val="auto"/>
          <w:sz w:val="24"/>
          <w:szCs w:val="24"/>
          <w:highlight w:val="none"/>
        </w:rPr>
      </w:pPr>
      <w:bookmarkStart w:id="170" w:name="_Toc155342586"/>
      <w:bookmarkStart w:id="171" w:name="_Toc106012818"/>
      <w:bookmarkStart w:id="172" w:name="_Toc106553080"/>
      <w:r>
        <w:rPr>
          <w:rFonts w:hint="eastAsia" w:ascii="宋体" w:hAnsi="宋体" w:eastAsia="宋体"/>
          <w:color w:val="auto"/>
          <w:sz w:val="24"/>
          <w:szCs w:val="24"/>
          <w:highlight w:val="none"/>
        </w:rPr>
        <w:t>法定代表人（签字或盖章）：                             投标人（盖章）：</w:t>
      </w:r>
    </w:p>
    <w:p w14:paraId="7C9E0480">
      <w:pPr>
        <w:jc w:val="right"/>
        <w:rPr>
          <w:rFonts w:ascii="宋体" w:hAnsi="宋体" w:eastAsia="宋体"/>
          <w:color w:val="auto"/>
          <w:sz w:val="24"/>
          <w:szCs w:val="24"/>
          <w:highlight w:val="none"/>
        </w:rPr>
      </w:pPr>
    </w:p>
    <w:p w14:paraId="6540D5C5">
      <w:pPr>
        <w:ind w:firstLine="6480" w:firstLineChars="2700"/>
        <w:rPr>
          <w:rFonts w:ascii="宋体" w:hAnsi="宋体" w:eastAsia="宋体"/>
          <w:color w:val="auto"/>
          <w:sz w:val="24"/>
          <w:szCs w:val="24"/>
          <w:highlight w:val="none"/>
        </w:rPr>
      </w:pPr>
    </w:p>
    <w:p w14:paraId="41330540">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67E510F4">
      <w:pPr>
        <w:rPr>
          <w:color w:val="auto"/>
          <w:sz w:val="28"/>
          <w:szCs w:val="28"/>
          <w:highlight w:val="none"/>
        </w:rPr>
      </w:pPr>
      <w:bookmarkStart w:id="173" w:name="_Toc24065"/>
      <w:bookmarkStart w:id="174" w:name="_Toc386208332"/>
      <w:bookmarkStart w:id="175" w:name="_Toc386207588"/>
      <w:bookmarkStart w:id="176" w:name="_Toc26311"/>
      <w:bookmarkStart w:id="177" w:name="_Toc4216"/>
      <w:bookmarkStart w:id="178" w:name="_Toc386207867"/>
      <w:bookmarkStart w:id="179" w:name="_Toc386209083"/>
      <w:bookmarkStart w:id="180" w:name="_Toc386207774"/>
      <w:r>
        <w:rPr>
          <w:rFonts w:hint="eastAsia"/>
          <w:color w:val="auto"/>
          <w:sz w:val="28"/>
          <w:szCs w:val="28"/>
          <w:highlight w:val="none"/>
        </w:rPr>
        <w:br w:type="page"/>
      </w:r>
    </w:p>
    <w:p w14:paraId="1B74A673">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3"/>
      <w:bookmarkEnd w:id="174"/>
      <w:bookmarkEnd w:id="175"/>
      <w:bookmarkEnd w:id="176"/>
      <w:bookmarkEnd w:id="177"/>
      <w:bookmarkEnd w:id="178"/>
      <w:bookmarkEnd w:id="179"/>
      <w:bookmarkEnd w:id="180"/>
    </w:p>
    <w:p w14:paraId="6D7A7C09">
      <w:pPr>
        <w:spacing w:line="440" w:lineRule="exact"/>
        <w:rPr>
          <w:rFonts w:eastAsia="黑体"/>
          <w:color w:val="auto"/>
          <w:sz w:val="20"/>
          <w:highlight w:val="none"/>
        </w:rPr>
      </w:pPr>
    </w:p>
    <w:p w14:paraId="15E955C4">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613865E">
      <w:pPr>
        <w:spacing w:line="440" w:lineRule="exact"/>
        <w:rPr>
          <w:rFonts w:ascii="宋体" w:hAnsi="宋体" w:eastAsia="宋体"/>
          <w:color w:val="auto"/>
          <w:sz w:val="24"/>
          <w:szCs w:val="24"/>
          <w:highlight w:val="none"/>
        </w:rPr>
      </w:pPr>
    </w:p>
    <w:p w14:paraId="307B5081">
      <w:pPr>
        <w:spacing w:line="440" w:lineRule="exact"/>
        <w:rPr>
          <w:rFonts w:ascii="宋体" w:hAnsi="宋体" w:eastAsia="宋体"/>
          <w:color w:val="auto"/>
          <w:sz w:val="24"/>
          <w:szCs w:val="24"/>
          <w:highlight w:val="none"/>
        </w:rPr>
      </w:pPr>
    </w:p>
    <w:p w14:paraId="25395182">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1F66C404">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临海市上盘镇新塘岸村村民活动中心（二期）</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2129D21D">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81863DC">
      <w:pPr>
        <w:spacing w:line="360" w:lineRule="auto"/>
        <w:ind w:firstLine="560" w:firstLineChars="200"/>
        <w:rPr>
          <w:rFonts w:ascii="宋体" w:hAnsi="宋体" w:eastAsia="宋体"/>
          <w:color w:val="auto"/>
          <w:sz w:val="28"/>
          <w:szCs w:val="28"/>
          <w:highlight w:val="none"/>
          <w:u w:val="single"/>
        </w:rPr>
      </w:pPr>
    </w:p>
    <w:p w14:paraId="6B4687F8">
      <w:pPr>
        <w:spacing w:line="440" w:lineRule="exact"/>
        <w:jc w:val="center"/>
        <w:rPr>
          <w:rFonts w:eastAsia="黑体"/>
          <w:color w:val="auto"/>
          <w:sz w:val="20"/>
          <w:highlight w:val="none"/>
        </w:rPr>
      </w:pPr>
    </w:p>
    <w:p w14:paraId="011BC31F">
      <w:pPr>
        <w:spacing w:line="440" w:lineRule="exact"/>
        <w:jc w:val="center"/>
        <w:rPr>
          <w:rFonts w:eastAsia="黑体"/>
          <w:color w:val="auto"/>
          <w:sz w:val="20"/>
          <w:highlight w:val="none"/>
        </w:rPr>
      </w:pPr>
    </w:p>
    <w:p w14:paraId="06281690">
      <w:pPr>
        <w:spacing w:line="440" w:lineRule="exact"/>
        <w:jc w:val="center"/>
        <w:rPr>
          <w:rFonts w:eastAsia="黑体"/>
          <w:color w:val="auto"/>
          <w:sz w:val="20"/>
          <w:highlight w:val="none"/>
        </w:rPr>
      </w:pPr>
    </w:p>
    <w:p w14:paraId="53989D71">
      <w:pPr>
        <w:spacing w:line="440" w:lineRule="exact"/>
        <w:jc w:val="center"/>
        <w:rPr>
          <w:rFonts w:eastAsia="黑体"/>
          <w:color w:val="auto"/>
          <w:sz w:val="20"/>
          <w:highlight w:val="none"/>
        </w:rPr>
      </w:pPr>
    </w:p>
    <w:p w14:paraId="0E4F4C1A">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3651D3F">
      <w:pPr>
        <w:spacing w:line="440" w:lineRule="exact"/>
        <w:jc w:val="right"/>
        <w:rPr>
          <w:rFonts w:ascii="宋体" w:hAnsi="宋体" w:eastAsia="宋体"/>
          <w:color w:val="auto"/>
          <w:sz w:val="28"/>
          <w:szCs w:val="28"/>
          <w:highlight w:val="none"/>
        </w:rPr>
      </w:pPr>
    </w:p>
    <w:p w14:paraId="3DCB2A6F">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56463810">
      <w:pPr>
        <w:spacing w:line="440" w:lineRule="exact"/>
        <w:ind w:right="560" w:firstLine="3920" w:firstLineChars="1400"/>
        <w:rPr>
          <w:rFonts w:ascii="宋体" w:hAnsi="宋体" w:eastAsia="宋体"/>
          <w:color w:val="auto"/>
          <w:sz w:val="28"/>
          <w:szCs w:val="28"/>
          <w:highlight w:val="none"/>
        </w:rPr>
      </w:pPr>
    </w:p>
    <w:p w14:paraId="039533D6">
      <w:pPr>
        <w:rPr>
          <w:rFonts w:eastAsia="宋体"/>
          <w:color w:val="auto"/>
          <w:sz w:val="21"/>
          <w:szCs w:val="24"/>
          <w:highlight w:val="none"/>
        </w:rPr>
      </w:pPr>
    </w:p>
    <w:p w14:paraId="3F32CF3D">
      <w:pPr>
        <w:jc w:val="right"/>
        <w:rPr>
          <w:color w:val="auto"/>
          <w:highlight w:val="none"/>
        </w:rPr>
      </w:pPr>
      <w:r>
        <w:rPr>
          <w:rFonts w:hint="eastAsia" w:ascii="宋体" w:hAnsi="宋体" w:eastAsia="宋体"/>
          <w:color w:val="auto"/>
          <w:sz w:val="28"/>
          <w:szCs w:val="28"/>
          <w:highlight w:val="none"/>
        </w:rPr>
        <w:t>日期：    年   月   日</w:t>
      </w:r>
    </w:p>
    <w:p w14:paraId="301746BD">
      <w:pPr>
        <w:pStyle w:val="4"/>
        <w:numPr>
          <w:ilvl w:val="0"/>
          <w:numId w:val="0"/>
        </w:numPr>
        <w:spacing w:before="0" w:afterLines="0" w:line="240" w:lineRule="auto"/>
        <w:jc w:val="both"/>
        <w:rPr>
          <w:b w:val="0"/>
          <w:color w:val="auto"/>
          <w:sz w:val="28"/>
          <w:szCs w:val="28"/>
          <w:highlight w:val="none"/>
        </w:rPr>
      </w:pPr>
      <w:bookmarkStart w:id="181" w:name="_Toc386121763"/>
      <w:bookmarkStart w:id="182" w:name="_Toc386122460"/>
      <w:bookmarkStart w:id="183" w:name="_Toc25896"/>
      <w:bookmarkStart w:id="184" w:name="_Toc13566"/>
    </w:p>
    <w:p w14:paraId="2756F018">
      <w:pPr>
        <w:rPr>
          <w:color w:val="auto"/>
          <w:sz w:val="28"/>
          <w:szCs w:val="28"/>
          <w:highlight w:val="none"/>
        </w:rPr>
      </w:pPr>
    </w:p>
    <w:p w14:paraId="4A0345E1">
      <w:pPr>
        <w:rPr>
          <w:color w:val="auto"/>
          <w:sz w:val="28"/>
          <w:szCs w:val="28"/>
          <w:highlight w:val="none"/>
        </w:rPr>
      </w:pPr>
    </w:p>
    <w:p w14:paraId="5CD2EA09">
      <w:pPr>
        <w:rPr>
          <w:color w:val="auto"/>
          <w:sz w:val="28"/>
          <w:szCs w:val="28"/>
          <w:highlight w:val="none"/>
        </w:rPr>
      </w:pPr>
      <w:r>
        <w:rPr>
          <w:rFonts w:hint="eastAsia"/>
          <w:color w:val="auto"/>
          <w:sz w:val="28"/>
          <w:szCs w:val="28"/>
          <w:highlight w:val="none"/>
        </w:rPr>
        <w:br w:type="page"/>
      </w:r>
    </w:p>
    <w:p w14:paraId="05615D2A">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0"/>
      <w:bookmarkEnd w:id="171"/>
      <w:bookmarkEnd w:id="172"/>
      <w:bookmarkEnd w:id="181"/>
      <w:bookmarkEnd w:id="182"/>
      <w:r>
        <w:rPr>
          <w:rFonts w:hint="eastAsia"/>
          <w:b w:val="0"/>
          <w:color w:val="auto"/>
          <w:sz w:val="28"/>
          <w:szCs w:val="28"/>
          <w:highlight w:val="none"/>
        </w:rPr>
        <w:t>主要施工机械设备表</w:t>
      </w:r>
      <w:bookmarkEnd w:id="183"/>
      <w:bookmarkEnd w:id="184"/>
    </w:p>
    <w:p w14:paraId="3BEEB22A">
      <w:pPr>
        <w:rPr>
          <w:rFonts w:ascii="黑体" w:eastAsia="黑体"/>
          <w:color w:val="auto"/>
          <w:sz w:val="28"/>
          <w:szCs w:val="28"/>
          <w:highlight w:val="none"/>
        </w:rPr>
      </w:pPr>
    </w:p>
    <w:p w14:paraId="2267D627">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临海市上盘镇新塘岸村村民活动中心（二期）</w:t>
      </w:r>
    </w:p>
    <w:p w14:paraId="1B511FCC">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838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BE72DCD">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3D7E9DCD">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1F4CCBD4">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1AE6A407">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4FA67B17">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410C08C0">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70D4AAB6">
            <w:pPr>
              <w:jc w:val="center"/>
              <w:rPr>
                <w:rFonts w:ascii="宋体" w:hAnsi="宋体" w:eastAsia="宋体"/>
                <w:color w:val="auto"/>
                <w:highlight w:val="none"/>
              </w:rPr>
            </w:pPr>
            <w:r>
              <w:rPr>
                <w:rFonts w:hint="eastAsia" w:ascii="宋体" w:hAnsi="宋体" w:eastAsia="宋体"/>
                <w:color w:val="auto"/>
                <w:highlight w:val="none"/>
              </w:rPr>
              <w:t>备注</w:t>
            </w:r>
          </w:p>
        </w:tc>
      </w:tr>
      <w:tr w14:paraId="2DEA2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9593B12">
            <w:pPr>
              <w:rPr>
                <w:rFonts w:ascii="宋体" w:hAnsi="宋体" w:eastAsia="宋体"/>
                <w:color w:val="auto"/>
                <w:highlight w:val="none"/>
              </w:rPr>
            </w:pPr>
          </w:p>
        </w:tc>
        <w:tc>
          <w:tcPr>
            <w:tcW w:w="1525" w:type="dxa"/>
          </w:tcPr>
          <w:p w14:paraId="77607307">
            <w:pPr>
              <w:rPr>
                <w:rFonts w:ascii="宋体" w:hAnsi="宋体" w:eastAsia="宋体"/>
                <w:color w:val="auto"/>
                <w:highlight w:val="none"/>
              </w:rPr>
            </w:pPr>
          </w:p>
        </w:tc>
        <w:tc>
          <w:tcPr>
            <w:tcW w:w="1635" w:type="dxa"/>
          </w:tcPr>
          <w:p w14:paraId="37CD6BFA">
            <w:pPr>
              <w:rPr>
                <w:rFonts w:ascii="宋体" w:hAnsi="宋体" w:eastAsia="宋体"/>
                <w:color w:val="auto"/>
                <w:highlight w:val="none"/>
              </w:rPr>
            </w:pPr>
          </w:p>
        </w:tc>
        <w:tc>
          <w:tcPr>
            <w:tcW w:w="859" w:type="dxa"/>
          </w:tcPr>
          <w:p w14:paraId="4378DE1E">
            <w:pPr>
              <w:rPr>
                <w:rFonts w:ascii="宋体" w:hAnsi="宋体" w:eastAsia="宋体"/>
                <w:color w:val="auto"/>
                <w:highlight w:val="none"/>
              </w:rPr>
            </w:pPr>
          </w:p>
        </w:tc>
        <w:tc>
          <w:tcPr>
            <w:tcW w:w="1582" w:type="dxa"/>
          </w:tcPr>
          <w:p w14:paraId="43D4B6A9">
            <w:pPr>
              <w:rPr>
                <w:rFonts w:ascii="宋体" w:hAnsi="宋体" w:eastAsia="宋体"/>
                <w:color w:val="auto"/>
                <w:highlight w:val="none"/>
              </w:rPr>
            </w:pPr>
          </w:p>
        </w:tc>
        <w:tc>
          <w:tcPr>
            <w:tcW w:w="1582" w:type="dxa"/>
          </w:tcPr>
          <w:p w14:paraId="124A3DF9">
            <w:pPr>
              <w:rPr>
                <w:rFonts w:ascii="宋体" w:hAnsi="宋体" w:eastAsia="宋体"/>
                <w:color w:val="auto"/>
                <w:highlight w:val="none"/>
              </w:rPr>
            </w:pPr>
          </w:p>
        </w:tc>
        <w:tc>
          <w:tcPr>
            <w:tcW w:w="1437" w:type="dxa"/>
          </w:tcPr>
          <w:p w14:paraId="1D4AC8FB">
            <w:pPr>
              <w:rPr>
                <w:rFonts w:ascii="宋体" w:hAnsi="宋体" w:eastAsia="宋体"/>
                <w:color w:val="auto"/>
                <w:highlight w:val="none"/>
              </w:rPr>
            </w:pPr>
          </w:p>
        </w:tc>
      </w:tr>
      <w:tr w14:paraId="55C55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E8A97E3">
            <w:pPr>
              <w:rPr>
                <w:rFonts w:ascii="宋体" w:hAnsi="宋体" w:eastAsia="宋体"/>
                <w:color w:val="auto"/>
                <w:highlight w:val="none"/>
              </w:rPr>
            </w:pPr>
          </w:p>
        </w:tc>
        <w:tc>
          <w:tcPr>
            <w:tcW w:w="1525" w:type="dxa"/>
          </w:tcPr>
          <w:p w14:paraId="1661DB2F">
            <w:pPr>
              <w:rPr>
                <w:rFonts w:ascii="宋体" w:hAnsi="宋体" w:eastAsia="宋体"/>
                <w:color w:val="auto"/>
                <w:highlight w:val="none"/>
              </w:rPr>
            </w:pPr>
          </w:p>
        </w:tc>
        <w:tc>
          <w:tcPr>
            <w:tcW w:w="1635" w:type="dxa"/>
          </w:tcPr>
          <w:p w14:paraId="0BE74B93">
            <w:pPr>
              <w:rPr>
                <w:rFonts w:ascii="宋体" w:hAnsi="宋体" w:eastAsia="宋体"/>
                <w:color w:val="auto"/>
                <w:highlight w:val="none"/>
              </w:rPr>
            </w:pPr>
          </w:p>
        </w:tc>
        <w:tc>
          <w:tcPr>
            <w:tcW w:w="859" w:type="dxa"/>
          </w:tcPr>
          <w:p w14:paraId="40A03286">
            <w:pPr>
              <w:rPr>
                <w:rFonts w:ascii="宋体" w:hAnsi="宋体" w:eastAsia="宋体"/>
                <w:color w:val="auto"/>
                <w:highlight w:val="none"/>
              </w:rPr>
            </w:pPr>
          </w:p>
        </w:tc>
        <w:tc>
          <w:tcPr>
            <w:tcW w:w="1582" w:type="dxa"/>
          </w:tcPr>
          <w:p w14:paraId="74940F9E">
            <w:pPr>
              <w:rPr>
                <w:rFonts w:ascii="宋体" w:hAnsi="宋体" w:eastAsia="宋体"/>
                <w:color w:val="auto"/>
                <w:highlight w:val="none"/>
              </w:rPr>
            </w:pPr>
          </w:p>
        </w:tc>
        <w:tc>
          <w:tcPr>
            <w:tcW w:w="1582" w:type="dxa"/>
          </w:tcPr>
          <w:p w14:paraId="4AF35D8F">
            <w:pPr>
              <w:rPr>
                <w:rFonts w:ascii="宋体" w:hAnsi="宋体" w:eastAsia="宋体"/>
                <w:color w:val="auto"/>
                <w:highlight w:val="none"/>
              </w:rPr>
            </w:pPr>
          </w:p>
        </w:tc>
        <w:tc>
          <w:tcPr>
            <w:tcW w:w="1437" w:type="dxa"/>
          </w:tcPr>
          <w:p w14:paraId="3C2299B5">
            <w:pPr>
              <w:rPr>
                <w:rFonts w:ascii="宋体" w:hAnsi="宋体" w:eastAsia="宋体"/>
                <w:color w:val="auto"/>
                <w:highlight w:val="none"/>
              </w:rPr>
            </w:pPr>
          </w:p>
        </w:tc>
      </w:tr>
      <w:tr w14:paraId="034A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1EC4687">
            <w:pPr>
              <w:rPr>
                <w:rFonts w:ascii="宋体" w:hAnsi="宋体" w:eastAsia="宋体"/>
                <w:color w:val="auto"/>
                <w:highlight w:val="none"/>
              </w:rPr>
            </w:pPr>
          </w:p>
        </w:tc>
        <w:tc>
          <w:tcPr>
            <w:tcW w:w="1525" w:type="dxa"/>
          </w:tcPr>
          <w:p w14:paraId="02C6B870">
            <w:pPr>
              <w:rPr>
                <w:rFonts w:ascii="宋体" w:hAnsi="宋体" w:eastAsia="宋体"/>
                <w:color w:val="auto"/>
                <w:highlight w:val="none"/>
              </w:rPr>
            </w:pPr>
          </w:p>
        </w:tc>
        <w:tc>
          <w:tcPr>
            <w:tcW w:w="1635" w:type="dxa"/>
          </w:tcPr>
          <w:p w14:paraId="1DAF49D6">
            <w:pPr>
              <w:rPr>
                <w:rFonts w:ascii="宋体" w:hAnsi="宋体" w:eastAsia="宋体"/>
                <w:color w:val="auto"/>
                <w:highlight w:val="none"/>
              </w:rPr>
            </w:pPr>
          </w:p>
        </w:tc>
        <w:tc>
          <w:tcPr>
            <w:tcW w:w="859" w:type="dxa"/>
          </w:tcPr>
          <w:p w14:paraId="016FE004">
            <w:pPr>
              <w:rPr>
                <w:rFonts w:ascii="宋体" w:hAnsi="宋体" w:eastAsia="宋体"/>
                <w:color w:val="auto"/>
                <w:highlight w:val="none"/>
              </w:rPr>
            </w:pPr>
          </w:p>
        </w:tc>
        <w:tc>
          <w:tcPr>
            <w:tcW w:w="1582" w:type="dxa"/>
          </w:tcPr>
          <w:p w14:paraId="0B906CC6">
            <w:pPr>
              <w:rPr>
                <w:rFonts w:ascii="宋体" w:hAnsi="宋体" w:eastAsia="宋体"/>
                <w:color w:val="auto"/>
                <w:highlight w:val="none"/>
              </w:rPr>
            </w:pPr>
          </w:p>
        </w:tc>
        <w:tc>
          <w:tcPr>
            <w:tcW w:w="1582" w:type="dxa"/>
          </w:tcPr>
          <w:p w14:paraId="090389E1">
            <w:pPr>
              <w:rPr>
                <w:rFonts w:ascii="宋体" w:hAnsi="宋体" w:eastAsia="宋体"/>
                <w:color w:val="auto"/>
                <w:highlight w:val="none"/>
              </w:rPr>
            </w:pPr>
          </w:p>
        </w:tc>
        <w:tc>
          <w:tcPr>
            <w:tcW w:w="1437" w:type="dxa"/>
          </w:tcPr>
          <w:p w14:paraId="35E54AAB">
            <w:pPr>
              <w:rPr>
                <w:rFonts w:ascii="宋体" w:hAnsi="宋体" w:eastAsia="宋体"/>
                <w:color w:val="auto"/>
                <w:highlight w:val="none"/>
              </w:rPr>
            </w:pPr>
          </w:p>
        </w:tc>
      </w:tr>
      <w:tr w14:paraId="62F6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A996352">
            <w:pPr>
              <w:rPr>
                <w:rFonts w:ascii="宋体" w:hAnsi="宋体" w:eastAsia="宋体"/>
                <w:color w:val="auto"/>
                <w:highlight w:val="none"/>
              </w:rPr>
            </w:pPr>
          </w:p>
        </w:tc>
        <w:tc>
          <w:tcPr>
            <w:tcW w:w="1525" w:type="dxa"/>
          </w:tcPr>
          <w:p w14:paraId="06CFEAC3">
            <w:pPr>
              <w:rPr>
                <w:rFonts w:ascii="宋体" w:hAnsi="宋体" w:eastAsia="宋体"/>
                <w:color w:val="auto"/>
                <w:highlight w:val="none"/>
              </w:rPr>
            </w:pPr>
          </w:p>
        </w:tc>
        <w:tc>
          <w:tcPr>
            <w:tcW w:w="1635" w:type="dxa"/>
          </w:tcPr>
          <w:p w14:paraId="7C7AE193">
            <w:pPr>
              <w:rPr>
                <w:rFonts w:ascii="宋体" w:hAnsi="宋体" w:eastAsia="宋体"/>
                <w:color w:val="auto"/>
                <w:highlight w:val="none"/>
              </w:rPr>
            </w:pPr>
          </w:p>
        </w:tc>
        <w:tc>
          <w:tcPr>
            <w:tcW w:w="859" w:type="dxa"/>
          </w:tcPr>
          <w:p w14:paraId="6F9B3231">
            <w:pPr>
              <w:rPr>
                <w:rFonts w:ascii="宋体" w:hAnsi="宋体" w:eastAsia="宋体"/>
                <w:color w:val="auto"/>
                <w:highlight w:val="none"/>
              </w:rPr>
            </w:pPr>
          </w:p>
        </w:tc>
        <w:tc>
          <w:tcPr>
            <w:tcW w:w="1582" w:type="dxa"/>
          </w:tcPr>
          <w:p w14:paraId="10FC3A8E">
            <w:pPr>
              <w:rPr>
                <w:rFonts w:ascii="宋体" w:hAnsi="宋体" w:eastAsia="宋体"/>
                <w:color w:val="auto"/>
                <w:highlight w:val="none"/>
              </w:rPr>
            </w:pPr>
          </w:p>
        </w:tc>
        <w:tc>
          <w:tcPr>
            <w:tcW w:w="1582" w:type="dxa"/>
          </w:tcPr>
          <w:p w14:paraId="0B3BDFEE">
            <w:pPr>
              <w:rPr>
                <w:rFonts w:ascii="宋体" w:hAnsi="宋体" w:eastAsia="宋体"/>
                <w:color w:val="auto"/>
                <w:highlight w:val="none"/>
              </w:rPr>
            </w:pPr>
          </w:p>
        </w:tc>
        <w:tc>
          <w:tcPr>
            <w:tcW w:w="1437" w:type="dxa"/>
          </w:tcPr>
          <w:p w14:paraId="5946990A">
            <w:pPr>
              <w:rPr>
                <w:rFonts w:ascii="宋体" w:hAnsi="宋体" w:eastAsia="宋体"/>
                <w:color w:val="auto"/>
                <w:highlight w:val="none"/>
              </w:rPr>
            </w:pPr>
          </w:p>
        </w:tc>
      </w:tr>
      <w:tr w14:paraId="7478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3A23FE">
            <w:pPr>
              <w:rPr>
                <w:rFonts w:ascii="宋体" w:hAnsi="宋体" w:eastAsia="宋体"/>
                <w:color w:val="auto"/>
                <w:highlight w:val="none"/>
              </w:rPr>
            </w:pPr>
          </w:p>
        </w:tc>
        <w:tc>
          <w:tcPr>
            <w:tcW w:w="1525" w:type="dxa"/>
          </w:tcPr>
          <w:p w14:paraId="129371C7">
            <w:pPr>
              <w:rPr>
                <w:rFonts w:ascii="宋体" w:hAnsi="宋体" w:eastAsia="宋体"/>
                <w:color w:val="auto"/>
                <w:highlight w:val="none"/>
              </w:rPr>
            </w:pPr>
          </w:p>
        </w:tc>
        <w:tc>
          <w:tcPr>
            <w:tcW w:w="1635" w:type="dxa"/>
          </w:tcPr>
          <w:p w14:paraId="206E8730">
            <w:pPr>
              <w:rPr>
                <w:rFonts w:ascii="宋体" w:hAnsi="宋体" w:eastAsia="宋体"/>
                <w:color w:val="auto"/>
                <w:highlight w:val="none"/>
              </w:rPr>
            </w:pPr>
          </w:p>
        </w:tc>
        <w:tc>
          <w:tcPr>
            <w:tcW w:w="859" w:type="dxa"/>
          </w:tcPr>
          <w:p w14:paraId="477E9327">
            <w:pPr>
              <w:rPr>
                <w:rFonts w:ascii="宋体" w:hAnsi="宋体" w:eastAsia="宋体"/>
                <w:color w:val="auto"/>
                <w:highlight w:val="none"/>
              </w:rPr>
            </w:pPr>
          </w:p>
        </w:tc>
        <w:tc>
          <w:tcPr>
            <w:tcW w:w="1582" w:type="dxa"/>
          </w:tcPr>
          <w:p w14:paraId="47214C9A">
            <w:pPr>
              <w:rPr>
                <w:rFonts w:ascii="宋体" w:hAnsi="宋体" w:eastAsia="宋体"/>
                <w:color w:val="auto"/>
                <w:highlight w:val="none"/>
              </w:rPr>
            </w:pPr>
          </w:p>
        </w:tc>
        <w:tc>
          <w:tcPr>
            <w:tcW w:w="1582" w:type="dxa"/>
          </w:tcPr>
          <w:p w14:paraId="1081B137">
            <w:pPr>
              <w:rPr>
                <w:rFonts w:ascii="宋体" w:hAnsi="宋体" w:eastAsia="宋体"/>
                <w:color w:val="auto"/>
                <w:highlight w:val="none"/>
              </w:rPr>
            </w:pPr>
          </w:p>
        </w:tc>
        <w:tc>
          <w:tcPr>
            <w:tcW w:w="1437" w:type="dxa"/>
          </w:tcPr>
          <w:p w14:paraId="1D3A8B1D">
            <w:pPr>
              <w:rPr>
                <w:rFonts w:ascii="宋体" w:hAnsi="宋体" w:eastAsia="宋体"/>
                <w:color w:val="auto"/>
                <w:highlight w:val="none"/>
              </w:rPr>
            </w:pPr>
          </w:p>
        </w:tc>
      </w:tr>
      <w:tr w14:paraId="43C7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AC9C89A">
            <w:pPr>
              <w:rPr>
                <w:rFonts w:ascii="宋体" w:hAnsi="宋体" w:eastAsia="宋体"/>
                <w:color w:val="auto"/>
                <w:highlight w:val="none"/>
              </w:rPr>
            </w:pPr>
          </w:p>
        </w:tc>
        <w:tc>
          <w:tcPr>
            <w:tcW w:w="1525" w:type="dxa"/>
          </w:tcPr>
          <w:p w14:paraId="3288D69B">
            <w:pPr>
              <w:rPr>
                <w:rFonts w:ascii="宋体" w:hAnsi="宋体" w:eastAsia="宋体"/>
                <w:color w:val="auto"/>
                <w:highlight w:val="none"/>
              </w:rPr>
            </w:pPr>
          </w:p>
        </w:tc>
        <w:tc>
          <w:tcPr>
            <w:tcW w:w="1635" w:type="dxa"/>
          </w:tcPr>
          <w:p w14:paraId="3CCBE43F">
            <w:pPr>
              <w:rPr>
                <w:rFonts w:ascii="宋体" w:hAnsi="宋体" w:eastAsia="宋体"/>
                <w:color w:val="auto"/>
                <w:highlight w:val="none"/>
              </w:rPr>
            </w:pPr>
          </w:p>
        </w:tc>
        <w:tc>
          <w:tcPr>
            <w:tcW w:w="859" w:type="dxa"/>
          </w:tcPr>
          <w:p w14:paraId="7EDB52B8">
            <w:pPr>
              <w:rPr>
                <w:rFonts w:ascii="宋体" w:hAnsi="宋体" w:eastAsia="宋体"/>
                <w:color w:val="auto"/>
                <w:highlight w:val="none"/>
              </w:rPr>
            </w:pPr>
          </w:p>
        </w:tc>
        <w:tc>
          <w:tcPr>
            <w:tcW w:w="1582" w:type="dxa"/>
          </w:tcPr>
          <w:p w14:paraId="3981B56D">
            <w:pPr>
              <w:rPr>
                <w:rFonts w:ascii="宋体" w:hAnsi="宋体" w:eastAsia="宋体"/>
                <w:color w:val="auto"/>
                <w:highlight w:val="none"/>
              </w:rPr>
            </w:pPr>
          </w:p>
        </w:tc>
        <w:tc>
          <w:tcPr>
            <w:tcW w:w="1582" w:type="dxa"/>
          </w:tcPr>
          <w:p w14:paraId="44AE9FF6">
            <w:pPr>
              <w:rPr>
                <w:rFonts w:ascii="宋体" w:hAnsi="宋体" w:eastAsia="宋体"/>
                <w:color w:val="auto"/>
                <w:highlight w:val="none"/>
              </w:rPr>
            </w:pPr>
          </w:p>
        </w:tc>
        <w:tc>
          <w:tcPr>
            <w:tcW w:w="1437" w:type="dxa"/>
          </w:tcPr>
          <w:p w14:paraId="11DDCEF7">
            <w:pPr>
              <w:rPr>
                <w:rFonts w:ascii="宋体" w:hAnsi="宋体" w:eastAsia="宋体"/>
                <w:color w:val="auto"/>
                <w:highlight w:val="none"/>
              </w:rPr>
            </w:pPr>
          </w:p>
        </w:tc>
      </w:tr>
      <w:tr w14:paraId="538FB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B327D7">
            <w:pPr>
              <w:rPr>
                <w:rFonts w:ascii="宋体" w:hAnsi="宋体" w:eastAsia="宋体"/>
                <w:color w:val="auto"/>
                <w:highlight w:val="none"/>
              </w:rPr>
            </w:pPr>
          </w:p>
        </w:tc>
        <w:tc>
          <w:tcPr>
            <w:tcW w:w="1525" w:type="dxa"/>
          </w:tcPr>
          <w:p w14:paraId="67139B5B">
            <w:pPr>
              <w:rPr>
                <w:rFonts w:ascii="宋体" w:hAnsi="宋体" w:eastAsia="宋体"/>
                <w:color w:val="auto"/>
                <w:highlight w:val="none"/>
              </w:rPr>
            </w:pPr>
          </w:p>
        </w:tc>
        <w:tc>
          <w:tcPr>
            <w:tcW w:w="1635" w:type="dxa"/>
          </w:tcPr>
          <w:p w14:paraId="6727CFC9">
            <w:pPr>
              <w:rPr>
                <w:rFonts w:ascii="宋体" w:hAnsi="宋体" w:eastAsia="宋体"/>
                <w:color w:val="auto"/>
                <w:highlight w:val="none"/>
              </w:rPr>
            </w:pPr>
          </w:p>
        </w:tc>
        <w:tc>
          <w:tcPr>
            <w:tcW w:w="859" w:type="dxa"/>
          </w:tcPr>
          <w:p w14:paraId="2A683C2C">
            <w:pPr>
              <w:rPr>
                <w:rFonts w:ascii="宋体" w:hAnsi="宋体" w:eastAsia="宋体"/>
                <w:color w:val="auto"/>
                <w:highlight w:val="none"/>
              </w:rPr>
            </w:pPr>
          </w:p>
        </w:tc>
        <w:tc>
          <w:tcPr>
            <w:tcW w:w="1582" w:type="dxa"/>
          </w:tcPr>
          <w:p w14:paraId="39DCB71A">
            <w:pPr>
              <w:rPr>
                <w:rFonts w:ascii="宋体" w:hAnsi="宋体" w:eastAsia="宋体"/>
                <w:color w:val="auto"/>
                <w:highlight w:val="none"/>
              </w:rPr>
            </w:pPr>
          </w:p>
        </w:tc>
        <w:tc>
          <w:tcPr>
            <w:tcW w:w="1582" w:type="dxa"/>
          </w:tcPr>
          <w:p w14:paraId="5A75D683">
            <w:pPr>
              <w:rPr>
                <w:rFonts w:ascii="宋体" w:hAnsi="宋体" w:eastAsia="宋体"/>
                <w:color w:val="auto"/>
                <w:highlight w:val="none"/>
              </w:rPr>
            </w:pPr>
          </w:p>
        </w:tc>
        <w:tc>
          <w:tcPr>
            <w:tcW w:w="1437" w:type="dxa"/>
          </w:tcPr>
          <w:p w14:paraId="0093789F">
            <w:pPr>
              <w:rPr>
                <w:rFonts w:ascii="宋体" w:hAnsi="宋体" w:eastAsia="宋体"/>
                <w:color w:val="auto"/>
                <w:highlight w:val="none"/>
              </w:rPr>
            </w:pPr>
          </w:p>
        </w:tc>
      </w:tr>
      <w:tr w14:paraId="06C7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76A16">
            <w:pPr>
              <w:rPr>
                <w:rFonts w:ascii="宋体" w:hAnsi="宋体" w:eastAsia="宋体"/>
                <w:color w:val="auto"/>
                <w:highlight w:val="none"/>
              </w:rPr>
            </w:pPr>
          </w:p>
        </w:tc>
        <w:tc>
          <w:tcPr>
            <w:tcW w:w="1525" w:type="dxa"/>
          </w:tcPr>
          <w:p w14:paraId="62E6201A">
            <w:pPr>
              <w:rPr>
                <w:rFonts w:ascii="宋体" w:hAnsi="宋体" w:eastAsia="宋体"/>
                <w:color w:val="auto"/>
                <w:highlight w:val="none"/>
              </w:rPr>
            </w:pPr>
          </w:p>
        </w:tc>
        <w:tc>
          <w:tcPr>
            <w:tcW w:w="1635" w:type="dxa"/>
          </w:tcPr>
          <w:p w14:paraId="09F3D3C8">
            <w:pPr>
              <w:rPr>
                <w:rFonts w:ascii="宋体" w:hAnsi="宋体" w:eastAsia="宋体"/>
                <w:color w:val="auto"/>
                <w:highlight w:val="none"/>
              </w:rPr>
            </w:pPr>
          </w:p>
        </w:tc>
        <w:tc>
          <w:tcPr>
            <w:tcW w:w="859" w:type="dxa"/>
          </w:tcPr>
          <w:p w14:paraId="13F05C91">
            <w:pPr>
              <w:rPr>
                <w:rFonts w:ascii="宋体" w:hAnsi="宋体" w:eastAsia="宋体"/>
                <w:color w:val="auto"/>
                <w:highlight w:val="none"/>
              </w:rPr>
            </w:pPr>
          </w:p>
        </w:tc>
        <w:tc>
          <w:tcPr>
            <w:tcW w:w="1582" w:type="dxa"/>
          </w:tcPr>
          <w:p w14:paraId="7F8E2F06">
            <w:pPr>
              <w:rPr>
                <w:rFonts w:ascii="宋体" w:hAnsi="宋体" w:eastAsia="宋体"/>
                <w:color w:val="auto"/>
                <w:highlight w:val="none"/>
              </w:rPr>
            </w:pPr>
          </w:p>
        </w:tc>
        <w:tc>
          <w:tcPr>
            <w:tcW w:w="1582" w:type="dxa"/>
          </w:tcPr>
          <w:p w14:paraId="0CB798F8">
            <w:pPr>
              <w:rPr>
                <w:rFonts w:ascii="宋体" w:hAnsi="宋体" w:eastAsia="宋体"/>
                <w:color w:val="auto"/>
                <w:highlight w:val="none"/>
              </w:rPr>
            </w:pPr>
          </w:p>
        </w:tc>
        <w:tc>
          <w:tcPr>
            <w:tcW w:w="1437" w:type="dxa"/>
          </w:tcPr>
          <w:p w14:paraId="01C46F88">
            <w:pPr>
              <w:rPr>
                <w:rFonts w:ascii="宋体" w:hAnsi="宋体" w:eastAsia="宋体"/>
                <w:color w:val="auto"/>
                <w:highlight w:val="none"/>
              </w:rPr>
            </w:pPr>
          </w:p>
        </w:tc>
      </w:tr>
      <w:tr w14:paraId="55464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CA08B4">
            <w:pPr>
              <w:rPr>
                <w:rFonts w:ascii="宋体" w:hAnsi="宋体" w:eastAsia="宋体"/>
                <w:color w:val="auto"/>
                <w:highlight w:val="none"/>
              </w:rPr>
            </w:pPr>
          </w:p>
        </w:tc>
        <w:tc>
          <w:tcPr>
            <w:tcW w:w="1525" w:type="dxa"/>
          </w:tcPr>
          <w:p w14:paraId="2D025AC6">
            <w:pPr>
              <w:rPr>
                <w:rFonts w:ascii="宋体" w:hAnsi="宋体" w:eastAsia="宋体"/>
                <w:color w:val="auto"/>
                <w:highlight w:val="none"/>
              </w:rPr>
            </w:pPr>
          </w:p>
        </w:tc>
        <w:tc>
          <w:tcPr>
            <w:tcW w:w="1635" w:type="dxa"/>
          </w:tcPr>
          <w:p w14:paraId="7EC1C0C8">
            <w:pPr>
              <w:rPr>
                <w:rFonts w:ascii="宋体" w:hAnsi="宋体" w:eastAsia="宋体"/>
                <w:color w:val="auto"/>
                <w:highlight w:val="none"/>
              </w:rPr>
            </w:pPr>
          </w:p>
        </w:tc>
        <w:tc>
          <w:tcPr>
            <w:tcW w:w="859" w:type="dxa"/>
          </w:tcPr>
          <w:p w14:paraId="36578639">
            <w:pPr>
              <w:rPr>
                <w:rFonts w:ascii="宋体" w:hAnsi="宋体" w:eastAsia="宋体"/>
                <w:color w:val="auto"/>
                <w:highlight w:val="none"/>
              </w:rPr>
            </w:pPr>
          </w:p>
        </w:tc>
        <w:tc>
          <w:tcPr>
            <w:tcW w:w="1582" w:type="dxa"/>
          </w:tcPr>
          <w:p w14:paraId="13C83EDA">
            <w:pPr>
              <w:rPr>
                <w:rFonts w:ascii="宋体" w:hAnsi="宋体" w:eastAsia="宋体"/>
                <w:color w:val="auto"/>
                <w:highlight w:val="none"/>
              </w:rPr>
            </w:pPr>
          </w:p>
        </w:tc>
        <w:tc>
          <w:tcPr>
            <w:tcW w:w="1582" w:type="dxa"/>
          </w:tcPr>
          <w:p w14:paraId="058D0114">
            <w:pPr>
              <w:rPr>
                <w:rFonts w:ascii="宋体" w:hAnsi="宋体" w:eastAsia="宋体"/>
                <w:color w:val="auto"/>
                <w:highlight w:val="none"/>
              </w:rPr>
            </w:pPr>
          </w:p>
        </w:tc>
        <w:tc>
          <w:tcPr>
            <w:tcW w:w="1437" w:type="dxa"/>
          </w:tcPr>
          <w:p w14:paraId="62A3D682">
            <w:pPr>
              <w:rPr>
                <w:rFonts w:ascii="宋体" w:hAnsi="宋体" w:eastAsia="宋体"/>
                <w:color w:val="auto"/>
                <w:highlight w:val="none"/>
              </w:rPr>
            </w:pPr>
          </w:p>
        </w:tc>
      </w:tr>
      <w:tr w14:paraId="7FB6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1AE7FC4">
            <w:pPr>
              <w:rPr>
                <w:rFonts w:ascii="宋体" w:hAnsi="宋体" w:eastAsia="宋体"/>
                <w:color w:val="auto"/>
                <w:highlight w:val="none"/>
              </w:rPr>
            </w:pPr>
          </w:p>
        </w:tc>
        <w:tc>
          <w:tcPr>
            <w:tcW w:w="1525" w:type="dxa"/>
          </w:tcPr>
          <w:p w14:paraId="4AA13D30">
            <w:pPr>
              <w:rPr>
                <w:rFonts w:ascii="宋体" w:hAnsi="宋体" w:eastAsia="宋体"/>
                <w:color w:val="auto"/>
                <w:highlight w:val="none"/>
              </w:rPr>
            </w:pPr>
          </w:p>
        </w:tc>
        <w:tc>
          <w:tcPr>
            <w:tcW w:w="1635" w:type="dxa"/>
          </w:tcPr>
          <w:p w14:paraId="49A49F14">
            <w:pPr>
              <w:rPr>
                <w:rFonts w:ascii="宋体" w:hAnsi="宋体" w:eastAsia="宋体"/>
                <w:color w:val="auto"/>
                <w:highlight w:val="none"/>
              </w:rPr>
            </w:pPr>
          </w:p>
        </w:tc>
        <w:tc>
          <w:tcPr>
            <w:tcW w:w="859" w:type="dxa"/>
          </w:tcPr>
          <w:p w14:paraId="36818E53">
            <w:pPr>
              <w:rPr>
                <w:rFonts w:ascii="宋体" w:hAnsi="宋体" w:eastAsia="宋体"/>
                <w:color w:val="auto"/>
                <w:highlight w:val="none"/>
              </w:rPr>
            </w:pPr>
          </w:p>
        </w:tc>
        <w:tc>
          <w:tcPr>
            <w:tcW w:w="1582" w:type="dxa"/>
          </w:tcPr>
          <w:p w14:paraId="6B5EE123">
            <w:pPr>
              <w:rPr>
                <w:rFonts w:ascii="宋体" w:hAnsi="宋体" w:eastAsia="宋体"/>
                <w:color w:val="auto"/>
                <w:highlight w:val="none"/>
              </w:rPr>
            </w:pPr>
          </w:p>
        </w:tc>
        <w:tc>
          <w:tcPr>
            <w:tcW w:w="1582" w:type="dxa"/>
          </w:tcPr>
          <w:p w14:paraId="02C725A3">
            <w:pPr>
              <w:rPr>
                <w:rFonts w:ascii="宋体" w:hAnsi="宋体" w:eastAsia="宋体"/>
                <w:color w:val="auto"/>
                <w:highlight w:val="none"/>
              </w:rPr>
            </w:pPr>
          </w:p>
        </w:tc>
        <w:tc>
          <w:tcPr>
            <w:tcW w:w="1437" w:type="dxa"/>
          </w:tcPr>
          <w:p w14:paraId="27D2E902">
            <w:pPr>
              <w:rPr>
                <w:rFonts w:ascii="宋体" w:hAnsi="宋体" w:eastAsia="宋体"/>
                <w:color w:val="auto"/>
                <w:highlight w:val="none"/>
              </w:rPr>
            </w:pPr>
          </w:p>
        </w:tc>
      </w:tr>
      <w:tr w14:paraId="73FF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D08089">
            <w:pPr>
              <w:rPr>
                <w:rFonts w:ascii="宋体" w:hAnsi="宋体" w:eastAsia="宋体"/>
                <w:color w:val="auto"/>
                <w:highlight w:val="none"/>
              </w:rPr>
            </w:pPr>
          </w:p>
        </w:tc>
        <w:tc>
          <w:tcPr>
            <w:tcW w:w="1525" w:type="dxa"/>
          </w:tcPr>
          <w:p w14:paraId="6440BD7E">
            <w:pPr>
              <w:rPr>
                <w:rFonts w:ascii="宋体" w:hAnsi="宋体" w:eastAsia="宋体"/>
                <w:color w:val="auto"/>
                <w:highlight w:val="none"/>
              </w:rPr>
            </w:pPr>
          </w:p>
        </w:tc>
        <w:tc>
          <w:tcPr>
            <w:tcW w:w="1635" w:type="dxa"/>
          </w:tcPr>
          <w:p w14:paraId="14B45D4D">
            <w:pPr>
              <w:rPr>
                <w:rFonts w:ascii="宋体" w:hAnsi="宋体" w:eastAsia="宋体"/>
                <w:color w:val="auto"/>
                <w:highlight w:val="none"/>
              </w:rPr>
            </w:pPr>
          </w:p>
        </w:tc>
        <w:tc>
          <w:tcPr>
            <w:tcW w:w="859" w:type="dxa"/>
          </w:tcPr>
          <w:p w14:paraId="33ACC8F7">
            <w:pPr>
              <w:rPr>
                <w:rFonts w:ascii="宋体" w:hAnsi="宋体" w:eastAsia="宋体"/>
                <w:color w:val="auto"/>
                <w:highlight w:val="none"/>
              </w:rPr>
            </w:pPr>
          </w:p>
        </w:tc>
        <w:tc>
          <w:tcPr>
            <w:tcW w:w="1582" w:type="dxa"/>
          </w:tcPr>
          <w:p w14:paraId="3ED6BCBA">
            <w:pPr>
              <w:rPr>
                <w:rFonts w:ascii="宋体" w:hAnsi="宋体" w:eastAsia="宋体"/>
                <w:color w:val="auto"/>
                <w:highlight w:val="none"/>
              </w:rPr>
            </w:pPr>
          </w:p>
        </w:tc>
        <w:tc>
          <w:tcPr>
            <w:tcW w:w="1582" w:type="dxa"/>
          </w:tcPr>
          <w:p w14:paraId="4F2584BE">
            <w:pPr>
              <w:rPr>
                <w:rFonts w:ascii="宋体" w:hAnsi="宋体" w:eastAsia="宋体"/>
                <w:color w:val="auto"/>
                <w:highlight w:val="none"/>
              </w:rPr>
            </w:pPr>
          </w:p>
        </w:tc>
        <w:tc>
          <w:tcPr>
            <w:tcW w:w="1437" w:type="dxa"/>
          </w:tcPr>
          <w:p w14:paraId="62DB8729">
            <w:pPr>
              <w:rPr>
                <w:rFonts w:ascii="宋体" w:hAnsi="宋体" w:eastAsia="宋体"/>
                <w:color w:val="auto"/>
                <w:highlight w:val="none"/>
              </w:rPr>
            </w:pPr>
          </w:p>
        </w:tc>
      </w:tr>
      <w:tr w14:paraId="332C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C47871">
            <w:pPr>
              <w:rPr>
                <w:rFonts w:ascii="宋体" w:hAnsi="宋体" w:eastAsia="宋体"/>
                <w:color w:val="auto"/>
                <w:highlight w:val="none"/>
              </w:rPr>
            </w:pPr>
          </w:p>
        </w:tc>
        <w:tc>
          <w:tcPr>
            <w:tcW w:w="1525" w:type="dxa"/>
          </w:tcPr>
          <w:p w14:paraId="39336774">
            <w:pPr>
              <w:rPr>
                <w:rFonts w:ascii="宋体" w:hAnsi="宋体" w:eastAsia="宋体"/>
                <w:color w:val="auto"/>
                <w:highlight w:val="none"/>
              </w:rPr>
            </w:pPr>
          </w:p>
        </w:tc>
        <w:tc>
          <w:tcPr>
            <w:tcW w:w="1635" w:type="dxa"/>
          </w:tcPr>
          <w:p w14:paraId="7B55710B">
            <w:pPr>
              <w:rPr>
                <w:rFonts w:ascii="宋体" w:hAnsi="宋体" w:eastAsia="宋体"/>
                <w:color w:val="auto"/>
                <w:highlight w:val="none"/>
              </w:rPr>
            </w:pPr>
          </w:p>
        </w:tc>
        <w:tc>
          <w:tcPr>
            <w:tcW w:w="859" w:type="dxa"/>
          </w:tcPr>
          <w:p w14:paraId="36D3E9EE">
            <w:pPr>
              <w:rPr>
                <w:rFonts w:ascii="宋体" w:hAnsi="宋体" w:eastAsia="宋体"/>
                <w:color w:val="auto"/>
                <w:highlight w:val="none"/>
              </w:rPr>
            </w:pPr>
          </w:p>
        </w:tc>
        <w:tc>
          <w:tcPr>
            <w:tcW w:w="1582" w:type="dxa"/>
          </w:tcPr>
          <w:p w14:paraId="05DBDD11">
            <w:pPr>
              <w:rPr>
                <w:rFonts w:ascii="宋体" w:hAnsi="宋体" w:eastAsia="宋体"/>
                <w:color w:val="auto"/>
                <w:highlight w:val="none"/>
              </w:rPr>
            </w:pPr>
          </w:p>
        </w:tc>
        <w:tc>
          <w:tcPr>
            <w:tcW w:w="1582" w:type="dxa"/>
          </w:tcPr>
          <w:p w14:paraId="7914E786">
            <w:pPr>
              <w:rPr>
                <w:rFonts w:ascii="宋体" w:hAnsi="宋体" w:eastAsia="宋体"/>
                <w:color w:val="auto"/>
                <w:highlight w:val="none"/>
              </w:rPr>
            </w:pPr>
          </w:p>
        </w:tc>
        <w:tc>
          <w:tcPr>
            <w:tcW w:w="1437" w:type="dxa"/>
          </w:tcPr>
          <w:p w14:paraId="30C4ED13">
            <w:pPr>
              <w:rPr>
                <w:rFonts w:ascii="宋体" w:hAnsi="宋体" w:eastAsia="宋体"/>
                <w:color w:val="auto"/>
                <w:highlight w:val="none"/>
              </w:rPr>
            </w:pPr>
          </w:p>
        </w:tc>
      </w:tr>
      <w:tr w14:paraId="46B4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47981">
            <w:pPr>
              <w:rPr>
                <w:rFonts w:ascii="宋体" w:hAnsi="宋体" w:eastAsia="宋体"/>
                <w:color w:val="auto"/>
                <w:highlight w:val="none"/>
              </w:rPr>
            </w:pPr>
          </w:p>
        </w:tc>
        <w:tc>
          <w:tcPr>
            <w:tcW w:w="1525" w:type="dxa"/>
          </w:tcPr>
          <w:p w14:paraId="455F864E">
            <w:pPr>
              <w:rPr>
                <w:rFonts w:ascii="宋体" w:hAnsi="宋体" w:eastAsia="宋体"/>
                <w:color w:val="auto"/>
                <w:highlight w:val="none"/>
              </w:rPr>
            </w:pPr>
          </w:p>
        </w:tc>
        <w:tc>
          <w:tcPr>
            <w:tcW w:w="1635" w:type="dxa"/>
          </w:tcPr>
          <w:p w14:paraId="732941B2">
            <w:pPr>
              <w:rPr>
                <w:rFonts w:ascii="宋体" w:hAnsi="宋体" w:eastAsia="宋体"/>
                <w:color w:val="auto"/>
                <w:highlight w:val="none"/>
              </w:rPr>
            </w:pPr>
          </w:p>
        </w:tc>
        <w:tc>
          <w:tcPr>
            <w:tcW w:w="859" w:type="dxa"/>
          </w:tcPr>
          <w:p w14:paraId="5761784D">
            <w:pPr>
              <w:rPr>
                <w:rFonts w:ascii="宋体" w:hAnsi="宋体" w:eastAsia="宋体"/>
                <w:color w:val="auto"/>
                <w:highlight w:val="none"/>
              </w:rPr>
            </w:pPr>
          </w:p>
        </w:tc>
        <w:tc>
          <w:tcPr>
            <w:tcW w:w="1582" w:type="dxa"/>
          </w:tcPr>
          <w:p w14:paraId="2EEF3F5B">
            <w:pPr>
              <w:rPr>
                <w:rFonts w:ascii="宋体" w:hAnsi="宋体" w:eastAsia="宋体"/>
                <w:color w:val="auto"/>
                <w:highlight w:val="none"/>
              </w:rPr>
            </w:pPr>
          </w:p>
        </w:tc>
        <w:tc>
          <w:tcPr>
            <w:tcW w:w="1582" w:type="dxa"/>
          </w:tcPr>
          <w:p w14:paraId="6C9D6FD8">
            <w:pPr>
              <w:rPr>
                <w:rFonts w:ascii="宋体" w:hAnsi="宋体" w:eastAsia="宋体"/>
                <w:color w:val="auto"/>
                <w:highlight w:val="none"/>
              </w:rPr>
            </w:pPr>
          </w:p>
        </w:tc>
        <w:tc>
          <w:tcPr>
            <w:tcW w:w="1437" w:type="dxa"/>
          </w:tcPr>
          <w:p w14:paraId="01292E28">
            <w:pPr>
              <w:rPr>
                <w:rFonts w:ascii="宋体" w:hAnsi="宋体" w:eastAsia="宋体"/>
                <w:color w:val="auto"/>
                <w:highlight w:val="none"/>
              </w:rPr>
            </w:pPr>
          </w:p>
        </w:tc>
      </w:tr>
      <w:tr w14:paraId="3C58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EBCA05E">
            <w:pPr>
              <w:rPr>
                <w:rFonts w:ascii="宋体" w:hAnsi="宋体" w:eastAsia="宋体"/>
                <w:color w:val="auto"/>
                <w:highlight w:val="none"/>
              </w:rPr>
            </w:pPr>
          </w:p>
        </w:tc>
        <w:tc>
          <w:tcPr>
            <w:tcW w:w="1525" w:type="dxa"/>
          </w:tcPr>
          <w:p w14:paraId="29C06251">
            <w:pPr>
              <w:rPr>
                <w:rFonts w:ascii="宋体" w:hAnsi="宋体" w:eastAsia="宋体"/>
                <w:color w:val="auto"/>
                <w:highlight w:val="none"/>
              </w:rPr>
            </w:pPr>
          </w:p>
        </w:tc>
        <w:tc>
          <w:tcPr>
            <w:tcW w:w="1635" w:type="dxa"/>
          </w:tcPr>
          <w:p w14:paraId="23CEFC38">
            <w:pPr>
              <w:rPr>
                <w:rFonts w:ascii="宋体" w:hAnsi="宋体" w:eastAsia="宋体"/>
                <w:color w:val="auto"/>
                <w:highlight w:val="none"/>
              </w:rPr>
            </w:pPr>
          </w:p>
        </w:tc>
        <w:tc>
          <w:tcPr>
            <w:tcW w:w="859" w:type="dxa"/>
          </w:tcPr>
          <w:p w14:paraId="6E62B8F1">
            <w:pPr>
              <w:rPr>
                <w:rFonts w:ascii="宋体" w:hAnsi="宋体" w:eastAsia="宋体"/>
                <w:color w:val="auto"/>
                <w:highlight w:val="none"/>
              </w:rPr>
            </w:pPr>
          </w:p>
        </w:tc>
        <w:tc>
          <w:tcPr>
            <w:tcW w:w="1582" w:type="dxa"/>
          </w:tcPr>
          <w:p w14:paraId="7CB45DF1">
            <w:pPr>
              <w:rPr>
                <w:rFonts w:ascii="宋体" w:hAnsi="宋体" w:eastAsia="宋体"/>
                <w:color w:val="auto"/>
                <w:highlight w:val="none"/>
              </w:rPr>
            </w:pPr>
          </w:p>
        </w:tc>
        <w:tc>
          <w:tcPr>
            <w:tcW w:w="1582" w:type="dxa"/>
          </w:tcPr>
          <w:p w14:paraId="751B3FD3">
            <w:pPr>
              <w:rPr>
                <w:rFonts w:ascii="宋体" w:hAnsi="宋体" w:eastAsia="宋体"/>
                <w:color w:val="auto"/>
                <w:highlight w:val="none"/>
              </w:rPr>
            </w:pPr>
          </w:p>
        </w:tc>
        <w:tc>
          <w:tcPr>
            <w:tcW w:w="1437" w:type="dxa"/>
          </w:tcPr>
          <w:p w14:paraId="3C8DFE7C">
            <w:pPr>
              <w:rPr>
                <w:rFonts w:ascii="宋体" w:hAnsi="宋体" w:eastAsia="宋体"/>
                <w:color w:val="auto"/>
                <w:highlight w:val="none"/>
              </w:rPr>
            </w:pPr>
          </w:p>
        </w:tc>
      </w:tr>
      <w:tr w14:paraId="5CD0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EC7A592">
            <w:pPr>
              <w:rPr>
                <w:rFonts w:ascii="宋体" w:hAnsi="宋体" w:eastAsia="宋体"/>
                <w:color w:val="auto"/>
                <w:highlight w:val="none"/>
              </w:rPr>
            </w:pPr>
          </w:p>
        </w:tc>
        <w:tc>
          <w:tcPr>
            <w:tcW w:w="1525" w:type="dxa"/>
          </w:tcPr>
          <w:p w14:paraId="276A6D0C">
            <w:pPr>
              <w:rPr>
                <w:rFonts w:ascii="宋体" w:hAnsi="宋体" w:eastAsia="宋体"/>
                <w:color w:val="auto"/>
                <w:highlight w:val="none"/>
              </w:rPr>
            </w:pPr>
          </w:p>
        </w:tc>
        <w:tc>
          <w:tcPr>
            <w:tcW w:w="1635" w:type="dxa"/>
          </w:tcPr>
          <w:p w14:paraId="05910198">
            <w:pPr>
              <w:rPr>
                <w:rFonts w:ascii="宋体" w:hAnsi="宋体" w:eastAsia="宋体"/>
                <w:color w:val="auto"/>
                <w:highlight w:val="none"/>
              </w:rPr>
            </w:pPr>
          </w:p>
        </w:tc>
        <w:tc>
          <w:tcPr>
            <w:tcW w:w="859" w:type="dxa"/>
          </w:tcPr>
          <w:p w14:paraId="473D1EE9">
            <w:pPr>
              <w:rPr>
                <w:rFonts w:ascii="宋体" w:hAnsi="宋体" w:eastAsia="宋体"/>
                <w:color w:val="auto"/>
                <w:highlight w:val="none"/>
              </w:rPr>
            </w:pPr>
          </w:p>
        </w:tc>
        <w:tc>
          <w:tcPr>
            <w:tcW w:w="1582" w:type="dxa"/>
          </w:tcPr>
          <w:p w14:paraId="49CB480B">
            <w:pPr>
              <w:rPr>
                <w:rFonts w:ascii="宋体" w:hAnsi="宋体" w:eastAsia="宋体"/>
                <w:color w:val="auto"/>
                <w:highlight w:val="none"/>
              </w:rPr>
            </w:pPr>
          </w:p>
        </w:tc>
        <w:tc>
          <w:tcPr>
            <w:tcW w:w="1582" w:type="dxa"/>
          </w:tcPr>
          <w:p w14:paraId="2D64329D">
            <w:pPr>
              <w:rPr>
                <w:rFonts w:ascii="宋体" w:hAnsi="宋体" w:eastAsia="宋体"/>
                <w:color w:val="auto"/>
                <w:highlight w:val="none"/>
              </w:rPr>
            </w:pPr>
          </w:p>
        </w:tc>
        <w:tc>
          <w:tcPr>
            <w:tcW w:w="1437" w:type="dxa"/>
          </w:tcPr>
          <w:p w14:paraId="709EE74D">
            <w:pPr>
              <w:rPr>
                <w:rFonts w:ascii="宋体" w:hAnsi="宋体" w:eastAsia="宋体"/>
                <w:color w:val="auto"/>
                <w:highlight w:val="none"/>
              </w:rPr>
            </w:pPr>
          </w:p>
        </w:tc>
      </w:tr>
      <w:tr w14:paraId="70A6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8023485">
            <w:pPr>
              <w:rPr>
                <w:rFonts w:ascii="宋体" w:hAnsi="宋体" w:eastAsia="宋体"/>
                <w:color w:val="auto"/>
                <w:highlight w:val="none"/>
              </w:rPr>
            </w:pPr>
          </w:p>
        </w:tc>
        <w:tc>
          <w:tcPr>
            <w:tcW w:w="1525" w:type="dxa"/>
          </w:tcPr>
          <w:p w14:paraId="64F9A43F">
            <w:pPr>
              <w:rPr>
                <w:rFonts w:ascii="宋体" w:hAnsi="宋体" w:eastAsia="宋体"/>
                <w:color w:val="auto"/>
                <w:highlight w:val="none"/>
              </w:rPr>
            </w:pPr>
          </w:p>
        </w:tc>
        <w:tc>
          <w:tcPr>
            <w:tcW w:w="1635" w:type="dxa"/>
          </w:tcPr>
          <w:p w14:paraId="3AC4F6BD">
            <w:pPr>
              <w:rPr>
                <w:rFonts w:ascii="宋体" w:hAnsi="宋体" w:eastAsia="宋体"/>
                <w:color w:val="auto"/>
                <w:highlight w:val="none"/>
              </w:rPr>
            </w:pPr>
          </w:p>
        </w:tc>
        <w:tc>
          <w:tcPr>
            <w:tcW w:w="859" w:type="dxa"/>
          </w:tcPr>
          <w:p w14:paraId="7651C7F3">
            <w:pPr>
              <w:rPr>
                <w:rFonts w:ascii="宋体" w:hAnsi="宋体" w:eastAsia="宋体"/>
                <w:color w:val="auto"/>
                <w:highlight w:val="none"/>
              </w:rPr>
            </w:pPr>
          </w:p>
        </w:tc>
        <w:tc>
          <w:tcPr>
            <w:tcW w:w="1582" w:type="dxa"/>
          </w:tcPr>
          <w:p w14:paraId="44113A81">
            <w:pPr>
              <w:rPr>
                <w:rFonts w:ascii="宋体" w:hAnsi="宋体" w:eastAsia="宋体"/>
                <w:color w:val="auto"/>
                <w:highlight w:val="none"/>
              </w:rPr>
            </w:pPr>
          </w:p>
        </w:tc>
        <w:tc>
          <w:tcPr>
            <w:tcW w:w="1582" w:type="dxa"/>
          </w:tcPr>
          <w:p w14:paraId="2EBCE9BC">
            <w:pPr>
              <w:rPr>
                <w:rFonts w:ascii="宋体" w:hAnsi="宋体" w:eastAsia="宋体"/>
                <w:color w:val="auto"/>
                <w:highlight w:val="none"/>
              </w:rPr>
            </w:pPr>
          </w:p>
        </w:tc>
        <w:tc>
          <w:tcPr>
            <w:tcW w:w="1437" w:type="dxa"/>
          </w:tcPr>
          <w:p w14:paraId="2F63A51C">
            <w:pPr>
              <w:rPr>
                <w:rFonts w:ascii="宋体" w:hAnsi="宋体" w:eastAsia="宋体"/>
                <w:color w:val="auto"/>
                <w:highlight w:val="none"/>
              </w:rPr>
            </w:pPr>
          </w:p>
        </w:tc>
      </w:tr>
    </w:tbl>
    <w:p w14:paraId="07BC8856">
      <w:pPr>
        <w:rPr>
          <w:rFonts w:ascii="宋体" w:hAnsi="宋体" w:eastAsia="宋体"/>
          <w:color w:val="auto"/>
          <w:sz w:val="28"/>
          <w:highlight w:val="none"/>
        </w:rPr>
      </w:pPr>
    </w:p>
    <w:p w14:paraId="12E12992">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5535F762">
      <w:pPr>
        <w:jc w:val="right"/>
        <w:rPr>
          <w:rFonts w:ascii="宋体" w:hAnsi="宋体" w:eastAsia="宋体"/>
          <w:color w:val="auto"/>
          <w:sz w:val="24"/>
          <w:szCs w:val="24"/>
          <w:highlight w:val="none"/>
        </w:rPr>
      </w:pPr>
    </w:p>
    <w:p w14:paraId="0AD960EB">
      <w:pPr>
        <w:ind w:firstLine="6480" w:firstLineChars="2700"/>
        <w:rPr>
          <w:rFonts w:ascii="宋体" w:hAnsi="宋体" w:eastAsia="宋体"/>
          <w:color w:val="auto"/>
          <w:sz w:val="24"/>
          <w:szCs w:val="24"/>
          <w:highlight w:val="none"/>
        </w:rPr>
      </w:pPr>
    </w:p>
    <w:p w14:paraId="37FB6D36">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5" w:name="_Toc386122461"/>
      <w:bookmarkStart w:id="186" w:name="_Toc169487834"/>
      <w:bookmarkStart w:id="187" w:name="_Toc155342588"/>
      <w:bookmarkStart w:id="188" w:name="_Toc386121764"/>
      <w:bookmarkStart w:id="189" w:name="_Toc28874"/>
      <w:bookmarkStart w:id="190" w:name="_Toc20350"/>
      <w:bookmarkStart w:id="191" w:name="_Toc147380660"/>
      <w:bookmarkStart w:id="192" w:name="_Toc136335625"/>
      <w:bookmarkStart w:id="193" w:name="_Toc118275606"/>
      <w:bookmarkStart w:id="194" w:name="_Toc106553081"/>
      <w:bookmarkStart w:id="195" w:name="_Toc118710617"/>
      <w:bookmarkStart w:id="196" w:name="_Toc155342587"/>
      <w:bookmarkStart w:id="197" w:name="_Toc76292000"/>
    </w:p>
    <w:p w14:paraId="194E2ACB">
      <w:pPr>
        <w:pStyle w:val="4"/>
        <w:numPr>
          <w:ilvl w:val="0"/>
          <w:numId w:val="0"/>
        </w:numPr>
        <w:spacing w:before="0" w:afterLines="0" w:line="240" w:lineRule="auto"/>
        <w:jc w:val="both"/>
        <w:rPr>
          <w:b w:val="0"/>
          <w:color w:val="auto"/>
          <w:sz w:val="28"/>
          <w:szCs w:val="28"/>
          <w:highlight w:val="none"/>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D788DFB">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5"/>
      <w:bookmarkEnd w:id="186"/>
      <w:bookmarkEnd w:id="187"/>
      <w:bookmarkEnd w:id="188"/>
      <w:r>
        <w:rPr>
          <w:rFonts w:hint="eastAsia"/>
          <w:b w:val="0"/>
          <w:color w:val="auto"/>
          <w:sz w:val="28"/>
          <w:szCs w:val="28"/>
          <w:highlight w:val="none"/>
        </w:rPr>
        <w:t>临海市建设工程诚信投标承诺书</w:t>
      </w:r>
      <w:bookmarkEnd w:id="189"/>
      <w:bookmarkEnd w:id="190"/>
    </w:p>
    <w:p w14:paraId="25B0CC22">
      <w:pPr>
        <w:rPr>
          <w:rFonts w:ascii="黑体" w:eastAsia="黑体"/>
          <w:color w:val="auto"/>
          <w:sz w:val="28"/>
          <w:szCs w:val="28"/>
          <w:highlight w:val="none"/>
        </w:rPr>
      </w:pPr>
    </w:p>
    <w:p w14:paraId="6AF7591F">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4458E89D">
      <w:pPr>
        <w:adjustRightInd w:val="0"/>
        <w:snapToGrid w:val="0"/>
        <w:spacing w:line="360" w:lineRule="auto"/>
        <w:rPr>
          <w:rFonts w:eastAsia="宋体"/>
          <w:color w:val="auto"/>
          <w:sz w:val="24"/>
          <w:highlight w:val="none"/>
        </w:rPr>
      </w:pPr>
    </w:p>
    <w:p w14:paraId="64EA4277">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2DC15706">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临海市上盘镇新塘岸村村民活动中心（二期）</w:t>
      </w:r>
      <w:r>
        <w:rPr>
          <w:rFonts w:hint="eastAsia" w:eastAsia="宋体"/>
          <w:color w:val="auto"/>
          <w:sz w:val="28"/>
          <w:szCs w:val="28"/>
          <w:highlight w:val="none"/>
        </w:rPr>
        <w:t>的投标；</w:t>
      </w:r>
    </w:p>
    <w:p w14:paraId="54A8E304">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6400AA04">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465871AF">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37C0699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42A55C6E">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4670EEA7">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423FCA2E">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0F3CADB7">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color w:val="auto"/>
          <w:szCs w:val="32"/>
          <w:highlight w:val="none"/>
        </w:rPr>
        <w:t>邮</w:t>
      </w:r>
      <w:r>
        <w:rPr>
          <w:rFonts w:hint="eastAsia" w:ascii="宋体" w:hAnsi="宋体" w:eastAsia="宋体"/>
          <w:color w:val="auto"/>
          <w:sz w:val="28"/>
          <w:szCs w:val="28"/>
          <w:highlight w:val="none"/>
        </w:rPr>
        <w:t>箱：</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color w:val="auto"/>
          <w:sz w:val="28"/>
          <w:szCs w:val="28"/>
          <w:highlight w:val="none"/>
          <w:u w:val="single"/>
        </w:rPr>
        <w:t xml:space="preserve">   </w:t>
      </w:r>
    </w:p>
    <w:p w14:paraId="2CE7A23D">
      <w:pPr>
        <w:pStyle w:val="2"/>
        <w:rPr>
          <w:color w:val="auto"/>
          <w:sz w:val="28"/>
          <w:szCs w:val="28"/>
          <w:highlight w:val="none"/>
        </w:rPr>
      </w:pPr>
    </w:p>
    <w:p w14:paraId="34B8E3D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2C3CF87F">
      <w:pPr>
        <w:adjustRightInd w:val="0"/>
        <w:snapToGrid w:val="0"/>
        <w:spacing w:line="586" w:lineRule="exact"/>
        <w:rPr>
          <w:rFonts w:eastAsia="宋体"/>
          <w:color w:val="auto"/>
          <w:sz w:val="28"/>
          <w:szCs w:val="28"/>
          <w:highlight w:val="none"/>
        </w:rPr>
      </w:pPr>
    </w:p>
    <w:p w14:paraId="305D1EB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00F35C1A">
      <w:pPr>
        <w:adjustRightInd w:val="0"/>
        <w:snapToGrid w:val="0"/>
        <w:spacing w:line="586" w:lineRule="exact"/>
        <w:ind w:right="640" w:firstLine="3920" w:firstLineChars="1400"/>
        <w:jc w:val="center"/>
        <w:rPr>
          <w:color w:val="auto"/>
          <w:sz w:val="28"/>
          <w:szCs w:val="28"/>
          <w:highlight w:val="none"/>
        </w:rPr>
      </w:pPr>
      <w:bookmarkStart w:id="198" w:name="_Toc155322974"/>
      <w:bookmarkStart w:id="199" w:name="_Toc146440177"/>
      <w:bookmarkStart w:id="200" w:name="_Toc143319553"/>
      <w:bookmarkStart w:id="201" w:name="_Toc143318918"/>
      <w:bookmarkStart w:id="202" w:name="_Toc148157964"/>
      <w:bookmarkStart w:id="203" w:name="_Toc141242988"/>
      <w:r>
        <w:rPr>
          <w:rFonts w:hint="eastAsia" w:eastAsia="宋体"/>
          <w:color w:val="auto"/>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0F112E2B">
      <w:pPr>
        <w:rPr>
          <w:color w:val="auto"/>
          <w:sz w:val="28"/>
          <w:szCs w:val="28"/>
          <w:highlight w:val="none"/>
        </w:rPr>
      </w:pPr>
      <w:bookmarkStart w:id="206" w:name="_Toc386122462"/>
      <w:bookmarkStart w:id="207" w:name="_Toc386121765"/>
      <w:bookmarkStart w:id="208" w:name="_Toc18290"/>
      <w:bookmarkStart w:id="209" w:name="_Toc11522"/>
    </w:p>
    <w:p w14:paraId="581091E7">
      <w:pPr>
        <w:pStyle w:val="4"/>
        <w:numPr>
          <w:ilvl w:val="0"/>
          <w:numId w:val="0"/>
        </w:numPr>
        <w:spacing w:before="0" w:afterLines="0" w:line="240" w:lineRule="auto"/>
        <w:jc w:val="both"/>
        <w:rPr>
          <w:rFonts w:ascii="黑体"/>
          <w:color w:val="auto"/>
          <w:sz w:val="28"/>
          <w:szCs w:val="28"/>
          <w:highlight w:val="none"/>
        </w:rPr>
      </w:pPr>
      <w:r>
        <w:rPr>
          <w:rFonts w:hint="eastAsia"/>
          <w:b w:val="0"/>
          <w:color w:val="auto"/>
          <w:sz w:val="28"/>
          <w:szCs w:val="28"/>
          <w:highlight w:val="none"/>
        </w:rPr>
        <w:t>附件八：</w:t>
      </w:r>
      <w:bookmarkEnd w:id="204"/>
      <w:bookmarkEnd w:id="205"/>
      <w:bookmarkEnd w:id="206"/>
      <w:bookmarkEnd w:id="207"/>
      <w:r>
        <w:rPr>
          <w:rFonts w:hint="eastAsia"/>
          <w:b w:val="0"/>
          <w:color w:val="auto"/>
          <w:sz w:val="28"/>
          <w:szCs w:val="28"/>
          <w:highlight w:val="none"/>
        </w:rPr>
        <w:t>法定代表人授权委托书</w:t>
      </w:r>
      <w:bookmarkEnd w:id="208"/>
      <w:bookmarkEnd w:id="209"/>
    </w:p>
    <w:p w14:paraId="08E932B9">
      <w:pPr>
        <w:adjustRightInd w:val="0"/>
        <w:snapToGrid w:val="0"/>
        <w:spacing w:beforeLines="50" w:line="360" w:lineRule="auto"/>
        <w:jc w:val="center"/>
        <w:outlineLvl w:val="0"/>
        <w:rPr>
          <w:rFonts w:ascii="宋体" w:eastAsia="宋体"/>
          <w:color w:val="auto"/>
          <w:sz w:val="28"/>
          <w:highlight w:val="none"/>
        </w:rPr>
      </w:pPr>
      <w:bookmarkStart w:id="210" w:name="_Toc10796"/>
      <w:r>
        <w:rPr>
          <w:rFonts w:hint="eastAsia" w:ascii="黑体" w:eastAsia="黑体"/>
          <w:color w:val="auto"/>
          <w:sz w:val="44"/>
          <w:highlight w:val="none"/>
        </w:rPr>
        <w:t>法定代表人授权委托书</w:t>
      </w:r>
      <w:bookmarkEnd w:id="210"/>
      <w:bookmarkStart w:id="211" w:name="_Toc32620"/>
      <w:r>
        <w:rPr>
          <w:rFonts w:hint="eastAsia" w:ascii="宋体" w:eastAsia="宋体"/>
          <w:color w:val="auto"/>
          <w:sz w:val="28"/>
          <w:highlight w:val="none"/>
        </w:rPr>
        <w:t>（参考样张）</w:t>
      </w:r>
      <w:bookmarkEnd w:id="211"/>
    </w:p>
    <w:p w14:paraId="721F2099">
      <w:pPr>
        <w:adjustRightInd w:val="0"/>
        <w:snapToGrid w:val="0"/>
        <w:spacing w:beforeLines="50" w:line="360" w:lineRule="auto"/>
        <w:ind w:firstLine="600"/>
        <w:rPr>
          <w:rFonts w:ascii="宋体" w:eastAsia="宋体"/>
          <w:color w:val="auto"/>
          <w:sz w:val="28"/>
          <w:highlight w:val="none"/>
          <w:u w:val="single"/>
        </w:rPr>
      </w:pPr>
      <w:r>
        <w:rPr>
          <w:rFonts w:hint="eastAsia" w:ascii="宋体" w:eastAsia="宋体"/>
          <w:color w:val="auto"/>
          <w:sz w:val="28"/>
          <w:highlight w:val="none"/>
        </w:rPr>
        <w:t>本授权委托书声明：我</w:t>
      </w:r>
      <w:r>
        <w:rPr>
          <w:rFonts w:hint="eastAsia" w:ascii="宋体" w:eastAsia="宋体"/>
          <w:color w:val="auto"/>
          <w:sz w:val="28"/>
          <w:highlight w:val="none"/>
          <w:u w:val="single"/>
        </w:rPr>
        <w:t xml:space="preserve">               </w:t>
      </w:r>
      <w:r>
        <w:rPr>
          <w:rFonts w:hint="eastAsia" w:ascii="宋体" w:eastAsia="宋体"/>
          <w:color w:val="auto"/>
          <w:sz w:val="28"/>
          <w:highlight w:val="none"/>
        </w:rPr>
        <w:t>（姓名）系</w:t>
      </w:r>
      <w:r>
        <w:rPr>
          <w:rFonts w:hint="eastAsia" w:ascii="宋体" w:eastAsia="宋体"/>
          <w:color w:val="auto"/>
          <w:sz w:val="28"/>
          <w:highlight w:val="none"/>
          <w:u w:val="single"/>
        </w:rPr>
        <w:t xml:space="preserve">                 </w:t>
      </w:r>
    </w:p>
    <w:p w14:paraId="09E99D7E">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（投标人）的法定代表人，现授权委托我单位</w:t>
      </w:r>
      <w:r>
        <w:rPr>
          <w:rFonts w:hint="eastAsia" w:ascii="宋体" w:eastAsia="宋体"/>
          <w:color w:val="auto"/>
          <w:sz w:val="28"/>
          <w:highlight w:val="none"/>
          <w:u w:val="single"/>
        </w:rPr>
        <w:t xml:space="preserve">         </w:t>
      </w:r>
      <w:r>
        <w:rPr>
          <w:rFonts w:hint="eastAsia" w:ascii="宋体" w:eastAsia="宋体"/>
          <w:color w:val="auto"/>
          <w:sz w:val="28"/>
          <w:highlight w:val="none"/>
        </w:rPr>
        <w:t>（姓名）为我的代理人，以本单位的名义参加</w:t>
      </w:r>
      <w:r>
        <w:rPr>
          <w:rFonts w:hint="eastAsia" w:ascii="宋体" w:eastAsia="宋体"/>
          <w:color w:val="auto"/>
          <w:sz w:val="28"/>
          <w:highlight w:val="none"/>
          <w:u w:val="single"/>
        </w:rPr>
        <w:t xml:space="preserve">              </w:t>
      </w:r>
      <w:r>
        <w:rPr>
          <w:rFonts w:hint="eastAsia" w:ascii="宋体" w:eastAsia="宋体"/>
          <w:color w:val="auto"/>
          <w:sz w:val="28"/>
          <w:highlight w:val="none"/>
        </w:rPr>
        <w:t xml:space="preserve">（招标人）的 </w:t>
      </w:r>
      <w:r>
        <w:rPr>
          <w:rFonts w:hint="eastAsia" w:ascii="宋体" w:eastAsia="宋体"/>
          <w:color w:val="auto"/>
          <w:sz w:val="28"/>
          <w:highlight w:val="none"/>
          <w:u w:val="single"/>
        </w:rPr>
        <w:t xml:space="preserve">          </w:t>
      </w:r>
      <w:r>
        <w:rPr>
          <w:rFonts w:hint="eastAsia" w:ascii="宋体" w:eastAsia="宋体"/>
          <w:color w:val="auto"/>
          <w:sz w:val="28"/>
          <w:highlight w:val="none"/>
        </w:rPr>
        <w:t>（工程名称）的投标。代理人在该工程招投标活动中的一切事务，我均予以承认。</w:t>
      </w:r>
    </w:p>
    <w:p w14:paraId="167D5581">
      <w:pPr>
        <w:adjustRightInd w:val="0"/>
        <w:snapToGrid w:val="0"/>
        <w:spacing w:beforeLines="50" w:line="360" w:lineRule="auto"/>
        <w:ind w:firstLine="560" w:firstLineChars="200"/>
        <w:rPr>
          <w:rFonts w:ascii="宋体" w:eastAsia="宋体"/>
          <w:color w:val="auto"/>
          <w:sz w:val="28"/>
          <w:highlight w:val="none"/>
        </w:rPr>
      </w:pPr>
      <w:r>
        <w:rPr>
          <w:rFonts w:hint="eastAsia" w:ascii="宋体" w:eastAsia="宋体"/>
          <w:color w:val="auto"/>
          <w:sz w:val="28"/>
          <w:highlight w:val="none"/>
        </w:rPr>
        <w:t>代理人无转委权，特此委托。</w:t>
      </w:r>
    </w:p>
    <w:p w14:paraId="63A40D1F">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投标人（盖章）：</w:t>
      </w:r>
      <w:r>
        <w:rPr>
          <w:rFonts w:hint="eastAsia" w:ascii="宋体" w:eastAsia="宋体"/>
          <w:color w:val="auto"/>
          <w:sz w:val="28"/>
          <w:highlight w:val="none"/>
          <w:u w:val="single"/>
        </w:rPr>
        <w:t xml:space="preserve">                                                   </w:t>
      </w:r>
    </w:p>
    <w:p w14:paraId="6BD1C80A">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法定代表人（盖章）：</w:t>
      </w:r>
      <w:r>
        <w:rPr>
          <w:rFonts w:hint="eastAsia" w:ascii="宋体" w:eastAsia="宋体"/>
          <w:color w:val="auto"/>
          <w:sz w:val="28"/>
          <w:highlight w:val="none"/>
          <w:u w:val="single"/>
        </w:rPr>
        <w:t xml:space="preserve">                                               </w:t>
      </w:r>
    </w:p>
    <w:p w14:paraId="17CBA90D">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代理人：</w:t>
      </w:r>
      <w:r>
        <w:rPr>
          <w:rFonts w:hint="eastAsia" w:ascii="宋体" w:eastAsia="宋体"/>
          <w:color w:val="auto"/>
          <w:sz w:val="28"/>
          <w:highlight w:val="none"/>
          <w:u w:val="single"/>
        </w:rPr>
        <w:t xml:space="preserve">             </w:t>
      </w:r>
      <w:r>
        <w:rPr>
          <w:rFonts w:hint="eastAsia" w:ascii="宋体" w:eastAsia="宋体"/>
          <w:color w:val="auto"/>
          <w:sz w:val="28"/>
          <w:highlight w:val="none"/>
        </w:rPr>
        <w:t>性别：</w:t>
      </w:r>
      <w:r>
        <w:rPr>
          <w:rFonts w:hint="eastAsia" w:ascii="宋体" w:eastAsia="宋体"/>
          <w:color w:val="auto"/>
          <w:sz w:val="28"/>
          <w:highlight w:val="none"/>
          <w:u w:val="single"/>
        </w:rPr>
        <w:t xml:space="preserve">                   </w:t>
      </w:r>
      <w:r>
        <w:rPr>
          <w:rFonts w:hint="eastAsia" w:ascii="宋体" w:eastAsia="宋体"/>
          <w:color w:val="auto"/>
          <w:sz w:val="28"/>
          <w:highlight w:val="none"/>
        </w:rPr>
        <w:t>年龄：</w:t>
      </w:r>
      <w:r>
        <w:rPr>
          <w:rFonts w:hint="eastAsia" w:ascii="宋体" w:eastAsia="宋体"/>
          <w:color w:val="auto"/>
          <w:sz w:val="28"/>
          <w:highlight w:val="none"/>
          <w:u w:val="single"/>
        </w:rPr>
        <w:t xml:space="preserve">              </w:t>
      </w:r>
    </w:p>
    <w:p w14:paraId="6BE87921">
      <w:pPr>
        <w:adjustRightInd w:val="0"/>
        <w:snapToGrid w:val="0"/>
        <w:spacing w:beforeLines="50" w:line="360" w:lineRule="auto"/>
        <w:rPr>
          <w:rFonts w:ascii="宋体" w:eastAsia="宋体"/>
          <w:b/>
          <w:bCs/>
          <w:color w:val="auto"/>
          <w:sz w:val="28"/>
          <w:highlight w:val="none"/>
          <w:u w:val="single"/>
        </w:rPr>
      </w:pPr>
      <w:r>
        <w:rPr>
          <w:rFonts w:hint="eastAsia" w:ascii="宋体" w:eastAsia="宋体"/>
          <w:color w:val="auto"/>
          <w:sz w:val="28"/>
          <w:highlight w:val="none"/>
        </w:rPr>
        <w:t>身份证号码：</w:t>
      </w:r>
      <w:r>
        <w:rPr>
          <w:rFonts w:hint="eastAsia" w:ascii="宋体" w:eastAsia="宋体"/>
          <w:color w:val="auto"/>
          <w:sz w:val="28"/>
          <w:highlight w:val="none"/>
          <w:u w:val="single"/>
        </w:rPr>
        <w:t xml:space="preserve">                 </w:t>
      </w:r>
      <w:r>
        <w:rPr>
          <w:rFonts w:hint="eastAsia" w:ascii="宋体" w:eastAsia="宋体"/>
          <w:color w:val="auto"/>
          <w:sz w:val="28"/>
          <w:highlight w:val="none"/>
        </w:rPr>
        <w:t>职务：</w:t>
      </w:r>
      <w:r>
        <w:rPr>
          <w:rFonts w:hint="eastAsia" w:ascii="宋体" w:eastAsia="宋体"/>
          <w:color w:val="auto"/>
          <w:sz w:val="28"/>
          <w:highlight w:val="none"/>
          <w:u w:val="single"/>
        </w:rPr>
        <w:t xml:space="preserve">       </w:t>
      </w:r>
      <w:r>
        <w:rPr>
          <w:rFonts w:hint="eastAsia" w:ascii="宋体" w:eastAsia="宋体"/>
          <w:color w:val="auto"/>
          <w:sz w:val="28"/>
          <w:highlight w:val="none"/>
        </w:rPr>
        <w:t>联系电话：</w:t>
      </w:r>
      <w:r>
        <w:rPr>
          <w:rFonts w:hint="eastAsia" w:ascii="宋体" w:eastAsia="宋体"/>
          <w:color w:val="auto"/>
          <w:sz w:val="28"/>
          <w:highlight w:val="none"/>
          <w:u w:val="single"/>
        </w:rPr>
        <w:t xml:space="preserve">              </w:t>
      </w:r>
    </w:p>
    <w:p w14:paraId="213D4A1C">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授权委托日期：</w:t>
      </w:r>
      <w:r>
        <w:rPr>
          <w:rFonts w:hint="eastAsia" w:ascii="宋体" w:eastAsia="宋体"/>
          <w:color w:val="auto"/>
          <w:sz w:val="28"/>
          <w:highlight w:val="none"/>
          <w:u w:val="single"/>
        </w:rPr>
        <w:t xml:space="preserve">              </w:t>
      </w:r>
      <w:r>
        <w:rPr>
          <w:rFonts w:hint="eastAsia" w:ascii="宋体" w:eastAsia="宋体"/>
          <w:color w:val="auto"/>
          <w:sz w:val="28"/>
          <w:highlight w:val="none"/>
        </w:rPr>
        <w:t>年</w:t>
      </w:r>
      <w:r>
        <w:rPr>
          <w:rFonts w:hint="eastAsia" w:ascii="宋体" w:eastAsia="宋体"/>
          <w:color w:val="auto"/>
          <w:sz w:val="28"/>
          <w:highlight w:val="none"/>
          <w:u w:val="single"/>
        </w:rPr>
        <w:t xml:space="preserve">                </w:t>
      </w:r>
      <w:r>
        <w:rPr>
          <w:rFonts w:hint="eastAsia" w:ascii="宋体" w:eastAsia="宋体"/>
          <w:color w:val="auto"/>
          <w:sz w:val="28"/>
          <w:highlight w:val="none"/>
        </w:rPr>
        <w:t>月</w:t>
      </w:r>
      <w:r>
        <w:rPr>
          <w:rFonts w:hint="eastAsia" w:ascii="宋体" w:eastAsia="宋体"/>
          <w:color w:val="auto"/>
          <w:sz w:val="28"/>
          <w:highlight w:val="none"/>
          <w:u w:val="single"/>
        </w:rPr>
        <w:t xml:space="preserve">                </w:t>
      </w:r>
      <w:r>
        <w:rPr>
          <w:rFonts w:hint="eastAsia" w:ascii="宋体" w:eastAsia="宋体"/>
          <w:color w:val="auto"/>
          <w:sz w:val="28"/>
          <w:highlight w:val="none"/>
        </w:rPr>
        <w:t>日</w:t>
      </w:r>
    </w:p>
    <w:p w14:paraId="74525DD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法定代表人身份证复印件            被授权人身份证复印件</w:t>
      </w:r>
    </w:p>
    <w:tbl>
      <w:tblPr>
        <w:tblStyle w:val="23"/>
        <w:tblW w:w="9699"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850"/>
        <w:gridCol w:w="4849"/>
      </w:tblGrid>
      <w:tr w14:paraId="2FD3ABD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70" w:hRule="atLeast"/>
          <w:jc w:val="center"/>
        </w:trPr>
        <w:tc>
          <w:tcPr>
            <w:tcW w:w="4850" w:type="dxa"/>
          </w:tcPr>
          <w:p w14:paraId="3439F7D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c>
          <w:tcPr>
            <w:tcW w:w="4849" w:type="dxa"/>
          </w:tcPr>
          <w:p w14:paraId="6BEBC467">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r>
      <w:tr w14:paraId="5E888FC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18" w:hRule="atLeast"/>
          <w:jc w:val="center"/>
        </w:trPr>
        <w:tc>
          <w:tcPr>
            <w:tcW w:w="4850" w:type="dxa"/>
          </w:tcPr>
          <w:p w14:paraId="7197DAE0">
            <w:pPr>
              <w:spacing w:line="360" w:lineRule="auto"/>
              <w:rPr>
                <w:color w:val="auto"/>
                <w:sz w:val="30"/>
                <w:szCs w:val="30"/>
                <w:highlight w:val="none"/>
              </w:rPr>
            </w:pPr>
          </w:p>
        </w:tc>
        <w:tc>
          <w:tcPr>
            <w:tcW w:w="4849" w:type="dxa"/>
          </w:tcPr>
          <w:p w14:paraId="730B9118">
            <w:pPr>
              <w:spacing w:line="360" w:lineRule="auto"/>
              <w:rPr>
                <w:color w:val="auto"/>
                <w:sz w:val="30"/>
                <w:szCs w:val="30"/>
                <w:highlight w:val="none"/>
              </w:rPr>
            </w:pPr>
          </w:p>
        </w:tc>
      </w:tr>
    </w:tbl>
    <w:p w14:paraId="7202A3F4">
      <w:pPr>
        <w:rPr>
          <w:color w:val="auto"/>
          <w:highlight w:val="none"/>
        </w:rPr>
      </w:pPr>
    </w:p>
    <w:p w14:paraId="0D516568">
      <w:pPr>
        <w:rPr>
          <w:rFonts w:ascii="黑体" w:eastAsia="黑体"/>
          <w:color w:val="auto"/>
          <w:sz w:val="28"/>
          <w:szCs w:val="28"/>
          <w:highlight w:val="none"/>
        </w:rPr>
      </w:pPr>
      <w:bookmarkStart w:id="212" w:name="_Toc42587767"/>
      <w:bookmarkStart w:id="213" w:name="_Toc234382962"/>
      <w:r>
        <w:rPr>
          <w:rFonts w:hint="eastAsia"/>
          <w:color w:val="auto"/>
          <w:sz w:val="28"/>
          <w:szCs w:val="28"/>
          <w:highlight w:val="none"/>
        </w:rPr>
        <w:t>附件九：法定代表人身份证明</w:t>
      </w:r>
    </w:p>
    <w:p w14:paraId="4AB446EC">
      <w:pPr>
        <w:wordWrap w:val="0"/>
        <w:jc w:val="center"/>
        <w:outlineLvl w:val="3"/>
        <w:rPr>
          <w:rFonts w:ascii="宋体" w:hAnsi="宋体" w:cs="宋体"/>
          <w:color w:val="auto"/>
          <w:sz w:val="24"/>
          <w:highlight w:val="none"/>
        </w:rPr>
      </w:pPr>
      <w:r>
        <w:rPr>
          <w:rFonts w:hint="eastAsia" w:ascii="黑体" w:eastAsia="黑体"/>
          <w:color w:val="auto"/>
          <w:sz w:val="44"/>
          <w:highlight w:val="none"/>
        </w:rPr>
        <w:t>法定代表人身份证明</w:t>
      </w:r>
      <w:bookmarkEnd w:id="212"/>
      <w:bookmarkEnd w:id="213"/>
      <w:r>
        <w:rPr>
          <w:rFonts w:hint="eastAsia" w:ascii="宋体" w:eastAsia="宋体"/>
          <w:color w:val="auto"/>
          <w:sz w:val="28"/>
          <w:highlight w:val="none"/>
        </w:rPr>
        <w:t>（参考样张）</w:t>
      </w:r>
    </w:p>
    <w:p w14:paraId="79BD4C47">
      <w:pPr>
        <w:wordWrap w:val="0"/>
        <w:rPr>
          <w:rFonts w:ascii="宋体" w:hAnsi="宋体" w:cs="宋体"/>
          <w:color w:val="auto"/>
          <w:sz w:val="24"/>
          <w:highlight w:val="none"/>
        </w:rPr>
      </w:pPr>
    </w:p>
    <w:p w14:paraId="279D217C">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w:t>
      </w:r>
      <w:r>
        <w:rPr>
          <w:rFonts w:hint="eastAsia" w:ascii="宋体" w:hAnsi="宋体" w:eastAsia="宋体" w:cs="宋体"/>
          <w:color w:val="auto"/>
          <w:sz w:val="28"/>
          <w:szCs w:val="28"/>
          <w:highlight w:val="none"/>
          <w:u w:val="single"/>
        </w:rPr>
        <w:t xml:space="preserve">                                 </w:t>
      </w:r>
    </w:p>
    <w:p w14:paraId="51A1BB29">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 xml:space="preserve">                                   </w:t>
      </w:r>
    </w:p>
    <w:p w14:paraId="2EDFAE63">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3966B20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6FCECBDA">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p>
    <w:p w14:paraId="66BB5BB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p>
    <w:p w14:paraId="37F51207">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（投标人名称）</w:t>
      </w:r>
      <w:r>
        <w:rPr>
          <w:rFonts w:hint="eastAsia" w:ascii="宋体" w:hAnsi="宋体" w:eastAsia="宋体" w:cs="宋体"/>
          <w:color w:val="auto"/>
          <w:sz w:val="28"/>
          <w:szCs w:val="28"/>
          <w:highlight w:val="none"/>
        </w:rPr>
        <w:t>的法定代表人。</w:t>
      </w:r>
    </w:p>
    <w:p w14:paraId="6E22695D">
      <w:pPr>
        <w:snapToGrid w:val="0"/>
        <w:spacing w:beforeLines="50" w:after="50" w:line="460" w:lineRule="exact"/>
        <w:ind w:firstLine="843" w:firstLineChars="300"/>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p>
    <w:tbl>
      <w:tblPr>
        <w:tblStyle w:val="23"/>
        <w:tblpPr w:leftFromText="180" w:rightFromText="180" w:vertAnchor="text" w:horzAnchor="page" w:tblpXSpec="center" w:tblpY="506"/>
        <w:tblOverlap w:val="never"/>
        <w:tblW w:w="6780"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6780"/>
      </w:tblGrid>
      <w:tr w14:paraId="50DBC74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40" w:hRule="atLeast"/>
          <w:jc w:val="center"/>
        </w:trPr>
        <w:tc>
          <w:tcPr>
            <w:tcW w:w="6780" w:type="dxa"/>
          </w:tcPr>
          <w:p w14:paraId="47581B94">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4C6B62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54" w:hRule="atLeast"/>
          <w:jc w:val="center"/>
        </w:trPr>
        <w:tc>
          <w:tcPr>
            <w:tcW w:w="6780" w:type="dxa"/>
          </w:tcPr>
          <w:p w14:paraId="62359B14">
            <w:pPr>
              <w:spacing w:line="360" w:lineRule="auto"/>
              <w:rPr>
                <w:color w:val="auto"/>
                <w:sz w:val="30"/>
                <w:szCs w:val="30"/>
                <w:highlight w:val="none"/>
              </w:rPr>
            </w:pPr>
          </w:p>
        </w:tc>
      </w:tr>
    </w:tbl>
    <w:p w14:paraId="2C2F4FBD">
      <w:pPr>
        <w:snapToGrid w:val="0"/>
        <w:spacing w:beforeLines="50" w:after="50" w:line="460" w:lineRule="exact"/>
        <w:ind w:firstLine="843" w:firstLineChars="300"/>
        <w:rPr>
          <w:rFonts w:ascii="宋体" w:hAnsi="宋体"/>
          <w:b/>
          <w:bCs/>
          <w:color w:val="auto"/>
          <w:sz w:val="28"/>
          <w:szCs w:val="28"/>
          <w:highlight w:val="none"/>
        </w:rPr>
      </w:pPr>
      <w:r>
        <w:rPr>
          <w:rFonts w:ascii="宋体" w:hAnsi="宋体"/>
          <w:b/>
          <w:bCs/>
          <w:color w:val="auto"/>
          <w:sz w:val="28"/>
          <w:szCs w:val="28"/>
          <w:highlight w:val="none"/>
        </w:rPr>
        <w:t xml:space="preserve">        </w:t>
      </w:r>
    </w:p>
    <w:p w14:paraId="136207B4">
      <w:pPr>
        <w:wordWrap w:val="0"/>
        <w:spacing w:line="640" w:lineRule="exact"/>
        <w:ind w:firstLine="1120" w:firstLineChars="400"/>
        <w:rPr>
          <w:rFonts w:ascii="宋体" w:hAnsi="宋体" w:eastAsia="宋体" w:cs="宋体"/>
          <w:color w:val="auto"/>
          <w:sz w:val="28"/>
          <w:szCs w:val="28"/>
          <w:highlight w:val="none"/>
        </w:rPr>
      </w:pPr>
    </w:p>
    <w:p w14:paraId="14CF00AD">
      <w:pPr>
        <w:spacing w:line="640" w:lineRule="exact"/>
        <w:jc w:val="right"/>
        <w:rPr>
          <w:rFonts w:ascii="宋体" w:hAnsi="宋体" w:eastAsia="宋体" w:cs="宋体"/>
          <w:color w:val="auto"/>
          <w:sz w:val="28"/>
          <w:szCs w:val="28"/>
          <w:highlight w:val="none"/>
        </w:rPr>
      </w:pPr>
    </w:p>
    <w:p w14:paraId="41BE9D3A">
      <w:pPr>
        <w:spacing w:line="640" w:lineRule="exact"/>
        <w:jc w:val="right"/>
        <w:rPr>
          <w:rFonts w:ascii="宋体" w:hAnsi="宋体" w:eastAsia="宋体" w:cs="宋体"/>
          <w:color w:val="auto"/>
          <w:sz w:val="28"/>
          <w:szCs w:val="28"/>
          <w:highlight w:val="none"/>
        </w:rPr>
      </w:pPr>
    </w:p>
    <w:p w14:paraId="5FEC0999">
      <w:pPr>
        <w:spacing w:line="640" w:lineRule="exact"/>
        <w:jc w:val="right"/>
        <w:rPr>
          <w:rFonts w:ascii="宋体" w:hAnsi="宋体" w:eastAsia="宋体" w:cs="宋体"/>
          <w:color w:val="auto"/>
          <w:sz w:val="28"/>
          <w:szCs w:val="28"/>
          <w:highlight w:val="none"/>
        </w:rPr>
      </w:pPr>
    </w:p>
    <w:p w14:paraId="7D16D520">
      <w:pPr>
        <w:spacing w:line="640" w:lineRule="exact"/>
        <w:jc w:val="right"/>
        <w:rPr>
          <w:rFonts w:ascii="宋体" w:hAnsi="宋体" w:eastAsia="宋体" w:cs="宋体"/>
          <w:color w:val="auto"/>
          <w:sz w:val="28"/>
          <w:szCs w:val="28"/>
          <w:highlight w:val="none"/>
        </w:rPr>
      </w:pPr>
    </w:p>
    <w:p w14:paraId="211D1BC9">
      <w:pPr>
        <w:spacing w:line="640" w:lineRule="exact"/>
        <w:jc w:val="right"/>
        <w:rPr>
          <w:rFonts w:ascii="宋体" w:hAnsi="宋体" w:eastAsia="宋体" w:cs="宋体"/>
          <w:color w:val="auto"/>
          <w:sz w:val="28"/>
          <w:szCs w:val="28"/>
          <w:highlight w:val="none"/>
        </w:rPr>
      </w:pPr>
    </w:p>
    <w:p w14:paraId="5553D8AA">
      <w:pPr>
        <w:spacing w:line="640" w:lineRule="exact"/>
        <w:jc w:val="right"/>
        <w:rPr>
          <w:rFonts w:ascii="宋体" w:hAnsi="宋体" w:eastAsia="宋体" w:cs="宋体"/>
          <w:color w:val="auto"/>
          <w:sz w:val="28"/>
          <w:szCs w:val="28"/>
          <w:highlight w:val="none"/>
        </w:rPr>
      </w:pPr>
    </w:p>
    <w:p w14:paraId="7B097202">
      <w:pPr>
        <w:spacing w:line="640" w:lineRule="exact"/>
        <w:jc w:val="righ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（盖单位公章）</w:t>
      </w:r>
    </w:p>
    <w:p w14:paraId="22A2C735">
      <w:pPr>
        <w:spacing w:line="640" w:lineRule="exact"/>
        <w:jc w:val="center"/>
        <w:rPr>
          <w:rFonts w:hint="eastAsia" w:eastAsia="宋体"/>
          <w:color w:val="auto"/>
          <w:sz w:val="28"/>
          <w:szCs w:val="28"/>
          <w:highlight w:val="none"/>
        </w:rPr>
      </w:pPr>
      <w:r>
        <w:rPr>
          <w:rFonts w:hint="eastAsia" w:eastAsia="宋体"/>
          <w:color w:val="auto"/>
          <w:sz w:val="28"/>
          <w:szCs w:val="28"/>
          <w:highlight w:val="none"/>
        </w:rPr>
        <w:t xml:space="preserve">                         年    月    日</w:t>
      </w:r>
    </w:p>
    <w:p w14:paraId="08AC4C0C">
      <w:pPr>
        <w:rPr>
          <w:rFonts w:hint="eastAsia" w:eastAsia="黑体"/>
          <w:color w:val="auto"/>
          <w:highlight w:val="none"/>
        </w:rPr>
      </w:pP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十．停工证明（如有）</w:t>
      </w:r>
    </w:p>
    <w:p w14:paraId="064218FF">
      <w:pPr>
        <w:pageBreakBefore w:val="0"/>
        <w:kinsoku/>
        <w:overflowPunct/>
        <w:topLinePunct w:val="0"/>
        <w:bidi w:val="0"/>
        <w:outlineLvl w:val="9"/>
        <w:rPr>
          <w:rFonts w:hint="eastAsia"/>
          <w:color w:val="auto"/>
          <w:highlight w:val="none"/>
        </w:rPr>
      </w:pPr>
    </w:p>
    <w:p w14:paraId="2C314794">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06CC8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65E6833A">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0D71A3A4">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5BF98D6">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3210C554">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7E5C1A6A">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1CD7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noWrap w:val="0"/>
            <w:vAlign w:val="top"/>
          </w:tcPr>
          <w:p w14:paraId="3999BF19">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5FDAC190">
            <w:pPr>
              <w:pageBreakBefore w:val="0"/>
              <w:kinsoku/>
              <w:overflowPunct/>
              <w:topLinePunct w:val="0"/>
              <w:bidi w:val="0"/>
              <w:spacing w:line="360" w:lineRule="auto"/>
              <w:outlineLvl w:val="9"/>
              <w:rPr>
                <w:rFonts w:hint="eastAsia"/>
                <w:color w:val="auto"/>
                <w:sz w:val="28"/>
                <w:szCs w:val="28"/>
                <w:highlight w:val="none"/>
              </w:rPr>
            </w:pPr>
          </w:p>
          <w:p w14:paraId="1ECBE037">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1B2599E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551ABBE0">
            <w:pPr>
              <w:pageBreakBefore w:val="0"/>
              <w:kinsoku/>
              <w:overflowPunct/>
              <w:topLinePunct w:val="0"/>
              <w:bidi w:val="0"/>
              <w:spacing w:line="360" w:lineRule="auto"/>
              <w:outlineLvl w:val="9"/>
              <w:rPr>
                <w:rFonts w:hint="eastAsia"/>
                <w:color w:val="auto"/>
                <w:highlight w:val="none"/>
              </w:rPr>
            </w:pPr>
          </w:p>
        </w:tc>
      </w:tr>
      <w:tr w14:paraId="3289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802" w:type="dxa"/>
            <w:noWrap w:val="0"/>
            <w:vAlign w:val="top"/>
          </w:tcPr>
          <w:p w14:paraId="5EE7915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40A6798A">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25817AD8">
            <w:pPr>
              <w:pageBreakBefore w:val="0"/>
              <w:kinsoku/>
              <w:overflowPunct/>
              <w:topLinePunct w:val="0"/>
              <w:bidi w:val="0"/>
              <w:spacing w:line="360" w:lineRule="auto"/>
              <w:jc w:val="right"/>
              <w:outlineLvl w:val="9"/>
              <w:rPr>
                <w:rFonts w:hint="eastAsia"/>
                <w:color w:val="auto"/>
                <w:sz w:val="28"/>
                <w:szCs w:val="28"/>
                <w:highlight w:val="none"/>
              </w:rPr>
            </w:pPr>
          </w:p>
          <w:p w14:paraId="1E81BCF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2662AA2C">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22E14A9F">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val="en-US" w:eastAsia="zh-CN"/>
        </w:rPr>
        <w:t>一</w:t>
      </w:r>
      <w:r>
        <w:rPr>
          <w:rFonts w:hint="eastAsia" w:ascii="黑体" w:hAnsi="黑体" w:eastAsia="黑体" w:cs="黑体"/>
          <w:b/>
          <w:color w:val="auto"/>
          <w:sz w:val="28"/>
          <w:szCs w:val="28"/>
          <w:highlight w:val="none"/>
        </w:rPr>
        <w:t>．未验收证明（如有）</w:t>
      </w:r>
    </w:p>
    <w:p w14:paraId="46DA9732">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7F7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7997D78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3ADBAA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23929A0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249DE1C6">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2C1F2BCD">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6FF4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0D30A393">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1F7AB861">
            <w:pPr>
              <w:pageBreakBefore w:val="0"/>
              <w:kinsoku/>
              <w:overflowPunct/>
              <w:topLinePunct w:val="0"/>
              <w:bidi w:val="0"/>
              <w:spacing w:line="360" w:lineRule="auto"/>
              <w:outlineLvl w:val="9"/>
              <w:rPr>
                <w:rFonts w:hint="eastAsia"/>
                <w:color w:val="auto"/>
                <w:sz w:val="28"/>
                <w:szCs w:val="28"/>
                <w:highlight w:val="none"/>
              </w:rPr>
            </w:pPr>
          </w:p>
          <w:p w14:paraId="717D0E53">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77BD2ED5">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1D86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4E76BE5C">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349873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4E22AD4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1FE16610">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01BCFA3C">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4A9069EB">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7BC6A609">
      <w:pPr>
        <w:numPr>
          <w:ilvl w:val="0"/>
          <w:numId w:val="0"/>
        </w:numPr>
        <w:snapToGrid w:val="0"/>
        <w:spacing w:line="360" w:lineRule="auto"/>
        <w:jc w:val="left"/>
        <w:rPr>
          <w:rFonts w:hint="eastAsia" w:ascii="黑体" w:hAnsi="黑体" w:eastAsia="黑体" w:cs="黑体"/>
          <w:b/>
          <w:color w:val="auto"/>
          <w:sz w:val="28"/>
          <w:szCs w:val="28"/>
          <w:highlight w:val="none"/>
        </w:rPr>
      </w:pPr>
      <w:r>
        <w:rPr>
          <w:rFonts w:hint="eastAsia" w:ascii="黑体" w:hAnsi="黑体" w:eastAsia="黑体" w:cs="黑体"/>
          <w:b/>
          <w:color w:val="auto"/>
          <w:kern w:val="2"/>
          <w:sz w:val="28"/>
          <w:szCs w:val="28"/>
          <w:highlight w:val="none"/>
          <w:lang w:val="en-US" w:eastAsia="zh-CN" w:bidi="ar-SA"/>
        </w:rPr>
        <w:t>附件十二.</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p>
    <w:p w14:paraId="5BB28F61">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3"/>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0D32C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3C5FB956">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0B8F37A7">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70509066">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25123344">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379C41FE">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0C5A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02E20D29">
            <w:pPr>
              <w:spacing w:line="360" w:lineRule="auto"/>
              <w:rPr>
                <w:rFonts w:hint="eastAsia"/>
                <w:color w:val="auto"/>
                <w:sz w:val="28"/>
                <w:szCs w:val="28"/>
                <w:highlight w:val="none"/>
              </w:rPr>
            </w:pPr>
            <w:r>
              <w:rPr>
                <w:rFonts w:hint="eastAsia"/>
                <w:color w:val="auto"/>
                <w:sz w:val="28"/>
                <w:szCs w:val="28"/>
                <w:highlight w:val="none"/>
              </w:rPr>
              <w:t>原建设单位意见：</w:t>
            </w:r>
          </w:p>
          <w:p w14:paraId="6F058246">
            <w:pPr>
              <w:spacing w:line="360" w:lineRule="auto"/>
              <w:rPr>
                <w:rFonts w:hint="eastAsia"/>
                <w:color w:val="auto"/>
                <w:sz w:val="28"/>
                <w:szCs w:val="28"/>
                <w:highlight w:val="none"/>
              </w:rPr>
            </w:pPr>
          </w:p>
          <w:p w14:paraId="72B7018B">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0F47AFD4">
            <w:pPr>
              <w:spacing w:line="360" w:lineRule="auto"/>
              <w:jc w:val="right"/>
              <w:rPr>
                <w:rFonts w:hint="eastAsia"/>
                <w:color w:val="auto"/>
                <w:highlight w:val="none"/>
              </w:rPr>
            </w:pPr>
            <w:r>
              <w:rPr>
                <w:rFonts w:hint="eastAsia"/>
                <w:color w:val="auto"/>
                <w:sz w:val="28"/>
                <w:szCs w:val="28"/>
                <w:highlight w:val="none"/>
              </w:rPr>
              <w:t>___年___月___日</w:t>
            </w:r>
          </w:p>
        </w:tc>
      </w:tr>
      <w:tr w14:paraId="4F95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1C237200">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289DF155">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1B0313FE">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3D3503ED">
            <w:pPr>
              <w:spacing w:line="360" w:lineRule="auto"/>
              <w:jc w:val="right"/>
              <w:rPr>
                <w:rFonts w:hint="eastAsia"/>
                <w:color w:val="auto"/>
                <w:highlight w:val="none"/>
              </w:rPr>
            </w:pPr>
            <w:r>
              <w:rPr>
                <w:rFonts w:hint="eastAsia"/>
                <w:color w:val="auto"/>
                <w:sz w:val="28"/>
                <w:szCs w:val="28"/>
                <w:highlight w:val="none"/>
              </w:rPr>
              <w:t>___年___月___日</w:t>
            </w:r>
          </w:p>
        </w:tc>
      </w:tr>
    </w:tbl>
    <w:p w14:paraId="7C141AED">
      <w:pPr>
        <w:widowControl w:val="0"/>
        <w:jc w:val="left"/>
        <w:outlineLvl w:val="0"/>
        <w:rPr>
          <w:rFonts w:hint="eastAsia" w:eastAsia="宋体"/>
          <w:color w:val="auto"/>
          <w:sz w:val="28"/>
          <w:szCs w:val="28"/>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p w14:paraId="3962EDE9">
      <w:pPr>
        <w:rPr>
          <w:color w:val="auto"/>
          <w:highlight w:val="none"/>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8008D">
    <w:pPr>
      <w:pStyle w:val="16"/>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3134B523">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DCB2F">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6CFF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0D5CC7C">
                          <w:pPr>
                            <w:pStyle w:val="16"/>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60D5CC7C">
                    <w:pPr>
                      <w:pStyle w:val="1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34A8B">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5AFDB">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6ECDF93">
                          <w:pPr>
                            <w:pStyle w:val="16"/>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06ECDF93">
                    <w:pPr>
                      <w:pStyle w:val="16"/>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D56F9">
    <w:pPr>
      <w:snapToGrid w:val="0"/>
      <w:jc w:val="left"/>
      <w:rPr>
        <w:rFonts w:ascii="宋体" w:hAnsi="宋体" w:eastAsia="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CD18F82">
                          <w:pPr>
                            <w:pStyle w:val="16"/>
                          </w:pPr>
                          <w:r>
                            <w:fldChar w:fldCharType="begin"/>
                          </w:r>
                          <w:r>
                            <w:instrText xml:space="preserve"> PAGE  \* MERGEFORMAT </w:instrText>
                          </w:r>
                          <w:r>
                            <w:fldChar w:fldCharType="separate"/>
                          </w:r>
                          <w:r>
                            <w:t>18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2CD18F82">
                    <w:pPr>
                      <w:pStyle w:val="16"/>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05400">
    <w:pPr>
      <w:pStyle w:val="16"/>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5CA04">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D72941">
                          <w:pPr>
                            <w:pStyle w:val="16"/>
                          </w:pPr>
                          <w:r>
                            <w:fldChar w:fldCharType="begin"/>
                          </w:r>
                          <w:r>
                            <w:instrText xml:space="preserve"> PAGE  \* MERGEFORMAT </w:instrText>
                          </w:r>
                          <w:r>
                            <w:fldChar w:fldCharType="separate"/>
                          </w:r>
                          <w:r>
                            <w:t>46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58D72941">
                    <w:pPr>
                      <w:pStyle w:val="16"/>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2F67F">
    <w:pPr>
      <w:pStyle w:val="17"/>
      <w:wordWrap w:val="0"/>
      <w:jc w:val="right"/>
      <w:rPr>
        <w:rFonts w:hint="eastAsia" w:ascii="宋体" w:hAnsi="宋体" w:eastAsia="宋体"/>
        <w:szCs w:val="18"/>
      </w:rPr>
    </w:pPr>
    <w:r>
      <w:rPr>
        <w:rFonts w:hint="eastAsia" w:ascii="宋体" w:hAnsi="宋体" w:eastAsia="宋体"/>
        <w:color w:val="auto"/>
        <w:szCs w:val="18"/>
        <w:lang w:eastAsia="zh-CN"/>
      </w:rPr>
      <w:t>临海市上盘镇新塘岸村村民活动中心（二期）</w:t>
    </w:r>
    <w:r>
      <w:rPr>
        <w:rFonts w:hint="eastAsia" w:ascii="宋体" w:hAnsi="宋体" w:eastAsia="宋体"/>
        <w:color w:val="auto"/>
        <w:szCs w:val="18"/>
      </w:rPr>
      <w:t>招</w:t>
    </w:r>
    <w:r>
      <w:rPr>
        <w:rFonts w:hint="eastAsia" w:ascii="宋体" w:hAnsi="宋体" w:eastAsia="宋体"/>
        <w:szCs w:val="18"/>
      </w:rPr>
      <w:t>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E1B9E">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014D7">
    <w:pPr>
      <w:pStyle w:val="1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A0DD2">
    <w:pPr>
      <w:pStyle w:val="17"/>
      <w:wordWrap w:val="0"/>
      <w:jc w:val="right"/>
      <w:rPr>
        <w:rFonts w:ascii="宋体" w:hAnsi="宋体" w:eastAsia="宋体"/>
        <w:szCs w:val="18"/>
      </w:rPr>
    </w:pPr>
    <w:r>
      <w:rPr>
        <w:rFonts w:hint="eastAsia" w:ascii="宋体" w:hAnsi="宋体" w:eastAsia="宋体"/>
        <w:color w:val="auto"/>
        <w:szCs w:val="18"/>
        <w:lang w:eastAsia="zh-CN"/>
      </w:rPr>
      <w:t>临海市上盘镇新塘岸村村民活动中心（二期）</w:t>
    </w:r>
    <w:r>
      <w:rPr>
        <w:rFonts w:hint="eastAsia" w:ascii="宋体" w:hAnsi="宋体" w:eastAsia="宋体"/>
        <w:color w:val="auto"/>
        <w:szCs w:val="18"/>
      </w:rPr>
      <w:t>招标</w:t>
    </w:r>
    <w:r>
      <w:rPr>
        <w:rFonts w:hint="eastAsia" w:ascii="宋体" w:hAnsi="宋体" w:eastAsia="宋体"/>
        <w:szCs w:val="18"/>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74823">
    <w:pPr>
      <w:pBdr>
        <w:bottom w:val="single" w:color="auto" w:sz="6" w:space="1"/>
      </w:pBdr>
      <w:snapToGrid w:val="0"/>
      <w:ind w:right="180"/>
      <w:jc w:val="right"/>
      <w:rPr>
        <w:rFonts w:eastAsia="宋体"/>
        <w:sz w:val="18"/>
      </w:rPr>
    </w:pPr>
    <w:r>
      <w:rPr>
        <w:rFonts w:hint="eastAsia" w:ascii="宋体" w:hAnsi="宋体" w:eastAsia="宋体"/>
        <w:bCs/>
        <w:sz w:val="18"/>
        <w:szCs w:val="18"/>
      </w:rPr>
      <w:t>沿江镇中心幼儿园长甸分园工程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D70C1">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5"/>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4"/>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D30890"/>
    <w:multiLevelType w:val="singleLevel"/>
    <w:tmpl w:val="35D30890"/>
    <w:lvl w:ilvl="0" w:tentative="0">
      <w:start w:val="10"/>
      <w:numFmt w:val="decimal"/>
      <w:suff w:val="nothing"/>
      <w:lvlText w:val="%1．"/>
      <w:lvlJc w:val="left"/>
    </w:lvl>
  </w:abstractNum>
  <w:abstractNum w:abstractNumId="4">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B4E5583"/>
    <w:multiLevelType w:val="singleLevel"/>
    <w:tmpl w:val="4B4E5583"/>
    <w:lvl w:ilvl="0" w:tentative="0">
      <w:start w:val="11"/>
      <w:numFmt w:val="decimal"/>
      <w:suff w:val="nothing"/>
      <w:lvlText w:val="（%1）"/>
      <w:lvlJc w:val="left"/>
    </w:lvl>
  </w:abstractNum>
  <w:abstractNum w:abstractNumId="6">
    <w:nsid w:val="6A7AA17D"/>
    <w:multiLevelType w:val="singleLevel"/>
    <w:tmpl w:val="6A7AA17D"/>
    <w:lvl w:ilvl="0" w:tentative="0">
      <w:start w:val="7"/>
      <w:numFmt w:val="decimal"/>
      <w:suff w:val="nothing"/>
      <w:lvlText w:val="（%1）"/>
      <w:lvlJc w:val="left"/>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MGNiZjIwNTA1Yzc3YTQzMWUzZTgyYWNjMjM5NTc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D2AB3"/>
    <w:rsid w:val="002F2D42"/>
    <w:rsid w:val="00300BC3"/>
    <w:rsid w:val="00304FD8"/>
    <w:rsid w:val="003112CE"/>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6032EA"/>
    <w:rsid w:val="00603637"/>
    <w:rsid w:val="00654868"/>
    <w:rsid w:val="0066548C"/>
    <w:rsid w:val="006B5B26"/>
    <w:rsid w:val="006C0C39"/>
    <w:rsid w:val="006C13FB"/>
    <w:rsid w:val="006C4D1F"/>
    <w:rsid w:val="0073014E"/>
    <w:rsid w:val="00733C41"/>
    <w:rsid w:val="00734B08"/>
    <w:rsid w:val="00735F2E"/>
    <w:rsid w:val="007471EB"/>
    <w:rsid w:val="00763EDA"/>
    <w:rsid w:val="00764F4F"/>
    <w:rsid w:val="0076517C"/>
    <w:rsid w:val="00791654"/>
    <w:rsid w:val="007977FB"/>
    <w:rsid w:val="007A12F4"/>
    <w:rsid w:val="007A275E"/>
    <w:rsid w:val="007A2A5A"/>
    <w:rsid w:val="007A32E6"/>
    <w:rsid w:val="007B1985"/>
    <w:rsid w:val="007B60B0"/>
    <w:rsid w:val="007C06B4"/>
    <w:rsid w:val="007D40EF"/>
    <w:rsid w:val="00803802"/>
    <w:rsid w:val="00803CBD"/>
    <w:rsid w:val="00815CB9"/>
    <w:rsid w:val="00833A9E"/>
    <w:rsid w:val="00841193"/>
    <w:rsid w:val="008449DB"/>
    <w:rsid w:val="00846822"/>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3913"/>
    <w:rsid w:val="009307CE"/>
    <w:rsid w:val="009644BF"/>
    <w:rsid w:val="00964618"/>
    <w:rsid w:val="00980EBC"/>
    <w:rsid w:val="00991927"/>
    <w:rsid w:val="009A2DDE"/>
    <w:rsid w:val="009B3A12"/>
    <w:rsid w:val="009E12FA"/>
    <w:rsid w:val="009F636E"/>
    <w:rsid w:val="00A178E5"/>
    <w:rsid w:val="00A305D4"/>
    <w:rsid w:val="00A32A20"/>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35C0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13C2"/>
    <w:rsid w:val="00F25C07"/>
    <w:rsid w:val="00F32926"/>
    <w:rsid w:val="00F75A23"/>
    <w:rsid w:val="00F75FD5"/>
    <w:rsid w:val="00F82325"/>
    <w:rsid w:val="00F87CB6"/>
    <w:rsid w:val="00FB6D47"/>
    <w:rsid w:val="00FC0D6B"/>
    <w:rsid w:val="00FC37EC"/>
    <w:rsid w:val="00FD460B"/>
    <w:rsid w:val="00FE2F28"/>
    <w:rsid w:val="01E00CE2"/>
    <w:rsid w:val="021F1A33"/>
    <w:rsid w:val="02377887"/>
    <w:rsid w:val="0322443D"/>
    <w:rsid w:val="039E1C60"/>
    <w:rsid w:val="03B51FD0"/>
    <w:rsid w:val="04BC5D9C"/>
    <w:rsid w:val="05646570"/>
    <w:rsid w:val="05966E33"/>
    <w:rsid w:val="05DA7B43"/>
    <w:rsid w:val="05FF5E80"/>
    <w:rsid w:val="06296CF3"/>
    <w:rsid w:val="072E4E50"/>
    <w:rsid w:val="07426CE9"/>
    <w:rsid w:val="076D35DD"/>
    <w:rsid w:val="079270B3"/>
    <w:rsid w:val="08296FA7"/>
    <w:rsid w:val="088A7F5F"/>
    <w:rsid w:val="089B216C"/>
    <w:rsid w:val="090B419B"/>
    <w:rsid w:val="097D0D2A"/>
    <w:rsid w:val="098B3F8E"/>
    <w:rsid w:val="09AF75D6"/>
    <w:rsid w:val="09C51CFC"/>
    <w:rsid w:val="09C72078"/>
    <w:rsid w:val="09F22179"/>
    <w:rsid w:val="0A553026"/>
    <w:rsid w:val="0A717628"/>
    <w:rsid w:val="0AA83012"/>
    <w:rsid w:val="0B3D6A50"/>
    <w:rsid w:val="0B950884"/>
    <w:rsid w:val="0C1C748A"/>
    <w:rsid w:val="0C3C5A11"/>
    <w:rsid w:val="0D2F17FD"/>
    <w:rsid w:val="0D375B4A"/>
    <w:rsid w:val="0D51729D"/>
    <w:rsid w:val="0E036230"/>
    <w:rsid w:val="0E126FB3"/>
    <w:rsid w:val="0E69134A"/>
    <w:rsid w:val="0E8826CF"/>
    <w:rsid w:val="0ECD37BE"/>
    <w:rsid w:val="0F422A78"/>
    <w:rsid w:val="0F477F77"/>
    <w:rsid w:val="0FCD5301"/>
    <w:rsid w:val="0FD028A8"/>
    <w:rsid w:val="0FED5C47"/>
    <w:rsid w:val="108B3885"/>
    <w:rsid w:val="10D82D2F"/>
    <w:rsid w:val="10E75D7D"/>
    <w:rsid w:val="11E1204A"/>
    <w:rsid w:val="120025CD"/>
    <w:rsid w:val="12E91DF8"/>
    <w:rsid w:val="1319260B"/>
    <w:rsid w:val="131B7F09"/>
    <w:rsid w:val="13386F35"/>
    <w:rsid w:val="137F578F"/>
    <w:rsid w:val="141F36D1"/>
    <w:rsid w:val="150C0477"/>
    <w:rsid w:val="158A29E3"/>
    <w:rsid w:val="16361726"/>
    <w:rsid w:val="16905AFB"/>
    <w:rsid w:val="16DE44B1"/>
    <w:rsid w:val="177F1207"/>
    <w:rsid w:val="18A1598A"/>
    <w:rsid w:val="18AB7C3A"/>
    <w:rsid w:val="18D72D4C"/>
    <w:rsid w:val="18E12580"/>
    <w:rsid w:val="18F26EAB"/>
    <w:rsid w:val="18FC3FD7"/>
    <w:rsid w:val="192243F8"/>
    <w:rsid w:val="193A4DCD"/>
    <w:rsid w:val="193B5FBC"/>
    <w:rsid w:val="195A06AD"/>
    <w:rsid w:val="19BA2262"/>
    <w:rsid w:val="19FE75B4"/>
    <w:rsid w:val="1AD75285"/>
    <w:rsid w:val="1B06738B"/>
    <w:rsid w:val="1B0D2AFA"/>
    <w:rsid w:val="1B167A44"/>
    <w:rsid w:val="1B6F0B5F"/>
    <w:rsid w:val="1BAD0D5C"/>
    <w:rsid w:val="1BC177F6"/>
    <w:rsid w:val="1BF97D30"/>
    <w:rsid w:val="1C163B8C"/>
    <w:rsid w:val="1C915908"/>
    <w:rsid w:val="1C98187E"/>
    <w:rsid w:val="1D74707E"/>
    <w:rsid w:val="1DB81794"/>
    <w:rsid w:val="1E363CE9"/>
    <w:rsid w:val="1F160D12"/>
    <w:rsid w:val="1F8606E6"/>
    <w:rsid w:val="1FC96B63"/>
    <w:rsid w:val="1FF80AF3"/>
    <w:rsid w:val="201B4916"/>
    <w:rsid w:val="20670BCA"/>
    <w:rsid w:val="208351DE"/>
    <w:rsid w:val="210950AC"/>
    <w:rsid w:val="21B300CF"/>
    <w:rsid w:val="2278165A"/>
    <w:rsid w:val="22CA3922"/>
    <w:rsid w:val="23636EA1"/>
    <w:rsid w:val="23853A79"/>
    <w:rsid w:val="239361D0"/>
    <w:rsid w:val="23A0402B"/>
    <w:rsid w:val="24EE5273"/>
    <w:rsid w:val="24F44C86"/>
    <w:rsid w:val="24F951F7"/>
    <w:rsid w:val="251A36F0"/>
    <w:rsid w:val="25554E0E"/>
    <w:rsid w:val="25563DFB"/>
    <w:rsid w:val="25983B4F"/>
    <w:rsid w:val="25A050FE"/>
    <w:rsid w:val="25A75047"/>
    <w:rsid w:val="265721F1"/>
    <w:rsid w:val="26892F9B"/>
    <w:rsid w:val="26967876"/>
    <w:rsid w:val="26E47778"/>
    <w:rsid w:val="27112362"/>
    <w:rsid w:val="27230FF2"/>
    <w:rsid w:val="275831DE"/>
    <w:rsid w:val="277B2C7C"/>
    <w:rsid w:val="278E6684"/>
    <w:rsid w:val="285C40CB"/>
    <w:rsid w:val="291618C2"/>
    <w:rsid w:val="291B76E3"/>
    <w:rsid w:val="29712FD9"/>
    <w:rsid w:val="29F438D2"/>
    <w:rsid w:val="29F92152"/>
    <w:rsid w:val="2A0475B6"/>
    <w:rsid w:val="2A306760"/>
    <w:rsid w:val="2A755A69"/>
    <w:rsid w:val="2AD402FC"/>
    <w:rsid w:val="2B5173DF"/>
    <w:rsid w:val="2B547697"/>
    <w:rsid w:val="2B9D7E25"/>
    <w:rsid w:val="2C420D01"/>
    <w:rsid w:val="2C4C1CFB"/>
    <w:rsid w:val="2C652E7D"/>
    <w:rsid w:val="2C837E42"/>
    <w:rsid w:val="2C90767E"/>
    <w:rsid w:val="2D5371F7"/>
    <w:rsid w:val="2D602A71"/>
    <w:rsid w:val="2D9F339B"/>
    <w:rsid w:val="2DDC09C5"/>
    <w:rsid w:val="2DFE26D1"/>
    <w:rsid w:val="2EA13EF9"/>
    <w:rsid w:val="2F132647"/>
    <w:rsid w:val="2F266FDE"/>
    <w:rsid w:val="2F594E71"/>
    <w:rsid w:val="2F7353A9"/>
    <w:rsid w:val="2FDA531F"/>
    <w:rsid w:val="30330D58"/>
    <w:rsid w:val="3048098A"/>
    <w:rsid w:val="315F7516"/>
    <w:rsid w:val="31737A6D"/>
    <w:rsid w:val="31861B3A"/>
    <w:rsid w:val="32BE3742"/>
    <w:rsid w:val="32DB0BA8"/>
    <w:rsid w:val="32EC61E3"/>
    <w:rsid w:val="331B7BCF"/>
    <w:rsid w:val="33C40AB3"/>
    <w:rsid w:val="33D51112"/>
    <w:rsid w:val="33FA6465"/>
    <w:rsid w:val="34605501"/>
    <w:rsid w:val="3469254C"/>
    <w:rsid w:val="358C5B68"/>
    <w:rsid w:val="36254176"/>
    <w:rsid w:val="36DD1F8B"/>
    <w:rsid w:val="36E20676"/>
    <w:rsid w:val="371158BC"/>
    <w:rsid w:val="37292D89"/>
    <w:rsid w:val="379D6D57"/>
    <w:rsid w:val="37BB1D08"/>
    <w:rsid w:val="37BE1059"/>
    <w:rsid w:val="38202807"/>
    <w:rsid w:val="3820356C"/>
    <w:rsid w:val="3886386B"/>
    <w:rsid w:val="38926838"/>
    <w:rsid w:val="38A02C1C"/>
    <w:rsid w:val="39024127"/>
    <w:rsid w:val="395B2504"/>
    <w:rsid w:val="398E28C4"/>
    <w:rsid w:val="39BD0C48"/>
    <w:rsid w:val="39E8727C"/>
    <w:rsid w:val="3A660B39"/>
    <w:rsid w:val="3AB23C68"/>
    <w:rsid w:val="3ACA2AA9"/>
    <w:rsid w:val="3B5E2A01"/>
    <w:rsid w:val="3B8D4294"/>
    <w:rsid w:val="3B8E3C86"/>
    <w:rsid w:val="3BAC51D5"/>
    <w:rsid w:val="3BE610FE"/>
    <w:rsid w:val="3C541DB8"/>
    <w:rsid w:val="3CAF413E"/>
    <w:rsid w:val="3D2D00ED"/>
    <w:rsid w:val="3D714E4C"/>
    <w:rsid w:val="3DCE4884"/>
    <w:rsid w:val="3EA7436E"/>
    <w:rsid w:val="3EE96D1B"/>
    <w:rsid w:val="3EEF43D0"/>
    <w:rsid w:val="3EF30B52"/>
    <w:rsid w:val="3EF8102E"/>
    <w:rsid w:val="3F0459F8"/>
    <w:rsid w:val="3F165ACD"/>
    <w:rsid w:val="3F265D57"/>
    <w:rsid w:val="3F357653"/>
    <w:rsid w:val="3F84790D"/>
    <w:rsid w:val="3FF028CE"/>
    <w:rsid w:val="40F77934"/>
    <w:rsid w:val="40FE0657"/>
    <w:rsid w:val="413B553F"/>
    <w:rsid w:val="415C326C"/>
    <w:rsid w:val="4180248A"/>
    <w:rsid w:val="41E77BF5"/>
    <w:rsid w:val="42242413"/>
    <w:rsid w:val="43041BEF"/>
    <w:rsid w:val="4345654F"/>
    <w:rsid w:val="4374370A"/>
    <w:rsid w:val="439247CC"/>
    <w:rsid w:val="43F959BD"/>
    <w:rsid w:val="43FA4F55"/>
    <w:rsid w:val="4426535A"/>
    <w:rsid w:val="44A46D82"/>
    <w:rsid w:val="45437449"/>
    <w:rsid w:val="45585CB2"/>
    <w:rsid w:val="45612BD3"/>
    <w:rsid w:val="45905552"/>
    <w:rsid w:val="46713F31"/>
    <w:rsid w:val="4703462D"/>
    <w:rsid w:val="478B0E64"/>
    <w:rsid w:val="47971775"/>
    <w:rsid w:val="47B4613A"/>
    <w:rsid w:val="47C016D8"/>
    <w:rsid w:val="47D26A75"/>
    <w:rsid w:val="48C9729F"/>
    <w:rsid w:val="491D3EFC"/>
    <w:rsid w:val="493C6D00"/>
    <w:rsid w:val="49E0612F"/>
    <w:rsid w:val="4A6F08EE"/>
    <w:rsid w:val="4B651398"/>
    <w:rsid w:val="4BE40D01"/>
    <w:rsid w:val="4C411A42"/>
    <w:rsid w:val="4C4A5432"/>
    <w:rsid w:val="4C854292"/>
    <w:rsid w:val="4CF431C6"/>
    <w:rsid w:val="4D43040D"/>
    <w:rsid w:val="4DCE7990"/>
    <w:rsid w:val="4DF0589D"/>
    <w:rsid w:val="4E3715BC"/>
    <w:rsid w:val="4E734184"/>
    <w:rsid w:val="4EB01C4F"/>
    <w:rsid w:val="4ECE03CB"/>
    <w:rsid w:val="4F7F2CDB"/>
    <w:rsid w:val="4F964D9C"/>
    <w:rsid w:val="5012695A"/>
    <w:rsid w:val="50A42CBD"/>
    <w:rsid w:val="50D833BE"/>
    <w:rsid w:val="517B51EF"/>
    <w:rsid w:val="51A67B22"/>
    <w:rsid w:val="51E07D46"/>
    <w:rsid w:val="522D1654"/>
    <w:rsid w:val="52DF7FD7"/>
    <w:rsid w:val="53EC7275"/>
    <w:rsid w:val="541E33F9"/>
    <w:rsid w:val="54C635B3"/>
    <w:rsid w:val="54EF357C"/>
    <w:rsid w:val="5597283F"/>
    <w:rsid w:val="55BF2A09"/>
    <w:rsid w:val="563E3F56"/>
    <w:rsid w:val="565C6BA3"/>
    <w:rsid w:val="568C5381"/>
    <w:rsid w:val="56BF79F3"/>
    <w:rsid w:val="576B2C38"/>
    <w:rsid w:val="57C355C8"/>
    <w:rsid w:val="585711D8"/>
    <w:rsid w:val="586A79B6"/>
    <w:rsid w:val="58E4186C"/>
    <w:rsid w:val="595A593F"/>
    <w:rsid w:val="59692350"/>
    <w:rsid w:val="5AD86B4E"/>
    <w:rsid w:val="5B376AD1"/>
    <w:rsid w:val="5B9F0DEB"/>
    <w:rsid w:val="5BA32664"/>
    <w:rsid w:val="5BB16FB8"/>
    <w:rsid w:val="5BB63711"/>
    <w:rsid w:val="5BEE5961"/>
    <w:rsid w:val="5C1E5E58"/>
    <w:rsid w:val="5D4B6CD4"/>
    <w:rsid w:val="5D7C523D"/>
    <w:rsid w:val="5DA057D6"/>
    <w:rsid w:val="5DC056AF"/>
    <w:rsid w:val="5E0A6506"/>
    <w:rsid w:val="5E115F82"/>
    <w:rsid w:val="5F6B70B6"/>
    <w:rsid w:val="5FD40FA7"/>
    <w:rsid w:val="601C4F4D"/>
    <w:rsid w:val="6037230A"/>
    <w:rsid w:val="606744CB"/>
    <w:rsid w:val="60B47A39"/>
    <w:rsid w:val="611361AA"/>
    <w:rsid w:val="612607A7"/>
    <w:rsid w:val="6130435D"/>
    <w:rsid w:val="614257A1"/>
    <w:rsid w:val="61567145"/>
    <w:rsid w:val="616F6362"/>
    <w:rsid w:val="619D4BBE"/>
    <w:rsid w:val="61DE2BC3"/>
    <w:rsid w:val="62173103"/>
    <w:rsid w:val="62BF4CA1"/>
    <w:rsid w:val="62DD4735"/>
    <w:rsid w:val="631E10C3"/>
    <w:rsid w:val="635C4F62"/>
    <w:rsid w:val="63A23524"/>
    <w:rsid w:val="63F32E9F"/>
    <w:rsid w:val="63FB36F1"/>
    <w:rsid w:val="648C1DD2"/>
    <w:rsid w:val="64B417CF"/>
    <w:rsid w:val="65033CDE"/>
    <w:rsid w:val="65ED7D25"/>
    <w:rsid w:val="66552ACF"/>
    <w:rsid w:val="66A03BE2"/>
    <w:rsid w:val="66B0141D"/>
    <w:rsid w:val="66BD2ECA"/>
    <w:rsid w:val="66C25E54"/>
    <w:rsid w:val="66F92416"/>
    <w:rsid w:val="66FE3079"/>
    <w:rsid w:val="67586CD6"/>
    <w:rsid w:val="678E6CE7"/>
    <w:rsid w:val="68C81038"/>
    <w:rsid w:val="6911480D"/>
    <w:rsid w:val="69995F28"/>
    <w:rsid w:val="699D75EA"/>
    <w:rsid w:val="69E93C5A"/>
    <w:rsid w:val="6A1F1B62"/>
    <w:rsid w:val="6B194AB8"/>
    <w:rsid w:val="6B2505AD"/>
    <w:rsid w:val="6B251B80"/>
    <w:rsid w:val="6B78543B"/>
    <w:rsid w:val="6BAC2C7D"/>
    <w:rsid w:val="6BB81B36"/>
    <w:rsid w:val="6BFD1234"/>
    <w:rsid w:val="6C4B33B4"/>
    <w:rsid w:val="6CCC2731"/>
    <w:rsid w:val="6D0408D4"/>
    <w:rsid w:val="6D46205C"/>
    <w:rsid w:val="6DE87313"/>
    <w:rsid w:val="6E116A93"/>
    <w:rsid w:val="6E865B4B"/>
    <w:rsid w:val="6F067EF3"/>
    <w:rsid w:val="6F7777FC"/>
    <w:rsid w:val="70534653"/>
    <w:rsid w:val="70B52AE8"/>
    <w:rsid w:val="710B6E6E"/>
    <w:rsid w:val="712C15E1"/>
    <w:rsid w:val="71395DE7"/>
    <w:rsid w:val="71AA5770"/>
    <w:rsid w:val="72720E38"/>
    <w:rsid w:val="727F4B2E"/>
    <w:rsid w:val="728A61BC"/>
    <w:rsid w:val="72BA46C0"/>
    <w:rsid w:val="72D405E0"/>
    <w:rsid w:val="733E6F30"/>
    <w:rsid w:val="7348070F"/>
    <w:rsid w:val="74135A7F"/>
    <w:rsid w:val="742A7349"/>
    <w:rsid w:val="745B379C"/>
    <w:rsid w:val="749100EE"/>
    <w:rsid w:val="74EF6293"/>
    <w:rsid w:val="74EF6A2D"/>
    <w:rsid w:val="75087C7C"/>
    <w:rsid w:val="75297601"/>
    <w:rsid w:val="75CC648C"/>
    <w:rsid w:val="75FF5B03"/>
    <w:rsid w:val="762348A3"/>
    <w:rsid w:val="765A6067"/>
    <w:rsid w:val="766034F6"/>
    <w:rsid w:val="767429A8"/>
    <w:rsid w:val="76883BBA"/>
    <w:rsid w:val="76EC11F8"/>
    <w:rsid w:val="772462D2"/>
    <w:rsid w:val="782F3180"/>
    <w:rsid w:val="78E01A48"/>
    <w:rsid w:val="78F63361"/>
    <w:rsid w:val="79272682"/>
    <w:rsid w:val="796E4E17"/>
    <w:rsid w:val="79A166DA"/>
    <w:rsid w:val="79DB4509"/>
    <w:rsid w:val="7AD361E3"/>
    <w:rsid w:val="7C8F385C"/>
    <w:rsid w:val="7CEC5A5F"/>
    <w:rsid w:val="7D6E61DF"/>
    <w:rsid w:val="7D73322C"/>
    <w:rsid w:val="7DDB1BD7"/>
    <w:rsid w:val="7DDD4001"/>
    <w:rsid w:val="7DF92F90"/>
    <w:rsid w:val="7E324F08"/>
    <w:rsid w:val="7E4F2BA1"/>
    <w:rsid w:val="7E5402F7"/>
    <w:rsid w:val="7EFF3F53"/>
    <w:rsid w:val="7F503B7C"/>
    <w:rsid w:val="7FAE0E2E"/>
    <w:rsid w:val="7FCF657D"/>
    <w:rsid w:val="7FDC990D"/>
    <w:rsid w:val="9CCDF4AC"/>
    <w:rsid w:val="EACDBB64"/>
    <w:rsid w:val="FF27CC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lang w:val="en-US" w:eastAsia="zh-CN" w:bidi="ar-SA"/>
    </w:rPr>
  </w:style>
  <w:style w:type="paragraph" w:styleId="3">
    <w:name w:val="heading 1"/>
    <w:basedOn w:val="1"/>
    <w:next w:val="1"/>
    <w:qFormat/>
    <w:uiPriority w:val="0"/>
    <w:pPr>
      <w:keepNext/>
      <w:keepLines/>
      <w:jc w:val="center"/>
      <w:outlineLvl w:val="0"/>
    </w:pPr>
    <w:rPr>
      <w:rFonts w:ascii="黑体" w:hAnsi="宋体" w:eastAsia="黑体"/>
      <w:b/>
      <w:color w:val="000000"/>
      <w:kern w:val="44"/>
    </w:rPr>
  </w:style>
  <w:style w:type="paragraph" w:styleId="4">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5">
    <w:name w:val="heading 3"/>
    <w:basedOn w:val="1"/>
    <w:next w:val="6"/>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7">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6">
    <w:name w:val="Normal Indent"/>
    <w:basedOn w:val="1"/>
    <w:qFormat/>
    <w:uiPriority w:val="0"/>
    <w:pPr>
      <w:ind w:firstLine="420"/>
    </w:pPr>
  </w:style>
  <w:style w:type="paragraph" w:styleId="8">
    <w:name w:val="annotation text"/>
    <w:basedOn w:val="1"/>
    <w:semiHidden/>
    <w:unhideWhenUsed/>
    <w:qFormat/>
    <w:uiPriority w:val="0"/>
    <w:pPr>
      <w:jc w:val="left"/>
    </w:pPr>
  </w:style>
  <w:style w:type="paragraph" w:styleId="9">
    <w:name w:val="Body Text 3"/>
    <w:basedOn w:val="1"/>
    <w:qFormat/>
    <w:uiPriority w:val="0"/>
    <w:pPr>
      <w:spacing w:line="360" w:lineRule="auto"/>
      <w:jc w:val="center"/>
    </w:pPr>
    <w:rPr>
      <w:rFonts w:ascii="宋体" w:hAnsi="宋体" w:eastAsia="宋体"/>
      <w:bCs/>
      <w:iCs/>
      <w:sz w:val="21"/>
      <w:szCs w:val="28"/>
    </w:rPr>
  </w:style>
  <w:style w:type="paragraph" w:styleId="10">
    <w:name w:val="Body Text"/>
    <w:basedOn w:val="1"/>
    <w:next w:val="11"/>
    <w:qFormat/>
    <w:uiPriority w:val="0"/>
    <w:pPr>
      <w:tabs>
        <w:tab w:val="left" w:pos="574"/>
      </w:tabs>
      <w:spacing w:line="288" w:lineRule="auto"/>
    </w:pPr>
    <w:rPr>
      <w:rFonts w:ascii="宋体" w:hAnsi="宋体" w:eastAsia="宋体"/>
      <w:sz w:val="21"/>
    </w:rPr>
  </w:style>
  <w:style w:type="paragraph" w:styleId="11">
    <w:name w:val="Body Text First Indent"/>
    <w:basedOn w:val="10"/>
    <w:next w:val="12"/>
    <w:qFormat/>
    <w:uiPriority w:val="0"/>
    <w:pPr>
      <w:spacing w:after="120" w:line="240" w:lineRule="auto"/>
      <w:ind w:firstLine="420" w:firstLineChars="100"/>
    </w:pPr>
    <w:rPr>
      <w:rFonts w:ascii="Times New Roman" w:hAnsi="Times New Roman"/>
    </w:rPr>
  </w:style>
  <w:style w:type="paragraph" w:styleId="12">
    <w:name w:val="toc 6"/>
    <w:basedOn w:val="1"/>
    <w:next w:val="1"/>
    <w:unhideWhenUsed/>
    <w:qFormat/>
    <w:uiPriority w:val="0"/>
    <w:pPr>
      <w:ind w:left="2100" w:leftChars="1000"/>
    </w:pPr>
  </w:style>
  <w:style w:type="paragraph" w:styleId="13">
    <w:name w:val="index 4"/>
    <w:basedOn w:val="1"/>
    <w:next w:val="1"/>
    <w:semiHidden/>
    <w:qFormat/>
    <w:uiPriority w:val="0"/>
    <w:pPr>
      <w:ind w:left="600" w:leftChars="600"/>
    </w:pPr>
  </w:style>
  <w:style w:type="paragraph" w:styleId="14">
    <w:name w:val="Plain Text"/>
    <w:basedOn w:val="1"/>
    <w:qFormat/>
    <w:uiPriority w:val="0"/>
    <w:rPr>
      <w:rFonts w:ascii="宋体" w:hAnsi="Courier New"/>
    </w:rPr>
  </w:style>
  <w:style w:type="paragraph" w:styleId="15">
    <w:name w:val="Balloon Text"/>
    <w:basedOn w:val="1"/>
    <w:link w:val="33"/>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qFormat/>
    <w:uiPriority w:val="39"/>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line number"/>
    <w:basedOn w:val="25"/>
    <w:qFormat/>
    <w:uiPriority w:val="0"/>
  </w:style>
  <w:style w:type="character" w:styleId="28">
    <w:name w:val="Hyperlink"/>
    <w:qFormat/>
    <w:uiPriority w:val="99"/>
    <w:rPr>
      <w:color w:val="0000FF"/>
      <w:u w:val="single"/>
    </w:rPr>
  </w:style>
  <w:style w:type="character" w:styleId="29">
    <w:name w:val="annotation reference"/>
    <w:basedOn w:val="25"/>
    <w:semiHidden/>
    <w:unhideWhenUsed/>
    <w:qFormat/>
    <w:uiPriority w:val="0"/>
    <w:rPr>
      <w:sz w:val="21"/>
      <w:szCs w:val="21"/>
    </w:rPr>
  </w:style>
  <w:style w:type="paragraph" w:customStyle="1" w:styleId="30">
    <w:name w:val="WPSOffice手动目录 1"/>
    <w:qFormat/>
    <w:uiPriority w:val="0"/>
    <w:rPr>
      <w:rFonts w:ascii="Calibri" w:hAnsi="Calibri" w:eastAsia="宋体" w:cs="Times New Roman"/>
      <w:lang w:val="en-US" w:eastAsia="zh-CN" w:bidi="ar-SA"/>
    </w:rPr>
  </w:style>
  <w:style w:type="paragraph" w:customStyle="1" w:styleId="31">
    <w:name w:val="p0"/>
    <w:basedOn w:val="1"/>
    <w:qFormat/>
    <w:uiPriority w:val="0"/>
    <w:pPr>
      <w:widowControl/>
    </w:pPr>
    <w:rPr>
      <w:kern w:val="0"/>
      <w:szCs w:val="32"/>
    </w:rPr>
  </w:style>
  <w:style w:type="paragraph" w:customStyle="1" w:styleId="32">
    <w:name w:val="标题4"/>
    <w:basedOn w:val="1"/>
    <w:qFormat/>
    <w:uiPriority w:val="0"/>
  </w:style>
  <w:style w:type="character" w:customStyle="1" w:styleId="33">
    <w:name w:val="批注框文本 Char"/>
    <w:basedOn w:val="25"/>
    <w:link w:val="15"/>
    <w:qFormat/>
    <w:uiPriority w:val="0"/>
    <w:rPr>
      <w:rFonts w:ascii="Calibri" w:hAnsi="Calibri" w:eastAsia="仿宋_GB2312"/>
      <w:kern w:val="2"/>
      <w:sz w:val="18"/>
      <w:szCs w:val="18"/>
    </w:rPr>
  </w:style>
  <w:style w:type="paragraph" w:customStyle="1" w:styleId="34">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6">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7">
    <w:name w:val="List Paragraph"/>
    <w:basedOn w:val="1"/>
    <w:qFormat/>
    <w:uiPriority w:val="0"/>
    <w:pPr>
      <w:autoSpaceDE w:val="0"/>
      <w:autoSpaceDN w:val="0"/>
      <w:adjustRightInd w:val="0"/>
      <w:jc w:val="left"/>
    </w:pPr>
    <w:rPr>
      <w:rFonts w:eastAsia="宋体"/>
      <w:kern w:val="0"/>
      <w:sz w:val="24"/>
      <w:szCs w:val="24"/>
    </w:rPr>
  </w:style>
  <w:style w:type="character" w:customStyle="1" w:styleId="38">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6321</Words>
  <Characters>6892</Characters>
  <Lines>318</Lines>
  <Paragraphs>89</Paragraphs>
  <TotalTime>27</TotalTime>
  <ScaleCrop>false</ScaleCrop>
  <LinksUpToDate>false</LinksUpToDate>
  <CharactersWithSpaces>7057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2021-02-09T10:43:00Z</dcterms:created>
  <dc:creator>HaHaHa~</dc:creator>
  <cp:lastModifiedBy>18815255335</cp:lastModifiedBy>
  <cp:lastPrinted>2026-03-17T01:20:56Z</cp:lastPrinted>
  <dcterms:modified xsi:type="dcterms:W3CDTF">2026-03-17T01:30:04Z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22F8E0B4292C41D4B66BEC74B05F3DCE_13</vt:lpwstr>
  </property>
  <property fmtid="{D5CDD505-2E9C-101B-9397-08002B2CF9AE}" pid="4" name="KSOTemplateDocerSaveRecord">
    <vt:lpwstr>eyJoZGlkIjoiNzY1ZDYxYTA0MzI1ZDljZDYwMWNhMTJmZjhlYWFmNmMiLCJ1c2VySWQiOiIxMzk3MzI2MDk2In0=</vt:lpwstr>
  </property>
</Properties>
</file>